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B18F" w14:textId="51516F7A" w:rsidR="00AD21E8" w:rsidRDefault="00AD21E8" w:rsidP="00AD21E8">
      <w:pPr>
        <w:pStyle w:val="Header"/>
        <w:tabs>
          <w:tab w:val="left" w:pos="720"/>
        </w:tabs>
        <w:ind w:right="-720"/>
        <w:rPr>
          <w:b/>
          <w:color w:val="000000"/>
        </w:rPr>
      </w:pPr>
      <w:r>
        <w:t>ALJ/SCR/</w:t>
      </w:r>
      <w:proofErr w:type="spellStart"/>
      <w:r>
        <w:t>avs</w:t>
      </w:r>
      <w:proofErr w:type="spellEnd"/>
      <w:r>
        <w:tab/>
      </w:r>
      <w:r w:rsidRPr="00AD21E8">
        <w:rPr>
          <w:b/>
        </w:rPr>
        <w:t>PROPOSED DECISION</w:t>
      </w:r>
      <w:r>
        <w:tab/>
      </w:r>
      <w:r>
        <w:rPr>
          <w:b/>
        </w:rPr>
        <w:t xml:space="preserve">Agenda ID# </w:t>
      </w:r>
      <w:r w:rsidR="00C9233A">
        <w:rPr>
          <w:b/>
        </w:rPr>
        <w:t>17194</w:t>
      </w:r>
      <w:bookmarkStart w:id="0" w:name="_GoBack"/>
      <w:bookmarkEnd w:id="0"/>
    </w:p>
    <w:p w14:paraId="49197FBC" w14:textId="77777777" w:rsidR="00AD21E8" w:rsidRPr="0009245F" w:rsidRDefault="00AD21E8" w:rsidP="00AD21E8">
      <w:pPr>
        <w:pStyle w:val="Header"/>
        <w:tabs>
          <w:tab w:val="left" w:pos="720"/>
        </w:tabs>
        <w:ind w:right="-720"/>
        <w:jc w:val="right"/>
        <w:rPr>
          <w:b/>
          <w:color w:val="000000"/>
        </w:rPr>
      </w:pPr>
    </w:p>
    <w:p w14:paraId="72461F64" w14:textId="18D77669" w:rsidR="00AD21E8" w:rsidRDefault="00AD21E8" w:rsidP="00AD21E8">
      <w:pPr>
        <w:suppressAutoHyphens/>
        <w:ind w:left="900" w:hanging="900"/>
        <w:rPr>
          <w:color w:val="000000"/>
        </w:rPr>
      </w:pPr>
      <w:r>
        <w:rPr>
          <w:color w:val="000000"/>
        </w:rPr>
        <w:t>Decision __________________</w:t>
      </w:r>
    </w:p>
    <w:p w14:paraId="072F4634" w14:textId="77777777" w:rsidR="00AD21E8" w:rsidRDefault="00AD21E8" w:rsidP="00AD21E8">
      <w:pPr>
        <w:pStyle w:val="titlebar"/>
        <w:rPr>
          <w:rFonts w:ascii="Times New Roman" w:hAnsi="Times New Roman"/>
          <w:color w:val="000000"/>
          <w:sz w:val="24"/>
          <w:szCs w:val="24"/>
        </w:rPr>
      </w:pPr>
    </w:p>
    <w:p w14:paraId="3BA4EA92" w14:textId="77777777" w:rsidR="00AD21E8" w:rsidRDefault="00AD21E8" w:rsidP="00AD21E8">
      <w:pPr>
        <w:pStyle w:val="titlebar"/>
        <w:rPr>
          <w:rFonts w:ascii="Times New Roman" w:hAnsi="Times New Roman"/>
          <w:color w:val="000000"/>
          <w:sz w:val="24"/>
          <w:szCs w:val="24"/>
        </w:rPr>
      </w:pPr>
    </w:p>
    <w:p w14:paraId="40C7A6ED" w14:textId="77777777" w:rsidR="00AD21E8" w:rsidRDefault="00AD21E8" w:rsidP="00AD21E8">
      <w:pPr>
        <w:pStyle w:val="titlebar"/>
        <w:ind w:right="-810"/>
        <w:jc w:val="left"/>
        <w:rPr>
          <w:rFonts w:ascii="Times New Roman" w:hAnsi="Times New Roman"/>
          <w:color w:val="000000"/>
          <w:sz w:val="24"/>
          <w:szCs w:val="24"/>
        </w:rPr>
      </w:pPr>
      <w:r>
        <w:rPr>
          <w:rFonts w:ascii="Times New Roman" w:hAnsi="Times New Roman"/>
          <w:color w:val="000000"/>
          <w:sz w:val="24"/>
          <w:szCs w:val="24"/>
        </w:rPr>
        <w:t>BEFORE THE PUBLIC UTILITIES COMMISSION OF THE STATE OF CALIFORNIA</w:t>
      </w:r>
    </w:p>
    <w:p w14:paraId="465B9B4D" w14:textId="77777777" w:rsidR="00AD21E8" w:rsidRPr="007F620E" w:rsidRDefault="00AD21E8" w:rsidP="00AD21E8">
      <w:pPr>
        <w:suppressAutoHyphens/>
        <w:rPr>
          <w:color w:val="000000"/>
        </w:rPr>
      </w:pPr>
    </w:p>
    <w:tbl>
      <w:tblPr>
        <w:tblW w:w="9828" w:type="dxa"/>
        <w:tblLayout w:type="fixed"/>
        <w:tblLook w:val="0000" w:firstRow="0" w:lastRow="0" w:firstColumn="0" w:lastColumn="0" w:noHBand="0" w:noVBand="0"/>
      </w:tblPr>
      <w:tblGrid>
        <w:gridCol w:w="4315"/>
        <w:gridCol w:w="5513"/>
      </w:tblGrid>
      <w:tr w:rsidR="00AD21E8" w:rsidRPr="007F620E" w14:paraId="56F05D09" w14:textId="77777777" w:rsidTr="00743A07">
        <w:tc>
          <w:tcPr>
            <w:tcW w:w="4315" w:type="dxa"/>
            <w:tcBorders>
              <w:bottom w:val="single" w:sz="4" w:space="0" w:color="auto"/>
              <w:right w:val="single" w:sz="4" w:space="0" w:color="auto"/>
            </w:tcBorders>
            <w:shd w:val="clear" w:color="auto" w:fill="auto"/>
          </w:tcPr>
          <w:p w14:paraId="4361C492" w14:textId="3B9F9D05" w:rsidR="00AD21E8" w:rsidRDefault="00AD21E8" w:rsidP="00743A07">
            <w:pPr>
              <w:rPr>
                <w:color w:val="000000"/>
              </w:rPr>
            </w:pPr>
            <w:r w:rsidRPr="001361A7">
              <w:t>Application of Pacific Gas and Electric Company for Authority, Among Other Things, to Increase Rates and Charges for Electric and Gas Service Effective on January 1, 2017. (U39M)</w:t>
            </w:r>
          </w:p>
          <w:p w14:paraId="18BEE896" w14:textId="77777777" w:rsidR="00AD21E8" w:rsidRPr="007F620E" w:rsidRDefault="00AD21E8" w:rsidP="00743A07">
            <w:pPr>
              <w:rPr>
                <w:color w:val="000000"/>
              </w:rPr>
            </w:pPr>
          </w:p>
        </w:tc>
        <w:tc>
          <w:tcPr>
            <w:tcW w:w="5513" w:type="dxa"/>
            <w:tcBorders>
              <w:left w:val="single" w:sz="4" w:space="0" w:color="auto"/>
            </w:tcBorders>
            <w:shd w:val="clear" w:color="auto" w:fill="auto"/>
            <w:vAlign w:val="center"/>
          </w:tcPr>
          <w:p w14:paraId="6EED8A45" w14:textId="5BDEE6ED" w:rsidR="00AD21E8" w:rsidRPr="007F620E" w:rsidRDefault="00AD21E8" w:rsidP="00743A07">
            <w:pPr>
              <w:tabs>
                <w:tab w:val="left" w:pos="1440"/>
                <w:tab w:val="left" w:pos="3600"/>
              </w:tabs>
              <w:jc w:val="center"/>
              <w:rPr>
                <w:color w:val="000000"/>
              </w:rPr>
            </w:pPr>
            <w:r w:rsidRPr="005B61B3">
              <w:t>Application 1</w:t>
            </w:r>
            <w:r>
              <w:t>5</w:t>
            </w:r>
            <w:r w:rsidRPr="005B61B3">
              <w:t>-</w:t>
            </w:r>
            <w:r>
              <w:t>09-001</w:t>
            </w:r>
          </w:p>
          <w:p w14:paraId="29DE79B8" w14:textId="77777777" w:rsidR="00AD21E8" w:rsidRPr="007F620E" w:rsidRDefault="00AD21E8" w:rsidP="00743A07">
            <w:pPr>
              <w:tabs>
                <w:tab w:val="left" w:pos="1440"/>
                <w:tab w:val="left" w:pos="3600"/>
              </w:tabs>
              <w:jc w:val="center"/>
              <w:rPr>
                <w:color w:val="000000"/>
              </w:rPr>
            </w:pPr>
          </w:p>
        </w:tc>
      </w:tr>
    </w:tbl>
    <w:p w14:paraId="1DF916F2" w14:textId="77777777" w:rsidR="00AD21E8" w:rsidRDefault="00AD21E8">
      <w:pPr>
        <w:suppressAutoHyphens/>
        <w:rPr>
          <w:color w:val="000000"/>
        </w:rPr>
      </w:pPr>
    </w:p>
    <w:p w14:paraId="60EE540D" w14:textId="77777777" w:rsidR="00FC72B7" w:rsidRPr="00ED1206" w:rsidRDefault="00FC72B7">
      <w:pPr>
        <w:jc w:val="center"/>
        <w:rPr>
          <w:b/>
        </w:rPr>
      </w:pPr>
    </w:p>
    <w:p w14:paraId="60442F93" w14:textId="37F104A0" w:rsidR="00A92D0B" w:rsidRPr="00ED1206" w:rsidRDefault="00ED1206">
      <w:pPr>
        <w:jc w:val="center"/>
        <w:rPr>
          <w:b/>
        </w:rPr>
      </w:pPr>
      <w:r>
        <w:rPr>
          <w:b/>
        </w:rPr>
        <w:t>DECISION GRANTING INTERVENOR</w:t>
      </w:r>
      <w:r w:rsidR="00A92D0B" w:rsidRPr="007F620E">
        <w:rPr>
          <w:b/>
        </w:rPr>
        <w:t xml:space="preserve"> COMPENSATION </w:t>
      </w:r>
      <w:r>
        <w:rPr>
          <w:b/>
        </w:rPr>
        <w:t xml:space="preserve">TO </w:t>
      </w:r>
      <w:r w:rsidR="0084251A">
        <w:rPr>
          <w:b/>
        </w:rPr>
        <w:br/>
      </w:r>
      <w:r w:rsidR="000F449F" w:rsidRPr="00ED1206">
        <w:rPr>
          <w:b/>
        </w:rPr>
        <w:t>THE UTILITY REFORM NETWORK</w:t>
      </w:r>
      <w:r w:rsidR="00A92D0B" w:rsidRPr="00ED1206">
        <w:rPr>
          <w:b/>
        </w:rPr>
        <w:t xml:space="preserve"> </w:t>
      </w:r>
      <w:r w:rsidRPr="00ED1206">
        <w:rPr>
          <w:b/>
        </w:rPr>
        <w:t xml:space="preserve">FOR </w:t>
      </w:r>
      <w:r w:rsidR="0084251A">
        <w:rPr>
          <w:b/>
        </w:rPr>
        <w:br/>
      </w:r>
      <w:r w:rsidRPr="00ED1206">
        <w:rPr>
          <w:b/>
        </w:rPr>
        <w:t>SUBSTANTIAL CONTRIBUTION TO DECISION 17-05-013</w:t>
      </w:r>
    </w:p>
    <w:p w14:paraId="2052E988" w14:textId="08FCD2A7" w:rsidR="00A92D0B" w:rsidRDefault="00A92D0B">
      <w:pPr>
        <w:suppressAutoHyphens/>
        <w:rPr>
          <w:color w:val="000000"/>
        </w:rPr>
      </w:pPr>
    </w:p>
    <w:p w14:paraId="76216346" w14:textId="77777777" w:rsidR="00C671DA" w:rsidRPr="00ED1206" w:rsidRDefault="00C671DA" w:rsidP="00C671DA">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2"/>
      </w:tblGrid>
      <w:tr w:rsidR="00C671DA" w:rsidRPr="007F620E" w14:paraId="4C773A47" w14:textId="77777777" w:rsidTr="00C36D4F">
        <w:tc>
          <w:tcPr>
            <w:tcW w:w="4116" w:type="dxa"/>
            <w:shd w:val="clear" w:color="auto" w:fill="auto"/>
          </w:tcPr>
          <w:p w14:paraId="44A69876" w14:textId="77777777" w:rsidR="00C671DA" w:rsidRPr="007F620E" w:rsidRDefault="00C671DA" w:rsidP="00C36D4F">
            <w:pPr>
              <w:tabs>
                <w:tab w:val="left" w:pos="1620"/>
                <w:tab w:val="right" w:pos="4500"/>
              </w:tabs>
              <w:spacing w:before="120"/>
              <w:rPr>
                <w:b/>
                <w:color w:val="000000"/>
              </w:rPr>
            </w:pPr>
            <w:r w:rsidRPr="007F620E">
              <w:rPr>
                <w:b/>
                <w:color w:val="000000"/>
              </w:rPr>
              <w:t>Intervenor:</w:t>
            </w:r>
            <w:r>
              <w:rPr>
                <w:b/>
                <w:color w:val="000000"/>
              </w:rPr>
              <w:t xml:space="preserve">  </w:t>
            </w:r>
            <w:r w:rsidRPr="00564934">
              <w:rPr>
                <w:color w:val="000000"/>
              </w:rPr>
              <w:t>The Utility Reform Network</w:t>
            </w:r>
            <w:r>
              <w:rPr>
                <w:color w:val="000000"/>
              </w:rPr>
              <w:t xml:space="preserve"> (TURN)</w:t>
            </w:r>
          </w:p>
        </w:tc>
        <w:tc>
          <w:tcPr>
            <w:tcW w:w="5712" w:type="dxa"/>
            <w:shd w:val="clear" w:color="auto" w:fill="auto"/>
          </w:tcPr>
          <w:p w14:paraId="4633CE1E" w14:textId="77777777" w:rsidR="00C671DA" w:rsidRPr="007F620E" w:rsidRDefault="00C671DA" w:rsidP="00C36D4F">
            <w:pPr>
              <w:tabs>
                <w:tab w:val="left" w:pos="1872"/>
                <w:tab w:val="right" w:pos="3672"/>
              </w:tabs>
              <w:spacing w:before="120"/>
              <w:rPr>
                <w:b/>
                <w:color w:val="000000"/>
              </w:rPr>
            </w:pPr>
            <w:r w:rsidRPr="007F620E">
              <w:rPr>
                <w:b/>
                <w:color w:val="000000"/>
              </w:rPr>
              <w:t xml:space="preserve">For contribution to Decision (D.) </w:t>
            </w:r>
            <w:r>
              <w:rPr>
                <w:b/>
                <w:color w:val="000000"/>
              </w:rPr>
              <w:t>17-05-013</w:t>
            </w:r>
          </w:p>
        </w:tc>
      </w:tr>
      <w:tr w:rsidR="00C671DA" w:rsidRPr="007F620E" w14:paraId="4EB40C84" w14:textId="77777777" w:rsidTr="00C36D4F">
        <w:tc>
          <w:tcPr>
            <w:tcW w:w="4116" w:type="dxa"/>
            <w:shd w:val="clear" w:color="auto" w:fill="auto"/>
          </w:tcPr>
          <w:p w14:paraId="1503866B" w14:textId="77777777" w:rsidR="00C671DA" w:rsidRPr="007F620E" w:rsidRDefault="00C671DA" w:rsidP="00C36D4F">
            <w:pPr>
              <w:tabs>
                <w:tab w:val="left" w:pos="1620"/>
                <w:tab w:val="right" w:pos="4500"/>
              </w:tabs>
              <w:spacing w:before="120"/>
              <w:rPr>
                <w:b/>
                <w:color w:val="000000"/>
                <w:u w:val="single"/>
              </w:rPr>
            </w:pPr>
            <w:r w:rsidRPr="00FD041F">
              <w:rPr>
                <w:b/>
                <w:color w:val="000000"/>
              </w:rPr>
              <w:t xml:space="preserve">Claimed:  </w:t>
            </w:r>
            <w:r w:rsidRPr="00616976">
              <w:rPr>
                <w:color w:val="000000"/>
              </w:rPr>
              <w:t>$1,414,358.14</w:t>
            </w:r>
          </w:p>
        </w:tc>
        <w:tc>
          <w:tcPr>
            <w:tcW w:w="5712" w:type="dxa"/>
            <w:tcBorders>
              <w:bottom w:val="single" w:sz="4" w:space="0" w:color="auto"/>
            </w:tcBorders>
            <w:shd w:val="clear" w:color="auto" w:fill="auto"/>
          </w:tcPr>
          <w:p w14:paraId="43487B6E" w14:textId="77777777" w:rsidR="00C671DA" w:rsidRPr="007F620E" w:rsidRDefault="00C671DA" w:rsidP="00C36D4F">
            <w:pPr>
              <w:tabs>
                <w:tab w:val="left" w:pos="1872"/>
                <w:tab w:val="right" w:pos="3672"/>
              </w:tabs>
              <w:spacing w:before="120"/>
              <w:rPr>
                <w:b/>
                <w:color w:val="000000"/>
                <w:u w:val="single"/>
              </w:rPr>
            </w:pPr>
            <w:r w:rsidRPr="007F620E">
              <w:rPr>
                <w:b/>
                <w:color w:val="000000"/>
              </w:rPr>
              <w:t xml:space="preserve">Awarded:  </w:t>
            </w:r>
            <w:r w:rsidRPr="00B05675">
              <w:rPr>
                <w:color w:val="000000"/>
              </w:rPr>
              <w:t>$</w:t>
            </w:r>
            <w:r w:rsidRPr="00781FBF">
              <w:rPr>
                <w:color w:val="000000"/>
              </w:rPr>
              <w:t>1,386,671.79</w:t>
            </w:r>
            <w:r>
              <w:rPr>
                <w:color w:val="000000"/>
              </w:rPr>
              <w:t xml:space="preserve"> </w:t>
            </w:r>
          </w:p>
        </w:tc>
      </w:tr>
      <w:tr w:rsidR="00C671DA" w:rsidRPr="007F620E" w14:paraId="681CC07D" w14:textId="77777777" w:rsidTr="00C36D4F">
        <w:tc>
          <w:tcPr>
            <w:tcW w:w="4116" w:type="dxa"/>
            <w:shd w:val="clear" w:color="auto" w:fill="auto"/>
          </w:tcPr>
          <w:p w14:paraId="6C5110D2" w14:textId="77777777" w:rsidR="00C671DA" w:rsidRPr="007F620E" w:rsidRDefault="00C671DA" w:rsidP="00C36D4F">
            <w:pPr>
              <w:tabs>
                <w:tab w:val="left" w:pos="3060"/>
                <w:tab w:val="right" w:pos="4500"/>
              </w:tabs>
              <w:spacing w:before="120"/>
              <w:rPr>
                <w:b/>
                <w:color w:val="000000"/>
                <w:u w:val="single"/>
              </w:rPr>
            </w:pPr>
            <w:r w:rsidRPr="007F620E">
              <w:rPr>
                <w:b/>
                <w:color w:val="000000"/>
              </w:rPr>
              <w:t xml:space="preserve">Assigned Commissioner:  </w:t>
            </w:r>
            <w:r>
              <w:t>Michael Picker</w:t>
            </w:r>
          </w:p>
        </w:tc>
        <w:tc>
          <w:tcPr>
            <w:tcW w:w="5712" w:type="dxa"/>
            <w:shd w:val="clear" w:color="auto" w:fill="auto"/>
          </w:tcPr>
          <w:p w14:paraId="7CFF4591" w14:textId="77777777" w:rsidR="00C671DA" w:rsidRPr="007F620E" w:rsidRDefault="00C671DA" w:rsidP="00C36D4F">
            <w:pPr>
              <w:tabs>
                <w:tab w:val="left" w:pos="1872"/>
                <w:tab w:val="right" w:pos="3672"/>
              </w:tabs>
              <w:spacing w:before="120"/>
              <w:rPr>
                <w:b/>
                <w:color w:val="000000"/>
                <w:u w:val="single"/>
              </w:rPr>
            </w:pPr>
            <w:r w:rsidRPr="007F620E">
              <w:rPr>
                <w:b/>
                <w:color w:val="000000"/>
              </w:rPr>
              <w:t xml:space="preserve">Assigned ALJ:  </w:t>
            </w:r>
            <w:r>
              <w:t>Stephen C. Roscow</w:t>
            </w:r>
          </w:p>
        </w:tc>
      </w:tr>
    </w:tbl>
    <w:p w14:paraId="32115C25" w14:textId="77777777" w:rsidR="00C671DA" w:rsidRPr="007F620E" w:rsidRDefault="00C671DA" w:rsidP="00C671DA">
      <w:pPr>
        <w:rPr>
          <w:color w:val="000000"/>
        </w:rPr>
      </w:pPr>
    </w:p>
    <w:p w14:paraId="5F08BE06" w14:textId="77777777" w:rsidR="00C671DA" w:rsidRPr="007F620E" w:rsidRDefault="00C671DA" w:rsidP="00C671DA">
      <w:pPr>
        <w:rPr>
          <w:color w:val="000000"/>
        </w:rPr>
      </w:pPr>
      <w:r w:rsidRPr="007F620E">
        <w:rPr>
          <w:b/>
          <w:color w:val="000000"/>
        </w:rPr>
        <w:t xml:space="preserve">PART I:  PROCEDURAL ISSUES </w:t>
      </w:r>
    </w:p>
    <w:p w14:paraId="6D6ECA10" w14:textId="77777777" w:rsidR="00C671DA" w:rsidRPr="007F620E" w:rsidRDefault="00C671DA" w:rsidP="00C671DA">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C671DA" w:rsidRPr="007F620E" w14:paraId="2A7D69B5" w14:textId="77777777" w:rsidTr="00C36D4F">
        <w:tc>
          <w:tcPr>
            <w:tcW w:w="3708" w:type="dxa"/>
            <w:shd w:val="clear" w:color="auto" w:fill="auto"/>
          </w:tcPr>
          <w:p w14:paraId="4E4AB881" w14:textId="77777777" w:rsidR="00C671DA" w:rsidRPr="007F620E" w:rsidRDefault="00C671DA" w:rsidP="00C36D4F">
            <w:pPr>
              <w:rPr>
                <w:b/>
                <w:color w:val="000000"/>
              </w:rPr>
            </w:pPr>
            <w:r w:rsidRPr="007F620E">
              <w:rPr>
                <w:b/>
                <w:color w:val="000000"/>
              </w:rPr>
              <w:t xml:space="preserve">A.  Brief description of Decision: </w:t>
            </w:r>
          </w:p>
        </w:tc>
        <w:tc>
          <w:tcPr>
            <w:tcW w:w="6120" w:type="dxa"/>
            <w:shd w:val="clear" w:color="auto" w:fill="auto"/>
          </w:tcPr>
          <w:p w14:paraId="23950DE6" w14:textId="77777777" w:rsidR="00C671DA" w:rsidRDefault="00C671DA" w:rsidP="00C36D4F">
            <w:pPr>
              <w:rPr>
                <w:color w:val="000000"/>
              </w:rPr>
            </w:pPr>
            <w:r>
              <w:rPr>
                <w:color w:val="000000"/>
              </w:rPr>
              <w:t xml:space="preserve">In Decision (D.) 17-05-013, the Commission authorized Pacific Gas and Electric Company’s (PG&amp;E’s) general rate case (GRC) revenue requirement for 2017-2019.  The Commission addressed a comprehensive settlement agreement between all active parties in the proceeding, which proposed to resolve all but the following two contested issues: (1) whether to add a third post-test year to PG&amp;E’s 2017 GRC cycle, and (2) whether PG&amp;E should be authorized to establish a new balancing account to record costs to comply with gas leak management requirements that may emerge from R.15-01-008.  The Commission in </w:t>
            </w:r>
            <w:r>
              <w:rPr>
                <w:color w:val="000000"/>
              </w:rPr>
              <w:br/>
              <w:t xml:space="preserve">D.17-05-013 approved the settlement agreement with two modifications, </w:t>
            </w:r>
            <w:proofErr w:type="gramStart"/>
            <w:r>
              <w:rPr>
                <w:color w:val="000000"/>
              </w:rPr>
              <w:t>and also</w:t>
            </w:r>
            <w:proofErr w:type="gramEnd"/>
            <w:r>
              <w:rPr>
                <w:color w:val="000000"/>
              </w:rPr>
              <w:t xml:space="preserve"> resolved the two contested issues.  </w:t>
            </w:r>
          </w:p>
          <w:p w14:paraId="2842ECA6" w14:textId="77777777" w:rsidR="00C671DA" w:rsidRPr="007F620E" w:rsidRDefault="00C671DA" w:rsidP="00C36D4F">
            <w:pPr>
              <w:rPr>
                <w:color w:val="000000"/>
              </w:rPr>
            </w:pPr>
          </w:p>
        </w:tc>
      </w:tr>
    </w:tbl>
    <w:p w14:paraId="284D1095" w14:textId="77777777" w:rsidR="00C671DA" w:rsidRDefault="00C671DA" w:rsidP="00C671DA">
      <w:pPr>
        <w:rPr>
          <w:color w:val="000000"/>
        </w:rPr>
        <w:sectPr w:rsidR="00C671DA" w:rsidSect="002A6C07">
          <w:footerReference w:type="default" r:id="rId8"/>
          <w:headerReference w:type="first" r:id="rId9"/>
          <w:footerReference w:type="first" r:id="rId10"/>
          <w:pgSz w:w="12240" w:h="15840"/>
          <w:pgMar w:top="1440" w:right="1800" w:bottom="1440" w:left="1800" w:header="720" w:footer="720" w:gutter="0"/>
          <w:pgNumType w:fmt="numberInDash"/>
          <w:cols w:space="720"/>
          <w:docGrid w:linePitch="360"/>
        </w:sectPr>
      </w:pPr>
    </w:p>
    <w:p w14:paraId="2F81F713" w14:textId="77777777" w:rsidR="00C671DA" w:rsidRPr="007F620E" w:rsidRDefault="00C671DA" w:rsidP="00C671DA">
      <w:pPr>
        <w:numPr>
          <w:ilvl w:val="0"/>
          <w:numId w:val="5"/>
        </w:numPr>
        <w:rPr>
          <w:b/>
          <w:color w:val="000000"/>
        </w:rPr>
      </w:pPr>
      <w:r w:rsidRPr="007F620E">
        <w:rPr>
          <w:b/>
          <w:color w:val="000000"/>
        </w:rPr>
        <w:lastRenderedPageBreak/>
        <w:t>Intervenor must satisfy intervenor compensation requirements set forth in Pub. Util. Code §§ 1801-1812:</w:t>
      </w:r>
    </w:p>
    <w:p w14:paraId="27F070AA" w14:textId="77777777" w:rsidR="00C671DA" w:rsidRPr="007F620E" w:rsidRDefault="00C671DA" w:rsidP="00C671DA">
      <w:pPr>
        <w:tabs>
          <w:tab w:val="left" w:pos="360"/>
        </w:tabs>
        <w:rPr>
          <w:color w:val="00000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340"/>
        <w:gridCol w:w="2340"/>
      </w:tblGrid>
      <w:tr w:rsidR="00C671DA" w:rsidRPr="007F620E" w14:paraId="61062834" w14:textId="77777777" w:rsidTr="00C36D4F">
        <w:tc>
          <w:tcPr>
            <w:tcW w:w="5040" w:type="dxa"/>
            <w:tcBorders>
              <w:bottom w:val="single" w:sz="4" w:space="0" w:color="auto"/>
            </w:tcBorders>
            <w:shd w:val="clear" w:color="auto" w:fill="auto"/>
          </w:tcPr>
          <w:p w14:paraId="4E1EFEA7" w14:textId="77777777" w:rsidR="00C671DA" w:rsidRPr="007F620E" w:rsidRDefault="00C671DA" w:rsidP="00C36D4F">
            <w:pPr>
              <w:tabs>
                <w:tab w:val="left" w:pos="360"/>
              </w:tabs>
              <w:spacing w:before="120"/>
              <w:jc w:val="center"/>
              <w:rPr>
                <w:color w:val="000000"/>
              </w:rPr>
            </w:pPr>
          </w:p>
        </w:tc>
        <w:tc>
          <w:tcPr>
            <w:tcW w:w="2340" w:type="dxa"/>
            <w:tcBorders>
              <w:bottom w:val="single" w:sz="4" w:space="0" w:color="auto"/>
            </w:tcBorders>
            <w:shd w:val="clear" w:color="auto" w:fill="auto"/>
          </w:tcPr>
          <w:p w14:paraId="161C1ECB" w14:textId="77777777" w:rsidR="00C671DA" w:rsidRPr="007F620E" w:rsidRDefault="00C671DA" w:rsidP="00C36D4F">
            <w:pPr>
              <w:tabs>
                <w:tab w:val="left" w:pos="360"/>
              </w:tabs>
              <w:spacing w:before="120"/>
              <w:jc w:val="center"/>
              <w:rPr>
                <w:b/>
                <w:color w:val="000000"/>
              </w:rPr>
            </w:pPr>
            <w:r w:rsidRPr="007F620E">
              <w:rPr>
                <w:b/>
                <w:color w:val="000000"/>
              </w:rPr>
              <w:t>Intervenor</w:t>
            </w:r>
          </w:p>
        </w:tc>
        <w:tc>
          <w:tcPr>
            <w:tcW w:w="2340" w:type="dxa"/>
            <w:tcBorders>
              <w:bottom w:val="single" w:sz="4" w:space="0" w:color="auto"/>
            </w:tcBorders>
            <w:shd w:val="clear" w:color="auto" w:fill="auto"/>
          </w:tcPr>
          <w:p w14:paraId="4FD60838" w14:textId="77777777" w:rsidR="00C671DA" w:rsidRPr="007F620E" w:rsidRDefault="00C671DA" w:rsidP="00C36D4F">
            <w:pPr>
              <w:tabs>
                <w:tab w:val="left" w:pos="360"/>
              </w:tabs>
              <w:spacing w:before="120"/>
              <w:jc w:val="center"/>
              <w:rPr>
                <w:b/>
                <w:color w:val="000000"/>
              </w:rPr>
            </w:pPr>
            <w:r w:rsidRPr="007F620E">
              <w:rPr>
                <w:b/>
                <w:color w:val="000000"/>
              </w:rPr>
              <w:t>CPUC Verified</w:t>
            </w:r>
          </w:p>
        </w:tc>
      </w:tr>
      <w:tr w:rsidR="00C671DA" w:rsidRPr="007F620E" w14:paraId="175765D4" w14:textId="77777777" w:rsidTr="00C36D4F">
        <w:tc>
          <w:tcPr>
            <w:tcW w:w="9720" w:type="dxa"/>
            <w:gridSpan w:val="3"/>
            <w:tcBorders>
              <w:top w:val="single" w:sz="4" w:space="0" w:color="auto"/>
              <w:left w:val="single" w:sz="4" w:space="0" w:color="auto"/>
              <w:bottom w:val="single" w:sz="4" w:space="0" w:color="auto"/>
              <w:right w:val="single" w:sz="4" w:space="0" w:color="auto"/>
            </w:tcBorders>
            <w:shd w:val="clear" w:color="auto" w:fill="E6E6E6"/>
          </w:tcPr>
          <w:p w14:paraId="44414741" w14:textId="77777777" w:rsidR="00C671DA" w:rsidRPr="007F620E" w:rsidRDefault="00C671DA" w:rsidP="00C36D4F">
            <w:pPr>
              <w:tabs>
                <w:tab w:val="left" w:pos="360"/>
              </w:tabs>
              <w:spacing w:before="60"/>
              <w:jc w:val="center"/>
              <w:rPr>
                <w:b/>
              </w:rPr>
            </w:pPr>
            <w:r w:rsidRPr="007F620E">
              <w:rPr>
                <w:b/>
              </w:rPr>
              <w:t>Timely filing of notice of intent to claim compensation (NOI) (§ 1804(a)):</w:t>
            </w:r>
          </w:p>
        </w:tc>
      </w:tr>
      <w:tr w:rsidR="00C671DA" w:rsidRPr="007F620E" w14:paraId="6A0E3701" w14:textId="77777777" w:rsidTr="00C36D4F">
        <w:tc>
          <w:tcPr>
            <w:tcW w:w="5040" w:type="dxa"/>
            <w:tcBorders>
              <w:top w:val="single" w:sz="4" w:space="0" w:color="auto"/>
            </w:tcBorders>
            <w:shd w:val="clear" w:color="auto" w:fill="auto"/>
          </w:tcPr>
          <w:p w14:paraId="0EEA27FF" w14:textId="77777777" w:rsidR="00C671DA" w:rsidRPr="007F620E" w:rsidRDefault="00C671DA" w:rsidP="00C36D4F">
            <w:pPr>
              <w:tabs>
                <w:tab w:val="left" w:pos="360"/>
              </w:tabs>
              <w:spacing w:before="120"/>
              <w:ind w:left="360" w:hanging="360"/>
              <w:rPr>
                <w:color w:val="000000"/>
              </w:rPr>
            </w:pPr>
            <w:r w:rsidRPr="007F620E">
              <w:rPr>
                <w:color w:val="000000"/>
              </w:rPr>
              <w:t xml:space="preserve"> 1.  Date of Prehearing Conference:</w:t>
            </w:r>
          </w:p>
        </w:tc>
        <w:tc>
          <w:tcPr>
            <w:tcW w:w="2340" w:type="dxa"/>
            <w:tcBorders>
              <w:top w:val="single" w:sz="4" w:space="0" w:color="auto"/>
            </w:tcBorders>
            <w:shd w:val="clear" w:color="auto" w:fill="auto"/>
          </w:tcPr>
          <w:p w14:paraId="480D1B08" w14:textId="77777777" w:rsidR="00C671DA" w:rsidRPr="007F620E" w:rsidRDefault="00C671DA" w:rsidP="00C36D4F">
            <w:pPr>
              <w:tabs>
                <w:tab w:val="left" w:pos="360"/>
              </w:tabs>
              <w:spacing w:before="120"/>
              <w:ind w:left="612"/>
              <w:rPr>
                <w:color w:val="000000"/>
              </w:rPr>
            </w:pPr>
            <w:r>
              <w:rPr>
                <w:color w:val="000000"/>
              </w:rPr>
              <w:t>10/29/15</w:t>
            </w:r>
          </w:p>
        </w:tc>
        <w:tc>
          <w:tcPr>
            <w:tcW w:w="2340" w:type="dxa"/>
            <w:tcBorders>
              <w:top w:val="single" w:sz="4" w:space="0" w:color="auto"/>
            </w:tcBorders>
            <w:shd w:val="clear" w:color="auto" w:fill="auto"/>
          </w:tcPr>
          <w:p w14:paraId="39D2E0FE"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65B9F447" w14:textId="77777777" w:rsidTr="00C36D4F">
        <w:tc>
          <w:tcPr>
            <w:tcW w:w="5040" w:type="dxa"/>
            <w:shd w:val="clear" w:color="auto" w:fill="auto"/>
          </w:tcPr>
          <w:p w14:paraId="3E610D2F" w14:textId="77777777" w:rsidR="00C671DA" w:rsidRPr="007F620E" w:rsidRDefault="00C671DA" w:rsidP="00C36D4F">
            <w:pPr>
              <w:tabs>
                <w:tab w:val="left" w:pos="360"/>
              </w:tabs>
              <w:spacing w:before="120"/>
              <w:ind w:left="360" w:hanging="360"/>
              <w:rPr>
                <w:color w:val="000000"/>
              </w:rPr>
            </w:pPr>
            <w:r w:rsidRPr="007F620E">
              <w:rPr>
                <w:color w:val="000000"/>
              </w:rPr>
              <w:t xml:space="preserve"> 2.  Other specified date for NOI:</w:t>
            </w:r>
          </w:p>
        </w:tc>
        <w:tc>
          <w:tcPr>
            <w:tcW w:w="2340" w:type="dxa"/>
            <w:shd w:val="clear" w:color="auto" w:fill="auto"/>
          </w:tcPr>
          <w:p w14:paraId="2C43AC87" w14:textId="77777777" w:rsidR="00C671DA" w:rsidRPr="007F620E" w:rsidRDefault="00C671DA" w:rsidP="00C36D4F">
            <w:pPr>
              <w:tabs>
                <w:tab w:val="left" w:pos="360"/>
              </w:tabs>
              <w:spacing w:before="120"/>
              <w:ind w:left="612"/>
              <w:rPr>
                <w:color w:val="000000"/>
              </w:rPr>
            </w:pPr>
          </w:p>
        </w:tc>
        <w:tc>
          <w:tcPr>
            <w:tcW w:w="2340" w:type="dxa"/>
            <w:shd w:val="clear" w:color="auto" w:fill="auto"/>
          </w:tcPr>
          <w:p w14:paraId="3B3E7276" w14:textId="77777777" w:rsidR="00C671DA" w:rsidRPr="007F620E" w:rsidRDefault="00C671DA" w:rsidP="00C36D4F">
            <w:pPr>
              <w:tabs>
                <w:tab w:val="left" w:pos="360"/>
              </w:tabs>
              <w:spacing w:before="120"/>
              <w:rPr>
                <w:color w:val="000000"/>
              </w:rPr>
            </w:pPr>
          </w:p>
        </w:tc>
      </w:tr>
      <w:tr w:rsidR="00C671DA" w:rsidRPr="007F620E" w14:paraId="321BF238" w14:textId="77777777" w:rsidTr="00C36D4F">
        <w:tc>
          <w:tcPr>
            <w:tcW w:w="5040" w:type="dxa"/>
            <w:shd w:val="clear" w:color="auto" w:fill="auto"/>
          </w:tcPr>
          <w:p w14:paraId="29DD38B6" w14:textId="77777777" w:rsidR="00C671DA" w:rsidRPr="007F620E" w:rsidRDefault="00C671DA" w:rsidP="00C36D4F">
            <w:pPr>
              <w:tabs>
                <w:tab w:val="left" w:pos="360"/>
              </w:tabs>
              <w:spacing w:before="120"/>
              <w:ind w:left="360" w:hanging="360"/>
              <w:rPr>
                <w:color w:val="000000"/>
              </w:rPr>
            </w:pPr>
            <w:r w:rsidRPr="007F620E">
              <w:rPr>
                <w:color w:val="000000"/>
              </w:rPr>
              <w:t xml:space="preserve"> 3.  Date NOI filed:</w:t>
            </w:r>
          </w:p>
        </w:tc>
        <w:tc>
          <w:tcPr>
            <w:tcW w:w="2340" w:type="dxa"/>
            <w:tcBorders>
              <w:bottom w:val="single" w:sz="4" w:space="0" w:color="auto"/>
            </w:tcBorders>
            <w:shd w:val="clear" w:color="auto" w:fill="auto"/>
          </w:tcPr>
          <w:p w14:paraId="26D56DB1" w14:textId="77777777" w:rsidR="00C671DA" w:rsidRPr="007F620E" w:rsidRDefault="00C671DA" w:rsidP="00C36D4F">
            <w:pPr>
              <w:tabs>
                <w:tab w:val="left" w:pos="360"/>
              </w:tabs>
              <w:spacing w:before="120"/>
              <w:ind w:left="612"/>
              <w:rPr>
                <w:color w:val="000000"/>
              </w:rPr>
            </w:pPr>
            <w:r>
              <w:rPr>
                <w:color w:val="000000"/>
              </w:rPr>
              <w:t>11/30/15</w:t>
            </w:r>
          </w:p>
        </w:tc>
        <w:tc>
          <w:tcPr>
            <w:tcW w:w="2340" w:type="dxa"/>
            <w:tcBorders>
              <w:bottom w:val="single" w:sz="4" w:space="0" w:color="auto"/>
            </w:tcBorders>
            <w:shd w:val="clear" w:color="auto" w:fill="auto"/>
          </w:tcPr>
          <w:p w14:paraId="64DDF564"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13E020CB" w14:textId="77777777" w:rsidTr="00C36D4F">
        <w:tc>
          <w:tcPr>
            <w:tcW w:w="7380" w:type="dxa"/>
            <w:gridSpan w:val="2"/>
            <w:tcBorders>
              <w:bottom w:val="single" w:sz="4" w:space="0" w:color="auto"/>
            </w:tcBorders>
            <w:shd w:val="clear" w:color="auto" w:fill="auto"/>
          </w:tcPr>
          <w:p w14:paraId="75280F9A" w14:textId="77777777" w:rsidR="00C671DA" w:rsidRPr="007F620E" w:rsidRDefault="00C671DA" w:rsidP="00C36D4F">
            <w:pPr>
              <w:tabs>
                <w:tab w:val="left" w:pos="360"/>
              </w:tabs>
              <w:spacing w:before="120"/>
              <w:ind w:left="360" w:hanging="360"/>
              <w:rPr>
                <w:color w:val="000000"/>
              </w:rPr>
            </w:pPr>
            <w:r w:rsidRPr="007F620E">
              <w:rPr>
                <w:color w:val="000000"/>
              </w:rPr>
              <w:t xml:space="preserve"> 4.  Was the NOI timely filed?</w:t>
            </w:r>
          </w:p>
        </w:tc>
        <w:tc>
          <w:tcPr>
            <w:tcW w:w="2340" w:type="dxa"/>
            <w:tcBorders>
              <w:bottom w:val="single" w:sz="4" w:space="0" w:color="auto"/>
            </w:tcBorders>
            <w:shd w:val="clear" w:color="auto" w:fill="auto"/>
          </w:tcPr>
          <w:p w14:paraId="1CEB8F2B" w14:textId="77777777" w:rsidR="00C671DA" w:rsidRPr="007F620E" w:rsidRDefault="00C671DA" w:rsidP="00C36D4F">
            <w:pPr>
              <w:tabs>
                <w:tab w:val="left" w:pos="360"/>
              </w:tabs>
              <w:spacing w:before="120"/>
              <w:rPr>
                <w:color w:val="000000"/>
              </w:rPr>
            </w:pPr>
            <w:r>
              <w:rPr>
                <w:color w:val="000000"/>
              </w:rPr>
              <w:t>Yes</w:t>
            </w:r>
          </w:p>
        </w:tc>
      </w:tr>
      <w:tr w:rsidR="00C671DA" w:rsidRPr="007F620E" w14:paraId="5220E8D2" w14:textId="77777777" w:rsidTr="00C36D4F">
        <w:tc>
          <w:tcPr>
            <w:tcW w:w="9720" w:type="dxa"/>
            <w:gridSpan w:val="3"/>
            <w:tcBorders>
              <w:top w:val="single" w:sz="4" w:space="0" w:color="auto"/>
              <w:left w:val="single" w:sz="4" w:space="0" w:color="auto"/>
              <w:bottom w:val="single" w:sz="4" w:space="0" w:color="auto"/>
              <w:right w:val="single" w:sz="4" w:space="0" w:color="auto"/>
            </w:tcBorders>
            <w:shd w:val="clear" w:color="auto" w:fill="E6E6E6"/>
          </w:tcPr>
          <w:p w14:paraId="1856B9C1" w14:textId="77777777" w:rsidR="00C671DA" w:rsidRPr="007F620E" w:rsidRDefault="00C671DA" w:rsidP="00C36D4F">
            <w:pPr>
              <w:keepNext/>
              <w:keepLines/>
              <w:tabs>
                <w:tab w:val="left" w:pos="360"/>
              </w:tabs>
              <w:spacing w:before="60"/>
              <w:jc w:val="center"/>
              <w:rPr>
                <w:b/>
                <w:color w:val="000000"/>
              </w:rPr>
            </w:pPr>
            <w:r w:rsidRPr="007F620E">
              <w:rPr>
                <w:b/>
                <w:color w:val="000000"/>
              </w:rPr>
              <w:t xml:space="preserve">Showing of eligible customer status (§ 1802(b) or eligible local government entity </w:t>
            </w:r>
            <w:r>
              <w:rPr>
                <w:b/>
                <w:color w:val="000000"/>
              </w:rPr>
              <w:t>status</w:t>
            </w:r>
            <w:r w:rsidRPr="007F620E">
              <w:rPr>
                <w:b/>
                <w:color w:val="000000"/>
              </w:rPr>
              <w:br/>
              <w:t>(§§ 1802(d), 1802.4):</w:t>
            </w:r>
          </w:p>
        </w:tc>
      </w:tr>
      <w:tr w:rsidR="00C671DA" w:rsidRPr="007F620E" w14:paraId="66ADC4C0" w14:textId="77777777" w:rsidTr="00C36D4F">
        <w:tc>
          <w:tcPr>
            <w:tcW w:w="5040" w:type="dxa"/>
            <w:tcBorders>
              <w:top w:val="single" w:sz="4" w:space="0" w:color="auto"/>
            </w:tcBorders>
            <w:shd w:val="clear" w:color="auto" w:fill="auto"/>
          </w:tcPr>
          <w:p w14:paraId="5390939C" w14:textId="77777777" w:rsidR="00C671DA" w:rsidRPr="007F620E" w:rsidRDefault="00C671DA" w:rsidP="00C36D4F">
            <w:pPr>
              <w:keepNext/>
              <w:keepLines/>
              <w:spacing w:before="120"/>
              <w:ind w:left="360" w:hanging="360"/>
              <w:rPr>
                <w:color w:val="000000"/>
              </w:rPr>
            </w:pPr>
            <w:r w:rsidRPr="007F620E">
              <w:rPr>
                <w:color w:val="000000"/>
              </w:rPr>
              <w:t xml:space="preserve"> 5.  Based on ALJ ruling issued in proceeding   number:</w:t>
            </w:r>
          </w:p>
        </w:tc>
        <w:tc>
          <w:tcPr>
            <w:tcW w:w="2340" w:type="dxa"/>
            <w:tcBorders>
              <w:top w:val="single" w:sz="4" w:space="0" w:color="auto"/>
            </w:tcBorders>
            <w:shd w:val="clear" w:color="auto" w:fill="auto"/>
          </w:tcPr>
          <w:p w14:paraId="6C7BA0E9" w14:textId="77777777" w:rsidR="00C671DA" w:rsidRPr="007F620E" w:rsidRDefault="00C671DA" w:rsidP="00C36D4F">
            <w:pPr>
              <w:keepNext/>
              <w:keepLines/>
              <w:tabs>
                <w:tab w:val="left" w:pos="360"/>
              </w:tabs>
              <w:spacing w:before="120"/>
              <w:ind w:left="360" w:hanging="360"/>
              <w:jc w:val="center"/>
              <w:rPr>
                <w:color w:val="000000"/>
              </w:rPr>
            </w:pPr>
            <w:r>
              <w:rPr>
                <w:color w:val="000000"/>
              </w:rPr>
              <w:t>A.15-03-005</w:t>
            </w:r>
          </w:p>
        </w:tc>
        <w:tc>
          <w:tcPr>
            <w:tcW w:w="2340" w:type="dxa"/>
            <w:tcBorders>
              <w:top w:val="single" w:sz="4" w:space="0" w:color="auto"/>
            </w:tcBorders>
            <w:shd w:val="clear" w:color="auto" w:fill="auto"/>
          </w:tcPr>
          <w:p w14:paraId="5DD8F14B" w14:textId="77777777" w:rsidR="00C671DA" w:rsidRPr="007F620E" w:rsidRDefault="00C671DA" w:rsidP="00C36D4F">
            <w:pPr>
              <w:keepNext/>
              <w:keepLines/>
              <w:tabs>
                <w:tab w:val="left" w:pos="360"/>
              </w:tabs>
              <w:spacing w:before="120"/>
              <w:rPr>
                <w:color w:val="000000"/>
              </w:rPr>
            </w:pPr>
            <w:r>
              <w:rPr>
                <w:color w:val="000000"/>
              </w:rPr>
              <w:t>Verified</w:t>
            </w:r>
          </w:p>
        </w:tc>
      </w:tr>
      <w:tr w:rsidR="00C671DA" w:rsidRPr="007F620E" w14:paraId="38CAEB8B" w14:textId="77777777" w:rsidTr="00C36D4F">
        <w:tc>
          <w:tcPr>
            <w:tcW w:w="5040" w:type="dxa"/>
            <w:shd w:val="clear" w:color="auto" w:fill="auto"/>
          </w:tcPr>
          <w:p w14:paraId="3361F947" w14:textId="77777777" w:rsidR="00C671DA" w:rsidRPr="007F620E" w:rsidRDefault="00C671DA" w:rsidP="00C36D4F">
            <w:pPr>
              <w:tabs>
                <w:tab w:val="left" w:pos="360"/>
              </w:tabs>
              <w:spacing w:before="120"/>
              <w:ind w:left="360" w:hanging="360"/>
              <w:rPr>
                <w:color w:val="000000"/>
              </w:rPr>
            </w:pPr>
            <w:r w:rsidRPr="007F620E">
              <w:rPr>
                <w:color w:val="000000"/>
              </w:rPr>
              <w:t xml:space="preserve"> 6.  Date of ALJ ruling:</w:t>
            </w:r>
          </w:p>
        </w:tc>
        <w:tc>
          <w:tcPr>
            <w:tcW w:w="2340" w:type="dxa"/>
            <w:shd w:val="clear" w:color="auto" w:fill="auto"/>
          </w:tcPr>
          <w:p w14:paraId="50A4F87A" w14:textId="77777777" w:rsidR="00C671DA" w:rsidRPr="007F620E" w:rsidRDefault="00C671DA" w:rsidP="00C36D4F">
            <w:pPr>
              <w:tabs>
                <w:tab w:val="left" w:pos="360"/>
              </w:tabs>
              <w:spacing w:before="120"/>
              <w:ind w:left="360" w:hanging="360"/>
              <w:jc w:val="center"/>
              <w:rPr>
                <w:color w:val="000000"/>
              </w:rPr>
            </w:pPr>
            <w:r>
              <w:rPr>
                <w:color w:val="000000"/>
              </w:rPr>
              <w:t>8/6/15</w:t>
            </w:r>
          </w:p>
        </w:tc>
        <w:tc>
          <w:tcPr>
            <w:tcW w:w="2340" w:type="dxa"/>
            <w:shd w:val="clear" w:color="auto" w:fill="auto"/>
          </w:tcPr>
          <w:p w14:paraId="63DD386F"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378EE61D" w14:textId="77777777" w:rsidTr="00C36D4F">
        <w:tc>
          <w:tcPr>
            <w:tcW w:w="5040" w:type="dxa"/>
            <w:shd w:val="clear" w:color="auto" w:fill="auto"/>
          </w:tcPr>
          <w:p w14:paraId="5BBAF894" w14:textId="77777777" w:rsidR="00C671DA" w:rsidRPr="007F620E" w:rsidRDefault="00C671DA" w:rsidP="00C36D4F">
            <w:pPr>
              <w:tabs>
                <w:tab w:val="left" w:pos="360"/>
              </w:tabs>
              <w:spacing w:before="120"/>
              <w:ind w:left="360" w:hanging="360"/>
              <w:rPr>
                <w:color w:val="000000"/>
              </w:rPr>
            </w:pPr>
            <w:r w:rsidRPr="007F620E">
              <w:rPr>
                <w:color w:val="000000"/>
              </w:rPr>
              <w:t xml:space="preserve"> 7.  Based on another CPUC determination (specify):</w:t>
            </w:r>
          </w:p>
        </w:tc>
        <w:tc>
          <w:tcPr>
            <w:tcW w:w="2340" w:type="dxa"/>
            <w:tcBorders>
              <w:bottom w:val="single" w:sz="4" w:space="0" w:color="auto"/>
            </w:tcBorders>
            <w:shd w:val="clear" w:color="auto" w:fill="auto"/>
          </w:tcPr>
          <w:p w14:paraId="2EDF31BD" w14:textId="77777777" w:rsidR="00C671DA" w:rsidRPr="007F620E" w:rsidRDefault="00C671DA" w:rsidP="00C36D4F">
            <w:pPr>
              <w:tabs>
                <w:tab w:val="left" w:pos="360"/>
              </w:tabs>
              <w:spacing w:before="120"/>
              <w:ind w:left="360" w:hanging="360"/>
              <w:rPr>
                <w:color w:val="000000"/>
              </w:rPr>
            </w:pPr>
          </w:p>
        </w:tc>
        <w:tc>
          <w:tcPr>
            <w:tcW w:w="2340" w:type="dxa"/>
            <w:tcBorders>
              <w:bottom w:val="single" w:sz="4" w:space="0" w:color="auto"/>
            </w:tcBorders>
            <w:shd w:val="clear" w:color="auto" w:fill="auto"/>
          </w:tcPr>
          <w:p w14:paraId="4383EFAF" w14:textId="77777777" w:rsidR="00C671DA" w:rsidRPr="007F620E" w:rsidRDefault="00C671DA" w:rsidP="00C36D4F">
            <w:pPr>
              <w:tabs>
                <w:tab w:val="left" w:pos="360"/>
              </w:tabs>
              <w:spacing w:before="120"/>
              <w:rPr>
                <w:color w:val="000000"/>
              </w:rPr>
            </w:pPr>
          </w:p>
        </w:tc>
      </w:tr>
      <w:tr w:rsidR="00C671DA" w:rsidRPr="007F620E" w14:paraId="64274ADC" w14:textId="77777777" w:rsidTr="00C36D4F">
        <w:tc>
          <w:tcPr>
            <w:tcW w:w="7380" w:type="dxa"/>
            <w:gridSpan w:val="2"/>
            <w:tcBorders>
              <w:bottom w:val="single" w:sz="4" w:space="0" w:color="auto"/>
            </w:tcBorders>
            <w:shd w:val="clear" w:color="auto" w:fill="auto"/>
          </w:tcPr>
          <w:p w14:paraId="001EC2B4" w14:textId="77777777" w:rsidR="00C671DA" w:rsidRPr="007F620E" w:rsidRDefault="00C671DA" w:rsidP="00C36D4F">
            <w:pPr>
              <w:tabs>
                <w:tab w:val="left" w:pos="360"/>
              </w:tabs>
              <w:spacing w:before="120"/>
              <w:ind w:left="360" w:hanging="360"/>
              <w:rPr>
                <w:color w:val="000000"/>
              </w:rPr>
            </w:pPr>
            <w:r w:rsidRPr="007F620E">
              <w:rPr>
                <w:color w:val="000000"/>
              </w:rPr>
              <w:t xml:space="preserve"> 8.  Has the Intervenor demonstrated </w:t>
            </w:r>
            <w:r w:rsidRPr="00ED6B6B">
              <w:t>customer</w:t>
            </w:r>
            <w:r w:rsidRPr="007F620E">
              <w:rPr>
                <w:color w:val="000000"/>
              </w:rPr>
              <w:t xml:space="preserve"> </w:t>
            </w:r>
            <w:r>
              <w:rPr>
                <w:color w:val="000000"/>
              </w:rPr>
              <w:t>status or eligible government entity status</w:t>
            </w:r>
            <w:r w:rsidRPr="007F620E">
              <w:rPr>
                <w:color w:val="000000"/>
              </w:rPr>
              <w:t>?</w:t>
            </w:r>
          </w:p>
        </w:tc>
        <w:tc>
          <w:tcPr>
            <w:tcW w:w="2340" w:type="dxa"/>
            <w:tcBorders>
              <w:bottom w:val="single" w:sz="4" w:space="0" w:color="auto"/>
            </w:tcBorders>
            <w:shd w:val="clear" w:color="auto" w:fill="auto"/>
          </w:tcPr>
          <w:p w14:paraId="3720108A" w14:textId="77777777" w:rsidR="00C671DA" w:rsidRPr="007F620E" w:rsidRDefault="00C671DA" w:rsidP="00C36D4F">
            <w:pPr>
              <w:tabs>
                <w:tab w:val="left" w:pos="360"/>
              </w:tabs>
              <w:spacing w:before="120"/>
              <w:rPr>
                <w:color w:val="000000"/>
              </w:rPr>
            </w:pPr>
            <w:r>
              <w:rPr>
                <w:color w:val="000000"/>
              </w:rPr>
              <w:t>Yes</w:t>
            </w:r>
          </w:p>
        </w:tc>
      </w:tr>
      <w:tr w:rsidR="00C671DA" w:rsidRPr="007F620E" w14:paraId="2477F8AF" w14:textId="77777777" w:rsidTr="00C36D4F">
        <w:tc>
          <w:tcPr>
            <w:tcW w:w="9720" w:type="dxa"/>
            <w:gridSpan w:val="3"/>
            <w:tcBorders>
              <w:top w:val="single" w:sz="4" w:space="0" w:color="auto"/>
              <w:left w:val="single" w:sz="4" w:space="0" w:color="auto"/>
              <w:bottom w:val="single" w:sz="4" w:space="0" w:color="auto"/>
              <w:right w:val="single" w:sz="4" w:space="0" w:color="auto"/>
            </w:tcBorders>
            <w:shd w:val="clear" w:color="auto" w:fill="E6E6E6"/>
          </w:tcPr>
          <w:p w14:paraId="526FC225" w14:textId="77777777" w:rsidR="00C671DA" w:rsidRPr="007F620E" w:rsidRDefault="00C671DA" w:rsidP="00C36D4F">
            <w:pPr>
              <w:tabs>
                <w:tab w:val="left" w:pos="360"/>
              </w:tabs>
              <w:spacing w:before="60"/>
              <w:jc w:val="center"/>
              <w:rPr>
                <w:color w:val="000000"/>
              </w:rPr>
            </w:pPr>
            <w:r w:rsidRPr="007F620E">
              <w:rPr>
                <w:b/>
                <w:color w:val="000000"/>
              </w:rPr>
              <w:t>Showing of “significant financial hardship” (§1802(</w:t>
            </w:r>
            <w:r>
              <w:rPr>
                <w:b/>
                <w:color w:val="000000"/>
              </w:rPr>
              <w:t>h</w:t>
            </w:r>
            <w:r w:rsidRPr="007F620E">
              <w:rPr>
                <w:b/>
                <w:color w:val="000000"/>
              </w:rPr>
              <w:t>) or §1803.1(b))</w:t>
            </w:r>
          </w:p>
        </w:tc>
      </w:tr>
      <w:tr w:rsidR="00C671DA" w:rsidRPr="007F620E" w14:paraId="3504C2A5" w14:textId="77777777" w:rsidTr="00C36D4F">
        <w:tc>
          <w:tcPr>
            <w:tcW w:w="5040" w:type="dxa"/>
            <w:tcBorders>
              <w:top w:val="single" w:sz="4" w:space="0" w:color="auto"/>
            </w:tcBorders>
            <w:shd w:val="clear" w:color="auto" w:fill="auto"/>
          </w:tcPr>
          <w:p w14:paraId="298C12FD" w14:textId="77777777" w:rsidR="00C671DA" w:rsidRPr="007F620E" w:rsidRDefault="00C671DA" w:rsidP="00C36D4F">
            <w:pPr>
              <w:tabs>
                <w:tab w:val="left" w:pos="315"/>
              </w:tabs>
              <w:spacing w:before="120"/>
              <w:ind w:left="360" w:hanging="360"/>
              <w:rPr>
                <w:color w:val="000000"/>
              </w:rPr>
            </w:pPr>
            <w:r w:rsidRPr="007F620E">
              <w:rPr>
                <w:color w:val="000000"/>
              </w:rPr>
              <w:t xml:space="preserve"> 9.  Based on ALJ ruling issued in proceeding number:</w:t>
            </w:r>
          </w:p>
        </w:tc>
        <w:tc>
          <w:tcPr>
            <w:tcW w:w="2340" w:type="dxa"/>
            <w:tcBorders>
              <w:top w:val="single" w:sz="4" w:space="0" w:color="auto"/>
            </w:tcBorders>
            <w:shd w:val="clear" w:color="auto" w:fill="auto"/>
          </w:tcPr>
          <w:p w14:paraId="7DC13D56" w14:textId="77777777" w:rsidR="00C671DA" w:rsidRPr="007F620E" w:rsidRDefault="00C671DA" w:rsidP="00C36D4F">
            <w:pPr>
              <w:tabs>
                <w:tab w:val="left" w:pos="360"/>
              </w:tabs>
              <w:spacing w:before="120"/>
              <w:ind w:hanging="360"/>
              <w:jc w:val="center"/>
              <w:rPr>
                <w:color w:val="000000"/>
              </w:rPr>
            </w:pPr>
            <w:r>
              <w:rPr>
                <w:color w:val="000000"/>
              </w:rPr>
              <w:t>A.15-03-005</w:t>
            </w:r>
          </w:p>
        </w:tc>
        <w:tc>
          <w:tcPr>
            <w:tcW w:w="2340" w:type="dxa"/>
            <w:tcBorders>
              <w:top w:val="single" w:sz="4" w:space="0" w:color="auto"/>
            </w:tcBorders>
            <w:shd w:val="clear" w:color="auto" w:fill="auto"/>
          </w:tcPr>
          <w:p w14:paraId="795B0CBE"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26CC65D1" w14:textId="77777777" w:rsidTr="00C36D4F">
        <w:tc>
          <w:tcPr>
            <w:tcW w:w="5040" w:type="dxa"/>
            <w:shd w:val="clear" w:color="auto" w:fill="auto"/>
          </w:tcPr>
          <w:p w14:paraId="12AC03E5" w14:textId="77777777" w:rsidR="00C671DA" w:rsidRPr="007F620E" w:rsidRDefault="00C671DA" w:rsidP="00C36D4F">
            <w:pPr>
              <w:tabs>
                <w:tab w:val="left" w:pos="315"/>
              </w:tabs>
              <w:spacing w:before="12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14:paraId="6C1E1466" w14:textId="77777777" w:rsidR="00C671DA" w:rsidRPr="007F620E" w:rsidRDefault="00C671DA" w:rsidP="00C36D4F">
            <w:pPr>
              <w:tabs>
                <w:tab w:val="left" w:pos="360"/>
              </w:tabs>
              <w:spacing w:before="120"/>
              <w:ind w:hanging="360"/>
              <w:jc w:val="center"/>
              <w:rPr>
                <w:color w:val="000000"/>
              </w:rPr>
            </w:pPr>
            <w:r>
              <w:rPr>
                <w:color w:val="000000"/>
              </w:rPr>
              <w:t>8/6/15</w:t>
            </w:r>
          </w:p>
        </w:tc>
        <w:tc>
          <w:tcPr>
            <w:tcW w:w="2340" w:type="dxa"/>
            <w:shd w:val="clear" w:color="auto" w:fill="auto"/>
          </w:tcPr>
          <w:p w14:paraId="59016D56"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38D9B455" w14:textId="77777777" w:rsidTr="00C36D4F">
        <w:tc>
          <w:tcPr>
            <w:tcW w:w="5040" w:type="dxa"/>
            <w:shd w:val="clear" w:color="auto" w:fill="auto"/>
          </w:tcPr>
          <w:p w14:paraId="0A6ADA25" w14:textId="77777777" w:rsidR="00C671DA" w:rsidRPr="007F620E" w:rsidRDefault="00C671DA" w:rsidP="00C36D4F">
            <w:pPr>
              <w:tabs>
                <w:tab w:val="left" w:pos="315"/>
              </w:tabs>
              <w:spacing w:before="120"/>
              <w:ind w:left="360" w:hanging="360"/>
              <w:rPr>
                <w:color w:val="000000"/>
              </w:rPr>
            </w:pPr>
            <w:r w:rsidRPr="007F620E">
              <w:rPr>
                <w:color w:val="000000"/>
              </w:rPr>
              <w:t>11. Based on another CPUC determination (specify):</w:t>
            </w:r>
          </w:p>
        </w:tc>
        <w:tc>
          <w:tcPr>
            <w:tcW w:w="2340" w:type="dxa"/>
            <w:shd w:val="clear" w:color="auto" w:fill="auto"/>
          </w:tcPr>
          <w:p w14:paraId="403F8167" w14:textId="77777777" w:rsidR="00C671DA" w:rsidRPr="007F620E" w:rsidRDefault="00C671DA" w:rsidP="00C36D4F">
            <w:pPr>
              <w:tabs>
                <w:tab w:val="left" w:pos="360"/>
              </w:tabs>
              <w:spacing w:before="120"/>
              <w:ind w:hanging="360"/>
              <w:rPr>
                <w:color w:val="000000"/>
              </w:rPr>
            </w:pPr>
          </w:p>
        </w:tc>
        <w:tc>
          <w:tcPr>
            <w:tcW w:w="2340" w:type="dxa"/>
            <w:shd w:val="clear" w:color="auto" w:fill="auto"/>
          </w:tcPr>
          <w:p w14:paraId="5F541C97" w14:textId="77777777" w:rsidR="00C671DA" w:rsidRPr="007F620E" w:rsidRDefault="00C671DA" w:rsidP="00C36D4F">
            <w:pPr>
              <w:tabs>
                <w:tab w:val="left" w:pos="360"/>
              </w:tabs>
              <w:spacing w:before="120"/>
              <w:rPr>
                <w:color w:val="000000"/>
              </w:rPr>
            </w:pPr>
          </w:p>
        </w:tc>
      </w:tr>
      <w:tr w:rsidR="00C671DA" w:rsidRPr="007F620E" w14:paraId="119F91FC" w14:textId="77777777" w:rsidTr="00C36D4F">
        <w:tc>
          <w:tcPr>
            <w:tcW w:w="7380" w:type="dxa"/>
            <w:gridSpan w:val="2"/>
            <w:tcBorders>
              <w:bottom w:val="single" w:sz="4" w:space="0" w:color="auto"/>
            </w:tcBorders>
            <w:shd w:val="clear" w:color="auto" w:fill="auto"/>
          </w:tcPr>
          <w:p w14:paraId="12E7F4CD" w14:textId="77777777" w:rsidR="00C671DA" w:rsidRPr="007F620E" w:rsidRDefault="00C671DA" w:rsidP="00C36D4F">
            <w:pPr>
              <w:tabs>
                <w:tab w:val="left" w:pos="360"/>
              </w:tabs>
              <w:spacing w:before="120"/>
              <w:ind w:hanging="360"/>
              <w:rPr>
                <w:color w:val="000000"/>
              </w:rPr>
            </w:pPr>
            <w:r w:rsidRPr="007F620E">
              <w:rPr>
                <w:color w:val="000000"/>
              </w:rPr>
              <w:t>12. 12.  Has the Intervenor demonstrated significant financial hardship?</w:t>
            </w:r>
          </w:p>
        </w:tc>
        <w:tc>
          <w:tcPr>
            <w:tcW w:w="2340" w:type="dxa"/>
            <w:tcBorders>
              <w:bottom w:val="single" w:sz="4" w:space="0" w:color="auto"/>
            </w:tcBorders>
            <w:shd w:val="clear" w:color="auto" w:fill="auto"/>
          </w:tcPr>
          <w:p w14:paraId="67A720BB" w14:textId="77777777" w:rsidR="00C671DA" w:rsidRPr="007F620E" w:rsidRDefault="00C671DA" w:rsidP="00C36D4F">
            <w:pPr>
              <w:tabs>
                <w:tab w:val="left" w:pos="360"/>
              </w:tabs>
              <w:spacing w:before="120"/>
              <w:rPr>
                <w:color w:val="000000"/>
              </w:rPr>
            </w:pPr>
            <w:r>
              <w:rPr>
                <w:color w:val="000000"/>
              </w:rPr>
              <w:t>Yes</w:t>
            </w:r>
          </w:p>
        </w:tc>
      </w:tr>
      <w:tr w:rsidR="00C671DA" w:rsidRPr="007F620E" w14:paraId="4CF590C4" w14:textId="77777777" w:rsidTr="00C36D4F">
        <w:tc>
          <w:tcPr>
            <w:tcW w:w="9720" w:type="dxa"/>
            <w:gridSpan w:val="3"/>
            <w:tcBorders>
              <w:top w:val="single" w:sz="4" w:space="0" w:color="auto"/>
              <w:left w:val="single" w:sz="4" w:space="0" w:color="auto"/>
              <w:bottom w:val="single" w:sz="4" w:space="0" w:color="auto"/>
              <w:right w:val="single" w:sz="4" w:space="0" w:color="auto"/>
            </w:tcBorders>
            <w:shd w:val="clear" w:color="auto" w:fill="E6E6E6"/>
          </w:tcPr>
          <w:p w14:paraId="31B0212D" w14:textId="77777777" w:rsidR="00C671DA" w:rsidRPr="007F620E" w:rsidRDefault="00C671DA" w:rsidP="00C36D4F">
            <w:pPr>
              <w:tabs>
                <w:tab w:val="left" w:pos="360"/>
              </w:tabs>
              <w:spacing w:before="60"/>
              <w:jc w:val="center"/>
              <w:rPr>
                <w:color w:val="000000"/>
              </w:rPr>
            </w:pPr>
            <w:r w:rsidRPr="007F620E">
              <w:rPr>
                <w:b/>
                <w:color w:val="000000"/>
              </w:rPr>
              <w:t>Timely request for compensation (§ 1804(c)):</w:t>
            </w:r>
          </w:p>
        </w:tc>
      </w:tr>
      <w:tr w:rsidR="00C671DA" w:rsidRPr="007F620E" w14:paraId="7AC7C81C" w14:textId="77777777" w:rsidTr="00C36D4F">
        <w:tc>
          <w:tcPr>
            <w:tcW w:w="5040" w:type="dxa"/>
            <w:tcBorders>
              <w:top w:val="single" w:sz="4" w:space="0" w:color="auto"/>
            </w:tcBorders>
            <w:shd w:val="clear" w:color="auto" w:fill="auto"/>
          </w:tcPr>
          <w:p w14:paraId="03BF8BBE" w14:textId="77777777" w:rsidR="00C671DA" w:rsidRPr="007F620E" w:rsidRDefault="00C671DA" w:rsidP="00C36D4F">
            <w:pPr>
              <w:keepNext/>
              <w:tabs>
                <w:tab w:val="left" w:pos="612"/>
              </w:tabs>
              <w:spacing w:before="120"/>
              <w:ind w:left="360" w:hanging="360"/>
              <w:rPr>
                <w:color w:val="000000"/>
              </w:rPr>
            </w:pPr>
            <w:r w:rsidRPr="007F620E">
              <w:rPr>
                <w:color w:val="000000"/>
              </w:rPr>
              <w:t>13.  Identify Final Decision:</w:t>
            </w:r>
          </w:p>
        </w:tc>
        <w:tc>
          <w:tcPr>
            <w:tcW w:w="2340" w:type="dxa"/>
            <w:tcBorders>
              <w:top w:val="single" w:sz="4" w:space="0" w:color="auto"/>
            </w:tcBorders>
            <w:shd w:val="clear" w:color="auto" w:fill="auto"/>
          </w:tcPr>
          <w:p w14:paraId="6660B803" w14:textId="77777777" w:rsidR="00C671DA" w:rsidRPr="007F620E" w:rsidRDefault="00C671DA" w:rsidP="00C36D4F">
            <w:pPr>
              <w:tabs>
                <w:tab w:val="left" w:pos="360"/>
              </w:tabs>
              <w:spacing w:before="120"/>
              <w:rPr>
                <w:color w:val="000000"/>
              </w:rPr>
            </w:pPr>
            <w:r>
              <w:rPr>
                <w:color w:val="000000"/>
              </w:rPr>
              <w:t>D.17-05-013</w:t>
            </w:r>
          </w:p>
        </w:tc>
        <w:tc>
          <w:tcPr>
            <w:tcW w:w="2340" w:type="dxa"/>
            <w:tcBorders>
              <w:top w:val="single" w:sz="4" w:space="0" w:color="auto"/>
            </w:tcBorders>
            <w:shd w:val="clear" w:color="auto" w:fill="auto"/>
          </w:tcPr>
          <w:p w14:paraId="27802994"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08EB8B6F" w14:textId="77777777" w:rsidTr="00C36D4F">
        <w:tc>
          <w:tcPr>
            <w:tcW w:w="5040" w:type="dxa"/>
            <w:shd w:val="clear" w:color="auto" w:fill="auto"/>
          </w:tcPr>
          <w:p w14:paraId="5D54E6F6" w14:textId="77777777" w:rsidR="00C671DA" w:rsidRPr="007F620E" w:rsidRDefault="00C671DA" w:rsidP="00C36D4F">
            <w:pPr>
              <w:keepNext/>
              <w:tabs>
                <w:tab w:val="left" w:pos="612"/>
              </w:tabs>
              <w:spacing w:before="120"/>
              <w:ind w:left="360" w:hanging="360"/>
              <w:rPr>
                <w:color w:val="000000"/>
              </w:rPr>
            </w:pPr>
            <w:r w:rsidRPr="007F620E">
              <w:rPr>
                <w:color w:val="000000"/>
              </w:rPr>
              <w:t xml:space="preserve">14.  Date of issuance of Final Order or Decision:    </w:t>
            </w:r>
          </w:p>
        </w:tc>
        <w:tc>
          <w:tcPr>
            <w:tcW w:w="2340" w:type="dxa"/>
            <w:shd w:val="clear" w:color="auto" w:fill="auto"/>
          </w:tcPr>
          <w:p w14:paraId="1D2D50E6" w14:textId="77777777" w:rsidR="00C671DA" w:rsidRPr="007F620E" w:rsidRDefault="00C671DA" w:rsidP="00C36D4F">
            <w:pPr>
              <w:tabs>
                <w:tab w:val="left" w:pos="360"/>
              </w:tabs>
              <w:spacing w:before="120"/>
              <w:rPr>
                <w:color w:val="000000"/>
              </w:rPr>
            </w:pPr>
            <w:r>
              <w:rPr>
                <w:color w:val="000000"/>
              </w:rPr>
              <w:t>May 18, 2017</w:t>
            </w:r>
          </w:p>
        </w:tc>
        <w:tc>
          <w:tcPr>
            <w:tcW w:w="2340" w:type="dxa"/>
            <w:shd w:val="clear" w:color="auto" w:fill="auto"/>
          </w:tcPr>
          <w:p w14:paraId="6E853FC0"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01F442CC" w14:textId="77777777" w:rsidTr="00C36D4F">
        <w:tc>
          <w:tcPr>
            <w:tcW w:w="5040" w:type="dxa"/>
            <w:shd w:val="clear" w:color="auto" w:fill="auto"/>
          </w:tcPr>
          <w:p w14:paraId="4F50DD57" w14:textId="77777777" w:rsidR="00C671DA" w:rsidRPr="007F620E" w:rsidRDefault="00C671DA" w:rsidP="00C36D4F">
            <w:pPr>
              <w:keepNext/>
              <w:tabs>
                <w:tab w:val="left" w:pos="612"/>
              </w:tabs>
              <w:spacing w:before="120"/>
              <w:ind w:left="360" w:hanging="360"/>
              <w:rPr>
                <w:color w:val="000000"/>
              </w:rPr>
            </w:pPr>
            <w:r w:rsidRPr="007F620E">
              <w:rPr>
                <w:color w:val="000000"/>
              </w:rPr>
              <w:t>15.  File date of compensation request:</w:t>
            </w:r>
          </w:p>
        </w:tc>
        <w:tc>
          <w:tcPr>
            <w:tcW w:w="2340" w:type="dxa"/>
            <w:shd w:val="clear" w:color="auto" w:fill="auto"/>
          </w:tcPr>
          <w:p w14:paraId="6C483F66" w14:textId="77777777" w:rsidR="00C671DA" w:rsidRPr="007F620E" w:rsidRDefault="00C671DA" w:rsidP="00C36D4F">
            <w:pPr>
              <w:tabs>
                <w:tab w:val="left" w:pos="360"/>
              </w:tabs>
              <w:spacing w:before="120"/>
              <w:rPr>
                <w:color w:val="000000"/>
              </w:rPr>
            </w:pPr>
            <w:r w:rsidRPr="00D94292">
              <w:rPr>
                <w:color w:val="000000"/>
              </w:rPr>
              <w:t>July 17, 2017</w:t>
            </w:r>
          </w:p>
        </w:tc>
        <w:tc>
          <w:tcPr>
            <w:tcW w:w="2340" w:type="dxa"/>
            <w:shd w:val="clear" w:color="auto" w:fill="auto"/>
          </w:tcPr>
          <w:p w14:paraId="2AB5225E" w14:textId="77777777" w:rsidR="00C671DA" w:rsidRPr="007F620E" w:rsidRDefault="00C671DA" w:rsidP="00C36D4F">
            <w:pPr>
              <w:tabs>
                <w:tab w:val="left" w:pos="360"/>
              </w:tabs>
              <w:spacing w:before="120"/>
              <w:rPr>
                <w:color w:val="000000"/>
              </w:rPr>
            </w:pPr>
            <w:r>
              <w:rPr>
                <w:color w:val="000000"/>
              </w:rPr>
              <w:t>Verified</w:t>
            </w:r>
          </w:p>
        </w:tc>
      </w:tr>
      <w:tr w:rsidR="00C671DA" w:rsidRPr="007F620E" w14:paraId="54A95914" w14:textId="77777777" w:rsidTr="00C36D4F">
        <w:tc>
          <w:tcPr>
            <w:tcW w:w="7380" w:type="dxa"/>
            <w:gridSpan w:val="2"/>
            <w:shd w:val="clear" w:color="auto" w:fill="auto"/>
          </w:tcPr>
          <w:p w14:paraId="12B34D00" w14:textId="77777777" w:rsidR="00C671DA" w:rsidRPr="007F620E" w:rsidRDefault="00C671DA" w:rsidP="00C36D4F">
            <w:pPr>
              <w:tabs>
                <w:tab w:val="left" w:pos="360"/>
              </w:tabs>
              <w:spacing w:before="120"/>
              <w:ind w:left="360" w:hanging="360"/>
              <w:rPr>
                <w:color w:val="000000"/>
              </w:rPr>
            </w:pPr>
            <w:r w:rsidRPr="007F620E">
              <w:rPr>
                <w:color w:val="000000"/>
              </w:rPr>
              <w:t>16. Was the request for compensation timely?</w:t>
            </w:r>
          </w:p>
        </w:tc>
        <w:tc>
          <w:tcPr>
            <w:tcW w:w="2340" w:type="dxa"/>
            <w:shd w:val="clear" w:color="auto" w:fill="auto"/>
          </w:tcPr>
          <w:p w14:paraId="039DB805" w14:textId="77777777" w:rsidR="00C671DA" w:rsidRPr="007F620E" w:rsidRDefault="00C671DA" w:rsidP="00C36D4F">
            <w:pPr>
              <w:tabs>
                <w:tab w:val="left" w:pos="360"/>
              </w:tabs>
              <w:spacing w:before="120"/>
              <w:rPr>
                <w:color w:val="000000"/>
              </w:rPr>
            </w:pPr>
            <w:r>
              <w:rPr>
                <w:color w:val="000000"/>
              </w:rPr>
              <w:t>Yes</w:t>
            </w:r>
          </w:p>
        </w:tc>
      </w:tr>
    </w:tbl>
    <w:p w14:paraId="7FCB361E" w14:textId="77777777" w:rsidR="00C671DA" w:rsidRPr="007F620E" w:rsidRDefault="00C671DA" w:rsidP="00C671DA">
      <w:pPr>
        <w:tabs>
          <w:tab w:val="left" w:pos="360"/>
        </w:tabs>
        <w:rPr>
          <w:b/>
          <w:color w:val="000000"/>
        </w:rPr>
      </w:pPr>
    </w:p>
    <w:p w14:paraId="31E825A5" w14:textId="77777777" w:rsidR="00C671DA" w:rsidRPr="007F620E" w:rsidRDefault="00C671DA" w:rsidP="00C671DA">
      <w:pPr>
        <w:keepNext/>
        <w:keepLines/>
        <w:numPr>
          <w:ilvl w:val="0"/>
          <w:numId w:val="5"/>
        </w:numPr>
        <w:rPr>
          <w:b/>
          <w:color w:val="000000"/>
        </w:rPr>
      </w:pPr>
      <w:r w:rsidRPr="007F620E">
        <w:rPr>
          <w:b/>
          <w:color w:val="000000"/>
        </w:rPr>
        <w:lastRenderedPageBreak/>
        <w:t>Additional Comments on Part I (use line reference # as appropriate):</w:t>
      </w:r>
    </w:p>
    <w:p w14:paraId="31F8F173" w14:textId="77777777" w:rsidR="00C671DA" w:rsidRPr="007F620E" w:rsidRDefault="00C671DA" w:rsidP="00C671DA">
      <w:pPr>
        <w:keepNext/>
        <w:keepLines/>
        <w:tabs>
          <w:tab w:val="left" w:pos="360"/>
        </w:tabs>
        <w:rPr>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3896"/>
        <w:gridCol w:w="4950"/>
      </w:tblGrid>
      <w:tr w:rsidR="00C671DA" w:rsidRPr="007F620E" w14:paraId="2C74A0C8" w14:textId="77777777" w:rsidTr="00C36D4F">
        <w:trPr>
          <w:trHeight w:val="589"/>
        </w:trPr>
        <w:tc>
          <w:tcPr>
            <w:tcW w:w="892" w:type="dxa"/>
            <w:tcBorders>
              <w:bottom w:val="single" w:sz="4" w:space="0" w:color="auto"/>
            </w:tcBorders>
            <w:shd w:val="clear" w:color="auto" w:fill="auto"/>
          </w:tcPr>
          <w:p w14:paraId="36539FB2" w14:textId="77777777" w:rsidR="00C671DA" w:rsidRPr="007F620E" w:rsidRDefault="00C671DA" w:rsidP="00C36D4F">
            <w:pPr>
              <w:keepNext/>
              <w:keepLines/>
              <w:tabs>
                <w:tab w:val="left" w:pos="360"/>
              </w:tabs>
              <w:spacing w:before="120"/>
              <w:jc w:val="center"/>
              <w:rPr>
                <w:b/>
                <w:color w:val="000000"/>
              </w:rPr>
            </w:pPr>
            <w:r w:rsidRPr="007F620E">
              <w:rPr>
                <w:b/>
                <w:color w:val="000000"/>
              </w:rPr>
              <w:t>#</w:t>
            </w:r>
          </w:p>
        </w:tc>
        <w:tc>
          <w:tcPr>
            <w:tcW w:w="3896" w:type="dxa"/>
            <w:tcBorders>
              <w:bottom w:val="single" w:sz="4" w:space="0" w:color="auto"/>
            </w:tcBorders>
            <w:shd w:val="clear" w:color="auto" w:fill="auto"/>
          </w:tcPr>
          <w:p w14:paraId="41223E1D" w14:textId="77777777" w:rsidR="00C671DA" w:rsidRPr="007F620E" w:rsidRDefault="00C671DA" w:rsidP="00C36D4F">
            <w:pPr>
              <w:keepNext/>
              <w:keepLines/>
              <w:tabs>
                <w:tab w:val="left" w:pos="360"/>
              </w:tabs>
              <w:spacing w:before="120"/>
              <w:jc w:val="center"/>
              <w:rPr>
                <w:b/>
                <w:color w:val="000000"/>
              </w:rPr>
            </w:pPr>
            <w:r w:rsidRPr="007F620E">
              <w:rPr>
                <w:b/>
                <w:color w:val="000000"/>
              </w:rPr>
              <w:t>Intervenor’s Comment(s)</w:t>
            </w:r>
          </w:p>
        </w:tc>
        <w:tc>
          <w:tcPr>
            <w:tcW w:w="4950" w:type="dxa"/>
            <w:shd w:val="clear" w:color="auto" w:fill="auto"/>
          </w:tcPr>
          <w:p w14:paraId="59B5BF31" w14:textId="77777777" w:rsidR="00C671DA" w:rsidRPr="007F620E" w:rsidRDefault="00C671DA" w:rsidP="00C36D4F">
            <w:pPr>
              <w:keepNext/>
              <w:keepLines/>
              <w:tabs>
                <w:tab w:val="left" w:pos="360"/>
              </w:tabs>
              <w:spacing w:before="120"/>
              <w:jc w:val="center"/>
              <w:rPr>
                <w:b/>
                <w:color w:val="000000"/>
              </w:rPr>
            </w:pPr>
            <w:r w:rsidRPr="007F620E">
              <w:rPr>
                <w:b/>
                <w:color w:val="000000"/>
              </w:rPr>
              <w:t>CPUC Discussion</w:t>
            </w:r>
          </w:p>
        </w:tc>
      </w:tr>
      <w:tr w:rsidR="00C671DA" w:rsidRPr="007F620E" w14:paraId="4B97EE5E" w14:textId="77777777" w:rsidTr="00C36D4F">
        <w:trPr>
          <w:trHeight w:val="67"/>
        </w:trPr>
        <w:tc>
          <w:tcPr>
            <w:tcW w:w="892" w:type="dxa"/>
            <w:shd w:val="clear" w:color="auto" w:fill="auto"/>
          </w:tcPr>
          <w:p w14:paraId="1148D44D" w14:textId="77777777" w:rsidR="00C671DA" w:rsidRPr="007F620E" w:rsidRDefault="00C671DA" w:rsidP="00C36D4F">
            <w:pPr>
              <w:keepNext/>
              <w:keepLines/>
              <w:tabs>
                <w:tab w:val="left" w:pos="360"/>
              </w:tabs>
              <w:spacing w:before="120"/>
              <w:rPr>
                <w:color w:val="000000"/>
              </w:rPr>
            </w:pPr>
            <w:r>
              <w:rPr>
                <w:color w:val="000000"/>
              </w:rPr>
              <w:t>1</w:t>
            </w:r>
          </w:p>
        </w:tc>
        <w:tc>
          <w:tcPr>
            <w:tcW w:w="3896" w:type="dxa"/>
            <w:shd w:val="clear" w:color="auto" w:fill="auto"/>
          </w:tcPr>
          <w:p w14:paraId="320557EE" w14:textId="77777777" w:rsidR="00C671DA" w:rsidRPr="007F620E" w:rsidRDefault="00C671DA" w:rsidP="00C36D4F">
            <w:pPr>
              <w:keepNext/>
              <w:keepLines/>
              <w:tabs>
                <w:tab w:val="left" w:pos="360"/>
              </w:tabs>
              <w:spacing w:before="120"/>
              <w:rPr>
                <w:color w:val="000000"/>
              </w:rPr>
            </w:pPr>
            <w:r w:rsidRPr="004529EC">
              <w:rPr>
                <w:color w:val="000000"/>
                <w:u w:val="single"/>
              </w:rPr>
              <w:t>Line 3</w:t>
            </w:r>
            <w:r>
              <w:rPr>
                <w:color w:val="000000"/>
              </w:rPr>
              <w:t>:  TURN timely filed our original NOI on Nov. 30, 2015.  TURN filed an amendment to our NOI on Jan. 6, 2016, to reflect our recently updated Articles of Incorporation and Bylaws.</w:t>
            </w:r>
          </w:p>
        </w:tc>
        <w:tc>
          <w:tcPr>
            <w:tcW w:w="4950" w:type="dxa"/>
            <w:shd w:val="clear" w:color="auto" w:fill="auto"/>
          </w:tcPr>
          <w:p w14:paraId="120B03A8" w14:textId="77777777" w:rsidR="00C671DA" w:rsidRPr="007F620E" w:rsidRDefault="00C671DA" w:rsidP="00C36D4F">
            <w:pPr>
              <w:keepNext/>
              <w:keepLines/>
              <w:tabs>
                <w:tab w:val="left" w:pos="360"/>
              </w:tabs>
              <w:spacing w:before="120"/>
              <w:rPr>
                <w:color w:val="000000"/>
              </w:rPr>
            </w:pPr>
            <w:r>
              <w:rPr>
                <w:color w:val="000000"/>
              </w:rPr>
              <w:t>Verified</w:t>
            </w:r>
          </w:p>
        </w:tc>
      </w:tr>
    </w:tbl>
    <w:p w14:paraId="1EA057AE" w14:textId="77777777" w:rsidR="00C671DA" w:rsidRPr="007F620E" w:rsidRDefault="00C671DA" w:rsidP="00C671DA">
      <w:pPr>
        <w:ind w:left="900"/>
        <w:rPr>
          <w:color w:val="000000"/>
        </w:rPr>
      </w:pPr>
    </w:p>
    <w:p w14:paraId="08506549" w14:textId="77777777" w:rsidR="00C671DA" w:rsidRPr="007F620E" w:rsidRDefault="00C671DA" w:rsidP="00C671DA">
      <w:pPr>
        <w:rPr>
          <w:color w:val="000000"/>
        </w:rPr>
      </w:pPr>
      <w:r w:rsidRPr="007F620E">
        <w:rPr>
          <w:b/>
          <w:color w:val="000000"/>
        </w:rPr>
        <w:t xml:space="preserve">PART II:  SUBSTANTIAL CONTRIBUTION </w:t>
      </w:r>
    </w:p>
    <w:p w14:paraId="0F4A6868" w14:textId="77777777" w:rsidR="00C671DA" w:rsidRPr="007F620E" w:rsidRDefault="00C671DA" w:rsidP="00C671DA">
      <w:pPr>
        <w:rPr>
          <w:color w:val="000000"/>
        </w:rPr>
      </w:pPr>
    </w:p>
    <w:p w14:paraId="34940AD0" w14:textId="77777777" w:rsidR="00C671DA" w:rsidRPr="007F620E" w:rsidRDefault="00C671DA" w:rsidP="00C671DA">
      <w:pPr>
        <w:numPr>
          <w:ilvl w:val="0"/>
          <w:numId w:val="1"/>
        </w:numPr>
        <w:tabs>
          <w:tab w:val="clear" w:pos="900"/>
          <w:tab w:val="num" w:pos="360"/>
        </w:tabs>
        <w:spacing w:after="120"/>
        <w:ind w:left="360"/>
        <w:rPr>
          <w:b/>
          <w:color w:val="000000"/>
        </w:rPr>
      </w:pPr>
      <w:r w:rsidRPr="007F620E">
        <w:rPr>
          <w:b/>
          <w:color w:val="000000"/>
        </w:rPr>
        <w:t>Did the Intervenor substantially contribute to the final decision (</w:t>
      </w:r>
      <w:r w:rsidRPr="007F620E">
        <w:rPr>
          <w:b/>
          <w:i/>
          <w:color w:val="000000"/>
        </w:rPr>
        <w:t>see</w:t>
      </w:r>
      <w:r w:rsidRPr="007F620E">
        <w:rPr>
          <w:b/>
          <w:color w:val="000000"/>
        </w:rPr>
        <w:t xml:space="preserve"> § 1802(</w:t>
      </w:r>
      <w:r>
        <w:rPr>
          <w:b/>
          <w:color w:val="000000"/>
        </w:rPr>
        <w:t>j</w:t>
      </w:r>
      <w:r w:rsidRPr="007F620E">
        <w:rPr>
          <w:b/>
          <w:color w:val="000000"/>
        </w:rPr>
        <w:t xml:space="preserve">), </w:t>
      </w:r>
      <w:r w:rsidRPr="007F620E">
        <w:rPr>
          <w:b/>
          <w:color w:val="000000"/>
        </w:rPr>
        <w:br/>
        <w:t xml:space="preserve">§ 1803(a), </w:t>
      </w:r>
      <w:r>
        <w:rPr>
          <w:b/>
          <w:color w:val="000000"/>
        </w:rPr>
        <w:t xml:space="preserve">1803.1(a) </w:t>
      </w:r>
      <w:r w:rsidRPr="007F620E">
        <w:rPr>
          <w:b/>
          <w:color w:val="000000"/>
        </w:rPr>
        <w:t xml:space="preserve">and D.98-04-059).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140"/>
        <w:gridCol w:w="2340"/>
      </w:tblGrid>
      <w:tr w:rsidR="00C671DA" w:rsidRPr="007F620E" w14:paraId="5F5F99D8" w14:textId="77777777" w:rsidTr="00C36D4F">
        <w:tc>
          <w:tcPr>
            <w:tcW w:w="3258" w:type="dxa"/>
            <w:tcBorders>
              <w:bottom w:val="single" w:sz="4" w:space="0" w:color="auto"/>
            </w:tcBorders>
            <w:shd w:val="pct12" w:color="auto" w:fill="auto"/>
          </w:tcPr>
          <w:p w14:paraId="2E6FADC6" w14:textId="77777777" w:rsidR="00C671DA" w:rsidRPr="007F620E" w:rsidRDefault="00C671DA" w:rsidP="00C36D4F">
            <w:pPr>
              <w:spacing w:before="120"/>
              <w:jc w:val="center"/>
              <w:rPr>
                <w:b/>
                <w:color w:val="000000"/>
              </w:rPr>
            </w:pPr>
            <w:r w:rsidRPr="007F620E">
              <w:rPr>
                <w:b/>
                <w:color w:val="000000"/>
              </w:rPr>
              <w:t>Intervenor’s Claimed Contribution(s)</w:t>
            </w:r>
          </w:p>
        </w:tc>
        <w:tc>
          <w:tcPr>
            <w:tcW w:w="4140" w:type="dxa"/>
            <w:tcBorders>
              <w:bottom w:val="single" w:sz="4" w:space="0" w:color="auto"/>
            </w:tcBorders>
            <w:shd w:val="pct12" w:color="auto" w:fill="auto"/>
          </w:tcPr>
          <w:p w14:paraId="0D6A411A" w14:textId="77777777" w:rsidR="00C671DA" w:rsidRPr="007F620E" w:rsidRDefault="00C671DA" w:rsidP="00C36D4F">
            <w:pPr>
              <w:spacing w:before="120"/>
              <w:jc w:val="center"/>
              <w:rPr>
                <w:b/>
                <w:color w:val="000000"/>
              </w:rPr>
            </w:pPr>
            <w:r w:rsidRPr="007F620E">
              <w:rPr>
                <w:b/>
                <w:color w:val="000000"/>
              </w:rPr>
              <w:t>Specific References to Intervenor’s Claimed Contribution(s)</w:t>
            </w:r>
          </w:p>
        </w:tc>
        <w:tc>
          <w:tcPr>
            <w:tcW w:w="2340" w:type="dxa"/>
            <w:shd w:val="pct12" w:color="auto" w:fill="auto"/>
          </w:tcPr>
          <w:p w14:paraId="40503074" w14:textId="77777777" w:rsidR="00C671DA" w:rsidRPr="007F620E" w:rsidRDefault="00C671DA" w:rsidP="00C36D4F">
            <w:pPr>
              <w:spacing w:before="120"/>
              <w:jc w:val="center"/>
              <w:rPr>
                <w:b/>
                <w:color w:val="000000"/>
              </w:rPr>
            </w:pPr>
            <w:r w:rsidRPr="007F620E">
              <w:rPr>
                <w:b/>
                <w:color w:val="000000"/>
              </w:rPr>
              <w:t>CPUC Discussion</w:t>
            </w:r>
          </w:p>
        </w:tc>
      </w:tr>
      <w:tr w:rsidR="00C671DA" w:rsidRPr="007F620E" w14:paraId="03DE10B6" w14:textId="77777777" w:rsidTr="00C36D4F">
        <w:tc>
          <w:tcPr>
            <w:tcW w:w="3258" w:type="dxa"/>
            <w:shd w:val="clear" w:color="auto" w:fill="auto"/>
          </w:tcPr>
          <w:p w14:paraId="719DED26" w14:textId="77777777" w:rsidR="00C671DA" w:rsidRDefault="00C671DA" w:rsidP="00C36D4F">
            <w:pPr>
              <w:spacing w:before="120"/>
              <w:rPr>
                <w:b/>
                <w:color w:val="000000"/>
                <w:u w:val="single"/>
              </w:rPr>
            </w:pPr>
            <w:r>
              <w:rPr>
                <w:b/>
                <w:color w:val="000000"/>
                <w:u w:val="single"/>
              </w:rPr>
              <w:t>Overview</w:t>
            </w:r>
          </w:p>
          <w:p w14:paraId="529FCA68" w14:textId="77777777" w:rsidR="00C671DA" w:rsidRPr="006F2A97" w:rsidRDefault="00C671DA" w:rsidP="00C36D4F">
            <w:pPr>
              <w:rPr>
                <w:color w:val="000000"/>
                <w:sz w:val="22"/>
                <w:szCs w:val="22"/>
              </w:rPr>
            </w:pPr>
            <w:r w:rsidRPr="006F2A97">
              <w:rPr>
                <w:color w:val="000000"/>
                <w:sz w:val="22"/>
                <w:szCs w:val="22"/>
              </w:rPr>
              <w:t xml:space="preserve">This GRC proceeding covered an array of issues associated with PG&amp;E’s gas and electric utility service.  TURN sponsored </w:t>
            </w:r>
            <w:r>
              <w:rPr>
                <w:color w:val="000000"/>
                <w:sz w:val="22"/>
                <w:szCs w:val="22"/>
              </w:rPr>
              <w:t xml:space="preserve">13 volumes of </w:t>
            </w:r>
            <w:r w:rsidRPr="006F2A97">
              <w:rPr>
                <w:color w:val="000000"/>
                <w:sz w:val="22"/>
                <w:szCs w:val="22"/>
              </w:rPr>
              <w:t>testimony from twelve witnesses on a wide variety of those issues.</w:t>
            </w:r>
            <w:r>
              <w:rPr>
                <w:color w:val="000000"/>
                <w:sz w:val="22"/>
                <w:szCs w:val="22"/>
              </w:rPr>
              <w:t xml:space="preserve">  </w:t>
            </w:r>
            <w:r w:rsidRPr="006F2A97">
              <w:rPr>
                <w:sz w:val="22"/>
                <w:szCs w:val="22"/>
              </w:rPr>
              <w:t xml:space="preserve">TURN made </w:t>
            </w:r>
            <w:proofErr w:type="gramStart"/>
            <w:r w:rsidRPr="006F2A97">
              <w:rPr>
                <w:sz w:val="22"/>
                <w:szCs w:val="22"/>
              </w:rPr>
              <w:t>a number of</w:t>
            </w:r>
            <w:proofErr w:type="gramEnd"/>
            <w:r w:rsidRPr="006F2A97">
              <w:rPr>
                <w:sz w:val="22"/>
                <w:szCs w:val="22"/>
              </w:rPr>
              <w:t xml:space="preserve"> recommendations, addressing almost every aspect of PG&amp;E’s operations. </w:t>
            </w:r>
            <w:r>
              <w:rPr>
                <w:sz w:val="22"/>
                <w:szCs w:val="22"/>
              </w:rPr>
              <w:t xml:space="preserve"> </w:t>
            </w:r>
            <w:r w:rsidRPr="006F2A97">
              <w:rPr>
                <w:sz w:val="22"/>
                <w:szCs w:val="22"/>
              </w:rPr>
              <w:t xml:space="preserve">These recommendations included reducing overall Administrative and General and Human Resources spending, reducing ratepayer funding of the Short Term Incentive Plan (STIP), reducing Customer Care costs, reducing electric and gas distribution capital and expense items and related ratemaking adjustments for deferred or imprudent gas distribution spending, reducing electric generation capital and expense items and related ratemaking adjustments, reducing depreciation and rate base for numerous items, rejecting or </w:t>
            </w:r>
            <w:r w:rsidRPr="006F2A97">
              <w:rPr>
                <w:sz w:val="22"/>
                <w:szCs w:val="22"/>
              </w:rPr>
              <w:lastRenderedPageBreak/>
              <w:t xml:space="preserve">reducing funding for numerous real estate projects and activities, and rejecting certain political costs. </w:t>
            </w:r>
            <w:r>
              <w:rPr>
                <w:sz w:val="22"/>
                <w:szCs w:val="22"/>
              </w:rPr>
              <w:t xml:space="preserve"> </w:t>
            </w:r>
            <w:r w:rsidRPr="006F2A97">
              <w:rPr>
                <w:sz w:val="22"/>
                <w:szCs w:val="22"/>
              </w:rPr>
              <w:t xml:space="preserve">TURN also opposed PG&amp;E’s proposal to </w:t>
            </w:r>
            <w:proofErr w:type="gramStart"/>
            <w:r w:rsidRPr="006F2A97">
              <w:rPr>
                <w:sz w:val="22"/>
                <w:szCs w:val="22"/>
              </w:rPr>
              <w:t>close up</w:t>
            </w:r>
            <w:proofErr w:type="gramEnd"/>
            <w:r w:rsidRPr="006F2A97">
              <w:rPr>
                <w:sz w:val="22"/>
                <w:szCs w:val="22"/>
              </w:rPr>
              <w:t xml:space="preserve"> to 26 customer service offices, and offered policy recommendations related to safety, risk, and integrated planning; non-tariffed products and services; and Diablo Canyon, among other things.</w:t>
            </w:r>
            <w:r>
              <w:rPr>
                <w:i/>
                <w:color w:val="000000"/>
                <w:sz w:val="22"/>
                <w:szCs w:val="22"/>
              </w:rPr>
              <w:t xml:space="preserve"> See </w:t>
            </w:r>
            <w:r>
              <w:rPr>
                <w:color w:val="000000"/>
                <w:sz w:val="22"/>
                <w:szCs w:val="22"/>
              </w:rPr>
              <w:t>Exhibits TURN-1 through TURN-13.</w:t>
            </w:r>
            <w:r w:rsidRPr="006F2A97">
              <w:rPr>
                <w:color w:val="000000"/>
                <w:sz w:val="22"/>
                <w:szCs w:val="22"/>
              </w:rPr>
              <w:t xml:space="preserve">  </w:t>
            </w:r>
          </w:p>
          <w:p w14:paraId="5724DE82" w14:textId="77777777" w:rsidR="00C671DA" w:rsidRPr="006F2A97" w:rsidRDefault="00C671DA" w:rsidP="00C36D4F">
            <w:pPr>
              <w:rPr>
                <w:color w:val="000000"/>
                <w:sz w:val="22"/>
                <w:szCs w:val="22"/>
              </w:rPr>
            </w:pPr>
          </w:p>
          <w:p w14:paraId="3C78FC31" w14:textId="77777777" w:rsidR="00C671DA" w:rsidRDefault="00C671DA" w:rsidP="00C36D4F">
            <w:pPr>
              <w:rPr>
                <w:color w:val="000000"/>
                <w:sz w:val="22"/>
                <w:szCs w:val="22"/>
              </w:rPr>
            </w:pPr>
            <w:r>
              <w:rPr>
                <w:color w:val="000000"/>
                <w:sz w:val="22"/>
                <w:szCs w:val="22"/>
              </w:rPr>
              <w:t xml:space="preserve">Immediately after the submission of our testimony, TURN began participating in intense and prolonged settlement negotiations, which ultimately resulted in a settlement agreement resolving </w:t>
            </w:r>
            <w:proofErr w:type="gramStart"/>
            <w:r>
              <w:rPr>
                <w:color w:val="000000"/>
                <w:sz w:val="22"/>
                <w:szCs w:val="22"/>
              </w:rPr>
              <w:t>all of</w:t>
            </w:r>
            <w:proofErr w:type="gramEnd"/>
            <w:r>
              <w:rPr>
                <w:color w:val="000000"/>
                <w:sz w:val="22"/>
                <w:szCs w:val="22"/>
              </w:rPr>
              <w:t xml:space="preserve"> the disputed issues addressed in TURN’s testimony.  TURN played a leading role (along with PG&amp;E and ORA) throughout negotiations, reflecting the breadth and depth of our showing in the proceeding.  No party addressed more issues than TURN but ORA, and TURN addressed some issues not covered by TURN.  </w:t>
            </w:r>
          </w:p>
          <w:p w14:paraId="086FAAE9" w14:textId="77777777" w:rsidR="00C671DA" w:rsidRDefault="00C671DA" w:rsidP="00C36D4F">
            <w:pPr>
              <w:rPr>
                <w:color w:val="000000"/>
                <w:sz w:val="22"/>
                <w:szCs w:val="22"/>
              </w:rPr>
            </w:pPr>
          </w:p>
          <w:p w14:paraId="3EFC6E95" w14:textId="77777777" w:rsidR="00C671DA" w:rsidRDefault="00C671DA" w:rsidP="00C36D4F">
            <w:pPr>
              <w:rPr>
                <w:color w:val="000000"/>
                <w:sz w:val="22"/>
                <w:szCs w:val="22"/>
              </w:rPr>
            </w:pPr>
            <w:r>
              <w:rPr>
                <w:color w:val="000000"/>
                <w:sz w:val="22"/>
                <w:szCs w:val="22"/>
              </w:rPr>
              <w:t xml:space="preserve">The Settlement Agreement recommended a test year revenue requirement increase for PG&amp;E of $88 million, as compared to its original request of $457 million and request in rebuttal testimony of $319 million.  The settlement agreement proposed additional increases in post-test years 2018 and 2019 of $444 million and $361 million respectively.  PG&amp;E originally requested $489 and $390 for those </w:t>
            </w:r>
            <w:proofErr w:type="gramStart"/>
            <w:r>
              <w:rPr>
                <w:color w:val="000000"/>
                <w:sz w:val="22"/>
                <w:szCs w:val="22"/>
              </w:rPr>
              <w:t>years, but</w:t>
            </w:r>
            <w:proofErr w:type="gramEnd"/>
            <w:r>
              <w:rPr>
                <w:color w:val="000000"/>
                <w:sz w:val="22"/>
                <w:szCs w:val="22"/>
              </w:rPr>
              <w:t xml:space="preserve"> lowered its requests in rebuttal testimony to $469 and $368.  In addition to these high-level numbers, the Settlement Agreement included detailed tables presenting budgets </w:t>
            </w:r>
            <w:r>
              <w:rPr>
                <w:color w:val="000000"/>
                <w:sz w:val="22"/>
                <w:szCs w:val="22"/>
              </w:rPr>
              <w:lastRenderedPageBreak/>
              <w:t xml:space="preserve">for every MWC or cost center covered by PG&amp;E’s GRC, organized by PG&amp;E exhibit and chapter.  These tables show PG&amp;E’s forecasts, proposed reductions by ORA and TURN, and the settlement outcome, </w:t>
            </w:r>
            <w:proofErr w:type="gramStart"/>
            <w:r>
              <w:rPr>
                <w:color w:val="000000"/>
                <w:sz w:val="22"/>
                <w:szCs w:val="22"/>
              </w:rPr>
              <w:t>and also</w:t>
            </w:r>
            <w:proofErr w:type="gramEnd"/>
            <w:r>
              <w:rPr>
                <w:color w:val="000000"/>
                <w:sz w:val="22"/>
                <w:szCs w:val="22"/>
              </w:rPr>
              <w:t xml:space="preserve"> include notes indicating the basis for the settlement outcome (such as “Adopts TURN’s partial adjustment”).  The Settlement Agreement additionally contained numerous non-revenue requirement elements, such as reporting requirements, required showings in the next GRC, and other obligations placed on PG&amp;E in response to the recommendations of intervenors. </w:t>
            </w:r>
          </w:p>
          <w:p w14:paraId="752B1DF9" w14:textId="77777777" w:rsidR="00C671DA" w:rsidRDefault="00C671DA" w:rsidP="00C36D4F">
            <w:pPr>
              <w:rPr>
                <w:color w:val="000000"/>
                <w:sz w:val="22"/>
                <w:szCs w:val="22"/>
              </w:rPr>
            </w:pPr>
          </w:p>
          <w:p w14:paraId="1229BD1D" w14:textId="77777777" w:rsidR="00C671DA" w:rsidRDefault="00C671DA" w:rsidP="00C36D4F">
            <w:pPr>
              <w:rPr>
                <w:color w:val="000000"/>
                <w:sz w:val="22"/>
                <w:szCs w:val="22"/>
              </w:rPr>
            </w:pPr>
            <w:r>
              <w:rPr>
                <w:color w:val="000000"/>
                <w:sz w:val="22"/>
                <w:szCs w:val="22"/>
              </w:rPr>
              <w:t xml:space="preserve">After very careful consideration, the Commission adopted this settlement agreement with two modifications in D.17-05-013.  Historically, intervenors have faced some challenges in linking their litigation positions to the outcomes in a settled proceeding because of the confidential nature of settlement negotiations and the frequent “black box” nature of resulting settlement agreements.  That is not the case here.  Both the Joint Motion supporting the Settlement Agreement and Appendix A to the agreement itself make very clear that TURN’s efforts resulted in a substantial contribution to the settlement agreement and thus D.17-05-013.  </w:t>
            </w:r>
          </w:p>
          <w:p w14:paraId="6648CB7D" w14:textId="77777777" w:rsidR="00C671DA" w:rsidRDefault="00C671DA" w:rsidP="00C36D4F">
            <w:pPr>
              <w:rPr>
                <w:color w:val="000000"/>
                <w:sz w:val="22"/>
                <w:szCs w:val="22"/>
              </w:rPr>
            </w:pPr>
          </w:p>
          <w:p w14:paraId="11B35EF8" w14:textId="77777777" w:rsidR="00C671DA" w:rsidRDefault="00C671DA" w:rsidP="00C36D4F">
            <w:pPr>
              <w:rPr>
                <w:color w:val="000000"/>
                <w:sz w:val="22"/>
                <w:szCs w:val="22"/>
              </w:rPr>
            </w:pPr>
            <w:r>
              <w:rPr>
                <w:color w:val="000000"/>
                <w:sz w:val="22"/>
                <w:szCs w:val="22"/>
              </w:rPr>
              <w:t xml:space="preserve">In the sections that follow, TURN demonstrates our substantial contribution associated with issues resolved by the Settlement Agreement by primarily citing to </w:t>
            </w:r>
            <w:r w:rsidRPr="00B862C7">
              <w:rPr>
                <w:color w:val="000000"/>
                <w:sz w:val="22"/>
                <w:szCs w:val="22"/>
              </w:rPr>
              <w:t xml:space="preserve">these documents for efficiency’s sake, where possible.  For some issues, we additionally cite to our </w:t>
            </w:r>
            <w:r w:rsidRPr="00B862C7">
              <w:rPr>
                <w:color w:val="000000"/>
                <w:sz w:val="22"/>
                <w:szCs w:val="22"/>
              </w:rPr>
              <w:lastRenderedPageBreak/>
              <w:t>testimony</w:t>
            </w:r>
            <w:r>
              <w:rPr>
                <w:color w:val="000000"/>
                <w:sz w:val="22"/>
                <w:szCs w:val="22"/>
              </w:rPr>
              <w:t>.  TURN also clarifies that the issues identified below are not an exhaustive reflection of our contributions to the Settlement Agreement.  TURN was actively involved with negotiating the terms of almost every aspect of the Settlement Agreement, whether our participation was called out in the Joint Motion or not.  But due to the confidentiality requirements of Commission Rule 12.6, TURN is limited in what we can disclose regarding the negotiations themselves.</w:t>
            </w:r>
          </w:p>
          <w:p w14:paraId="294EFA6E" w14:textId="77777777" w:rsidR="00C671DA" w:rsidRDefault="00C671DA" w:rsidP="00C36D4F">
            <w:pPr>
              <w:rPr>
                <w:color w:val="000000"/>
                <w:sz w:val="22"/>
                <w:szCs w:val="22"/>
              </w:rPr>
            </w:pPr>
          </w:p>
          <w:p w14:paraId="55EA197D" w14:textId="77777777" w:rsidR="00C671DA" w:rsidRDefault="00C671DA" w:rsidP="00C36D4F">
            <w:pPr>
              <w:rPr>
                <w:color w:val="000000"/>
                <w:sz w:val="22"/>
                <w:szCs w:val="22"/>
              </w:rPr>
            </w:pPr>
            <w:r>
              <w:rPr>
                <w:color w:val="000000"/>
                <w:sz w:val="22"/>
                <w:szCs w:val="22"/>
              </w:rPr>
              <w:t>TURN additionally made a substantial contribution to the Commission’s resolution of the two contested issues not resolved by the settlement agreement, as demonstrated below.</w:t>
            </w:r>
          </w:p>
          <w:p w14:paraId="10E0ADD9" w14:textId="77777777" w:rsidR="00C671DA" w:rsidRPr="007F620E" w:rsidRDefault="00C671DA" w:rsidP="00C36D4F">
            <w:pPr>
              <w:spacing w:before="120"/>
              <w:rPr>
                <w:color w:val="000000"/>
              </w:rPr>
            </w:pPr>
          </w:p>
        </w:tc>
        <w:tc>
          <w:tcPr>
            <w:tcW w:w="4140" w:type="dxa"/>
            <w:shd w:val="clear" w:color="auto" w:fill="auto"/>
          </w:tcPr>
          <w:p w14:paraId="167A24B8" w14:textId="77777777" w:rsidR="00C671DA" w:rsidRDefault="00C671DA" w:rsidP="00C36D4F">
            <w:pPr>
              <w:pStyle w:val="ListParagraph"/>
              <w:numPr>
                <w:ilvl w:val="0"/>
                <w:numId w:val="10"/>
              </w:numPr>
              <w:spacing w:before="120"/>
              <w:rPr>
                <w:color w:val="000000"/>
              </w:rPr>
            </w:pPr>
            <w:r w:rsidRPr="005B666C">
              <w:rPr>
                <w:color w:val="000000"/>
              </w:rPr>
              <w:lastRenderedPageBreak/>
              <w:t>D.17-05-013, p. 2 (adopting settlement agreement with two modifications, and resolving two contested issues)</w:t>
            </w:r>
          </w:p>
          <w:p w14:paraId="66DF53E0" w14:textId="77777777" w:rsidR="00C671DA" w:rsidRPr="00E43097" w:rsidRDefault="00C671DA" w:rsidP="00C36D4F">
            <w:pPr>
              <w:pStyle w:val="ListParagraph"/>
              <w:numPr>
                <w:ilvl w:val="0"/>
                <w:numId w:val="10"/>
              </w:numPr>
              <w:spacing w:before="120"/>
              <w:rPr>
                <w:color w:val="000000"/>
              </w:rPr>
            </w:pPr>
            <w:r w:rsidRPr="00E43097">
              <w:rPr>
                <w:color w:val="000000"/>
              </w:rPr>
              <w:t xml:space="preserve">Joint Motion of </w:t>
            </w:r>
            <w:r w:rsidRPr="00E43097">
              <w:t>the</w:t>
            </w:r>
            <w:r w:rsidRPr="00E43097">
              <w:rPr>
                <w:spacing w:val="-5"/>
              </w:rPr>
              <w:t xml:space="preserve"> </w:t>
            </w:r>
            <w:r w:rsidRPr="00E43097">
              <w:rPr>
                <w:spacing w:val="-1"/>
              </w:rPr>
              <w:t>Office</w:t>
            </w:r>
            <w:r w:rsidRPr="00E43097">
              <w:rPr>
                <w:spacing w:val="-5"/>
              </w:rPr>
              <w:t xml:space="preserve"> </w:t>
            </w:r>
            <w:r w:rsidRPr="00E43097">
              <w:t>of</w:t>
            </w:r>
            <w:r w:rsidRPr="00E43097">
              <w:rPr>
                <w:spacing w:val="-5"/>
              </w:rPr>
              <w:t xml:space="preserve"> </w:t>
            </w:r>
            <w:r w:rsidRPr="00E43097">
              <w:rPr>
                <w:spacing w:val="-1"/>
              </w:rPr>
              <w:t>Ratepayer</w:t>
            </w:r>
            <w:r w:rsidRPr="00E43097">
              <w:rPr>
                <w:spacing w:val="-3"/>
              </w:rPr>
              <w:t xml:space="preserve"> </w:t>
            </w:r>
            <w:r w:rsidRPr="00E43097">
              <w:rPr>
                <w:spacing w:val="-1"/>
              </w:rPr>
              <w:t>Advocates</w:t>
            </w:r>
            <w:r w:rsidRPr="00E43097">
              <w:rPr>
                <w:spacing w:val="-5"/>
              </w:rPr>
              <w:t xml:space="preserve"> </w:t>
            </w:r>
            <w:r w:rsidRPr="00E43097">
              <w:rPr>
                <w:spacing w:val="-1"/>
              </w:rPr>
              <w:t>(ORA),</w:t>
            </w:r>
            <w:r w:rsidRPr="00E43097">
              <w:rPr>
                <w:spacing w:val="-4"/>
              </w:rPr>
              <w:t xml:space="preserve"> </w:t>
            </w:r>
            <w:r w:rsidRPr="00E43097">
              <w:t>The</w:t>
            </w:r>
            <w:r w:rsidRPr="00E43097">
              <w:rPr>
                <w:spacing w:val="-6"/>
              </w:rPr>
              <w:t xml:space="preserve"> </w:t>
            </w:r>
            <w:r w:rsidRPr="00E43097">
              <w:t>Utility</w:t>
            </w:r>
            <w:r w:rsidRPr="00E43097">
              <w:rPr>
                <w:spacing w:val="-9"/>
              </w:rPr>
              <w:t xml:space="preserve"> </w:t>
            </w:r>
            <w:r w:rsidRPr="00E43097">
              <w:rPr>
                <w:spacing w:val="-1"/>
              </w:rPr>
              <w:t>Reform</w:t>
            </w:r>
            <w:r w:rsidRPr="00E43097">
              <w:rPr>
                <w:spacing w:val="69"/>
                <w:w w:val="99"/>
              </w:rPr>
              <w:t xml:space="preserve"> </w:t>
            </w:r>
            <w:r w:rsidRPr="00E43097">
              <w:rPr>
                <w:spacing w:val="-1"/>
              </w:rPr>
              <w:t>Network</w:t>
            </w:r>
            <w:r w:rsidRPr="00E43097">
              <w:rPr>
                <w:spacing w:val="-5"/>
              </w:rPr>
              <w:t xml:space="preserve"> </w:t>
            </w:r>
            <w:r w:rsidRPr="00E43097">
              <w:rPr>
                <w:spacing w:val="-1"/>
              </w:rPr>
              <w:t>(TURN),</w:t>
            </w:r>
            <w:r w:rsidRPr="00E43097">
              <w:rPr>
                <w:spacing w:val="-4"/>
              </w:rPr>
              <w:t xml:space="preserve"> </w:t>
            </w:r>
            <w:r w:rsidRPr="00E43097">
              <w:rPr>
                <w:spacing w:val="-1"/>
              </w:rPr>
              <w:t>Alliance</w:t>
            </w:r>
            <w:r w:rsidRPr="00E43097">
              <w:rPr>
                <w:spacing w:val="-5"/>
              </w:rPr>
              <w:t xml:space="preserve"> </w:t>
            </w:r>
            <w:r w:rsidRPr="00E43097">
              <w:rPr>
                <w:spacing w:val="-1"/>
              </w:rPr>
              <w:t>for</w:t>
            </w:r>
            <w:r w:rsidRPr="00E43097">
              <w:rPr>
                <w:spacing w:val="-3"/>
              </w:rPr>
              <w:t xml:space="preserve"> </w:t>
            </w:r>
            <w:r w:rsidRPr="00E43097">
              <w:rPr>
                <w:spacing w:val="-1"/>
              </w:rPr>
              <w:t>Nuclear</w:t>
            </w:r>
            <w:r w:rsidRPr="00E43097">
              <w:rPr>
                <w:spacing w:val="-4"/>
              </w:rPr>
              <w:t xml:space="preserve"> </w:t>
            </w:r>
            <w:r w:rsidRPr="00E43097">
              <w:rPr>
                <w:spacing w:val="-1"/>
              </w:rPr>
              <w:t>Responsibility</w:t>
            </w:r>
            <w:r w:rsidRPr="00E43097">
              <w:rPr>
                <w:spacing w:val="-11"/>
              </w:rPr>
              <w:t xml:space="preserve"> </w:t>
            </w:r>
            <w:r w:rsidRPr="00E43097">
              <w:rPr>
                <w:spacing w:val="-1"/>
              </w:rPr>
              <w:t>(A4NR),</w:t>
            </w:r>
            <w:r w:rsidRPr="00E43097">
              <w:rPr>
                <w:spacing w:val="-4"/>
              </w:rPr>
              <w:t xml:space="preserve"> </w:t>
            </w:r>
            <w:r w:rsidRPr="00E43097">
              <w:rPr>
                <w:spacing w:val="-1"/>
              </w:rPr>
              <w:t>Center</w:t>
            </w:r>
            <w:r w:rsidRPr="00E43097">
              <w:rPr>
                <w:spacing w:val="-3"/>
              </w:rPr>
              <w:t xml:space="preserve"> </w:t>
            </w:r>
            <w:r w:rsidRPr="00E43097">
              <w:t>for</w:t>
            </w:r>
            <w:r w:rsidRPr="00E43097">
              <w:rPr>
                <w:spacing w:val="-4"/>
              </w:rPr>
              <w:t xml:space="preserve"> </w:t>
            </w:r>
            <w:r w:rsidRPr="00E43097">
              <w:rPr>
                <w:spacing w:val="-1"/>
              </w:rPr>
              <w:t>Accessible</w:t>
            </w:r>
            <w:r w:rsidRPr="00E43097">
              <w:rPr>
                <w:spacing w:val="-4"/>
              </w:rPr>
              <w:t xml:space="preserve"> </w:t>
            </w:r>
            <w:r w:rsidRPr="00E43097">
              <w:t>Technology</w:t>
            </w:r>
            <w:r w:rsidRPr="00E43097">
              <w:rPr>
                <w:spacing w:val="93"/>
              </w:rPr>
              <w:t xml:space="preserve"> </w:t>
            </w:r>
            <w:r w:rsidRPr="00E43097">
              <w:rPr>
                <w:spacing w:val="-1"/>
              </w:rPr>
              <w:t>(</w:t>
            </w:r>
            <w:proofErr w:type="spellStart"/>
            <w:r w:rsidRPr="00E43097">
              <w:rPr>
                <w:spacing w:val="-1"/>
              </w:rPr>
              <w:t>CforAT</w:t>
            </w:r>
            <w:proofErr w:type="spellEnd"/>
            <w:r w:rsidRPr="00E43097">
              <w:rPr>
                <w:spacing w:val="-1"/>
              </w:rPr>
              <w:t>),</w:t>
            </w:r>
            <w:r w:rsidRPr="00E43097">
              <w:rPr>
                <w:spacing w:val="-6"/>
              </w:rPr>
              <w:t xml:space="preserve"> </w:t>
            </w:r>
            <w:r w:rsidRPr="00E43097">
              <w:rPr>
                <w:spacing w:val="-1"/>
              </w:rPr>
              <w:t>Coalition</w:t>
            </w:r>
            <w:r w:rsidRPr="00E43097">
              <w:rPr>
                <w:spacing w:val="-5"/>
              </w:rPr>
              <w:t xml:space="preserve"> </w:t>
            </w:r>
            <w:r w:rsidRPr="00E43097">
              <w:t>of</w:t>
            </w:r>
            <w:r w:rsidRPr="00E43097">
              <w:rPr>
                <w:spacing w:val="-5"/>
              </w:rPr>
              <w:t xml:space="preserve"> </w:t>
            </w:r>
            <w:r w:rsidRPr="00E43097">
              <w:rPr>
                <w:spacing w:val="-1"/>
              </w:rPr>
              <w:t>California</w:t>
            </w:r>
            <w:r w:rsidRPr="00E43097">
              <w:rPr>
                <w:spacing w:val="-5"/>
              </w:rPr>
              <w:t xml:space="preserve"> </w:t>
            </w:r>
            <w:r w:rsidRPr="00E43097">
              <w:t>Utility</w:t>
            </w:r>
            <w:r w:rsidRPr="00E43097">
              <w:rPr>
                <w:spacing w:val="-9"/>
              </w:rPr>
              <w:t xml:space="preserve"> </w:t>
            </w:r>
            <w:r w:rsidRPr="00E43097">
              <w:rPr>
                <w:spacing w:val="-1"/>
              </w:rPr>
              <w:t>Employees</w:t>
            </w:r>
            <w:r w:rsidRPr="00E43097">
              <w:rPr>
                <w:spacing w:val="-5"/>
              </w:rPr>
              <w:t xml:space="preserve"> </w:t>
            </w:r>
            <w:r w:rsidRPr="00E43097">
              <w:rPr>
                <w:spacing w:val="-1"/>
              </w:rPr>
              <w:t>(CUE),</w:t>
            </w:r>
            <w:r w:rsidRPr="00E43097">
              <w:rPr>
                <w:spacing w:val="-2"/>
              </w:rPr>
              <w:t xml:space="preserve"> </w:t>
            </w:r>
            <w:r w:rsidRPr="00E43097">
              <w:rPr>
                <w:spacing w:val="-1"/>
              </w:rPr>
              <w:t>Collaborative</w:t>
            </w:r>
            <w:r w:rsidRPr="00E43097">
              <w:rPr>
                <w:spacing w:val="-4"/>
              </w:rPr>
              <w:t xml:space="preserve"> </w:t>
            </w:r>
            <w:r w:rsidRPr="00E43097">
              <w:rPr>
                <w:spacing w:val="-1"/>
              </w:rPr>
              <w:t>Approaches</w:t>
            </w:r>
            <w:r w:rsidRPr="00E43097">
              <w:rPr>
                <w:spacing w:val="-5"/>
              </w:rPr>
              <w:t xml:space="preserve"> </w:t>
            </w:r>
            <w:r w:rsidRPr="00E43097">
              <w:t>to</w:t>
            </w:r>
            <w:r w:rsidRPr="00E43097">
              <w:rPr>
                <w:spacing w:val="-6"/>
              </w:rPr>
              <w:t xml:space="preserve"> </w:t>
            </w:r>
            <w:r w:rsidRPr="00E43097">
              <w:t>Utility</w:t>
            </w:r>
            <w:r w:rsidRPr="00E43097">
              <w:rPr>
                <w:spacing w:val="-9"/>
              </w:rPr>
              <w:t xml:space="preserve"> </w:t>
            </w:r>
            <w:r w:rsidRPr="00E43097">
              <w:t>Safety</w:t>
            </w:r>
            <w:r w:rsidRPr="00E43097">
              <w:rPr>
                <w:spacing w:val="97"/>
              </w:rPr>
              <w:t xml:space="preserve"> </w:t>
            </w:r>
            <w:r w:rsidRPr="00E43097">
              <w:rPr>
                <w:spacing w:val="-1"/>
              </w:rPr>
              <w:t>Enforcement</w:t>
            </w:r>
            <w:r w:rsidRPr="00E43097">
              <w:rPr>
                <w:spacing w:val="-6"/>
              </w:rPr>
              <w:t xml:space="preserve"> </w:t>
            </w:r>
            <w:r w:rsidRPr="00E43097">
              <w:t>(CAUSE),</w:t>
            </w:r>
            <w:r w:rsidRPr="00E43097">
              <w:rPr>
                <w:spacing w:val="-5"/>
              </w:rPr>
              <w:t xml:space="preserve"> </w:t>
            </w:r>
            <w:r w:rsidRPr="00E43097">
              <w:t>Consumer</w:t>
            </w:r>
            <w:r w:rsidRPr="00E43097">
              <w:rPr>
                <w:spacing w:val="-6"/>
              </w:rPr>
              <w:t xml:space="preserve"> </w:t>
            </w:r>
            <w:r w:rsidRPr="00E43097">
              <w:rPr>
                <w:spacing w:val="-1"/>
              </w:rPr>
              <w:t>Federation</w:t>
            </w:r>
            <w:r w:rsidRPr="00E43097">
              <w:rPr>
                <w:spacing w:val="-6"/>
              </w:rPr>
              <w:t xml:space="preserve"> </w:t>
            </w:r>
            <w:r w:rsidRPr="00E43097">
              <w:t>of</w:t>
            </w:r>
            <w:r w:rsidRPr="00E43097">
              <w:rPr>
                <w:spacing w:val="-5"/>
              </w:rPr>
              <w:t xml:space="preserve"> </w:t>
            </w:r>
            <w:r w:rsidRPr="00E43097">
              <w:rPr>
                <w:spacing w:val="-1"/>
              </w:rPr>
              <w:t>California</w:t>
            </w:r>
            <w:r w:rsidRPr="00E43097">
              <w:rPr>
                <w:spacing w:val="-5"/>
              </w:rPr>
              <w:t xml:space="preserve"> </w:t>
            </w:r>
            <w:r w:rsidRPr="00E43097">
              <w:rPr>
                <w:spacing w:val="-1"/>
              </w:rPr>
              <w:t>(CFC),</w:t>
            </w:r>
            <w:r w:rsidRPr="00E43097">
              <w:rPr>
                <w:spacing w:val="-6"/>
              </w:rPr>
              <w:t xml:space="preserve"> </w:t>
            </w:r>
            <w:r w:rsidRPr="00E43097">
              <w:rPr>
                <w:spacing w:val="-1"/>
              </w:rPr>
              <w:t>Environmental</w:t>
            </w:r>
            <w:r w:rsidRPr="00E43097">
              <w:rPr>
                <w:spacing w:val="-6"/>
              </w:rPr>
              <w:t xml:space="preserve"> </w:t>
            </w:r>
            <w:r w:rsidRPr="00E43097">
              <w:rPr>
                <w:spacing w:val="-1"/>
              </w:rPr>
              <w:t>Defense</w:t>
            </w:r>
            <w:r w:rsidRPr="00E43097">
              <w:rPr>
                <w:spacing w:val="-7"/>
              </w:rPr>
              <w:t xml:space="preserve"> </w:t>
            </w:r>
            <w:r w:rsidRPr="00E43097">
              <w:rPr>
                <w:spacing w:val="-1"/>
              </w:rPr>
              <w:t>Fund</w:t>
            </w:r>
            <w:r w:rsidRPr="00E43097">
              <w:t xml:space="preserve"> </w:t>
            </w:r>
            <w:r w:rsidRPr="00E43097">
              <w:rPr>
                <w:spacing w:val="83"/>
              </w:rPr>
              <w:t xml:space="preserve"> </w:t>
            </w:r>
            <w:r w:rsidRPr="00E43097">
              <w:rPr>
                <w:spacing w:val="-1"/>
              </w:rPr>
              <w:t>(EDF),</w:t>
            </w:r>
            <w:r w:rsidRPr="00E43097">
              <w:rPr>
                <w:spacing w:val="-4"/>
              </w:rPr>
              <w:t xml:space="preserve"> </w:t>
            </w:r>
            <w:r w:rsidRPr="00E43097">
              <w:rPr>
                <w:spacing w:val="-1"/>
              </w:rPr>
              <w:t>Marin</w:t>
            </w:r>
            <w:r w:rsidRPr="00E43097">
              <w:rPr>
                <w:spacing w:val="-4"/>
              </w:rPr>
              <w:t xml:space="preserve"> </w:t>
            </w:r>
            <w:r w:rsidRPr="00E43097">
              <w:rPr>
                <w:spacing w:val="-1"/>
              </w:rPr>
              <w:t>Clean</w:t>
            </w:r>
            <w:r w:rsidRPr="00E43097">
              <w:rPr>
                <w:spacing w:val="-4"/>
              </w:rPr>
              <w:t xml:space="preserve"> </w:t>
            </w:r>
            <w:r w:rsidRPr="00E43097">
              <w:t>Energy</w:t>
            </w:r>
            <w:r w:rsidRPr="00E43097">
              <w:rPr>
                <w:spacing w:val="-9"/>
              </w:rPr>
              <w:t xml:space="preserve"> </w:t>
            </w:r>
            <w:r w:rsidRPr="00E43097">
              <w:rPr>
                <w:spacing w:val="-1"/>
              </w:rPr>
              <w:t>(MCE),</w:t>
            </w:r>
            <w:r w:rsidRPr="00E43097">
              <w:rPr>
                <w:spacing w:val="-4"/>
              </w:rPr>
              <w:t xml:space="preserve"> </w:t>
            </w:r>
            <w:r w:rsidRPr="00E43097">
              <w:t>Merced</w:t>
            </w:r>
            <w:r w:rsidRPr="00E43097">
              <w:rPr>
                <w:spacing w:val="-2"/>
              </w:rPr>
              <w:t xml:space="preserve"> </w:t>
            </w:r>
            <w:r w:rsidRPr="00E43097">
              <w:rPr>
                <w:spacing w:val="-1"/>
              </w:rPr>
              <w:t>Irrigation</w:t>
            </w:r>
            <w:r w:rsidRPr="00E43097">
              <w:rPr>
                <w:spacing w:val="-3"/>
              </w:rPr>
              <w:t xml:space="preserve"> </w:t>
            </w:r>
            <w:r w:rsidRPr="00E43097">
              <w:rPr>
                <w:spacing w:val="-1"/>
              </w:rPr>
              <w:t>District</w:t>
            </w:r>
            <w:r w:rsidRPr="00E43097">
              <w:rPr>
                <w:spacing w:val="-4"/>
              </w:rPr>
              <w:t xml:space="preserve"> </w:t>
            </w:r>
            <w:r w:rsidRPr="00E43097">
              <w:rPr>
                <w:spacing w:val="-1"/>
              </w:rPr>
              <w:t>(Merced</w:t>
            </w:r>
            <w:r w:rsidRPr="00E43097">
              <w:t xml:space="preserve"> </w:t>
            </w:r>
            <w:r w:rsidRPr="00E43097">
              <w:rPr>
                <w:spacing w:val="-2"/>
              </w:rPr>
              <w:t>ID)</w:t>
            </w:r>
            <w:r>
              <w:rPr>
                <w:spacing w:val="-2"/>
              </w:rPr>
              <w:t>,</w:t>
            </w:r>
            <w:r w:rsidRPr="00E43097">
              <w:rPr>
                <w:spacing w:val="-4"/>
              </w:rPr>
              <w:t xml:space="preserve"> </w:t>
            </w:r>
            <w:r w:rsidRPr="00E43097">
              <w:rPr>
                <w:spacing w:val="-1"/>
              </w:rPr>
              <w:t>Modesto Irrigation</w:t>
            </w:r>
            <w:r w:rsidRPr="00E43097">
              <w:rPr>
                <w:spacing w:val="-4"/>
              </w:rPr>
              <w:t xml:space="preserve"> </w:t>
            </w:r>
            <w:r w:rsidRPr="00E43097">
              <w:rPr>
                <w:spacing w:val="-1"/>
              </w:rPr>
              <w:t>District</w:t>
            </w:r>
            <w:r w:rsidRPr="00E43097">
              <w:rPr>
                <w:spacing w:val="77"/>
                <w:w w:val="99"/>
              </w:rPr>
              <w:t xml:space="preserve"> </w:t>
            </w:r>
            <w:r w:rsidRPr="00E43097">
              <w:rPr>
                <w:spacing w:val="-1"/>
              </w:rPr>
              <w:t>(Modesto</w:t>
            </w:r>
            <w:r w:rsidRPr="00E43097">
              <w:rPr>
                <w:spacing w:val="-2"/>
              </w:rPr>
              <w:t xml:space="preserve"> ID),</w:t>
            </w:r>
            <w:r w:rsidRPr="00E43097">
              <w:rPr>
                <w:spacing w:val="-4"/>
              </w:rPr>
              <w:t xml:space="preserve"> </w:t>
            </w:r>
            <w:r w:rsidRPr="00E43097">
              <w:rPr>
                <w:spacing w:val="-1"/>
              </w:rPr>
              <w:t>National</w:t>
            </w:r>
            <w:r w:rsidRPr="00E43097">
              <w:rPr>
                <w:spacing w:val="-3"/>
              </w:rPr>
              <w:t xml:space="preserve"> </w:t>
            </w:r>
            <w:r w:rsidRPr="00E43097">
              <w:rPr>
                <w:spacing w:val="-1"/>
              </w:rPr>
              <w:t>Diversity</w:t>
            </w:r>
            <w:r w:rsidRPr="00E43097">
              <w:rPr>
                <w:spacing w:val="-9"/>
              </w:rPr>
              <w:t xml:space="preserve"> </w:t>
            </w:r>
            <w:r w:rsidRPr="00E43097">
              <w:rPr>
                <w:spacing w:val="-1"/>
              </w:rPr>
              <w:t>Coalition</w:t>
            </w:r>
            <w:r w:rsidRPr="00E43097">
              <w:rPr>
                <w:spacing w:val="-4"/>
              </w:rPr>
              <w:t xml:space="preserve"> </w:t>
            </w:r>
            <w:r w:rsidRPr="00E43097">
              <w:rPr>
                <w:spacing w:val="-1"/>
              </w:rPr>
              <w:t>(NDC),</w:t>
            </w:r>
            <w:r w:rsidRPr="00E43097">
              <w:rPr>
                <w:spacing w:val="-4"/>
              </w:rPr>
              <w:t xml:space="preserve"> </w:t>
            </w:r>
            <w:r w:rsidRPr="00E43097">
              <w:rPr>
                <w:spacing w:val="-1"/>
              </w:rPr>
              <w:t>Small</w:t>
            </w:r>
            <w:r w:rsidRPr="00E43097">
              <w:rPr>
                <w:spacing w:val="-5"/>
              </w:rPr>
              <w:t xml:space="preserve"> </w:t>
            </w:r>
            <w:r w:rsidRPr="00E43097">
              <w:rPr>
                <w:spacing w:val="-1"/>
              </w:rPr>
              <w:t>Business</w:t>
            </w:r>
            <w:r w:rsidRPr="00E43097">
              <w:rPr>
                <w:spacing w:val="-5"/>
              </w:rPr>
              <w:t xml:space="preserve"> </w:t>
            </w:r>
            <w:r w:rsidRPr="00E43097">
              <w:rPr>
                <w:spacing w:val="-1"/>
              </w:rPr>
              <w:t>Utility</w:t>
            </w:r>
            <w:r w:rsidRPr="00E43097">
              <w:rPr>
                <w:spacing w:val="-7"/>
              </w:rPr>
              <w:t xml:space="preserve"> </w:t>
            </w:r>
            <w:r w:rsidRPr="00E43097">
              <w:rPr>
                <w:spacing w:val="-1"/>
              </w:rPr>
              <w:t>Advocates</w:t>
            </w:r>
            <w:r w:rsidRPr="00E43097">
              <w:rPr>
                <w:spacing w:val="-5"/>
              </w:rPr>
              <w:t xml:space="preserve"> </w:t>
            </w:r>
            <w:r w:rsidRPr="00E43097">
              <w:t>(SBUA),</w:t>
            </w:r>
            <w:r w:rsidRPr="00E43097">
              <w:rPr>
                <w:spacing w:val="-4"/>
              </w:rPr>
              <w:t xml:space="preserve"> </w:t>
            </w:r>
            <w:r w:rsidRPr="00E43097">
              <w:t>South</w:t>
            </w:r>
            <w:r w:rsidRPr="00E43097">
              <w:rPr>
                <w:spacing w:val="107"/>
                <w:w w:val="99"/>
              </w:rPr>
              <w:t xml:space="preserve"> </w:t>
            </w:r>
            <w:r w:rsidRPr="00E43097">
              <w:rPr>
                <w:spacing w:val="-1"/>
              </w:rPr>
              <w:t>San</w:t>
            </w:r>
            <w:r w:rsidRPr="00E43097">
              <w:rPr>
                <w:spacing w:val="-5"/>
              </w:rPr>
              <w:t xml:space="preserve"> </w:t>
            </w:r>
            <w:r w:rsidRPr="00E43097">
              <w:t>Joaquin</w:t>
            </w:r>
            <w:r w:rsidRPr="00E43097">
              <w:rPr>
                <w:spacing w:val="-4"/>
              </w:rPr>
              <w:t xml:space="preserve"> </w:t>
            </w:r>
            <w:r w:rsidRPr="00E43097">
              <w:rPr>
                <w:spacing w:val="-1"/>
              </w:rPr>
              <w:t>Irrigation</w:t>
            </w:r>
            <w:r w:rsidRPr="00E43097">
              <w:rPr>
                <w:spacing w:val="-4"/>
              </w:rPr>
              <w:t xml:space="preserve"> </w:t>
            </w:r>
            <w:r w:rsidRPr="00E43097">
              <w:rPr>
                <w:spacing w:val="-1"/>
              </w:rPr>
              <w:t>District</w:t>
            </w:r>
            <w:r w:rsidRPr="00E43097">
              <w:rPr>
                <w:spacing w:val="-5"/>
              </w:rPr>
              <w:t xml:space="preserve"> </w:t>
            </w:r>
            <w:r w:rsidRPr="00E43097">
              <w:rPr>
                <w:spacing w:val="-1"/>
              </w:rPr>
              <w:t>(SSJID),</w:t>
            </w:r>
            <w:r w:rsidRPr="00E43097">
              <w:rPr>
                <w:spacing w:val="-2"/>
              </w:rPr>
              <w:t xml:space="preserve"> </w:t>
            </w:r>
            <w:r w:rsidRPr="00E43097">
              <w:rPr>
                <w:spacing w:val="-1"/>
              </w:rPr>
              <w:t>and</w:t>
            </w:r>
            <w:r w:rsidRPr="00E43097">
              <w:rPr>
                <w:spacing w:val="-4"/>
              </w:rPr>
              <w:t xml:space="preserve"> </w:t>
            </w:r>
            <w:r w:rsidRPr="00E43097">
              <w:t>Pacific</w:t>
            </w:r>
            <w:r w:rsidRPr="00E43097">
              <w:rPr>
                <w:spacing w:val="-6"/>
              </w:rPr>
              <w:t xml:space="preserve"> </w:t>
            </w:r>
            <w:r w:rsidRPr="00E43097">
              <w:rPr>
                <w:spacing w:val="-1"/>
              </w:rPr>
              <w:t>Gas</w:t>
            </w:r>
            <w:r w:rsidRPr="00E43097">
              <w:rPr>
                <w:spacing w:val="-5"/>
              </w:rPr>
              <w:t xml:space="preserve"> </w:t>
            </w:r>
            <w:r w:rsidRPr="00E43097">
              <w:t>and</w:t>
            </w:r>
            <w:r w:rsidRPr="00E43097">
              <w:rPr>
                <w:spacing w:val="-5"/>
              </w:rPr>
              <w:t xml:space="preserve"> </w:t>
            </w:r>
            <w:r w:rsidRPr="00E43097">
              <w:t>Electric</w:t>
            </w:r>
            <w:r w:rsidRPr="00E43097">
              <w:rPr>
                <w:spacing w:val="-5"/>
              </w:rPr>
              <w:t xml:space="preserve"> </w:t>
            </w:r>
            <w:r w:rsidRPr="00E43097">
              <w:t>Company</w:t>
            </w:r>
            <w:r w:rsidRPr="00E43097">
              <w:rPr>
                <w:spacing w:val="-7"/>
              </w:rPr>
              <w:t xml:space="preserve"> </w:t>
            </w:r>
            <w:r w:rsidRPr="00E43097">
              <w:rPr>
                <w:spacing w:val="-1"/>
              </w:rPr>
              <w:t>(PG&amp;E)</w:t>
            </w:r>
            <w:r>
              <w:rPr>
                <w:spacing w:val="-1"/>
              </w:rPr>
              <w:t xml:space="preserve"> for Adoption of Settlement Agreement, filed Aug. 3, 2016 (“Joint Motion”)</w:t>
            </w:r>
          </w:p>
          <w:p w14:paraId="20A19896" w14:textId="77777777" w:rsidR="00C671DA" w:rsidRPr="006F2A97" w:rsidRDefault="00C671DA" w:rsidP="00C36D4F">
            <w:pPr>
              <w:pStyle w:val="ListParagraph"/>
              <w:numPr>
                <w:ilvl w:val="0"/>
                <w:numId w:val="10"/>
              </w:numPr>
              <w:spacing w:before="120"/>
              <w:rPr>
                <w:color w:val="000000"/>
              </w:rPr>
            </w:pPr>
            <w:r w:rsidRPr="006F2A97">
              <w:rPr>
                <w:color w:val="000000"/>
              </w:rPr>
              <w:lastRenderedPageBreak/>
              <w:t xml:space="preserve">Joint Motion, Attachment 1 (Settlement Agreement Among ORA, TURN, A4NR, </w:t>
            </w:r>
            <w:proofErr w:type="spellStart"/>
            <w:r w:rsidRPr="006F2A97">
              <w:rPr>
                <w:color w:val="000000"/>
              </w:rPr>
              <w:t>CforAT</w:t>
            </w:r>
            <w:proofErr w:type="spellEnd"/>
            <w:r w:rsidRPr="006F2A97">
              <w:rPr>
                <w:color w:val="000000"/>
              </w:rPr>
              <w:t>, CUE, CAUSE, CFC, EDF, MCE, Merced ID, Modesto ID, NDC, SBUA, SSJID, and PG&amp;E) (“Settlement Agreement”)</w:t>
            </w:r>
          </w:p>
          <w:p w14:paraId="72676EA8" w14:textId="77777777" w:rsidR="00C671DA" w:rsidRPr="006F2A97" w:rsidRDefault="00C671DA" w:rsidP="00C36D4F">
            <w:pPr>
              <w:pStyle w:val="ListParagraph"/>
              <w:numPr>
                <w:ilvl w:val="0"/>
                <w:numId w:val="10"/>
              </w:numPr>
              <w:spacing w:before="120"/>
              <w:rPr>
                <w:color w:val="000000"/>
              </w:rPr>
            </w:pPr>
            <w:r w:rsidRPr="006F2A97">
              <w:rPr>
                <w:color w:val="000000"/>
              </w:rPr>
              <w:t>Settlement Agreement, Appendix A (comparing the settlement outcomes on financial issues to PG&amp;E’s request, ORA’s position, and TURN’s position, with notes attributing settlement outcomes to TURN, ORA, and other parties, as appropriate).</w:t>
            </w:r>
          </w:p>
          <w:p w14:paraId="050D1DC5" w14:textId="77777777" w:rsidR="00C671DA" w:rsidRPr="00E43097" w:rsidRDefault="00C671DA" w:rsidP="00C36D4F">
            <w:pPr>
              <w:pStyle w:val="ListParagraph"/>
              <w:spacing w:before="120"/>
              <w:rPr>
                <w:color w:val="000000"/>
              </w:rPr>
            </w:pPr>
          </w:p>
        </w:tc>
        <w:tc>
          <w:tcPr>
            <w:tcW w:w="2340" w:type="dxa"/>
            <w:shd w:val="clear" w:color="auto" w:fill="auto"/>
          </w:tcPr>
          <w:p w14:paraId="633BB00F" w14:textId="77777777" w:rsidR="00C671DA" w:rsidRPr="007F620E" w:rsidRDefault="00C671DA" w:rsidP="00C36D4F">
            <w:pPr>
              <w:spacing w:before="120"/>
              <w:rPr>
                <w:color w:val="000000"/>
              </w:rPr>
            </w:pPr>
            <w:r>
              <w:rPr>
                <w:color w:val="000000"/>
              </w:rPr>
              <w:lastRenderedPageBreak/>
              <w:t>Noted</w:t>
            </w:r>
          </w:p>
        </w:tc>
      </w:tr>
      <w:tr w:rsidR="00C671DA" w:rsidRPr="007F620E" w14:paraId="3A501307" w14:textId="77777777" w:rsidTr="00C36D4F">
        <w:tc>
          <w:tcPr>
            <w:tcW w:w="3258" w:type="dxa"/>
            <w:shd w:val="clear" w:color="auto" w:fill="auto"/>
          </w:tcPr>
          <w:p w14:paraId="7933C0C0" w14:textId="77777777" w:rsidR="00C671DA" w:rsidRDefault="00C671DA" w:rsidP="00C36D4F">
            <w:pPr>
              <w:spacing w:before="120"/>
              <w:rPr>
                <w:b/>
                <w:color w:val="000000"/>
                <w:sz w:val="22"/>
                <w:szCs w:val="22"/>
              </w:rPr>
            </w:pPr>
            <w:r w:rsidRPr="0067505F">
              <w:rPr>
                <w:b/>
                <w:color w:val="000000"/>
                <w:sz w:val="22"/>
                <w:szCs w:val="22"/>
              </w:rPr>
              <w:lastRenderedPageBreak/>
              <w:t>Outcome on Overall Revenue Requirement</w:t>
            </w:r>
            <w:r>
              <w:rPr>
                <w:b/>
                <w:color w:val="000000"/>
                <w:sz w:val="22"/>
                <w:szCs w:val="22"/>
              </w:rPr>
              <w:t xml:space="preserve"> </w:t>
            </w:r>
          </w:p>
          <w:p w14:paraId="51766D26" w14:textId="77777777" w:rsidR="00C671DA" w:rsidRPr="00E827A5" w:rsidRDefault="00C671DA" w:rsidP="00C36D4F">
            <w:pPr>
              <w:spacing w:before="120"/>
              <w:rPr>
                <w:i/>
                <w:color w:val="000000"/>
                <w:sz w:val="22"/>
                <w:szCs w:val="22"/>
              </w:rPr>
            </w:pPr>
            <w:r>
              <w:rPr>
                <w:i/>
                <w:color w:val="000000"/>
                <w:sz w:val="22"/>
                <w:szCs w:val="22"/>
              </w:rPr>
              <w:t xml:space="preserve">2017 </w:t>
            </w:r>
            <w:r w:rsidRPr="00E827A5">
              <w:rPr>
                <w:i/>
                <w:color w:val="000000"/>
                <w:sz w:val="22"/>
                <w:szCs w:val="22"/>
              </w:rPr>
              <w:t>Test Year Revenue Requirement</w:t>
            </w:r>
          </w:p>
          <w:p w14:paraId="47463E1F" w14:textId="77777777" w:rsidR="00C671DA" w:rsidRPr="0067505F" w:rsidRDefault="00C671DA" w:rsidP="00C36D4F">
            <w:pPr>
              <w:spacing w:before="120"/>
              <w:rPr>
                <w:color w:val="000000"/>
                <w:sz w:val="22"/>
                <w:szCs w:val="22"/>
              </w:rPr>
            </w:pPr>
            <w:r w:rsidRPr="0067505F">
              <w:rPr>
                <w:color w:val="000000"/>
                <w:sz w:val="22"/>
                <w:szCs w:val="22"/>
              </w:rPr>
              <w:t xml:space="preserve">TURN proposed reductions to PG&amp;E’s test year O&amp;M forecasts across all departments of approximately $160 million, plus $145 million for companywide expenses.  TURN additionally proposed capital expenditure reductions relative to PG&amp;E’s requests of approximately $700 million in 2017, $125 million in 2016, and $150 million in 2015.  </w:t>
            </w:r>
          </w:p>
          <w:p w14:paraId="6CC9F3A4" w14:textId="77777777" w:rsidR="00C671DA" w:rsidRPr="0067505F" w:rsidRDefault="00C671DA" w:rsidP="00C36D4F">
            <w:pPr>
              <w:spacing w:before="120"/>
              <w:rPr>
                <w:color w:val="000000"/>
                <w:sz w:val="22"/>
                <w:szCs w:val="22"/>
              </w:rPr>
            </w:pPr>
            <w:r>
              <w:rPr>
                <w:color w:val="000000"/>
                <w:sz w:val="22"/>
                <w:szCs w:val="22"/>
              </w:rPr>
              <w:t>The S</w:t>
            </w:r>
            <w:r w:rsidRPr="0067505F">
              <w:rPr>
                <w:color w:val="000000"/>
                <w:sz w:val="22"/>
                <w:szCs w:val="22"/>
              </w:rPr>
              <w:t>et</w:t>
            </w:r>
            <w:r>
              <w:rPr>
                <w:color w:val="000000"/>
                <w:sz w:val="22"/>
                <w:szCs w:val="22"/>
              </w:rPr>
              <w:t>tlement A</w:t>
            </w:r>
            <w:r w:rsidRPr="0067505F">
              <w:rPr>
                <w:color w:val="000000"/>
                <w:sz w:val="22"/>
                <w:szCs w:val="22"/>
              </w:rPr>
              <w:t xml:space="preserve">greement adopted by D.17-05-013 reduced PG&amp;E’s O&amp;M forecasts across all departments by approximately $70 million, and its companywide expense by $91 million.  On the capital expenditure side, the settlement agreement reduced </w:t>
            </w:r>
            <w:r w:rsidRPr="0067505F">
              <w:rPr>
                <w:color w:val="000000"/>
                <w:sz w:val="22"/>
                <w:szCs w:val="22"/>
              </w:rPr>
              <w:lastRenderedPageBreak/>
              <w:t>PG&amp;E’s request for 2017 by approximately $118 million, its request for 2016 by $31 million, and its request for 2015 by $186 million.</w:t>
            </w:r>
          </w:p>
          <w:p w14:paraId="1A94C641" w14:textId="77777777" w:rsidR="00C671DA" w:rsidRDefault="00C671DA" w:rsidP="00C36D4F">
            <w:pPr>
              <w:spacing w:before="120"/>
              <w:rPr>
                <w:color w:val="000000"/>
                <w:sz w:val="22"/>
                <w:szCs w:val="22"/>
              </w:rPr>
            </w:pPr>
            <w:r w:rsidRPr="0067505F">
              <w:rPr>
                <w:color w:val="000000"/>
                <w:sz w:val="22"/>
                <w:szCs w:val="22"/>
              </w:rPr>
              <w:t>The upshot of these reductions is a very substantial decrease in PG&amp;E’s 2017 authorized revenue requirement relative to its request</w:t>
            </w:r>
            <w:r>
              <w:rPr>
                <w:color w:val="000000"/>
                <w:sz w:val="22"/>
                <w:szCs w:val="22"/>
              </w:rPr>
              <w:t>, attributable in significant part to TURN’s efforts</w:t>
            </w:r>
            <w:r w:rsidRPr="0067505F">
              <w:rPr>
                <w:color w:val="000000"/>
                <w:sz w:val="22"/>
                <w:szCs w:val="22"/>
              </w:rPr>
              <w:t>.  Rather than the $457 million increase proposed by PG&amp;E, later reduced to $319</w:t>
            </w:r>
            <w:r>
              <w:rPr>
                <w:color w:val="000000"/>
                <w:sz w:val="22"/>
                <w:szCs w:val="22"/>
              </w:rPr>
              <w:t xml:space="preserve"> million in rebuttal testimony</w:t>
            </w:r>
            <w:r w:rsidRPr="0067505F">
              <w:rPr>
                <w:color w:val="000000"/>
                <w:sz w:val="22"/>
                <w:szCs w:val="22"/>
              </w:rPr>
              <w:t xml:space="preserve">, the Commission authorized an $88 million increase.  Comparing PG&amp;E’s adjusted request to this outcome produces three years of savings for ratepayers of $231 million per year, for a total of nearly $700 million across the 2017 GRC cycle.  This figure does not include the additional, </w:t>
            </w:r>
            <w:r>
              <w:rPr>
                <w:color w:val="000000"/>
                <w:sz w:val="22"/>
                <w:szCs w:val="22"/>
              </w:rPr>
              <w:t>albeit</w:t>
            </w:r>
            <w:r w:rsidRPr="0067505F">
              <w:rPr>
                <w:color w:val="000000"/>
                <w:sz w:val="22"/>
                <w:szCs w:val="22"/>
              </w:rPr>
              <w:t xml:space="preserve"> more modest savings, stemming from the post-test year </w:t>
            </w:r>
            <w:r>
              <w:rPr>
                <w:color w:val="000000"/>
                <w:sz w:val="22"/>
                <w:szCs w:val="22"/>
              </w:rPr>
              <w:t xml:space="preserve">ratemaking </w:t>
            </w:r>
            <w:r w:rsidRPr="0067505F">
              <w:rPr>
                <w:color w:val="000000"/>
                <w:sz w:val="22"/>
                <w:szCs w:val="22"/>
              </w:rPr>
              <w:t>adjustments authorized by the Commission in D.17-05-013.</w:t>
            </w:r>
          </w:p>
          <w:p w14:paraId="58865FD6" w14:textId="77777777" w:rsidR="00C671DA" w:rsidRDefault="00C671DA" w:rsidP="00C36D4F">
            <w:pPr>
              <w:rPr>
                <w:color w:val="000000"/>
                <w:sz w:val="22"/>
                <w:szCs w:val="22"/>
              </w:rPr>
            </w:pPr>
          </w:p>
          <w:p w14:paraId="361785BC" w14:textId="77777777" w:rsidR="00C671DA" w:rsidRDefault="00C671DA" w:rsidP="00C36D4F">
            <w:pPr>
              <w:rPr>
                <w:color w:val="000000"/>
                <w:sz w:val="22"/>
                <w:szCs w:val="22"/>
              </w:rPr>
            </w:pPr>
            <w:r w:rsidRPr="005E2A25">
              <w:rPr>
                <w:color w:val="000000"/>
                <w:sz w:val="22"/>
                <w:szCs w:val="22"/>
              </w:rPr>
              <w:t>TURN</w:t>
            </w:r>
            <w:r>
              <w:rPr>
                <w:color w:val="000000"/>
                <w:sz w:val="22"/>
                <w:szCs w:val="22"/>
              </w:rPr>
              <w:t xml:space="preserve">’s revenue requirement recommendations contributed materially to these reductions for the test year 2017 revenue requirements.  </w:t>
            </w:r>
          </w:p>
          <w:p w14:paraId="3F7253D7" w14:textId="77777777" w:rsidR="00C671DA" w:rsidRDefault="00C671DA" w:rsidP="00C36D4F">
            <w:pPr>
              <w:rPr>
                <w:color w:val="000000"/>
                <w:sz w:val="22"/>
                <w:szCs w:val="22"/>
              </w:rPr>
            </w:pPr>
          </w:p>
          <w:p w14:paraId="20073114" w14:textId="77777777" w:rsidR="00C671DA" w:rsidRPr="00E827A5" w:rsidRDefault="00C671DA" w:rsidP="00C36D4F">
            <w:pPr>
              <w:rPr>
                <w:i/>
                <w:color w:val="000000"/>
                <w:sz w:val="22"/>
                <w:szCs w:val="22"/>
              </w:rPr>
            </w:pPr>
            <w:r>
              <w:rPr>
                <w:i/>
                <w:color w:val="000000"/>
                <w:sz w:val="22"/>
                <w:szCs w:val="22"/>
              </w:rPr>
              <w:t>Post-Test Year Ratemaking Adjustments for 2018 and 2019</w:t>
            </w:r>
          </w:p>
          <w:p w14:paraId="4EF29B2A" w14:textId="77777777" w:rsidR="00C671DA" w:rsidRDefault="00C671DA" w:rsidP="00C36D4F">
            <w:pPr>
              <w:spacing w:before="120"/>
              <w:rPr>
                <w:color w:val="000000"/>
                <w:sz w:val="22"/>
                <w:szCs w:val="22"/>
              </w:rPr>
            </w:pPr>
            <w:r>
              <w:rPr>
                <w:color w:val="000000"/>
                <w:sz w:val="22"/>
                <w:szCs w:val="22"/>
              </w:rPr>
              <w:t xml:space="preserve">TURN developed primary and alternate forecasts for post-test year ratemaking (PTYR), both using a two-part PTYR mechanism that escalates O&amp;M expenses using a broad index and bases capital-related attrition on a forecast of attrition-year plant, using the Commission’s traditional historical averaging method to develop the forecast.  TURN’s two proposals used </w:t>
            </w:r>
            <w:r>
              <w:rPr>
                <w:color w:val="000000"/>
                <w:sz w:val="22"/>
                <w:szCs w:val="22"/>
              </w:rPr>
              <w:lastRenderedPageBreak/>
              <w:t>different indices to escalate dollars in TURN’s model.  For O&amp;M, TURN used CPI-U in its primary proposal and CPI-U plus 50 basis points in its alternate proposal.  For capital, TURN used CPI-U to adjust nominal capital expenditures to constant year capital expenditures in its primary recommendation, as compared to a weighted average of the Global Insight capital indices in its alternate proposal.  Based on this methodology, TURN offered the following primary and alternate forecasts in Ex. TURN-12:</w:t>
            </w:r>
          </w:p>
          <w:p w14:paraId="4C377E5D" w14:textId="77777777" w:rsidR="00C671DA" w:rsidRDefault="00C671DA" w:rsidP="00C36D4F">
            <w:pPr>
              <w:spacing w:before="120"/>
              <w:rPr>
                <w:color w:val="000000"/>
                <w:sz w:val="22"/>
                <w:szCs w:val="22"/>
              </w:rPr>
            </w:pPr>
            <w:r>
              <w:rPr>
                <w:color w:val="000000"/>
                <w:sz w:val="22"/>
                <w:szCs w:val="22"/>
              </w:rPr>
              <w:t>Primary:  $469 million (2018); $250 million (2019)</w:t>
            </w:r>
          </w:p>
          <w:p w14:paraId="07F7830A" w14:textId="77777777" w:rsidR="00C671DA" w:rsidRDefault="00C671DA" w:rsidP="00C36D4F">
            <w:pPr>
              <w:spacing w:before="120"/>
              <w:rPr>
                <w:color w:val="000000"/>
                <w:sz w:val="22"/>
                <w:szCs w:val="22"/>
              </w:rPr>
            </w:pPr>
            <w:r>
              <w:rPr>
                <w:color w:val="000000"/>
                <w:sz w:val="22"/>
                <w:szCs w:val="22"/>
              </w:rPr>
              <w:t>Alternate:  $458 million (2018); $290 (2019)</w:t>
            </w:r>
          </w:p>
          <w:p w14:paraId="3D6AD486" w14:textId="77777777" w:rsidR="00C671DA" w:rsidRPr="00E552BC" w:rsidRDefault="00C671DA" w:rsidP="00C36D4F">
            <w:pPr>
              <w:spacing w:before="120"/>
              <w:rPr>
                <w:color w:val="000000"/>
                <w:sz w:val="22"/>
                <w:szCs w:val="22"/>
              </w:rPr>
            </w:pPr>
            <w:r w:rsidRPr="00E552BC">
              <w:rPr>
                <w:color w:val="000000"/>
                <w:sz w:val="22"/>
                <w:szCs w:val="22"/>
              </w:rPr>
              <w:t xml:space="preserve">As TURN explained in Ex. TURN-12, </w:t>
            </w:r>
            <w:r w:rsidRPr="00E552BC">
              <w:rPr>
                <w:noProof/>
                <w:sz w:val="22"/>
                <w:szCs w:val="22"/>
              </w:rPr>
              <w:t>TURN’s primary and alternate proposals for the PTY</w:t>
            </w:r>
            <w:r>
              <w:rPr>
                <w:noProof/>
                <w:sz w:val="22"/>
                <w:szCs w:val="22"/>
              </w:rPr>
              <w:t>R</w:t>
            </w:r>
            <w:r w:rsidRPr="00E552BC">
              <w:rPr>
                <w:noProof/>
                <w:sz w:val="22"/>
                <w:szCs w:val="22"/>
              </w:rPr>
              <w:t xml:space="preserve"> mechanism reflect the short-term tax effects associated with lower capital expenditure levels</w:t>
            </w:r>
            <w:r>
              <w:rPr>
                <w:noProof/>
                <w:sz w:val="22"/>
                <w:szCs w:val="22"/>
              </w:rPr>
              <w:t>, which generally cause an increase in the revenue requirement as compared</w:t>
            </w:r>
            <w:r w:rsidRPr="00E552BC">
              <w:rPr>
                <w:noProof/>
                <w:sz w:val="22"/>
                <w:szCs w:val="22"/>
              </w:rPr>
              <w:t xml:space="preserve"> to the </w:t>
            </w:r>
            <w:r>
              <w:rPr>
                <w:noProof/>
                <w:sz w:val="22"/>
                <w:szCs w:val="22"/>
              </w:rPr>
              <w:t xml:space="preserve">higher capital spending level </w:t>
            </w:r>
            <w:r w:rsidRPr="00E552BC">
              <w:rPr>
                <w:noProof/>
                <w:sz w:val="22"/>
                <w:szCs w:val="22"/>
              </w:rPr>
              <w:t>assumptions in PG&amp;E’s methodology.  In December 2015, federal tax law changed</w:t>
            </w:r>
            <w:r>
              <w:rPr>
                <w:noProof/>
                <w:sz w:val="22"/>
                <w:szCs w:val="22"/>
              </w:rPr>
              <w:t>,</w:t>
            </w:r>
            <w:r w:rsidRPr="00E552BC">
              <w:rPr>
                <w:noProof/>
                <w:sz w:val="22"/>
                <w:szCs w:val="22"/>
              </w:rPr>
              <w:t xml:space="preserve"> extending bonus depreciation through 2019 and permanently extending the research tax credit. </w:t>
            </w:r>
            <w:r>
              <w:rPr>
                <w:noProof/>
                <w:sz w:val="22"/>
                <w:szCs w:val="22"/>
              </w:rPr>
              <w:t xml:space="preserve"> TURN noted the long-term benefits to ratepayers from lower capital expenditures in 2018 and 2019, despite the near-term higher revenue requirement, because </w:t>
            </w:r>
            <w:r w:rsidRPr="00E552BC">
              <w:rPr>
                <w:noProof/>
                <w:sz w:val="22"/>
                <w:szCs w:val="22"/>
              </w:rPr>
              <w:t xml:space="preserve">these tax benefits will ultimately reverse, leaving the ratepayers paying higher rates in the long term.   </w:t>
            </w:r>
          </w:p>
          <w:p w14:paraId="4667F3DE" w14:textId="77777777" w:rsidR="00C671DA" w:rsidRDefault="00C671DA" w:rsidP="00C36D4F">
            <w:pPr>
              <w:spacing w:before="120"/>
              <w:rPr>
                <w:color w:val="000000"/>
                <w:sz w:val="22"/>
                <w:szCs w:val="22"/>
              </w:rPr>
            </w:pPr>
            <w:r>
              <w:rPr>
                <w:color w:val="000000"/>
                <w:sz w:val="22"/>
                <w:szCs w:val="22"/>
              </w:rPr>
              <w:t xml:space="preserve">ORA also offered primary and alternate proposals of $274 (2018) / $283 (2019) and $444 (2018) / $361 (2019).  Given the very </w:t>
            </w:r>
            <w:r>
              <w:rPr>
                <w:color w:val="000000"/>
                <w:sz w:val="22"/>
                <w:szCs w:val="22"/>
              </w:rPr>
              <w:lastRenderedPageBreak/>
              <w:t xml:space="preserve">unusual tax effects at play in PTYR in this proceeding, the range of dispute was much smaller than usual.  </w:t>
            </w:r>
          </w:p>
          <w:p w14:paraId="1D0367AA" w14:textId="77777777" w:rsidR="00C671DA" w:rsidRDefault="00C671DA" w:rsidP="00C36D4F">
            <w:pPr>
              <w:spacing w:before="120"/>
              <w:rPr>
                <w:color w:val="000000"/>
                <w:sz w:val="22"/>
                <w:szCs w:val="22"/>
              </w:rPr>
            </w:pPr>
            <w:r>
              <w:rPr>
                <w:color w:val="000000"/>
                <w:sz w:val="22"/>
                <w:szCs w:val="22"/>
              </w:rPr>
              <w:t>The Settlement Agreement did not resolve the methodological dispute among parties but adopted fixed dollar amounts.  As a compromise among the positions of PG&amp;E, TURN, and ORA, it adopted ORA’s alternative proposal for 2018, $444, which was lower than both of TURN’s proposals but higher than ORA’s primary recommendation.  For 2019, the Settlement Agreement adopted ORA’s alternative proposal of $361, which was higher than both of TURN’s proposals and ORA’s primary recommendation.  The Commission adopted these fixed dollar amounts in D.17-05-013.</w:t>
            </w:r>
          </w:p>
          <w:p w14:paraId="26AC9A55" w14:textId="77777777" w:rsidR="00C671DA" w:rsidRDefault="00C671DA" w:rsidP="00C36D4F">
            <w:pPr>
              <w:spacing w:before="120"/>
              <w:rPr>
                <w:color w:val="000000"/>
                <w:sz w:val="22"/>
                <w:szCs w:val="22"/>
              </w:rPr>
            </w:pPr>
            <w:r>
              <w:rPr>
                <w:color w:val="000000"/>
                <w:sz w:val="22"/>
                <w:szCs w:val="22"/>
              </w:rPr>
              <w:t>Compared to PG&amp;E’s updated request, the Settlement Agreement reduced PG&amp;E’s 2018 PTYR adjustment by $25 million ($469 vs. $444), for a total GRC cycle reduction of $50 million.  The Settlement reduced PG&amp;E’s 2019 PTR adjustment by $7 million ($368 vs. $361).  In sum, Section 3.1.1.2 will save ratepayers $57 million and provide PG&amp;E some cost containment incentives.</w:t>
            </w:r>
          </w:p>
          <w:p w14:paraId="46A983D9" w14:textId="77777777" w:rsidR="00C671DA" w:rsidRPr="00F73ACC" w:rsidRDefault="00C671DA" w:rsidP="00C36D4F">
            <w:pPr>
              <w:spacing w:before="120"/>
              <w:rPr>
                <w:b/>
                <w:color w:val="000000"/>
              </w:rPr>
            </w:pPr>
          </w:p>
        </w:tc>
        <w:tc>
          <w:tcPr>
            <w:tcW w:w="4140" w:type="dxa"/>
            <w:shd w:val="clear" w:color="auto" w:fill="auto"/>
          </w:tcPr>
          <w:p w14:paraId="7033F4EB" w14:textId="77777777" w:rsidR="00C671DA" w:rsidRDefault="00C671DA" w:rsidP="00C36D4F">
            <w:pPr>
              <w:spacing w:before="120"/>
              <w:rPr>
                <w:color w:val="000000"/>
              </w:rPr>
            </w:pPr>
          </w:p>
          <w:p w14:paraId="1447DA74" w14:textId="77777777" w:rsidR="00C671DA" w:rsidRPr="00E827A5" w:rsidRDefault="00C671DA" w:rsidP="00C36D4F">
            <w:pPr>
              <w:spacing w:before="120"/>
              <w:rPr>
                <w:i/>
                <w:color w:val="000000"/>
                <w:sz w:val="22"/>
                <w:szCs w:val="22"/>
              </w:rPr>
            </w:pPr>
            <w:r>
              <w:rPr>
                <w:i/>
                <w:color w:val="000000"/>
                <w:sz w:val="22"/>
                <w:szCs w:val="22"/>
              </w:rPr>
              <w:t xml:space="preserve">2017 </w:t>
            </w:r>
            <w:r w:rsidRPr="00E827A5">
              <w:rPr>
                <w:i/>
                <w:color w:val="000000"/>
                <w:sz w:val="22"/>
                <w:szCs w:val="22"/>
              </w:rPr>
              <w:t>Test Year Revenue Requirement</w:t>
            </w:r>
          </w:p>
          <w:p w14:paraId="23944A04" w14:textId="77777777" w:rsidR="00C671DA" w:rsidRDefault="00C671DA" w:rsidP="00C36D4F">
            <w:pPr>
              <w:pStyle w:val="ListParagraph"/>
              <w:numPr>
                <w:ilvl w:val="0"/>
                <w:numId w:val="11"/>
              </w:numPr>
              <w:spacing w:before="120"/>
              <w:rPr>
                <w:color w:val="000000"/>
              </w:rPr>
            </w:pPr>
            <w:r>
              <w:rPr>
                <w:color w:val="000000"/>
              </w:rPr>
              <w:t>Settlement Agreement, Appendix A, “Cost Summary” tables on pages 2 and 3 (comparing TURN’s reductions to the settlement reductions)</w:t>
            </w:r>
          </w:p>
          <w:p w14:paraId="0AE845EF" w14:textId="77777777" w:rsidR="00C671DA" w:rsidRDefault="00C671DA" w:rsidP="00C36D4F">
            <w:pPr>
              <w:pStyle w:val="ListParagraph"/>
              <w:numPr>
                <w:ilvl w:val="0"/>
                <w:numId w:val="11"/>
              </w:numPr>
              <w:spacing w:before="120"/>
              <w:rPr>
                <w:color w:val="000000"/>
              </w:rPr>
            </w:pPr>
            <w:r>
              <w:rPr>
                <w:color w:val="000000"/>
              </w:rPr>
              <w:t>Settlement Agreement, Appendix A, “Results of Operations Summary of Proposed Increase over Adopted 2016,” p. 1 of 18.</w:t>
            </w:r>
          </w:p>
          <w:p w14:paraId="0BCFAA6F" w14:textId="77777777" w:rsidR="00C671DA" w:rsidRDefault="00C671DA" w:rsidP="00C36D4F">
            <w:pPr>
              <w:rPr>
                <w:i/>
                <w:color w:val="000000"/>
                <w:sz w:val="22"/>
                <w:szCs w:val="22"/>
              </w:rPr>
            </w:pPr>
          </w:p>
          <w:p w14:paraId="38CA182D" w14:textId="77777777" w:rsidR="00C671DA" w:rsidRDefault="00C671DA" w:rsidP="00C36D4F">
            <w:pPr>
              <w:rPr>
                <w:i/>
                <w:color w:val="000000"/>
                <w:sz w:val="22"/>
                <w:szCs w:val="22"/>
              </w:rPr>
            </w:pPr>
          </w:p>
          <w:p w14:paraId="3C0E4480" w14:textId="77777777" w:rsidR="00C671DA" w:rsidRDefault="00C671DA" w:rsidP="00C36D4F">
            <w:pPr>
              <w:rPr>
                <w:i/>
                <w:color w:val="000000"/>
                <w:sz w:val="22"/>
                <w:szCs w:val="22"/>
              </w:rPr>
            </w:pPr>
          </w:p>
          <w:p w14:paraId="0A66A74A" w14:textId="77777777" w:rsidR="00C671DA" w:rsidRDefault="00C671DA" w:rsidP="00C36D4F">
            <w:pPr>
              <w:rPr>
                <w:i/>
                <w:color w:val="000000"/>
                <w:sz w:val="22"/>
                <w:szCs w:val="22"/>
              </w:rPr>
            </w:pPr>
          </w:p>
          <w:p w14:paraId="1F2C6B9F" w14:textId="77777777" w:rsidR="00C671DA" w:rsidRDefault="00C671DA" w:rsidP="00C36D4F">
            <w:pPr>
              <w:rPr>
                <w:i/>
                <w:color w:val="000000"/>
                <w:sz w:val="22"/>
                <w:szCs w:val="22"/>
              </w:rPr>
            </w:pPr>
          </w:p>
          <w:p w14:paraId="06296CE9" w14:textId="77777777" w:rsidR="00C671DA" w:rsidRDefault="00C671DA" w:rsidP="00C36D4F">
            <w:pPr>
              <w:rPr>
                <w:i/>
                <w:color w:val="000000"/>
                <w:sz w:val="22"/>
                <w:szCs w:val="22"/>
              </w:rPr>
            </w:pPr>
          </w:p>
          <w:p w14:paraId="7E43D852" w14:textId="77777777" w:rsidR="00C671DA" w:rsidRDefault="00C671DA" w:rsidP="00C36D4F">
            <w:pPr>
              <w:rPr>
                <w:i/>
                <w:color w:val="000000"/>
                <w:sz w:val="22"/>
                <w:szCs w:val="22"/>
              </w:rPr>
            </w:pPr>
          </w:p>
          <w:p w14:paraId="0BCEAC0A" w14:textId="77777777" w:rsidR="00C671DA" w:rsidRDefault="00C671DA" w:rsidP="00C36D4F">
            <w:pPr>
              <w:rPr>
                <w:i/>
                <w:color w:val="000000"/>
                <w:sz w:val="22"/>
                <w:szCs w:val="22"/>
              </w:rPr>
            </w:pPr>
          </w:p>
          <w:p w14:paraId="12AAC4FE" w14:textId="77777777" w:rsidR="00C671DA" w:rsidRDefault="00C671DA" w:rsidP="00C36D4F">
            <w:pPr>
              <w:rPr>
                <w:i/>
                <w:color w:val="000000"/>
                <w:sz w:val="22"/>
                <w:szCs w:val="22"/>
              </w:rPr>
            </w:pPr>
          </w:p>
          <w:p w14:paraId="3C53F115" w14:textId="77777777" w:rsidR="00C671DA" w:rsidRDefault="00C671DA" w:rsidP="00C36D4F">
            <w:pPr>
              <w:rPr>
                <w:i/>
                <w:color w:val="000000"/>
                <w:sz w:val="22"/>
                <w:szCs w:val="22"/>
              </w:rPr>
            </w:pPr>
          </w:p>
          <w:p w14:paraId="7B547DEE" w14:textId="77777777" w:rsidR="00C671DA" w:rsidRDefault="00C671DA" w:rsidP="00C36D4F">
            <w:pPr>
              <w:rPr>
                <w:i/>
                <w:color w:val="000000"/>
                <w:sz w:val="22"/>
                <w:szCs w:val="22"/>
              </w:rPr>
            </w:pPr>
          </w:p>
          <w:p w14:paraId="7370025A" w14:textId="77777777" w:rsidR="00C671DA" w:rsidRDefault="00C671DA" w:rsidP="00C36D4F">
            <w:pPr>
              <w:rPr>
                <w:i/>
                <w:color w:val="000000"/>
                <w:sz w:val="22"/>
                <w:szCs w:val="22"/>
              </w:rPr>
            </w:pPr>
          </w:p>
          <w:p w14:paraId="2B17304E" w14:textId="77777777" w:rsidR="00C671DA" w:rsidRDefault="00C671DA" w:rsidP="00C36D4F">
            <w:pPr>
              <w:rPr>
                <w:i/>
                <w:color w:val="000000"/>
                <w:sz w:val="22"/>
                <w:szCs w:val="22"/>
              </w:rPr>
            </w:pPr>
          </w:p>
          <w:p w14:paraId="33A4F2AF" w14:textId="77777777" w:rsidR="00C671DA" w:rsidRDefault="00C671DA" w:rsidP="00C36D4F">
            <w:pPr>
              <w:rPr>
                <w:i/>
                <w:color w:val="000000"/>
                <w:sz w:val="22"/>
                <w:szCs w:val="22"/>
              </w:rPr>
            </w:pPr>
          </w:p>
          <w:p w14:paraId="59FEEEF3" w14:textId="77777777" w:rsidR="00C671DA" w:rsidRDefault="00C671DA" w:rsidP="00C36D4F">
            <w:pPr>
              <w:rPr>
                <w:i/>
                <w:color w:val="000000"/>
                <w:sz w:val="22"/>
                <w:szCs w:val="22"/>
              </w:rPr>
            </w:pPr>
          </w:p>
          <w:p w14:paraId="2421D624" w14:textId="77777777" w:rsidR="00C671DA" w:rsidRDefault="00C671DA" w:rsidP="00C36D4F">
            <w:pPr>
              <w:rPr>
                <w:i/>
                <w:color w:val="000000"/>
                <w:sz w:val="22"/>
                <w:szCs w:val="22"/>
              </w:rPr>
            </w:pPr>
          </w:p>
          <w:p w14:paraId="4120F234" w14:textId="77777777" w:rsidR="00C671DA" w:rsidRDefault="00C671DA" w:rsidP="00C36D4F">
            <w:pPr>
              <w:rPr>
                <w:i/>
                <w:color w:val="000000"/>
                <w:sz w:val="22"/>
                <w:szCs w:val="22"/>
              </w:rPr>
            </w:pPr>
          </w:p>
          <w:p w14:paraId="27F8878A" w14:textId="77777777" w:rsidR="00C671DA" w:rsidRDefault="00C671DA" w:rsidP="00C36D4F">
            <w:pPr>
              <w:rPr>
                <w:i/>
                <w:color w:val="000000"/>
                <w:sz w:val="22"/>
                <w:szCs w:val="22"/>
              </w:rPr>
            </w:pPr>
          </w:p>
          <w:p w14:paraId="04747A06" w14:textId="77777777" w:rsidR="00C671DA" w:rsidRDefault="00C671DA" w:rsidP="00C36D4F">
            <w:pPr>
              <w:rPr>
                <w:i/>
                <w:color w:val="000000"/>
                <w:sz w:val="22"/>
                <w:szCs w:val="22"/>
              </w:rPr>
            </w:pPr>
          </w:p>
          <w:p w14:paraId="0379F733" w14:textId="77777777" w:rsidR="00C671DA" w:rsidRDefault="00C671DA" w:rsidP="00C36D4F">
            <w:pPr>
              <w:rPr>
                <w:i/>
                <w:color w:val="000000"/>
                <w:sz w:val="22"/>
                <w:szCs w:val="22"/>
              </w:rPr>
            </w:pPr>
          </w:p>
          <w:p w14:paraId="790D09C9" w14:textId="77777777" w:rsidR="00C671DA" w:rsidRDefault="00C671DA" w:rsidP="00C36D4F">
            <w:pPr>
              <w:rPr>
                <w:i/>
                <w:color w:val="000000"/>
                <w:sz w:val="22"/>
                <w:szCs w:val="22"/>
              </w:rPr>
            </w:pPr>
          </w:p>
          <w:p w14:paraId="043D4EF2" w14:textId="77777777" w:rsidR="00C671DA" w:rsidRDefault="00C671DA" w:rsidP="00C36D4F">
            <w:pPr>
              <w:rPr>
                <w:i/>
                <w:color w:val="000000"/>
                <w:sz w:val="22"/>
                <w:szCs w:val="22"/>
              </w:rPr>
            </w:pPr>
          </w:p>
          <w:p w14:paraId="3F0A552F" w14:textId="77777777" w:rsidR="00C671DA" w:rsidRDefault="00C671DA" w:rsidP="00C36D4F">
            <w:pPr>
              <w:rPr>
                <w:i/>
                <w:color w:val="000000"/>
                <w:sz w:val="22"/>
                <w:szCs w:val="22"/>
              </w:rPr>
            </w:pPr>
          </w:p>
          <w:p w14:paraId="0A72B98E" w14:textId="77777777" w:rsidR="00C671DA" w:rsidRDefault="00C671DA" w:rsidP="00C36D4F">
            <w:pPr>
              <w:rPr>
                <w:i/>
                <w:color w:val="000000"/>
                <w:sz w:val="22"/>
                <w:szCs w:val="22"/>
              </w:rPr>
            </w:pPr>
          </w:p>
          <w:p w14:paraId="6E452904" w14:textId="77777777" w:rsidR="00C671DA" w:rsidRDefault="00C671DA" w:rsidP="00C36D4F">
            <w:pPr>
              <w:rPr>
                <w:i/>
                <w:color w:val="000000"/>
                <w:sz w:val="22"/>
                <w:szCs w:val="22"/>
              </w:rPr>
            </w:pPr>
          </w:p>
          <w:p w14:paraId="6E4373A3" w14:textId="77777777" w:rsidR="00C671DA" w:rsidRDefault="00C671DA" w:rsidP="00C36D4F">
            <w:pPr>
              <w:rPr>
                <w:i/>
                <w:color w:val="000000"/>
                <w:sz w:val="22"/>
                <w:szCs w:val="22"/>
              </w:rPr>
            </w:pPr>
          </w:p>
          <w:p w14:paraId="2CB837B7" w14:textId="77777777" w:rsidR="00C671DA" w:rsidRDefault="00C671DA" w:rsidP="00C36D4F">
            <w:pPr>
              <w:rPr>
                <w:i/>
                <w:color w:val="000000"/>
                <w:sz w:val="22"/>
                <w:szCs w:val="22"/>
              </w:rPr>
            </w:pPr>
          </w:p>
          <w:p w14:paraId="323E38EE" w14:textId="77777777" w:rsidR="00C671DA" w:rsidRDefault="00C671DA" w:rsidP="00C36D4F">
            <w:pPr>
              <w:rPr>
                <w:i/>
                <w:color w:val="000000"/>
                <w:sz w:val="22"/>
                <w:szCs w:val="22"/>
              </w:rPr>
            </w:pPr>
          </w:p>
          <w:p w14:paraId="181AC6F3" w14:textId="77777777" w:rsidR="00C671DA" w:rsidRDefault="00C671DA" w:rsidP="00C36D4F">
            <w:pPr>
              <w:rPr>
                <w:i/>
                <w:color w:val="000000"/>
                <w:sz w:val="22"/>
                <w:szCs w:val="22"/>
              </w:rPr>
            </w:pPr>
          </w:p>
          <w:p w14:paraId="564F0C80" w14:textId="77777777" w:rsidR="00C671DA" w:rsidRDefault="00C671DA" w:rsidP="00C36D4F">
            <w:pPr>
              <w:rPr>
                <w:i/>
                <w:color w:val="000000"/>
                <w:sz w:val="22"/>
                <w:szCs w:val="22"/>
              </w:rPr>
            </w:pPr>
          </w:p>
          <w:p w14:paraId="319F7B7E" w14:textId="77777777" w:rsidR="00C671DA" w:rsidRDefault="00C671DA" w:rsidP="00C36D4F">
            <w:pPr>
              <w:rPr>
                <w:i/>
                <w:color w:val="000000"/>
                <w:sz w:val="22"/>
                <w:szCs w:val="22"/>
              </w:rPr>
            </w:pPr>
          </w:p>
          <w:p w14:paraId="4E516751" w14:textId="77777777" w:rsidR="00C671DA" w:rsidRDefault="00C671DA" w:rsidP="00C36D4F">
            <w:pPr>
              <w:rPr>
                <w:i/>
                <w:color w:val="000000"/>
                <w:sz w:val="22"/>
                <w:szCs w:val="22"/>
              </w:rPr>
            </w:pPr>
          </w:p>
          <w:p w14:paraId="23F56066" w14:textId="77777777" w:rsidR="00C671DA" w:rsidRDefault="00C671DA" w:rsidP="00C36D4F">
            <w:pPr>
              <w:rPr>
                <w:i/>
                <w:color w:val="000000"/>
                <w:sz w:val="22"/>
                <w:szCs w:val="22"/>
              </w:rPr>
            </w:pPr>
          </w:p>
          <w:p w14:paraId="177FF7F5" w14:textId="77777777" w:rsidR="00C671DA" w:rsidRDefault="00C671DA" w:rsidP="00C36D4F">
            <w:pPr>
              <w:rPr>
                <w:i/>
                <w:color w:val="000000"/>
                <w:sz w:val="22"/>
                <w:szCs w:val="22"/>
              </w:rPr>
            </w:pPr>
          </w:p>
          <w:p w14:paraId="23582FBF" w14:textId="77777777" w:rsidR="00C671DA" w:rsidRDefault="00C671DA" w:rsidP="00C36D4F">
            <w:pPr>
              <w:rPr>
                <w:i/>
                <w:color w:val="000000"/>
                <w:sz w:val="22"/>
                <w:szCs w:val="22"/>
              </w:rPr>
            </w:pPr>
          </w:p>
          <w:p w14:paraId="092C7FA4" w14:textId="77777777" w:rsidR="00C671DA" w:rsidRDefault="00C671DA" w:rsidP="00C36D4F">
            <w:pPr>
              <w:rPr>
                <w:i/>
                <w:color w:val="000000"/>
                <w:sz w:val="22"/>
                <w:szCs w:val="22"/>
              </w:rPr>
            </w:pPr>
          </w:p>
          <w:p w14:paraId="0B297479" w14:textId="77777777" w:rsidR="00C671DA" w:rsidRDefault="00C671DA" w:rsidP="00C36D4F">
            <w:pPr>
              <w:rPr>
                <w:i/>
                <w:color w:val="000000"/>
                <w:sz w:val="22"/>
                <w:szCs w:val="22"/>
              </w:rPr>
            </w:pPr>
          </w:p>
          <w:p w14:paraId="5065FAC8" w14:textId="77777777" w:rsidR="00C671DA" w:rsidRDefault="00C671DA" w:rsidP="00C36D4F">
            <w:pPr>
              <w:rPr>
                <w:i/>
                <w:color w:val="000000"/>
                <w:sz w:val="22"/>
                <w:szCs w:val="22"/>
              </w:rPr>
            </w:pPr>
          </w:p>
          <w:p w14:paraId="7352A6AA" w14:textId="77777777" w:rsidR="00C671DA" w:rsidRDefault="00C671DA" w:rsidP="00C36D4F">
            <w:pPr>
              <w:rPr>
                <w:i/>
                <w:color w:val="000000"/>
                <w:sz w:val="22"/>
                <w:szCs w:val="22"/>
              </w:rPr>
            </w:pPr>
          </w:p>
          <w:p w14:paraId="44D0CA0F" w14:textId="77777777" w:rsidR="00C671DA" w:rsidRDefault="00C671DA" w:rsidP="00C36D4F">
            <w:pPr>
              <w:rPr>
                <w:i/>
                <w:color w:val="000000"/>
                <w:sz w:val="22"/>
                <w:szCs w:val="22"/>
              </w:rPr>
            </w:pPr>
          </w:p>
          <w:p w14:paraId="18E4767F" w14:textId="77777777" w:rsidR="00C671DA" w:rsidRDefault="00C671DA" w:rsidP="00C36D4F">
            <w:pPr>
              <w:rPr>
                <w:i/>
                <w:color w:val="000000"/>
                <w:sz w:val="22"/>
                <w:szCs w:val="22"/>
              </w:rPr>
            </w:pPr>
          </w:p>
          <w:p w14:paraId="0FA29FD6" w14:textId="77777777" w:rsidR="00C671DA" w:rsidRDefault="00C671DA" w:rsidP="00C36D4F">
            <w:pPr>
              <w:rPr>
                <w:i/>
                <w:color w:val="000000"/>
                <w:sz w:val="22"/>
                <w:szCs w:val="22"/>
              </w:rPr>
            </w:pPr>
          </w:p>
          <w:p w14:paraId="6CDA82F8" w14:textId="77777777" w:rsidR="00C671DA" w:rsidRDefault="00C671DA" w:rsidP="00C36D4F">
            <w:pPr>
              <w:rPr>
                <w:i/>
                <w:color w:val="000000"/>
                <w:sz w:val="22"/>
                <w:szCs w:val="22"/>
              </w:rPr>
            </w:pPr>
          </w:p>
          <w:p w14:paraId="15DF6712" w14:textId="77777777" w:rsidR="00C671DA" w:rsidRDefault="00C671DA" w:rsidP="00C36D4F">
            <w:pPr>
              <w:rPr>
                <w:i/>
                <w:color w:val="000000"/>
                <w:sz w:val="22"/>
                <w:szCs w:val="22"/>
              </w:rPr>
            </w:pPr>
          </w:p>
          <w:p w14:paraId="3681E47F" w14:textId="77777777" w:rsidR="00C671DA" w:rsidRDefault="00C671DA" w:rsidP="00C36D4F">
            <w:pPr>
              <w:rPr>
                <w:i/>
                <w:color w:val="000000"/>
                <w:sz w:val="22"/>
                <w:szCs w:val="22"/>
              </w:rPr>
            </w:pPr>
          </w:p>
          <w:p w14:paraId="3027B680" w14:textId="77777777" w:rsidR="00C671DA" w:rsidRDefault="00C671DA" w:rsidP="00C36D4F">
            <w:pPr>
              <w:rPr>
                <w:i/>
                <w:color w:val="000000"/>
                <w:sz w:val="22"/>
                <w:szCs w:val="22"/>
              </w:rPr>
            </w:pPr>
          </w:p>
          <w:p w14:paraId="7E912895" w14:textId="77777777" w:rsidR="00C671DA" w:rsidRDefault="00C671DA" w:rsidP="00C36D4F">
            <w:pPr>
              <w:rPr>
                <w:i/>
                <w:color w:val="000000"/>
                <w:sz w:val="22"/>
                <w:szCs w:val="22"/>
              </w:rPr>
            </w:pPr>
          </w:p>
          <w:p w14:paraId="21CEE566" w14:textId="77777777" w:rsidR="00C671DA" w:rsidRPr="00E827A5" w:rsidRDefault="00C671DA" w:rsidP="00C36D4F">
            <w:pPr>
              <w:rPr>
                <w:i/>
                <w:color w:val="000000"/>
                <w:sz w:val="22"/>
                <w:szCs w:val="22"/>
              </w:rPr>
            </w:pPr>
            <w:r>
              <w:rPr>
                <w:i/>
                <w:color w:val="000000"/>
                <w:sz w:val="22"/>
                <w:szCs w:val="22"/>
              </w:rPr>
              <w:t>Post-Test Year Ratemaking Adjustments for 2018 and 2019</w:t>
            </w:r>
          </w:p>
          <w:p w14:paraId="19434AE8" w14:textId="77777777" w:rsidR="00C671DA" w:rsidRDefault="00C671DA" w:rsidP="00C36D4F">
            <w:pPr>
              <w:pStyle w:val="ListParagraph"/>
              <w:numPr>
                <w:ilvl w:val="0"/>
                <w:numId w:val="11"/>
              </w:numPr>
              <w:spacing w:before="120"/>
              <w:rPr>
                <w:color w:val="000000"/>
              </w:rPr>
            </w:pPr>
            <w:r>
              <w:rPr>
                <w:color w:val="000000"/>
              </w:rPr>
              <w:t>Joint Motion, p. 12 (addressing Section 3.1.1.2 of the Settlement Agreement)</w:t>
            </w:r>
          </w:p>
          <w:p w14:paraId="459D5962" w14:textId="77777777" w:rsidR="00C671DA" w:rsidRDefault="00C671DA" w:rsidP="00C36D4F">
            <w:pPr>
              <w:pStyle w:val="ListParagraph"/>
              <w:numPr>
                <w:ilvl w:val="0"/>
                <w:numId w:val="11"/>
              </w:numPr>
              <w:spacing w:before="120"/>
              <w:rPr>
                <w:color w:val="000000"/>
              </w:rPr>
            </w:pPr>
            <w:r>
              <w:rPr>
                <w:color w:val="000000"/>
              </w:rPr>
              <w:t>Settlement Agreement, Section 3.1.1.2</w:t>
            </w:r>
          </w:p>
          <w:p w14:paraId="407AD9CC" w14:textId="77777777" w:rsidR="00C671DA" w:rsidRDefault="00C671DA" w:rsidP="00C36D4F">
            <w:pPr>
              <w:pStyle w:val="ListParagraph"/>
              <w:numPr>
                <w:ilvl w:val="0"/>
                <w:numId w:val="11"/>
              </w:numPr>
              <w:spacing w:before="120"/>
              <w:rPr>
                <w:color w:val="000000"/>
              </w:rPr>
            </w:pPr>
            <w:r>
              <w:rPr>
                <w:color w:val="000000"/>
              </w:rPr>
              <w:t>Settlement Agreement, Appendix B, “Post-Test Year Settlement Amounts”</w:t>
            </w:r>
          </w:p>
          <w:p w14:paraId="44022EBE" w14:textId="77777777" w:rsidR="00C671DA" w:rsidRPr="0067505F" w:rsidRDefault="00C671DA" w:rsidP="00C36D4F">
            <w:pPr>
              <w:pStyle w:val="ListParagraph"/>
              <w:numPr>
                <w:ilvl w:val="0"/>
                <w:numId w:val="11"/>
              </w:numPr>
              <w:spacing w:before="120"/>
              <w:rPr>
                <w:color w:val="000000"/>
              </w:rPr>
            </w:pPr>
            <w:r>
              <w:rPr>
                <w:color w:val="000000"/>
              </w:rPr>
              <w:t>Ex. TURN-12, p. 17</w:t>
            </w:r>
          </w:p>
        </w:tc>
        <w:tc>
          <w:tcPr>
            <w:tcW w:w="2340" w:type="dxa"/>
            <w:shd w:val="clear" w:color="auto" w:fill="auto"/>
          </w:tcPr>
          <w:p w14:paraId="22C7FB61" w14:textId="77777777" w:rsidR="00C671DA" w:rsidRDefault="00C671DA" w:rsidP="00C36D4F">
            <w:pPr>
              <w:spacing w:before="120"/>
              <w:rPr>
                <w:color w:val="FF0000"/>
              </w:rPr>
            </w:pPr>
          </w:p>
          <w:p w14:paraId="6D036F3C" w14:textId="77777777" w:rsidR="00C671DA" w:rsidRDefault="00C671DA" w:rsidP="00C36D4F">
            <w:pPr>
              <w:spacing w:before="120"/>
              <w:rPr>
                <w:color w:val="FF0000"/>
              </w:rPr>
            </w:pPr>
          </w:p>
          <w:p w14:paraId="37CF3713" w14:textId="77777777" w:rsidR="00C671DA" w:rsidRPr="00DE1275" w:rsidRDefault="00C671DA" w:rsidP="00C36D4F">
            <w:pPr>
              <w:spacing w:before="120"/>
              <w:rPr>
                <w:color w:val="000000" w:themeColor="text1"/>
              </w:rPr>
            </w:pPr>
            <w:r w:rsidRPr="00DE1275">
              <w:rPr>
                <w:color w:val="000000" w:themeColor="text1"/>
              </w:rPr>
              <w:t>Verified</w:t>
            </w:r>
          </w:p>
          <w:p w14:paraId="2380AB7F" w14:textId="77777777" w:rsidR="00C671DA" w:rsidRDefault="00C671DA" w:rsidP="00C36D4F">
            <w:pPr>
              <w:spacing w:before="120"/>
              <w:rPr>
                <w:color w:val="000000"/>
              </w:rPr>
            </w:pPr>
          </w:p>
          <w:p w14:paraId="1A3FE794" w14:textId="77777777" w:rsidR="00C671DA" w:rsidRDefault="00C671DA" w:rsidP="00C36D4F">
            <w:pPr>
              <w:spacing w:before="120"/>
              <w:rPr>
                <w:color w:val="000000"/>
              </w:rPr>
            </w:pPr>
          </w:p>
          <w:p w14:paraId="20A3D456" w14:textId="77777777" w:rsidR="00C671DA" w:rsidRDefault="00C671DA" w:rsidP="00C36D4F">
            <w:pPr>
              <w:spacing w:before="120"/>
              <w:rPr>
                <w:color w:val="000000"/>
              </w:rPr>
            </w:pPr>
          </w:p>
          <w:p w14:paraId="4815AA3A" w14:textId="77777777" w:rsidR="00C671DA" w:rsidRDefault="00C671DA" w:rsidP="00C36D4F">
            <w:pPr>
              <w:spacing w:before="120"/>
              <w:rPr>
                <w:color w:val="000000"/>
              </w:rPr>
            </w:pPr>
          </w:p>
          <w:p w14:paraId="02305BC0" w14:textId="77777777" w:rsidR="00C671DA" w:rsidRDefault="00C671DA" w:rsidP="00C36D4F">
            <w:pPr>
              <w:spacing w:before="120"/>
              <w:rPr>
                <w:color w:val="000000"/>
              </w:rPr>
            </w:pPr>
          </w:p>
          <w:p w14:paraId="143C7EB6" w14:textId="77777777" w:rsidR="00C671DA" w:rsidRDefault="00C671DA" w:rsidP="00C36D4F">
            <w:pPr>
              <w:spacing w:before="120"/>
              <w:rPr>
                <w:color w:val="000000"/>
              </w:rPr>
            </w:pPr>
          </w:p>
          <w:p w14:paraId="6FD5DB2B" w14:textId="77777777" w:rsidR="00C671DA" w:rsidRDefault="00C671DA" w:rsidP="00C36D4F">
            <w:pPr>
              <w:spacing w:before="120"/>
              <w:rPr>
                <w:color w:val="000000"/>
              </w:rPr>
            </w:pPr>
          </w:p>
          <w:p w14:paraId="7A45E34C" w14:textId="77777777" w:rsidR="00C671DA" w:rsidRDefault="00C671DA" w:rsidP="00C36D4F">
            <w:pPr>
              <w:spacing w:before="120"/>
              <w:rPr>
                <w:color w:val="000000"/>
              </w:rPr>
            </w:pPr>
          </w:p>
          <w:p w14:paraId="662DE35A" w14:textId="77777777" w:rsidR="00C671DA" w:rsidRDefault="00C671DA" w:rsidP="00C36D4F">
            <w:pPr>
              <w:spacing w:before="120"/>
              <w:rPr>
                <w:color w:val="000000"/>
              </w:rPr>
            </w:pPr>
          </w:p>
          <w:p w14:paraId="0977E092" w14:textId="77777777" w:rsidR="00C671DA" w:rsidRDefault="00C671DA" w:rsidP="00C36D4F">
            <w:pPr>
              <w:spacing w:before="120"/>
              <w:rPr>
                <w:color w:val="000000"/>
              </w:rPr>
            </w:pPr>
          </w:p>
          <w:p w14:paraId="56EEF197" w14:textId="77777777" w:rsidR="00C671DA" w:rsidRDefault="00C671DA" w:rsidP="00C36D4F">
            <w:pPr>
              <w:spacing w:before="120"/>
              <w:rPr>
                <w:color w:val="000000"/>
              </w:rPr>
            </w:pPr>
          </w:p>
          <w:p w14:paraId="27B722AC" w14:textId="77777777" w:rsidR="00C671DA" w:rsidRDefault="00C671DA" w:rsidP="00C36D4F">
            <w:pPr>
              <w:spacing w:before="120"/>
              <w:rPr>
                <w:color w:val="000000"/>
              </w:rPr>
            </w:pPr>
          </w:p>
          <w:p w14:paraId="37B9DAC8" w14:textId="77777777" w:rsidR="00C671DA" w:rsidRDefault="00C671DA" w:rsidP="00C36D4F">
            <w:pPr>
              <w:spacing w:before="120"/>
              <w:rPr>
                <w:color w:val="000000"/>
              </w:rPr>
            </w:pPr>
          </w:p>
          <w:p w14:paraId="700AEA45" w14:textId="77777777" w:rsidR="00C671DA" w:rsidRDefault="00C671DA" w:rsidP="00C36D4F">
            <w:pPr>
              <w:spacing w:before="120"/>
              <w:rPr>
                <w:color w:val="000000"/>
              </w:rPr>
            </w:pPr>
          </w:p>
          <w:p w14:paraId="6DCA3B12" w14:textId="77777777" w:rsidR="00C671DA" w:rsidRDefault="00C671DA" w:rsidP="00C36D4F">
            <w:pPr>
              <w:spacing w:before="120"/>
              <w:rPr>
                <w:color w:val="000000"/>
              </w:rPr>
            </w:pPr>
          </w:p>
          <w:p w14:paraId="024911DC" w14:textId="77777777" w:rsidR="00C671DA" w:rsidRDefault="00C671DA" w:rsidP="00C36D4F">
            <w:pPr>
              <w:spacing w:before="120"/>
              <w:rPr>
                <w:color w:val="000000"/>
              </w:rPr>
            </w:pPr>
          </w:p>
          <w:p w14:paraId="483EE330" w14:textId="77777777" w:rsidR="00C671DA" w:rsidRDefault="00C671DA" w:rsidP="00C36D4F">
            <w:pPr>
              <w:spacing w:before="120"/>
              <w:rPr>
                <w:color w:val="000000"/>
              </w:rPr>
            </w:pPr>
          </w:p>
          <w:p w14:paraId="2F9E801B" w14:textId="77777777" w:rsidR="00C671DA" w:rsidRDefault="00C671DA" w:rsidP="00C36D4F">
            <w:pPr>
              <w:spacing w:before="120"/>
              <w:rPr>
                <w:color w:val="000000"/>
              </w:rPr>
            </w:pPr>
          </w:p>
          <w:p w14:paraId="6EA56A37" w14:textId="77777777" w:rsidR="00C671DA" w:rsidRDefault="00C671DA" w:rsidP="00C36D4F">
            <w:pPr>
              <w:spacing w:before="120"/>
              <w:rPr>
                <w:color w:val="000000"/>
              </w:rPr>
            </w:pPr>
          </w:p>
          <w:p w14:paraId="5AE8BB16" w14:textId="77777777" w:rsidR="00C671DA" w:rsidRDefault="00C671DA" w:rsidP="00C36D4F">
            <w:pPr>
              <w:spacing w:before="120"/>
              <w:rPr>
                <w:color w:val="000000"/>
              </w:rPr>
            </w:pPr>
          </w:p>
          <w:p w14:paraId="2D5E259E" w14:textId="77777777" w:rsidR="00C671DA" w:rsidRDefault="00C671DA" w:rsidP="00C36D4F">
            <w:pPr>
              <w:spacing w:before="120"/>
              <w:rPr>
                <w:color w:val="000000"/>
              </w:rPr>
            </w:pPr>
          </w:p>
          <w:p w14:paraId="0FD5E416" w14:textId="77777777" w:rsidR="00C671DA" w:rsidRDefault="00C671DA" w:rsidP="00C36D4F">
            <w:pPr>
              <w:spacing w:before="120"/>
              <w:rPr>
                <w:color w:val="000000"/>
              </w:rPr>
            </w:pPr>
          </w:p>
          <w:p w14:paraId="1B9BD0A0" w14:textId="77777777" w:rsidR="00C671DA" w:rsidRDefault="00C671DA" w:rsidP="00C36D4F">
            <w:pPr>
              <w:spacing w:before="120"/>
              <w:rPr>
                <w:color w:val="000000"/>
              </w:rPr>
            </w:pPr>
          </w:p>
          <w:p w14:paraId="439F392E" w14:textId="77777777" w:rsidR="00C671DA" w:rsidRDefault="00C671DA" w:rsidP="00C36D4F">
            <w:pPr>
              <w:spacing w:before="120"/>
              <w:rPr>
                <w:color w:val="000000"/>
              </w:rPr>
            </w:pPr>
          </w:p>
          <w:p w14:paraId="4E61763F" w14:textId="77777777" w:rsidR="00C671DA" w:rsidRDefault="00C671DA" w:rsidP="00C36D4F">
            <w:pPr>
              <w:spacing w:before="120"/>
              <w:rPr>
                <w:color w:val="000000"/>
              </w:rPr>
            </w:pPr>
          </w:p>
          <w:p w14:paraId="0C02353E" w14:textId="77777777" w:rsidR="00C671DA" w:rsidRDefault="00C671DA" w:rsidP="00C36D4F">
            <w:pPr>
              <w:spacing w:before="120"/>
              <w:rPr>
                <w:color w:val="000000"/>
              </w:rPr>
            </w:pPr>
          </w:p>
          <w:p w14:paraId="4BC143A5" w14:textId="77777777" w:rsidR="00C671DA" w:rsidRDefault="00C671DA" w:rsidP="00C36D4F">
            <w:pPr>
              <w:spacing w:before="120"/>
              <w:rPr>
                <w:color w:val="000000"/>
              </w:rPr>
            </w:pPr>
          </w:p>
          <w:p w14:paraId="504CECA7" w14:textId="77777777" w:rsidR="00C671DA" w:rsidRDefault="00C671DA" w:rsidP="00C36D4F">
            <w:pPr>
              <w:spacing w:before="120"/>
              <w:rPr>
                <w:color w:val="000000"/>
              </w:rPr>
            </w:pPr>
          </w:p>
          <w:p w14:paraId="321FA919" w14:textId="77777777" w:rsidR="00C671DA" w:rsidRDefault="00C671DA" w:rsidP="00C36D4F">
            <w:pPr>
              <w:spacing w:before="120"/>
              <w:rPr>
                <w:color w:val="000000"/>
              </w:rPr>
            </w:pPr>
          </w:p>
          <w:p w14:paraId="03A6E32D" w14:textId="77777777" w:rsidR="00C671DA" w:rsidRDefault="00C671DA" w:rsidP="00C36D4F">
            <w:pPr>
              <w:spacing w:before="120"/>
              <w:rPr>
                <w:color w:val="000000"/>
              </w:rPr>
            </w:pPr>
          </w:p>
          <w:p w14:paraId="3465E694" w14:textId="77777777" w:rsidR="00C671DA" w:rsidRDefault="00C671DA" w:rsidP="00C36D4F">
            <w:pPr>
              <w:spacing w:before="120"/>
              <w:rPr>
                <w:color w:val="000000"/>
              </w:rPr>
            </w:pPr>
          </w:p>
          <w:p w14:paraId="444B7C34" w14:textId="77777777" w:rsidR="00C671DA" w:rsidRDefault="00C671DA" w:rsidP="00C36D4F">
            <w:pPr>
              <w:spacing w:before="120"/>
              <w:rPr>
                <w:color w:val="000000"/>
              </w:rPr>
            </w:pPr>
          </w:p>
          <w:p w14:paraId="1EE8B8D3" w14:textId="77777777" w:rsidR="00C671DA" w:rsidRDefault="00C671DA" w:rsidP="00C36D4F">
            <w:pPr>
              <w:spacing w:before="120"/>
              <w:rPr>
                <w:color w:val="000000"/>
              </w:rPr>
            </w:pPr>
          </w:p>
          <w:p w14:paraId="610739A3" w14:textId="77777777" w:rsidR="00C671DA" w:rsidRDefault="00C671DA" w:rsidP="00C36D4F">
            <w:pPr>
              <w:spacing w:before="120"/>
              <w:rPr>
                <w:color w:val="000000"/>
              </w:rPr>
            </w:pPr>
          </w:p>
          <w:p w14:paraId="6D3B0AE3" w14:textId="77777777" w:rsidR="00C671DA" w:rsidRDefault="00C671DA" w:rsidP="00C36D4F">
            <w:pPr>
              <w:spacing w:before="120"/>
              <w:rPr>
                <w:color w:val="000000"/>
              </w:rPr>
            </w:pPr>
          </w:p>
          <w:p w14:paraId="0D1D9D28" w14:textId="77777777" w:rsidR="00C671DA" w:rsidRDefault="00C671DA" w:rsidP="00C36D4F">
            <w:pPr>
              <w:spacing w:before="120"/>
              <w:rPr>
                <w:color w:val="000000"/>
              </w:rPr>
            </w:pPr>
          </w:p>
          <w:p w14:paraId="4422B038" w14:textId="77777777" w:rsidR="00C671DA" w:rsidRPr="00B313BC" w:rsidRDefault="00C671DA" w:rsidP="00C36D4F">
            <w:pPr>
              <w:spacing w:before="120"/>
              <w:rPr>
                <w:color w:val="000000"/>
                <w:sz w:val="22"/>
                <w:szCs w:val="22"/>
              </w:rPr>
            </w:pPr>
            <w:r>
              <w:rPr>
                <w:color w:val="000000"/>
                <w:sz w:val="22"/>
                <w:szCs w:val="22"/>
              </w:rPr>
              <w:t xml:space="preserve">Verified, in part.  The Settlement Agreement adopted fixed dollar amounts rather than TURN’s proposed forecast model.  However, we agree that TURN contributed to the overall reductions and to providing cost containment incentives.  </w:t>
            </w:r>
          </w:p>
          <w:p w14:paraId="01CF2007" w14:textId="77777777" w:rsidR="00C671DA" w:rsidRDefault="00C671DA" w:rsidP="00C36D4F">
            <w:pPr>
              <w:spacing w:before="120"/>
              <w:rPr>
                <w:color w:val="000000"/>
              </w:rPr>
            </w:pPr>
          </w:p>
          <w:p w14:paraId="020C4B31" w14:textId="77777777" w:rsidR="00C671DA" w:rsidRDefault="00C671DA" w:rsidP="00C36D4F">
            <w:pPr>
              <w:spacing w:before="120"/>
              <w:rPr>
                <w:color w:val="000000"/>
              </w:rPr>
            </w:pPr>
          </w:p>
          <w:p w14:paraId="2CAD5572" w14:textId="77777777" w:rsidR="00C671DA" w:rsidRDefault="00C671DA" w:rsidP="00C36D4F">
            <w:pPr>
              <w:spacing w:before="120"/>
              <w:rPr>
                <w:color w:val="000000"/>
              </w:rPr>
            </w:pPr>
          </w:p>
          <w:p w14:paraId="10B3BB32" w14:textId="77777777" w:rsidR="00C671DA" w:rsidRDefault="00C671DA" w:rsidP="00C36D4F">
            <w:pPr>
              <w:spacing w:before="120"/>
              <w:rPr>
                <w:color w:val="000000"/>
              </w:rPr>
            </w:pPr>
          </w:p>
          <w:p w14:paraId="5A21359E" w14:textId="77777777" w:rsidR="00C671DA" w:rsidRDefault="00C671DA" w:rsidP="00C36D4F">
            <w:pPr>
              <w:spacing w:before="120"/>
              <w:rPr>
                <w:color w:val="000000"/>
              </w:rPr>
            </w:pPr>
          </w:p>
          <w:p w14:paraId="4712E10A" w14:textId="77777777" w:rsidR="00C671DA" w:rsidRPr="007F620E" w:rsidRDefault="00C671DA" w:rsidP="00C36D4F">
            <w:pPr>
              <w:spacing w:before="120"/>
              <w:rPr>
                <w:color w:val="000000"/>
              </w:rPr>
            </w:pPr>
          </w:p>
        </w:tc>
      </w:tr>
      <w:tr w:rsidR="00C671DA" w:rsidRPr="007F620E" w14:paraId="2F645276" w14:textId="77777777" w:rsidTr="00C36D4F">
        <w:tc>
          <w:tcPr>
            <w:tcW w:w="3258" w:type="dxa"/>
            <w:shd w:val="clear" w:color="auto" w:fill="auto"/>
          </w:tcPr>
          <w:p w14:paraId="2CF6B794" w14:textId="77777777" w:rsidR="00C671DA" w:rsidRDefault="00C671DA" w:rsidP="00C36D4F">
            <w:pPr>
              <w:spacing w:before="120"/>
              <w:rPr>
                <w:b/>
                <w:color w:val="000000"/>
                <w:sz w:val="22"/>
                <w:szCs w:val="22"/>
                <w:u w:val="single"/>
              </w:rPr>
            </w:pPr>
            <w:r w:rsidRPr="00427F5D">
              <w:rPr>
                <w:b/>
                <w:color w:val="000000"/>
                <w:sz w:val="22"/>
                <w:szCs w:val="22"/>
                <w:u w:val="single"/>
              </w:rPr>
              <w:lastRenderedPageBreak/>
              <w:t>Gas Distribution</w:t>
            </w:r>
            <w:r>
              <w:rPr>
                <w:b/>
                <w:color w:val="000000"/>
                <w:sz w:val="22"/>
                <w:szCs w:val="22"/>
                <w:u w:val="single"/>
              </w:rPr>
              <w:t xml:space="preserve"> </w:t>
            </w:r>
          </w:p>
          <w:p w14:paraId="0FED7FE9"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gas distribution O&amp;M and capital, including approximately $5 million in expense adjustments and $406 million in capital reductions for 2017.  The $5 million figure for expense adjustments reflects the net effect </w:t>
            </w:r>
            <w:r>
              <w:rPr>
                <w:color w:val="000000"/>
                <w:sz w:val="22"/>
                <w:szCs w:val="22"/>
              </w:rPr>
              <w:lastRenderedPageBreak/>
              <w:t xml:space="preserve">of TURN’s proposed reductions, which were larger than $5 million, and proposed increases, relative to PG&amp;E’s request. </w:t>
            </w:r>
          </w:p>
          <w:p w14:paraId="2550CAA3" w14:textId="77777777" w:rsidR="00C671DA" w:rsidRDefault="00C671DA" w:rsidP="00C36D4F">
            <w:pPr>
              <w:spacing w:before="120"/>
              <w:rPr>
                <w:color w:val="000000"/>
                <w:sz w:val="22"/>
                <w:szCs w:val="22"/>
              </w:rPr>
            </w:pPr>
            <w:r>
              <w:rPr>
                <w:color w:val="000000"/>
                <w:sz w:val="22"/>
                <w:szCs w:val="22"/>
              </w:rPr>
              <w:t>The Settlement Agreement adopted by D.17-05-013 reduces PG&amp;E’s forecast by $18 million in gas distribution expense.  TURN’s advocacy is reflected in the $5.2 million reduction for corrosion control (MWC DG and FH); $2.5 million reduction for leak management (MWC FI); and the $0.5 million reduction for gas distribution other support activities (MWC AB).</w:t>
            </w:r>
          </w:p>
          <w:p w14:paraId="277AA383" w14:textId="77777777" w:rsidR="00C671DA" w:rsidRPr="00555229" w:rsidRDefault="00C671DA" w:rsidP="00C36D4F">
            <w:pPr>
              <w:spacing w:before="120"/>
              <w:rPr>
                <w:color w:val="000000"/>
                <w:sz w:val="22"/>
                <w:szCs w:val="22"/>
              </w:rPr>
            </w:pPr>
            <w:r>
              <w:rPr>
                <w:color w:val="000000"/>
                <w:sz w:val="22"/>
                <w:szCs w:val="22"/>
              </w:rPr>
              <w:t>The Settlement Agreement additionally reduced PG&amp;E’s forecast by $10 million in gas distribution capital in 2017.  This reduction was in response to TURN’s recommendations for new business (MWC 29).</w:t>
            </w:r>
          </w:p>
          <w:p w14:paraId="26DF9954" w14:textId="77777777" w:rsidR="00C671DA" w:rsidRPr="00E827A5" w:rsidRDefault="00C671DA" w:rsidP="00C36D4F">
            <w:pPr>
              <w:spacing w:before="120"/>
              <w:rPr>
                <w:color w:val="000000"/>
                <w:sz w:val="22"/>
                <w:szCs w:val="22"/>
              </w:rPr>
            </w:pPr>
            <w:r w:rsidRPr="00DE4732">
              <w:rPr>
                <w:color w:val="000000"/>
                <w:sz w:val="22"/>
                <w:szCs w:val="22"/>
              </w:rPr>
              <w:t>TURN also proposed adjustments to PG&amp;E’s forecasts of 2015 and 2016 gas distribution cap</w:t>
            </w:r>
            <w:r>
              <w:rPr>
                <w:color w:val="000000"/>
                <w:sz w:val="22"/>
                <w:szCs w:val="22"/>
              </w:rPr>
              <w:t xml:space="preserve">ital spending in Ex. TURN-1, </w:t>
            </w:r>
            <w:r w:rsidRPr="00DE4732">
              <w:rPr>
                <w:color w:val="000000"/>
                <w:sz w:val="22"/>
                <w:szCs w:val="22"/>
              </w:rPr>
              <w:t>Ex. TURN-2</w:t>
            </w:r>
            <w:r>
              <w:rPr>
                <w:color w:val="000000"/>
                <w:sz w:val="22"/>
                <w:szCs w:val="22"/>
              </w:rPr>
              <w:t>, and Ex. TURN-4</w:t>
            </w:r>
            <w:r w:rsidRPr="00DE4732">
              <w:rPr>
                <w:color w:val="000000"/>
                <w:sz w:val="22"/>
                <w:szCs w:val="22"/>
              </w:rPr>
              <w:t>.  Those adjustments are reflected in other parts of the Settlement Agreement, as explained below.</w:t>
            </w:r>
          </w:p>
          <w:p w14:paraId="6B0A02F4" w14:textId="77777777" w:rsidR="00C671DA" w:rsidRPr="00DE4732" w:rsidRDefault="00C671DA" w:rsidP="00C36D4F">
            <w:pPr>
              <w:spacing w:before="120"/>
              <w:rPr>
                <w:color w:val="000000"/>
                <w:sz w:val="22"/>
                <w:szCs w:val="22"/>
                <w:u w:val="single"/>
              </w:rPr>
            </w:pPr>
          </w:p>
        </w:tc>
        <w:tc>
          <w:tcPr>
            <w:tcW w:w="4140" w:type="dxa"/>
            <w:shd w:val="clear" w:color="auto" w:fill="auto"/>
          </w:tcPr>
          <w:p w14:paraId="7A2049DE" w14:textId="77777777" w:rsidR="00C671DA" w:rsidRPr="00B03618" w:rsidRDefault="00C671DA" w:rsidP="00C36D4F">
            <w:pPr>
              <w:spacing w:before="120"/>
              <w:rPr>
                <w:color w:val="000000"/>
              </w:rPr>
            </w:pPr>
          </w:p>
          <w:p w14:paraId="43BEB3F9" w14:textId="77777777" w:rsidR="00C671DA" w:rsidRDefault="00C671DA" w:rsidP="00C36D4F">
            <w:pPr>
              <w:pStyle w:val="ListParagraph"/>
              <w:numPr>
                <w:ilvl w:val="0"/>
                <w:numId w:val="11"/>
              </w:numPr>
              <w:spacing w:before="120"/>
              <w:rPr>
                <w:color w:val="000000"/>
              </w:rPr>
            </w:pPr>
            <w:r>
              <w:rPr>
                <w:color w:val="000000"/>
              </w:rPr>
              <w:t xml:space="preserve">Settlement Agreement, Appendix A, p. 2 of 18 (summary of TURN’s gas distribution adjustments for 2017, as </w:t>
            </w:r>
            <w:r w:rsidRPr="00DE4732">
              <w:rPr>
                <w:color w:val="000000"/>
              </w:rPr>
              <w:t>presented in Ex. TURN-2, Ex. TURN-4, and Ex. TURN-8</w:t>
            </w:r>
            <w:r>
              <w:rPr>
                <w:color w:val="000000"/>
              </w:rPr>
              <w:t>)</w:t>
            </w:r>
          </w:p>
          <w:p w14:paraId="060B27B6" w14:textId="77777777" w:rsidR="00C671DA" w:rsidRDefault="00C671DA" w:rsidP="00C36D4F">
            <w:pPr>
              <w:pStyle w:val="ListParagraph"/>
              <w:numPr>
                <w:ilvl w:val="0"/>
                <w:numId w:val="11"/>
              </w:numPr>
              <w:spacing w:before="120"/>
              <w:rPr>
                <w:color w:val="000000"/>
              </w:rPr>
            </w:pPr>
            <w:r>
              <w:rPr>
                <w:color w:val="000000"/>
              </w:rPr>
              <w:t>Joint Motion, pp. 12-13 (summarizing Section 3.1.2 of the Settlement Agreement)</w:t>
            </w:r>
          </w:p>
          <w:p w14:paraId="74FF12D5" w14:textId="77777777" w:rsidR="00C671DA" w:rsidRDefault="00C671DA" w:rsidP="00C36D4F">
            <w:pPr>
              <w:pStyle w:val="ListParagraph"/>
              <w:numPr>
                <w:ilvl w:val="0"/>
                <w:numId w:val="11"/>
              </w:numPr>
              <w:spacing w:before="120"/>
              <w:rPr>
                <w:color w:val="000000"/>
              </w:rPr>
            </w:pPr>
            <w:r>
              <w:rPr>
                <w:color w:val="000000"/>
              </w:rPr>
              <w:lastRenderedPageBreak/>
              <w:t>Settlement Agreement, Appendix A, O&amp;M Expense Table, p. 4 of 18 (attributing the gas distribution adjustments as follows:  MWC DG to TURN; MWC FH to TURN and ORA; MWC FI to TURN, ORA, and CFC; and MWC AB to TURN)</w:t>
            </w:r>
          </w:p>
          <w:p w14:paraId="78826B8A" w14:textId="77777777" w:rsidR="00C671DA" w:rsidRDefault="00C671DA" w:rsidP="00C36D4F">
            <w:pPr>
              <w:pStyle w:val="ListParagraph"/>
              <w:numPr>
                <w:ilvl w:val="0"/>
                <w:numId w:val="11"/>
              </w:numPr>
              <w:spacing w:before="120"/>
              <w:rPr>
                <w:color w:val="000000"/>
              </w:rPr>
            </w:pPr>
            <w:r>
              <w:rPr>
                <w:color w:val="000000"/>
              </w:rPr>
              <w:t xml:space="preserve">Settlement Agreement, Appendix A, Capital Expenditures Table, p. 11 of 18 (attributing the gas distribution adjustment for customer connects to TURN) </w:t>
            </w:r>
          </w:p>
        </w:tc>
        <w:tc>
          <w:tcPr>
            <w:tcW w:w="2340" w:type="dxa"/>
            <w:shd w:val="clear" w:color="auto" w:fill="auto"/>
          </w:tcPr>
          <w:p w14:paraId="3E647835" w14:textId="77777777" w:rsidR="00C671DA" w:rsidRPr="007F620E" w:rsidRDefault="00C671DA" w:rsidP="00C36D4F">
            <w:pPr>
              <w:spacing w:before="120"/>
              <w:rPr>
                <w:color w:val="000000"/>
              </w:rPr>
            </w:pPr>
            <w:r>
              <w:rPr>
                <w:color w:val="000000"/>
              </w:rPr>
              <w:lastRenderedPageBreak/>
              <w:t>Verified</w:t>
            </w:r>
          </w:p>
        </w:tc>
      </w:tr>
      <w:tr w:rsidR="00C671DA" w:rsidRPr="007F620E" w14:paraId="71AD08C7" w14:textId="77777777" w:rsidTr="00C36D4F">
        <w:tc>
          <w:tcPr>
            <w:tcW w:w="3258" w:type="dxa"/>
            <w:shd w:val="clear" w:color="auto" w:fill="auto"/>
          </w:tcPr>
          <w:p w14:paraId="36BC3E1A" w14:textId="77777777" w:rsidR="00C671DA" w:rsidRPr="00427F5D" w:rsidRDefault="00C671DA" w:rsidP="00C36D4F">
            <w:pPr>
              <w:spacing w:before="120"/>
              <w:rPr>
                <w:b/>
                <w:color w:val="000000"/>
                <w:sz w:val="22"/>
                <w:szCs w:val="22"/>
                <w:u w:val="single"/>
              </w:rPr>
            </w:pPr>
            <w:r w:rsidRPr="00427F5D">
              <w:rPr>
                <w:b/>
                <w:color w:val="000000"/>
                <w:sz w:val="22"/>
                <w:szCs w:val="22"/>
                <w:u w:val="single"/>
              </w:rPr>
              <w:t>Electric Distribution</w:t>
            </w:r>
            <w:r>
              <w:rPr>
                <w:b/>
                <w:color w:val="000000"/>
                <w:sz w:val="22"/>
                <w:szCs w:val="22"/>
                <w:u w:val="single"/>
              </w:rPr>
              <w:t xml:space="preserve"> </w:t>
            </w:r>
          </w:p>
          <w:p w14:paraId="6EA73EFD" w14:textId="77777777" w:rsidR="00C671DA" w:rsidRPr="000E41CB" w:rsidRDefault="00C671DA" w:rsidP="00C36D4F">
            <w:pPr>
              <w:spacing w:before="120"/>
              <w:rPr>
                <w:i/>
                <w:color w:val="000000"/>
                <w:sz w:val="22"/>
                <w:szCs w:val="22"/>
              </w:rPr>
            </w:pPr>
            <w:r>
              <w:rPr>
                <w:i/>
                <w:color w:val="000000"/>
                <w:sz w:val="22"/>
                <w:szCs w:val="22"/>
              </w:rPr>
              <w:t>Financial Issues</w:t>
            </w:r>
          </w:p>
          <w:p w14:paraId="21285E0F"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electric distribution O&amp;M and capital, including approximately </w:t>
            </w:r>
            <w:r w:rsidRPr="00F0538F">
              <w:rPr>
                <w:color w:val="000000"/>
                <w:sz w:val="22"/>
                <w:szCs w:val="22"/>
              </w:rPr>
              <w:t xml:space="preserve">$24 million in expense adjustments and $171 </w:t>
            </w:r>
            <w:r>
              <w:rPr>
                <w:color w:val="000000"/>
                <w:sz w:val="22"/>
                <w:szCs w:val="22"/>
              </w:rPr>
              <w:t>million in capital reductions for 2017.</w:t>
            </w:r>
          </w:p>
          <w:p w14:paraId="24AD1987" w14:textId="77777777" w:rsidR="00C671DA" w:rsidRDefault="00C671DA" w:rsidP="00C36D4F">
            <w:pPr>
              <w:spacing w:before="120"/>
              <w:rPr>
                <w:color w:val="000000"/>
                <w:sz w:val="22"/>
                <w:szCs w:val="22"/>
              </w:rPr>
            </w:pPr>
            <w:r>
              <w:rPr>
                <w:color w:val="000000"/>
                <w:sz w:val="22"/>
                <w:szCs w:val="22"/>
              </w:rPr>
              <w:t xml:space="preserve">The Settlement Agreement adopted by D.17-05-013 reduced PG&amp;E’s forecast by $7 million in electric distribution expense.  TURN’s advocacy is reflected in </w:t>
            </w:r>
            <w:r>
              <w:rPr>
                <w:color w:val="000000"/>
                <w:sz w:val="22"/>
                <w:szCs w:val="22"/>
              </w:rPr>
              <w:lastRenderedPageBreak/>
              <w:t>the $2 million reduction for overhead maintenance (MWC KA); $1.2 million reduction for capacity, including the Voltage and Volt-Ampere Reactive Optimization (VVO) program (MWC BA, JV); and $2.5 million reduction for mapping and records management (MWC GE).</w:t>
            </w:r>
          </w:p>
          <w:p w14:paraId="1FB90CBD" w14:textId="77777777" w:rsidR="00C671DA" w:rsidRDefault="00C671DA" w:rsidP="00C36D4F">
            <w:pPr>
              <w:spacing w:before="120"/>
              <w:rPr>
                <w:color w:val="000000"/>
                <w:sz w:val="22"/>
                <w:szCs w:val="22"/>
              </w:rPr>
            </w:pPr>
            <w:r>
              <w:rPr>
                <w:color w:val="000000"/>
                <w:sz w:val="22"/>
                <w:szCs w:val="22"/>
              </w:rPr>
              <w:t>The Settlement Agreement additionally reduced PG&amp;E’s forecast by $107 million in electric distribution capital in 2017.  TURN’s advocacy is reflected in the $7 million reduction for reliability (MWC 49)</w:t>
            </w:r>
            <w:r>
              <w:rPr>
                <w:rStyle w:val="FootnoteReference"/>
                <w:color w:val="000000"/>
                <w:sz w:val="22"/>
                <w:szCs w:val="22"/>
              </w:rPr>
              <w:footnoteReference w:id="1"/>
            </w:r>
            <w:r>
              <w:rPr>
                <w:color w:val="000000"/>
                <w:sz w:val="22"/>
                <w:szCs w:val="22"/>
              </w:rPr>
              <w:t>; $10 million reduction for substation asset management (MWC 48); $40.5 million for capacity projects, including those in support of the VVO and Distributed Energy Resource Integration Capacity (DERIC) programs (MWC 06, 46, 2F); and $43.4 million reduction for new business (MWC 16).</w:t>
            </w:r>
          </w:p>
          <w:p w14:paraId="192A6715" w14:textId="77777777" w:rsidR="00C671DA" w:rsidRDefault="00C671DA" w:rsidP="00C36D4F">
            <w:pPr>
              <w:spacing w:before="120"/>
              <w:rPr>
                <w:i/>
                <w:color w:val="000000"/>
                <w:sz w:val="22"/>
                <w:szCs w:val="22"/>
              </w:rPr>
            </w:pPr>
            <w:r>
              <w:rPr>
                <w:i/>
                <w:color w:val="000000"/>
                <w:sz w:val="22"/>
                <w:szCs w:val="22"/>
              </w:rPr>
              <w:t>Reporting Requirements</w:t>
            </w:r>
          </w:p>
          <w:p w14:paraId="0AC161DB" w14:textId="77777777" w:rsidR="00C671DA" w:rsidRPr="00E827A5" w:rsidRDefault="00C671DA" w:rsidP="00C36D4F">
            <w:pPr>
              <w:spacing w:before="120"/>
              <w:rPr>
                <w:color w:val="000000"/>
                <w:sz w:val="22"/>
                <w:szCs w:val="22"/>
              </w:rPr>
            </w:pPr>
            <w:r>
              <w:rPr>
                <w:color w:val="000000"/>
                <w:sz w:val="22"/>
                <w:szCs w:val="22"/>
              </w:rPr>
              <w:t xml:space="preserve">The Settlement Agreement also reflects TURN’s advocacy related to the Surge Arrestor Grounding Program and Line Extension Data Collection in certain new reporting requirements.  First, as the Joint Motion Explains, PG&amp;E will report annually on the progress of work in the Surge Arrestor Grounding Program to address TURN’s concerns about PG&amp;E’s unit forecast, presented in Ex. TURN-3.  Second, PG&amp;E will include in future GRCs the specific information about Line Extension that TURN proposed, which is a subset of the data historically provided in the annual </w:t>
            </w:r>
            <w:r>
              <w:rPr>
                <w:color w:val="000000"/>
                <w:sz w:val="22"/>
                <w:szCs w:val="22"/>
              </w:rPr>
              <w:lastRenderedPageBreak/>
              <w:t xml:space="preserve">Line Extension Report that will be discontinued. </w:t>
            </w:r>
          </w:p>
          <w:p w14:paraId="37D3BE24" w14:textId="77777777" w:rsidR="00C671DA" w:rsidRPr="0067505F" w:rsidRDefault="00C671DA" w:rsidP="00C36D4F">
            <w:pPr>
              <w:spacing w:before="120"/>
              <w:rPr>
                <w:b/>
                <w:color w:val="000000"/>
                <w:sz w:val="22"/>
                <w:szCs w:val="22"/>
              </w:rPr>
            </w:pPr>
          </w:p>
        </w:tc>
        <w:tc>
          <w:tcPr>
            <w:tcW w:w="4140" w:type="dxa"/>
            <w:shd w:val="clear" w:color="auto" w:fill="auto"/>
          </w:tcPr>
          <w:p w14:paraId="51322BAA" w14:textId="77777777" w:rsidR="00C671DA" w:rsidRDefault="00C671DA" w:rsidP="00C36D4F">
            <w:pPr>
              <w:spacing w:before="120"/>
              <w:rPr>
                <w:i/>
                <w:color w:val="000000"/>
                <w:sz w:val="22"/>
                <w:szCs w:val="22"/>
              </w:rPr>
            </w:pPr>
          </w:p>
          <w:p w14:paraId="0CC208A1" w14:textId="77777777" w:rsidR="00C671DA" w:rsidRPr="000E41CB" w:rsidRDefault="00C671DA" w:rsidP="00C36D4F">
            <w:pPr>
              <w:spacing w:before="120"/>
              <w:rPr>
                <w:i/>
                <w:color w:val="000000"/>
                <w:sz w:val="22"/>
                <w:szCs w:val="22"/>
              </w:rPr>
            </w:pPr>
            <w:r>
              <w:rPr>
                <w:i/>
                <w:color w:val="000000"/>
                <w:sz w:val="22"/>
                <w:szCs w:val="22"/>
              </w:rPr>
              <w:t>Financial Issues</w:t>
            </w:r>
          </w:p>
          <w:p w14:paraId="0AD1C33C" w14:textId="77777777" w:rsidR="00C671DA" w:rsidRDefault="00C671DA" w:rsidP="00C36D4F">
            <w:pPr>
              <w:pStyle w:val="ListParagraph"/>
              <w:numPr>
                <w:ilvl w:val="0"/>
                <w:numId w:val="11"/>
              </w:numPr>
              <w:spacing w:before="120"/>
              <w:rPr>
                <w:color w:val="000000"/>
              </w:rPr>
            </w:pPr>
            <w:r>
              <w:rPr>
                <w:color w:val="000000"/>
              </w:rPr>
              <w:t xml:space="preserve">Settlement Agreement, Appendix A, p. 2 of 18 (summary of TURN’s electric distribution adjustments, as presented in </w:t>
            </w:r>
            <w:r w:rsidRPr="00B03618">
              <w:rPr>
                <w:color w:val="000000"/>
              </w:rPr>
              <w:t xml:space="preserve">Ex. TURN-3, </w:t>
            </w:r>
            <w:r>
              <w:rPr>
                <w:color w:val="000000"/>
              </w:rPr>
              <w:t xml:space="preserve">Ex. </w:t>
            </w:r>
            <w:r w:rsidRPr="00B03618">
              <w:rPr>
                <w:color w:val="000000"/>
              </w:rPr>
              <w:t xml:space="preserve">TURN-4, and </w:t>
            </w:r>
            <w:r>
              <w:rPr>
                <w:color w:val="000000"/>
              </w:rPr>
              <w:t xml:space="preserve">Ex. </w:t>
            </w:r>
            <w:r w:rsidRPr="00B03618">
              <w:rPr>
                <w:color w:val="000000"/>
              </w:rPr>
              <w:t>TURN</w:t>
            </w:r>
            <w:r>
              <w:rPr>
                <w:color w:val="000000"/>
              </w:rPr>
              <w:t>-5)</w:t>
            </w:r>
          </w:p>
          <w:p w14:paraId="2C3B97DC" w14:textId="77777777" w:rsidR="00C671DA" w:rsidRDefault="00C671DA" w:rsidP="00C36D4F">
            <w:pPr>
              <w:pStyle w:val="ListParagraph"/>
              <w:numPr>
                <w:ilvl w:val="0"/>
                <w:numId w:val="11"/>
              </w:numPr>
              <w:spacing w:before="120"/>
              <w:rPr>
                <w:color w:val="000000"/>
              </w:rPr>
            </w:pPr>
            <w:r>
              <w:rPr>
                <w:color w:val="000000"/>
              </w:rPr>
              <w:t>Joint Motion, pp. 13-14 (summarizing Section 3.1.3 of the Settlement Agreement)</w:t>
            </w:r>
          </w:p>
          <w:p w14:paraId="053D9C35" w14:textId="77777777" w:rsidR="00C671DA" w:rsidRDefault="00C671DA" w:rsidP="00C36D4F">
            <w:pPr>
              <w:pStyle w:val="ListParagraph"/>
              <w:numPr>
                <w:ilvl w:val="0"/>
                <w:numId w:val="11"/>
              </w:numPr>
              <w:spacing w:before="120"/>
              <w:rPr>
                <w:color w:val="000000"/>
              </w:rPr>
            </w:pPr>
            <w:r>
              <w:rPr>
                <w:color w:val="000000"/>
              </w:rPr>
              <w:t xml:space="preserve">Settlement Agreement, Appendix A, O&amp;M Expense Table, pp. 4 of 18 to 5 of 18 (attributing the electric </w:t>
            </w:r>
            <w:r>
              <w:rPr>
                <w:color w:val="000000"/>
              </w:rPr>
              <w:lastRenderedPageBreak/>
              <w:t>distribution adjustments as follows:  MWC KA to TURN and ORA; MWC BA/JV to TURN and ORA; and MWC GE to TURN and ORA)</w:t>
            </w:r>
          </w:p>
          <w:p w14:paraId="279E4318" w14:textId="77777777" w:rsidR="00C671DA" w:rsidRDefault="00C671DA" w:rsidP="00C36D4F">
            <w:pPr>
              <w:pStyle w:val="ListParagraph"/>
              <w:numPr>
                <w:ilvl w:val="0"/>
                <w:numId w:val="11"/>
              </w:numPr>
              <w:spacing w:before="120"/>
              <w:rPr>
                <w:color w:val="000000"/>
              </w:rPr>
            </w:pPr>
            <w:r w:rsidRPr="002E0C2A">
              <w:rPr>
                <w:color w:val="000000"/>
              </w:rPr>
              <w:t>Settlement Agreement, Appendix A, Capital Expenditures Table, p. 11 of 18 (</w:t>
            </w:r>
            <w:r>
              <w:rPr>
                <w:color w:val="000000"/>
              </w:rPr>
              <w:t>attributing the electric distribution adjustments as follows: MWC 49 to TURN; MWC 48 to TURN; MWC 06, 46, 2F to TURN and ORA; and MWC 16 to TURN and ORA</w:t>
            </w:r>
            <w:r w:rsidRPr="002E0C2A">
              <w:rPr>
                <w:color w:val="000000"/>
              </w:rPr>
              <w:t>)</w:t>
            </w:r>
          </w:p>
          <w:p w14:paraId="7D80BF24" w14:textId="77777777" w:rsidR="00C671DA" w:rsidRDefault="00C671DA" w:rsidP="00C36D4F">
            <w:pPr>
              <w:spacing w:before="120"/>
              <w:rPr>
                <w:i/>
                <w:color w:val="000000"/>
                <w:sz w:val="22"/>
                <w:szCs w:val="22"/>
              </w:rPr>
            </w:pPr>
            <w:r>
              <w:rPr>
                <w:i/>
                <w:color w:val="000000"/>
                <w:sz w:val="22"/>
                <w:szCs w:val="22"/>
              </w:rPr>
              <w:t>Reporting Requirements</w:t>
            </w:r>
          </w:p>
          <w:p w14:paraId="4F31B699" w14:textId="77777777" w:rsidR="00C671DA" w:rsidRDefault="00C671DA" w:rsidP="00C36D4F">
            <w:pPr>
              <w:pStyle w:val="ListParagraph"/>
              <w:numPr>
                <w:ilvl w:val="0"/>
                <w:numId w:val="11"/>
              </w:numPr>
              <w:spacing w:before="120"/>
              <w:rPr>
                <w:color w:val="000000"/>
              </w:rPr>
            </w:pPr>
            <w:r>
              <w:rPr>
                <w:color w:val="000000"/>
              </w:rPr>
              <w:t>Joint Motion, p. 35 (addressing Section 3.2.2.3 of the Settlement Agreement re: Surge Arrestor Progress Report)</w:t>
            </w:r>
          </w:p>
          <w:p w14:paraId="4136E26D" w14:textId="77777777" w:rsidR="00C671DA" w:rsidRDefault="00C671DA" w:rsidP="00C36D4F">
            <w:pPr>
              <w:pStyle w:val="ListParagraph"/>
              <w:numPr>
                <w:ilvl w:val="0"/>
                <w:numId w:val="11"/>
              </w:numPr>
              <w:spacing w:before="120"/>
              <w:rPr>
                <w:color w:val="000000"/>
              </w:rPr>
            </w:pPr>
            <w:r>
              <w:rPr>
                <w:color w:val="000000"/>
              </w:rPr>
              <w:t>Settlement Agreement, Section 3.2.2.3</w:t>
            </w:r>
          </w:p>
          <w:p w14:paraId="71993714" w14:textId="77777777" w:rsidR="00C671DA" w:rsidRDefault="00C671DA" w:rsidP="00C36D4F">
            <w:pPr>
              <w:pStyle w:val="ListParagraph"/>
              <w:numPr>
                <w:ilvl w:val="0"/>
                <w:numId w:val="11"/>
              </w:numPr>
              <w:spacing w:before="120"/>
              <w:rPr>
                <w:color w:val="000000"/>
              </w:rPr>
            </w:pPr>
            <w:r>
              <w:rPr>
                <w:color w:val="000000"/>
              </w:rPr>
              <w:t>Joint Motion, p. 36 (addressing Section 3.2.2.7 of the Settlement Agreement re: Line Extension Reporting)</w:t>
            </w:r>
          </w:p>
          <w:p w14:paraId="1DE2DF0C" w14:textId="77777777" w:rsidR="00C671DA" w:rsidRDefault="00C671DA" w:rsidP="00C36D4F">
            <w:pPr>
              <w:pStyle w:val="ListParagraph"/>
              <w:numPr>
                <w:ilvl w:val="0"/>
                <w:numId w:val="11"/>
              </w:numPr>
              <w:spacing w:before="120"/>
              <w:rPr>
                <w:color w:val="000000"/>
              </w:rPr>
            </w:pPr>
            <w:r>
              <w:rPr>
                <w:color w:val="000000"/>
              </w:rPr>
              <w:t>Settlement Agreement, Section 3.2.2.7</w:t>
            </w:r>
          </w:p>
          <w:p w14:paraId="23938EAD" w14:textId="77777777" w:rsidR="00C671DA" w:rsidRPr="002E0C2A" w:rsidRDefault="00C671DA" w:rsidP="00C36D4F">
            <w:pPr>
              <w:pStyle w:val="ListParagraph"/>
              <w:spacing w:before="120"/>
              <w:rPr>
                <w:color w:val="000000"/>
              </w:rPr>
            </w:pPr>
          </w:p>
        </w:tc>
        <w:tc>
          <w:tcPr>
            <w:tcW w:w="2340" w:type="dxa"/>
            <w:shd w:val="clear" w:color="auto" w:fill="auto"/>
          </w:tcPr>
          <w:p w14:paraId="6ED548FA" w14:textId="77777777" w:rsidR="00C671DA" w:rsidRDefault="00C671DA" w:rsidP="00C36D4F">
            <w:pPr>
              <w:spacing w:before="120"/>
              <w:rPr>
                <w:color w:val="000000"/>
              </w:rPr>
            </w:pPr>
            <w:r>
              <w:rPr>
                <w:color w:val="000000"/>
              </w:rPr>
              <w:lastRenderedPageBreak/>
              <w:t>Verified</w:t>
            </w:r>
          </w:p>
          <w:p w14:paraId="075D9FA0" w14:textId="77777777" w:rsidR="00C671DA" w:rsidRDefault="00C671DA" w:rsidP="00C36D4F">
            <w:pPr>
              <w:spacing w:before="120"/>
              <w:rPr>
                <w:color w:val="000000"/>
              </w:rPr>
            </w:pPr>
          </w:p>
          <w:p w14:paraId="2DC179E5" w14:textId="77777777" w:rsidR="00C671DA" w:rsidRDefault="00C671DA" w:rsidP="00C36D4F">
            <w:pPr>
              <w:spacing w:before="120"/>
              <w:rPr>
                <w:color w:val="000000"/>
              </w:rPr>
            </w:pPr>
          </w:p>
          <w:p w14:paraId="726E0594" w14:textId="77777777" w:rsidR="00C671DA" w:rsidRDefault="00C671DA" w:rsidP="00C36D4F">
            <w:pPr>
              <w:spacing w:before="120"/>
              <w:rPr>
                <w:color w:val="000000"/>
              </w:rPr>
            </w:pPr>
          </w:p>
          <w:p w14:paraId="01D8F23C" w14:textId="77777777" w:rsidR="00C671DA" w:rsidRDefault="00C671DA" w:rsidP="00C36D4F">
            <w:pPr>
              <w:spacing w:before="120"/>
              <w:rPr>
                <w:color w:val="000000"/>
              </w:rPr>
            </w:pPr>
          </w:p>
          <w:p w14:paraId="7AD197D3" w14:textId="77777777" w:rsidR="00C671DA" w:rsidRDefault="00C671DA" w:rsidP="00C36D4F">
            <w:pPr>
              <w:spacing w:before="120"/>
              <w:rPr>
                <w:color w:val="000000"/>
              </w:rPr>
            </w:pPr>
          </w:p>
          <w:p w14:paraId="55BA640D" w14:textId="77777777" w:rsidR="00C671DA" w:rsidRDefault="00C671DA" w:rsidP="00C36D4F">
            <w:pPr>
              <w:spacing w:before="120"/>
              <w:rPr>
                <w:color w:val="000000"/>
              </w:rPr>
            </w:pPr>
          </w:p>
          <w:p w14:paraId="6A9D34F1" w14:textId="77777777" w:rsidR="00C671DA" w:rsidRDefault="00C671DA" w:rsidP="00C36D4F">
            <w:pPr>
              <w:spacing w:before="120"/>
              <w:rPr>
                <w:color w:val="000000"/>
              </w:rPr>
            </w:pPr>
          </w:p>
          <w:p w14:paraId="2C04E2CF" w14:textId="77777777" w:rsidR="00C671DA" w:rsidRDefault="00C671DA" w:rsidP="00C36D4F">
            <w:pPr>
              <w:spacing w:before="120"/>
              <w:rPr>
                <w:color w:val="000000"/>
              </w:rPr>
            </w:pPr>
          </w:p>
          <w:p w14:paraId="527DF032" w14:textId="77777777" w:rsidR="00C671DA" w:rsidRDefault="00C671DA" w:rsidP="00C36D4F">
            <w:pPr>
              <w:spacing w:before="120"/>
              <w:rPr>
                <w:color w:val="000000"/>
              </w:rPr>
            </w:pPr>
          </w:p>
          <w:p w14:paraId="44749591" w14:textId="77777777" w:rsidR="00C671DA" w:rsidRDefault="00C671DA" w:rsidP="00C36D4F">
            <w:pPr>
              <w:spacing w:before="120"/>
              <w:rPr>
                <w:color w:val="000000"/>
              </w:rPr>
            </w:pPr>
          </w:p>
          <w:p w14:paraId="479AA8A1" w14:textId="77777777" w:rsidR="00C671DA" w:rsidRDefault="00C671DA" w:rsidP="00C36D4F">
            <w:pPr>
              <w:spacing w:before="120"/>
              <w:rPr>
                <w:color w:val="000000"/>
              </w:rPr>
            </w:pPr>
          </w:p>
          <w:p w14:paraId="1343F0DF" w14:textId="77777777" w:rsidR="00C671DA" w:rsidRDefault="00C671DA" w:rsidP="00C36D4F">
            <w:pPr>
              <w:spacing w:before="120"/>
              <w:rPr>
                <w:color w:val="000000"/>
              </w:rPr>
            </w:pPr>
          </w:p>
          <w:p w14:paraId="307C6052" w14:textId="77777777" w:rsidR="00C671DA" w:rsidRDefault="00C671DA" w:rsidP="00C36D4F">
            <w:pPr>
              <w:spacing w:before="120"/>
              <w:rPr>
                <w:color w:val="000000"/>
              </w:rPr>
            </w:pPr>
          </w:p>
          <w:p w14:paraId="2E88044E" w14:textId="77777777" w:rsidR="00C671DA" w:rsidRDefault="00C671DA" w:rsidP="00C36D4F">
            <w:pPr>
              <w:spacing w:before="120"/>
              <w:rPr>
                <w:color w:val="000000"/>
              </w:rPr>
            </w:pPr>
          </w:p>
          <w:p w14:paraId="3319E7FF" w14:textId="77777777" w:rsidR="00C671DA" w:rsidRDefault="00C671DA" w:rsidP="00C36D4F">
            <w:pPr>
              <w:spacing w:before="120"/>
              <w:rPr>
                <w:color w:val="000000"/>
              </w:rPr>
            </w:pPr>
          </w:p>
          <w:p w14:paraId="03E5FC4E" w14:textId="77777777" w:rsidR="00C671DA" w:rsidRDefault="00C671DA" w:rsidP="00C36D4F">
            <w:pPr>
              <w:spacing w:before="120"/>
              <w:rPr>
                <w:color w:val="000000"/>
              </w:rPr>
            </w:pPr>
          </w:p>
          <w:p w14:paraId="290CE792" w14:textId="77777777" w:rsidR="00C671DA" w:rsidRDefault="00C671DA" w:rsidP="00C36D4F">
            <w:pPr>
              <w:spacing w:before="120"/>
              <w:rPr>
                <w:color w:val="000000"/>
              </w:rPr>
            </w:pPr>
          </w:p>
          <w:p w14:paraId="6F1C9E75" w14:textId="77777777" w:rsidR="00C671DA" w:rsidRDefault="00C671DA" w:rsidP="00C36D4F">
            <w:pPr>
              <w:spacing w:before="120"/>
              <w:rPr>
                <w:color w:val="000000"/>
              </w:rPr>
            </w:pPr>
          </w:p>
          <w:p w14:paraId="37F7E737" w14:textId="77777777" w:rsidR="00C671DA" w:rsidRDefault="00C671DA" w:rsidP="00C36D4F">
            <w:pPr>
              <w:spacing w:before="120"/>
              <w:rPr>
                <w:color w:val="000000"/>
              </w:rPr>
            </w:pPr>
          </w:p>
          <w:p w14:paraId="3C6DF46F" w14:textId="77777777" w:rsidR="00C671DA" w:rsidRDefault="00C671DA" w:rsidP="00C36D4F">
            <w:pPr>
              <w:spacing w:before="120"/>
              <w:rPr>
                <w:color w:val="000000"/>
              </w:rPr>
            </w:pPr>
          </w:p>
          <w:p w14:paraId="61471CCA" w14:textId="77777777" w:rsidR="00C671DA" w:rsidRDefault="00C671DA" w:rsidP="00C36D4F">
            <w:pPr>
              <w:spacing w:before="120"/>
              <w:rPr>
                <w:color w:val="000000"/>
              </w:rPr>
            </w:pPr>
          </w:p>
          <w:p w14:paraId="002862C1" w14:textId="77777777" w:rsidR="00C671DA" w:rsidRDefault="00C671DA" w:rsidP="00C36D4F">
            <w:pPr>
              <w:spacing w:before="120"/>
              <w:rPr>
                <w:color w:val="000000"/>
              </w:rPr>
            </w:pPr>
          </w:p>
          <w:p w14:paraId="286132C6" w14:textId="77777777" w:rsidR="00C671DA" w:rsidRDefault="00C671DA" w:rsidP="00C36D4F">
            <w:pPr>
              <w:spacing w:before="120"/>
              <w:rPr>
                <w:color w:val="000000"/>
              </w:rPr>
            </w:pPr>
          </w:p>
          <w:p w14:paraId="33E5934C" w14:textId="77777777" w:rsidR="00C671DA" w:rsidRDefault="00C671DA" w:rsidP="00C36D4F">
            <w:pPr>
              <w:spacing w:before="120"/>
              <w:rPr>
                <w:color w:val="000000"/>
              </w:rPr>
            </w:pPr>
          </w:p>
          <w:p w14:paraId="0950A9C6" w14:textId="77777777" w:rsidR="00C671DA" w:rsidRDefault="00C671DA" w:rsidP="00C36D4F">
            <w:pPr>
              <w:spacing w:before="120"/>
              <w:rPr>
                <w:color w:val="000000"/>
              </w:rPr>
            </w:pPr>
          </w:p>
          <w:p w14:paraId="768DB844" w14:textId="77777777" w:rsidR="00C671DA" w:rsidRDefault="00C671DA" w:rsidP="00C36D4F">
            <w:pPr>
              <w:spacing w:before="120"/>
              <w:rPr>
                <w:color w:val="000000"/>
              </w:rPr>
            </w:pPr>
          </w:p>
          <w:p w14:paraId="35E2F068" w14:textId="77777777" w:rsidR="00C671DA" w:rsidRDefault="00C671DA" w:rsidP="00C36D4F">
            <w:pPr>
              <w:spacing w:before="120"/>
              <w:rPr>
                <w:color w:val="000000"/>
              </w:rPr>
            </w:pPr>
          </w:p>
          <w:p w14:paraId="5E2D883E" w14:textId="77777777" w:rsidR="00C671DA" w:rsidRDefault="00C671DA" w:rsidP="00C36D4F">
            <w:pPr>
              <w:spacing w:before="120"/>
              <w:rPr>
                <w:color w:val="000000"/>
              </w:rPr>
            </w:pPr>
          </w:p>
          <w:p w14:paraId="13D090C9" w14:textId="77777777" w:rsidR="00C671DA" w:rsidRDefault="00C671DA" w:rsidP="00C36D4F">
            <w:pPr>
              <w:spacing w:before="120"/>
              <w:rPr>
                <w:color w:val="000000"/>
              </w:rPr>
            </w:pPr>
          </w:p>
          <w:p w14:paraId="434F35D4" w14:textId="77777777" w:rsidR="00C671DA" w:rsidRDefault="00C671DA" w:rsidP="00C36D4F">
            <w:pPr>
              <w:spacing w:before="120"/>
              <w:rPr>
                <w:color w:val="000000"/>
              </w:rPr>
            </w:pPr>
          </w:p>
          <w:p w14:paraId="50D0D271" w14:textId="77777777" w:rsidR="00C671DA" w:rsidRDefault="00C671DA" w:rsidP="00C36D4F">
            <w:pPr>
              <w:spacing w:before="120"/>
              <w:rPr>
                <w:color w:val="000000"/>
              </w:rPr>
            </w:pPr>
          </w:p>
          <w:p w14:paraId="76261D60" w14:textId="77777777" w:rsidR="00C671DA" w:rsidRDefault="00C671DA" w:rsidP="00C36D4F">
            <w:pPr>
              <w:spacing w:before="120"/>
              <w:rPr>
                <w:color w:val="000000"/>
              </w:rPr>
            </w:pPr>
          </w:p>
          <w:p w14:paraId="2F41F465" w14:textId="77777777" w:rsidR="00C671DA" w:rsidRDefault="00C671DA" w:rsidP="00C36D4F">
            <w:pPr>
              <w:spacing w:before="120"/>
              <w:rPr>
                <w:color w:val="000000"/>
              </w:rPr>
            </w:pPr>
          </w:p>
          <w:p w14:paraId="10499EBC" w14:textId="77777777" w:rsidR="00C671DA" w:rsidRDefault="00C671DA" w:rsidP="00C36D4F">
            <w:pPr>
              <w:spacing w:before="120"/>
              <w:rPr>
                <w:color w:val="000000"/>
              </w:rPr>
            </w:pPr>
          </w:p>
          <w:p w14:paraId="735B562E" w14:textId="77777777" w:rsidR="00C671DA" w:rsidRDefault="00C671DA" w:rsidP="00C36D4F">
            <w:pPr>
              <w:spacing w:before="120"/>
              <w:rPr>
                <w:color w:val="000000"/>
              </w:rPr>
            </w:pPr>
          </w:p>
          <w:p w14:paraId="12061248" w14:textId="77777777" w:rsidR="00C671DA" w:rsidRDefault="00C671DA" w:rsidP="00C36D4F">
            <w:pPr>
              <w:spacing w:before="120"/>
              <w:rPr>
                <w:color w:val="000000"/>
              </w:rPr>
            </w:pPr>
          </w:p>
          <w:p w14:paraId="0DF81978" w14:textId="77777777" w:rsidR="00C671DA" w:rsidRDefault="00C671DA" w:rsidP="00C36D4F">
            <w:pPr>
              <w:spacing w:before="120"/>
              <w:rPr>
                <w:color w:val="000000"/>
              </w:rPr>
            </w:pPr>
          </w:p>
          <w:p w14:paraId="01F5C4BF" w14:textId="77777777" w:rsidR="00C671DA" w:rsidRDefault="00C671DA" w:rsidP="00C36D4F">
            <w:pPr>
              <w:spacing w:before="120"/>
              <w:rPr>
                <w:color w:val="000000"/>
              </w:rPr>
            </w:pPr>
          </w:p>
          <w:p w14:paraId="4C89970C" w14:textId="77777777" w:rsidR="00C671DA" w:rsidRDefault="00C671DA" w:rsidP="00C36D4F">
            <w:pPr>
              <w:spacing w:before="120"/>
              <w:rPr>
                <w:color w:val="000000"/>
              </w:rPr>
            </w:pPr>
          </w:p>
          <w:p w14:paraId="55748206" w14:textId="77777777" w:rsidR="00C671DA" w:rsidRPr="007F620E" w:rsidRDefault="00C671DA" w:rsidP="00C36D4F">
            <w:pPr>
              <w:spacing w:before="120"/>
              <w:rPr>
                <w:color w:val="000000"/>
              </w:rPr>
            </w:pPr>
          </w:p>
        </w:tc>
      </w:tr>
      <w:tr w:rsidR="00C671DA" w:rsidRPr="007F620E" w14:paraId="332612E6" w14:textId="77777777" w:rsidTr="00C36D4F">
        <w:tc>
          <w:tcPr>
            <w:tcW w:w="3258" w:type="dxa"/>
            <w:shd w:val="clear" w:color="auto" w:fill="auto"/>
          </w:tcPr>
          <w:p w14:paraId="1636AA04" w14:textId="77777777" w:rsidR="00C671DA" w:rsidRPr="00427F5D" w:rsidRDefault="00C671DA" w:rsidP="00C36D4F">
            <w:pPr>
              <w:spacing w:before="120"/>
              <w:rPr>
                <w:b/>
                <w:color w:val="000000"/>
                <w:sz w:val="22"/>
                <w:szCs w:val="22"/>
                <w:u w:val="single"/>
              </w:rPr>
            </w:pPr>
            <w:r>
              <w:rPr>
                <w:b/>
                <w:color w:val="000000"/>
                <w:sz w:val="22"/>
                <w:szCs w:val="22"/>
                <w:u w:val="single"/>
              </w:rPr>
              <w:lastRenderedPageBreak/>
              <w:t>Energy Supply</w:t>
            </w:r>
          </w:p>
          <w:p w14:paraId="4A250856"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generation O&amp;M and capital, including approximately </w:t>
            </w:r>
            <w:r w:rsidRPr="00F0538F">
              <w:rPr>
                <w:color w:val="000000"/>
                <w:sz w:val="22"/>
                <w:szCs w:val="22"/>
              </w:rPr>
              <w:t>$</w:t>
            </w:r>
            <w:r>
              <w:rPr>
                <w:color w:val="000000"/>
                <w:sz w:val="22"/>
                <w:szCs w:val="22"/>
              </w:rPr>
              <w:t>11</w:t>
            </w:r>
            <w:r w:rsidRPr="00F0538F">
              <w:rPr>
                <w:color w:val="000000"/>
                <w:sz w:val="22"/>
                <w:szCs w:val="22"/>
              </w:rPr>
              <w:t xml:space="preserve"> million in expense adjustments and $</w:t>
            </w:r>
            <w:r>
              <w:rPr>
                <w:color w:val="000000"/>
                <w:sz w:val="22"/>
                <w:szCs w:val="22"/>
              </w:rPr>
              <w:t>23</w:t>
            </w:r>
            <w:r w:rsidRPr="00F0538F">
              <w:rPr>
                <w:color w:val="000000"/>
                <w:sz w:val="22"/>
                <w:szCs w:val="22"/>
              </w:rPr>
              <w:t xml:space="preserve"> </w:t>
            </w:r>
            <w:r>
              <w:rPr>
                <w:color w:val="000000"/>
                <w:sz w:val="22"/>
                <w:szCs w:val="22"/>
              </w:rPr>
              <w:t>million in capital reductions for 2017.</w:t>
            </w:r>
          </w:p>
          <w:p w14:paraId="09BD9D84" w14:textId="77777777" w:rsidR="00C671DA" w:rsidRDefault="00C671DA" w:rsidP="00C36D4F">
            <w:pPr>
              <w:spacing w:before="120"/>
              <w:rPr>
                <w:color w:val="000000"/>
                <w:sz w:val="22"/>
                <w:szCs w:val="22"/>
              </w:rPr>
            </w:pPr>
            <w:r>
              <w:rPr>
                <w:color w:val="000000"/>
                <w:sz w:val="22"/>
                <w:szCs w:val="22"/>
              </w:rPr>
              <w:t>The Settlement Agreement adopted by D.17-05-013 reduced PG&amp;E’s forecast by $5 million in generation expense.  TURN’s advocacy is reflected in the $0.5 million reduction for hydro operations (MWC AX, KH, KI).</w:t>
            </w:r>
          </w:p>
          <w:p w14:paraId="4A50955D" w14:textId="77777777" w:rsidR="00C671DA" w:rsidRDefault="00C671DA" w:rsidP="00C36D4F">
            <w:pPr>
              <w:spacing w:before="120"/>
              <w:rPr>
                <w:color w:val="000000"/>
                <w:sz w:val="22"/>
                <w:szCs w:val="22"/>
              </w:rPr>
            </w:pPr>
            <w:r>
              <w:rPr>
                <w:color w:val="000000"/>
                <w:sz w:val="22"/>
                <w:szCs w:val="22"/>
              </w:rPr>
              <w:t xml:space="preserve">Moreover, the Settlement Agreement reflects TURN’s advocacy related to Diablo Canyon through the non-financial provisions in Section 3.2.3.1.  As the Joint Motion explains, </w:t>
            </w:r>
            <w:proofErr w:type="gramStart"/>
            <w:r>
              <w:rPr>
                <w:color w:val="000000"/>
                <w:sz w:val="22"/>
                <w:szCs w:val="22"/>
              </w:rPr>
              <w:t>a number of</w:t>
            </w:r>
            <w:proofErr w:type="gramEnd"/>
            <w:r>
              <w:rPr>
                <w:color w:val="000000"/>
                <w:sz w:val="22"/>
                <w:szCs w:val="22"/>
              </w:rPr>
              <w:t xml:space="preserve"> issues raised by TURN, also by A4NR, about license renewal for Diablo Canyon were resolved by PG&amp;E’s decision to seek Commission approval to retire Diablo Canyon at the end of its current NRC licenses.  However, the Settlement Agreement addresses TURN’s (and A4NR’s) concerns about PG&amp;E’s request for pre-approval of the Unit 2 generator stator replacement project.  PG&amp;E withdrew that request, and agreed that if it proceeds with the project, the project and associated costs will be subject to review in its next GRC application.</w:t>
            </w:r>
          </w:p>
          <w:p w14:paraId="107EE469" w14:textId="77777777" w:rsidR="00C671DA" w:rsidRPr="0067505F" w:rsidRDefault="00C671DA" w:rsidP="00C36D4F">
            <w:pPr>
              <w:spacing w:before="120"/>
              <w:rPr>
                <w:b/>
                <w:color w:val="000000"/>
                <w:sz w:val="22"/>
                <w:szCs w:val="22"/>
              </w:rPr>
            </w:pPr>
          </w:p>
        </w:tc>
        <w:tc>
          <w:tcPr>
            <w:tcW w:w="4140" w:type="dxa"/>
            <w:shd w:val="clear" w:color="auto" w:fill="auto"/>
          </w:tcPr>
          <w:p w14:paraId="6F0D3887" w14:textId="77777777" w:rsidR="00C671DA" w:rsidRDefault="00C671DA" w:rsidP="00C36D4F">
            <w:pPr>
              <w:pStyle w:val="ListParagraph"/>
              <w:spacing w:before="120"/>
              <w:rPr>
                <w:color w:val="000000"/>
              </w:rPr>
            </w:pPr>
          </w:p>
          <w:p w14:paraId="693E8F92" w14:textId="77777777" w:rsidR="00C671DA" w:rsidRDefault="00C671DA" w:rsidP="00C36D4F">
            <w:pPr>
              <w:pStyle w:val="ListParagraph"/>
              <w:numPr>
                <w:ilvl w:val="0"/>
                <w:numId w:val="11"/>
              </w:numPr>
              <w:spacing w:before="120"/>
              <w:rPr>
                <w:color w:val="000000"/>
              </w:rPr>
            </w:pPr>
            <w:r>
              <w:rPr>
                <w:color w:val="000000"/>
              </w:rPr>
              <w:t xml:space="preserve">Settlement Agreement, Appendix A, p. 2 of 18 (summary of TURN’s energy supply adjustments, as presented in </w:t>
            </w:r>
            <w:r w:rsidRPr="00B03618">
              <w:rPr>
                <w:color w:val="000000"/>
              </w:rPr>
              <w:t>Ex. TURN-</w:t>
            </w:r>
            <w:r>
              <w:rPr>
                <w:color w:val="000000"/>
              </w:rPr>
              <w:t>6)</w:t>
            </w:r>
          </w:p>
          <w:p w14:paraId="2016D00C" w14:textId="77777777" w:rsidR="00C671DA" w:rsidRDefault="00C671DA" w:rsidP="00C36D4F">
            <w:pPr>
              <w:pStyle w:val="ListParagraph"/>
              <w:numPr>
                <w:ilvl w:val="0"/>
                <w:numId w:val="11"/>
              </w:numPr>
              <w:spacing w:before="120"/>
              <w:rPr>
                <w:color w:val="000000"/>
              </w:rPr>
            </w:pPr>
            <w:r>
              <w:rPr>
                <w:color w:val="000000"/>
              </w:rPr>
              <w:t>Joint Motion, p. 15 (summarizing Section 3.1.4 of the Settlement Agreement)</w:t>
            </w:r>
          </w:p>
          <w:p w14:paraId="26382770" w14:textId="77777777" w:rsidR="00C671DA" w:rsidRDefault="00C671DA" w:rsidP="00C36D4F">
            <w:pPr>
              <w:pStyle w:val="ListParagraph"/>
              <w:numPr>
                <w:ilvl w:val="0"/>
                <w:numId w:val="11"/>
              </w:numPr>
              <w:spacing w:before="120"/>
              <w:rPr>
                <w:color w:val="000000"/>
              </w:rPr>
            </w:pPr>
            <w:r>
              <w:rPr>
                <w:color w:val="000000"/>
              </w:rPr>
              <w:t>Settlement Agreement, Appendix A, O&amp;M Expense Table, p. 5 of 18 (attributing the energy supply adjustments as follows:  MWC AX, KH, and KI to TURN and ORA)</w:t>
            </w:r>
          </w:p>
          <w:p w14:paraId="534DCDAD" w14:textId="77777777" w:rsidR="00C671DA" w:rsidRDefault="00C671DA" w:rsidP="00C36D4F">
            <w:pPr>
              <w:pStyle w:val="ListParagraph"/>
              <w:numPr>
                <w:ilvl w:val="0"/>
                <w:numId w:val="11"/>
              </w:numPr>
              <w:spacing w:before="120"/>
              <w:rPr>
                <w:color w:val="000000"/>
              </w:rPr>
            </w:pPr>
            <w:r>
              <w:rPr>
                <w:color w:val="000000"/>
              </w:rPr>
              <w:t>Joint Motion, pp. 37-38 (addressing Section 3.2.3.1 of the Settlement Agreement re: Diablo Canyon)</w:t>
            </w:r>
          </w:p>
          <w:p w14:paraId="6AD84574" w14:textId="77777777" w:rsidR="00C671DA" w:rsidRDefault="00C671DA" w:rsidP="00C36D4F">
            <w:pPr>
              <w:pStyle w:val="ListParagraph"/>
              <w:spacing w:before="120"/>
              <w:rPr>
                <w:color w:val="000000"/>
              </w:rPr>
            </w:pPr>
          </w:p>
        </w:tc>
        <w:tc>
          <w:tcPr>
            <w:tcW w:w="2340" w:type="dxa"/>
            <w:shd w:val="clear" w:color="auto" w:fill="auto"/>
          </w:tcPr>
          <w:p w14:paraId="05ED6AA8" w14:textId="77777777" w:rsidR="00C671DA" w:rsidRPr="00D029C8" w:rsidRDefault="00C671DA" w:rsidP="00C36D4F">
            <w:pPr>
              <w:spacing w:before="120"/>
              <w:rPr>
                <w:color w:val="000000"/>
              </w:rPr>
            </w:pPr>
            <w:r w:rsidRPr="00D029C8">
              <w:rPr>
                <w:color w:val="000000"/>
              </w:rPr>
              <w:t xml:space="preserve">Verified, in part.  </w:t>
            </w:r>
          </w:p>
          <w:p w14:paraId="002157B9" w14:textId="77777777" w:rsidR="00C671DA" w:rsidRPr="00D029C8" w:rsidRDefault="00C671DA" w:rsidP="00C36D4F">
            <w:pPr>
              <w:pStyle w:val="xmsonormal"/>
              <w:shd w:val="clear" w:color="auto" w:fill="FFFFFF"/>
              <w:spacing w:before="0" w:beforeAutospacing="0" w:after="0" w:afterAutospacing="0" w:line="253" w:lineRule="atLeast"/>
              <w:rPr>
                <w:rFonts w:ascii="Calibri" w:hAnsi="Calibri" w:cs="Calibri"/>
                <w:color w:val="212121"/>
              </w:rPr>
            </w:pPr>
            <w:r w:rsidRPr="00D029C8">
              <w:rPr>
                <w:color w:val="000000"/>
              </w:rPr>
              <w:t>Section 3.2.3.1.2 of the Settlement Agreement states that “PG&amp;E withdraws its request for pre-approval of the Unit 2 main generator stator project in this proceeding.”</w:t>
            </w:r>
          </w:p>
          <w:p w14:paraId="1A2EF986" w14:textId="77777777" w:rsidR="00C671DA" w:rsidRPr="00D029C8" w:rsidRDefault="00C671DA" w:rsidP="00C36D4F">
            <w:pPr>
              <w:pStyle w:val="xmsonormal"/>
              <w:shd w:val="clear" w:color="auto" w:fill="FFFFFF"/>
              <w:spacing w:before="0" w:beforeAutospacing="0" w:after="0" w:afterAutospacing="0" w:line="253" w:lineRule="atLeast"/>
              <w:rPr>
                <w:rFonts w:ascii="Calibri" w:hAnsi="Calibri" w:cs="Calibri"/>
                <w:color w:val="212121"/>
              </w:rPr>
            </w:pPr>
            <w:r w:rsidRPr="00D029C8">
              <w:rPr>
                <w:color w:val="000000"/>
              </w:rPr>
              <w:t>TURN should be </w:t>
            </w:r>
            <w:r>
              <w:rPr>
                <w:color w:val="000000"/>
              </w:rPr>
              <w:t>c</w:t>
            </w:r>
            <w:r w:rsidRPr="00D029C8">
              <w:rPr>
                <w:color w:val="000000"/>
              </w:rPr>
              <w:t>ompensated for this</w:t>
            </w:r>
            <w:r>
              <w:rPr>
                <w:color w:val="000000"/>
              </w:rPr>
              <w:t xml:space="preserve"> c</w:t>
            </w:r>
            <w:r w:rsidRPr="00D029C8">
              <w:rPr>
                <w:color w:val="000000"/>
              </w:rPr>
              <w:t>ontribution to D.17-05-013 (i.e., Exhibit TURN-06, Section II.B., “Diablo </w:t>
            </w:r>
            <w:r>
              <w:rPr>
                <w:color w:val="000000"/>
              </w:rPr>
              <w:t>C</w:t>
            </w:r>
            <w:r w:rsidRPr="00D029C8">
              <w:rPr>
                <w:color w:val="000000"/>
              </w:rPr>
              <w:t>anyon Nuclear Plant, </w:t>
            </w:r>
            <w:r>
              <w:rPr>
                <w:color w:val="000000"/>
              </w:rPr>
              <w:t>C</w:t>
            </w:r>
            <w:r w:rsidRPr="00D029C8">
              <w:rPr>
                <w:color w:val="000000"/>
              </w:rPr>
              <w:t>apital Spending: Unit 2 Stator Upgrade”). </w:t>
            </w:r>
          </w:p>
          <w:p w14:paraId="17274EB1" w14:textId="77777777" w:rsidR="00C671DA" w:rsidRPr="00D029C8" w:rsidRDefault="00C671DA" w:rsidP="00C36D4F">
            <w:pPr>
              <w:pStyle w:val="xmsonormal"/>
              <w:shd w:val="clear" w:color="auto" w:fill="FFFFFF"/>
              <w:spacing w:before="0" w:beforeAutospacing="0" w:after="0" w:afterAutospacing="0" w:line="253" w:lineRule="atLeast"/>
              <w:rPr>
                <w:rFonts w:ascii="Calibri" w:hAnsi="Calibri" w:cs="Calibri"/>
                <w:color w:val="212121"/>
              </w:rPr>
            </w:pPr>
            <w:r>
              <w:rPr>
                <w:color w:val="000000"/>
              </w:rPr>
              <w:t>However</w:t>
            </w:r>
            <w:r w:rsidRPr="00D029C8">
              <w:rPr>
                <w:color w:val="000000"/>
              </w:rPr>
              <w:t>, as TURN acknowledges, the issues raised by TURN regarding license renewal for Diablo </w:t>
            </w:r>
            <w:r>
              <w:rPr>
                <w:color w:val="000000"/>
              </w:rPr>
              <w:t>C</w:t>
            </w:r>
            <w:r w:rsidRPr="00D029C8">
              <w:rPr>
                <w:color w:val="000000"/>
              </w:rPr>
              <w:t>anyon were resolved by PG&amp;E’s decision to seek </w:t>
            </w:r>
            <w:r>
              <w:rPr>
                <w:color w:val="000000"/>
              </w:rPr>
              <w:t>C</w:t>
            </w:r>
            <w:r w:rsidRPr="00D029C8">
              <w:rPr>
                <w:color w:val="000000"/>
              </w:rPr>
              <w:t>ommission approval to retire Diablo </w:t>
            </w:r>
            <w:r>
              <w:rPr>
                <w:color w:val="000000"/>
              </w:rPr>
              <w:t>C</w:t>
            </w:r>
            <w:r w:rsidRPr="00D029C8">
              <w:rPr>
                <w:color w:val="000000"/>
              </w:rPr>
              <w:t>anyon at the end of its </w:t>
            </w:r>
            <w:r>
              <w:rPr>
                <w:color w:val="000000"/>
              </w:rPr>
              <w:t>c</w:t>
            </w:r>
            <w:r w:rsidRPr="00D029C8">
              <w:rPr>
                <w:color w:val="000000"/>
              </w:rPr>
              <w:t>urrent NRC licenses.  TURN should not be</w:t>
            </w:r>
            <w:r>
              <w:rPr>
                <w:color w:val="000000"/>
              </w:rPr>
              <w:t xml:space="preserve"> </w:t>
            </w:r>
            <w:r>
              <w:t>c</w:t>
            </w:r>
            <w:r w:rsidRPr="00D029C8">
              <w:rPr>
                <w:color w:val="000000"/>
              </w:rPr>
              <w:t>ompensated for its work on license renewal issues (i.e., Exhibit TURN-06, Section II.A., “Diablo </w:t>
            </w:r>
            <w:r>
              <w:rPr>
                <w:color w:val="000000"/>
              </w:rPr>
              <w:t>C</w:t>
            </w:r>
            <w:r w:rsidRPr="00D029C8">
              <w:rPr>
                <w:color w:val="000000"/>
              </w:rPr>
              <w:t xml:space="preserve">anyon </w:t>
            </w:r>
            <w:r w:rsidRPr="00D029C8">
              <w:rPr>
                <w:color w:val="000000"/>
              </w:rPr>
              <w:lastRenderedPageBreak/>
              <w:t>Nuclear Plant, Policy”), because the </w:t>
            </w:r>
            <w:r>
              <w:rPr>
                <w:color w:val="000000"/>
              </w:rPr>
              <w:t>C</w:t>
            </w:r>
            <w:r w:rsidRPr="00D029C8">
              <w:rPr>
                <w:color w:val="000000"/>
              </w:rPr>
              <w:t xml:space="preserve">ommission addressed PG&amp;E’s request in </w:t>
            </w:r>
            <w:r>
              <w:rPr>
                <w:color w:val="000000"/>
              </w:rPr>
              <w:br/>
            </w:r>
            <w:r w:rsidRPr="00D029C8">
              <w:rPr>
                <w:color w:val="000000"/>
              </w:rPr>
              <w:t xml:space="preserve">D.18-01-022 in </w:t>
            </w:r>
            <w:r>
              <w:rPr>
                <w:color w:val="000000"/>
              </w:rPr>
              <w:br/>
            </w:r>
            <w:r w:rsidRPr="00D029C8">
              <w:rPr>
                <w:color w:val="000000"/>
              </w:rPr>
              <w:t>A.16-08-006.</w:t>
            </w:r>
          </w:p>
          <w:p w14:paraId="5A02A94F" w14:textId="77777777" w:rsidR="00C671DA" w:rsidRPr="00D029C8" w:rsidRDefault="00C671DA" w:rsidP="00C36D4F">
            <w:pPr>
              <w:pStyle w:val="xmsonormal"/>
              <w:shd w:val="clear" w:color="auto" w:fill="FFFFFF"/>
              <w:spacing w:before="0" w:beforeAutospacing="0" w:after="0" w:afterAutospacing="0" w:line="253" w:lineRule="atLeast"/>
              <w:rPr>
                <w:rFonts w:ascii="Calibri" w:hAnsi="Calibri" w:cs="Calibri"/>
                <w:color w:val="212121"/>
              </w:rPr>
            </w:pPr>
            <w:r w:rsidRPr="00D029C8">
              <w:rPr>
                <w:color w:val="000000"/>
              </w:rPr>
              <w:t>TURN witness Marcus </w:t>
            </w:r>
            <w:r>
              <w:rPr>
                <w:color w:val="000000"/>
              </w:rPr>
              <w:t>c</w:t>
            </w:r>
            <w:r w:rsidRPr="00D029C8">
              <w:rPr>
                <w:color w:val="000000"/>
              </w:rPr>
              <w:t>laimed 9.25 hours for Diablo </w:t>
            </w:r>
            <w:r>
              <w:rPr>
                <w:color w:val="000000"/>
              </w:rPr>
              <w:t>C</w:t>
            </w:r>
            <w:r w:rsidRPr="00D029C8">
              <w:rPr>
                <w:color w:val="000000"/>
              </w:rPr>
              <w:t xml:space="preserve">anyon-related </w:t>
            </w:r>
            <w:proofErr w:type="gramStart"/>
            <w:r w:rsidRPr="00D029C8">
              <w:rPr>
                <w:color w:val="000000"/>
              </w:rPr>
              <w:t>work, and</w:t>
            </w:r>
            <w:proofErr w:type="gramEnd"/>
            <w:r w:rsidRPr="00D029C8">
              <w:rPr>
                <w:color w:val="000000"/>
              </w:rPr>
              <w:t xml:space="preserve"> should be</w:t>
            </w:r>
            <w:r>
              <w:rPr>
                <w:color w:val="000000"/>
              </w:rPr>
              <w:t xml:space="preserve"> </w:t>
            </w:r>
            <w:r>
              <w:t>c</w:t>
            </w:r>
            <w:r w:rsidRPr="00D029C8">
              <w:rPr>
                <w:color w:val="000000"/>
              </w:rPr>
              <w:t>ompensated for 50% of those hours.  TURN attorney Freedman </w:t>
            </w:r>
            <w:r>
              <w:rPr>
                <w:color w:val="000000"/>
              </w:rPr>
              <w:t>c</w:t>
            </w:r>
            <w:r w:rsidRPr="00D029C8">
              <w:rPr>
                <w:color w:val="000000"/>
              </w:rPr>
              <w:t>laimed 23.25 hours for Diablo </w:t>
            </w:r>
            <w:r>
              <w:rPr>
                <w:color w:val="000000"/>
              </w:rPr>
              <w:t>C</w:t>
            </w:r>
            <w:r w:rsidRPr="00D029C8">
              <w:rPr>
                <w:color w:val="000000"/>
              </w:rPr>
              <w:t xml:space="preserve">anyon-related </w:t>
            </w:r>
            <w:proofErr w:type="gramStart"/>
            <w:r w:rsidRPr="00D029C8">
              <w:rPr>
                <w:color w:val="000000"/>
              </w:rPr>
              <w:t>work, and</w:t>
            </w:r>
            <w:proofErr w:type="gramEnd"/>
            <w:r w:rsidRPr="00D029C8">
              <w:rPr>
                <w:color w:val="000000"/>
              </w:rPr>
              <w:t xml:space="preserve"> should be</w:t>
            </w:r>
            <w:r>
              <w:rPr>
                <w:color w:val="000000"/>
              </w:rPr>
              <w:t xml:space="preserve"> c</w:t>
            </w:r>
            <w:r w:rsidRPr="00D029C8">
              <w:rPr>
                <w:color w:val="000000"/>
              </w:rPr>
              <w:t xml:space="preserve">ompensated for 50% of those hours. </w:t>
            </w:r>
          </w:p>
        </w:tc>
      </w:tr>
      <w:tr w:rsidR="00C671DA" w:rsidRPr="007F620E" w14:paraId="47E80510" w14:textId="77777777" w:rsidTr="00C36D4F">
        <w:tc>
          <w:tcPr>
            <w:tcW w:w="3258" w:type="dxa"/>
            <w:shd w:val="clear" w:color="auto" w:fill="auto"/>
          </w:tcPr>
          <w:p w14:paraId="56AFCD62" w14:textId="77777777" w:rsidR="00C671DA" w:rsidRPr="00427F5D" w:rsidRDefault="00C671DA" w:rsidP="00C36D4F">
            <w:pPr>
              <w:spacing w:before="120"/>
              <w:rPr>
                <w:b/>
                <w:color w:val="000000"/>
                <w:sz w:val="22"/>
                <w:szCs w:val="22"/>
                <w:u w:val="single"/>
              </w:rPr>
            </w:pPr>
            <w:r>
              <w:rPr>
                <w:b/>
                <w:color w:val="000000"/>
                <w:sz w:val="22"/>
                <w:szCs w:val="22"/>
                <w:u w:val="single"/>
              </w:rPr>
              <w:lastRenderedPageBreak/>
              <w:t xml:space="preserve">Customer Care </w:t>
            </w:r>
          </w:p>
          <w:p w14:paraId="3166FB8C" w14:textId="77777777" w:rsidR="00C671DA" w:rsidRPr="00425EC2" w:rsidRDefault="00C671DA" w:rsidP="00C36D4F">
            <w:pPr>
              <w:spacing w:before="120"/>
              <w:rPr>
                <w:i/>
                <w:color w:val="000000"/>
                <w:sz w:val="22"/>
                <w:szCs w:val="22"/>
              </w:rPr>
            </w:pPr>
            <w:r>
              <w:rPr>
                <w:i/>
                <w:color w:val="000000"/>
                <w:sz w:val="22"/>
                <w:szCs w:val="22"/>
              </w:rPr>
              <w:t>Financial Issues</w:t>
            </w:r>
          </w:p>
          <w:p w14:paraId="56CD069F"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customer care, including approximately </w:t>
            </w:r>
            <w:r w:rsidRPr="00F0538F">
              <w:rPr>
                <w:color w:val="000000"/>
                <w:sz w:val="22"/>
                <w:szCs w:val="22"/>
              </w:rPr>
              <w:t>$</w:t>
            </w:r>
            <w:r>
              <w:rPr>
                <w:color w:val="000000"/>
                <w:sz w:val="22"/>
                <w:szCs w:val="22"/>
              </w:rPr>
              <w:t>103</w:t>
            </w:r>
            <w:r w:rsidRPr="00F0538F">
              <w:rPr>
                <w:color w:val="000000"/>
                <w:sz w:val="22"/>
                <w:szCs w:val="22"/>
              </w:rPr>
              <w:t xml:space="preserve"> million in expense adjustments</w:t>
            </w:r>
            <w:r>
              <w:rPr>
                <w:color w:val="000000"/>
                <w:sz w:val="22"/>
                <w:szCs w:val="22"/>
              </w:rPr>
              <w:t>.</w:t>
            </w:r>
          </w:p>
          <w:p w14:paraId="1283D6A9" w14:textId="77777777" w:rsidR="00C671DA" w:rsidRDefault="00C671DA" w:rsidP="00C36D4F">
            <w:pPr>
              <w:spacing w:before="120"/>
              <w:rPr>
                <w:color w:val="000000"/>
                <w:sz w:val="22"/>
                <w:szCs w:val="22"/>
              </w:rPr>
            </w:pPr>
            <w:r>
              <w:rPr>
                <w:color w:val="000000"/>
                <w:sz w:val="22"/>
                <w:szCs w:val="22"/>
              </w:rPr>
              <w:t xml:space="preserve">The Settlement Agreement adopted by D.17-05-013 reduced PG&amp;E’s forecast by $31 million in customer care expense.  TURN’s advocacy is reflected in </w:t>
            </w:r>
            <w:r w:rsidRPr="00E71506">
              <w:rPr>
                <w:color w:val="000000"/>
                <w:sz w:val="22"/>
                <w:szCs w:val="22"/>
              </w:rPr>
              <w:t>the $7 million reduction for customer engagement (MWC EZ, FK, IV); $14.7 million reduction for pricing products (MWC EZ); $3.8 million reduction for contact centers (MWC DK); $1.0 million reduction for metering (MWC AR); and $3.2 million reduction for billing, revenue, and credit (MWC IS).</w:t>
            </w:r>
            <w:r>
              <w:rPr>
                <w:color w:val="000000"/>
                <w:sz w:val="22"/>
                <w:szCs w:val="22"/>
              </w:rPr>
              <w:t xml:space="preserve">  Approximately $18 </w:t>
            </w:r>
            <w:r>
              <w:rPr>
                <w:color w:val="000000"/>
                <w:sz w:val="22"/>
                <w:szCs w:val="22"/>
              </w:rPr>
              <w:lastRenderedPageBreak/>
              <w:t>million of these reductions are associated with the movement of costs associated with the Residential Rate Reform OIR (R.12-06-013) to a memo account for future review elsewhere.</w:t>
            </w:r>
          </w:p>
          <w:p w14:paraId="66CEBD27" w14:textId="77777777" w:rsidR="00C671DA" w:rsidRPr="00425EC2" w:rsidRDefault="00C671DA" w:rsidP="00C36D4F">
            <w:pPr>
              <w:spacing w:before="120"/>
              <w:rPr>
                <w:color w:val="000000"/>
                <w:sz w:val="22"/>
                <w:szCs w:val="22"/>
              </w:rPr>
            </w:pPr>
            <w:r>
              <w:rPr>
                <w:color w:val="000000"/>
                <w:sz w:val="22"/>
                <w:szCs w:val="22"/>
              </w:rPr>
              <w:t xml:space="preserve">The Settlement Agreement additionally reduced PG&amp;E’s forecast by $1.3 million in capital in 2017.  This adjustment reflects the movement of costs associated with the Residential Rate Reform OIR (R.12-06-013) to a memo account for future review elsewhere.  </w:t>
            </w:r>
          </w:p>
          <w:p w14:paraId="243B5E02" w14:textId="77777777" w:rsidR="00C671DA" w:rsidRDefault="00C671DA" w:rsidP="00C36D4F">
            <w:pPr>
              <w:spacing w:before="120"/>
              <w:rPr>
                <w:color w:val="000000"/>
                <w:sz w:val="22"/>
                <w:szCs w:val="22"/>
              </w:rPr>
            </w:pPr>
            <w:r>
              <w:rPr>
                <w:color w:val="000000"/>
                <w:sz w:val="22"/>
                <w:szCs w:val="22"/>
              </w:rPr>
              <w:t xml:space="preserve">While D.17-05-013 adopted the financial impacts of Section 3.1.5.2 of the Settlement Agreement, </w:t>
            </w:r>
            <w:r w:rsidRPr="00E40BB2">
              <w:rPr>
                <w:color w:val="000000"/>
                <w:sz w:val="22"/>
                <w:szCs w:val="22"/>
              </w:rPr>
              <w:t>related to PG&amp;E’s recovery of 2015-2016 and 2017-2019 costs recorded in the Residential Rate Reform Memorandum Account</w:t>
            </w:r>
            <w:r>
              <w:rPr>
                <w:color w:val="000000"/>
                <w:sz w:val="22"/>
                <w:szCs w:val="22"/>
              </w:rPr>
              <w:t>, t</w:t>
            </w:r>
            <w:r w:rsidRPr="00E40BB2">
              <w:rPr>
                <w:color w:val="000000"/>
                <w:sz w:val="22"/>
                <w:szCs w:val="22"/>
              </w:rPr>
              <w:t xml:space="preserve">he Commission rejected the </w:t>
            </w:r>
            <w:r>
              <w:rPr>
                <w:color w:val="000000"/>
                <w:sz w:val="22"/>
                <w:szCs w:val="22"/>
              </w:rPr>
              <w:t xml:space="preserve">vehicle for review and recovery of those costs proposed </w:t>
            </w:r>
            <w:r w:rsidRPr="00E40BB2">
              <w:rPr>
                <w:color w:val="000000"/>
                <w:sz w:val="22"/>
                <w:szCs w:val="22"/>
              </w:rPr>
              <w:t xml:space="preserve">in Section 3.1.5.2.  The Commission pointed to TURN’s testimony, </w:t>
            </w:r>
            <w:r>
              <w:rPr>
                <w:color w:val="000000"/>
                <w:sz w:val="22"/>
                <w:szCs w:val="22"/>
              </w:rPr>
              <w:t xml:space="preserve">Ex. TURN-8, </w:t>
            </w:r>
            <w:r w:rsidRPr="00E40BB2">
              <w:rPr>
                <w:color w:val="000000"/>
                <w:sz w:val="22"/>
                <w:szCs w:val="22"/>
              </w:rPr>
              <w:t xml:space="preserve">as well as ORA’s, in concluding that the Settlement terms were not supported by the record.  </w:t>
            </w:r>
            <w:r>
              <w:rPr>
                <w:color w:val="000000"/>
                <w:sz w:val="22"/>
                <w:szCs w:val="22"/>
              </w:rPr>
              <w:t>Instead, the Commission adopted revisions to Section 3.1.5.2 proposed by the Settling Parties, including TURN, in comments on the Alternate Proposed Decision (APD).  The Commission found that the revised Section 3.1.5.2 “addresses the concerns identified in the PD and APD” and should be adopted.</w:t>
            </w:r>
          </w:p>
          <w:p w14:paraId="1492283A" w14:textId="77777777" w:rsidR="00C671DA" w:rsidRPr="007C4939" w:rsidRDefault="00C671DA" w:rsidP="00C36D4F">
            <w:pPr>
              <w:spacing w:before="120"/>
              <w:rPr>
                <w:i/>
                <w:color w:val="000000"/>
                <w:sz w:val="22"/>
                <w:szCs w:val="22"/>
              </w:rPr>
            </w:pPr>
            <w:r w:rsidRPr="007C4939">
              <w:rPr>
                <w:i/>
                <w:color w:val="000000"/>
                <w:sz w:val="22"/>
                <w:szCs w:val="22"/>
              </w:rPr>
              <w:t>Customer Service Office Closures</w:t>
            </w:r>
          </w:p>
          <w:p w14:paraId="461E0712" w14:textId="77777777" w:rsidR="00C671DA" w:rsidRDefault="00C671DA" w:rsidP="00C36D4F">
            <w:pPr>
              <w:spacing w:before="120"/>
              <w:rPr>
                <w:color w:val="000000"/>
                <w:sz w:val="22"/>
                <w:szCs w:val="22"/>
              </w:rPr>
            </w:pPr>
            <w:r>
              <w:rPr>
                <w:color w:val="000000"/>
                <w:sz w:val="22"/>
                <w:szCs w:val="22"/>
              </w:rPr>
              <w:t xml:space="preserve">TURN also opposed PG&amp;E’s proposal to close 26 customer service offices (CSOs).  TURN presented an extensive analysis demonstrating that PG&amp;E did not meet its burden of showing that closing these CSO would be in </w:t>
            </w:r>
            <w:r>
              <w:rPr>
                <w:color w:val="000000"/>
                <w:sz w:val="22"/>
                <w:szCs w:val="22"/>
              </w:rPr>
              <w:lastRenderedPageBreak/>
              <w:t xml:space="preserve">the best interest of customers because (1) PG&amp;E did not address the needs and preferences of customers who use these CSOs; (2) customers continue to rely on these CSOs for payment and nonpayment transactions; and (3) PG&amp;E did not demonstrate that alternatives available to customers using these CSOs would provide reasonably comparable levels of service.  </w:t>
            </w:r>
          </w:p>
          <w:p w14:paraId="09021AC1" w14:textId="77777777" w:rsidR="00C671DA" w:rsidRDefault="00C671DA" w:rsidP="00C36D4F">
            <w:pPr>
              <w:spacing w:before="120"/>
              <w:rPr>
                <w:color w:val="000000"/>
                <w:sz w:val="22"/>
                <w:szCs w:val="22"/>
              </w:rPr>
            </w:pPr>
            <w:r>
              <w:rPr>
                <w:color w:val="000000"/>
                <w:sz w:val="22"/>
                <w:szCs w:val="22"/>
              </w:rPr>
              <w:t>ORA and CUE likewise opposed PG&amp;E’s proposal.</w:t>
            </w:r>
          </w:p>
          <w:p w14:paraId="30C91017" w14:textId="77777777" w:rsidR="00C671DA" w:rsidRPr="002F67A5" w:rsidRDefault="00C671DA" w:rsidP="00C36D4F">
            <w:pPr>
              <w:spacing w:before="120"/>
              <w:rPr>
                <w:color w:val="000000"/>
                <w:sz w:val="22"/>
                <w:szCs w:val="22"/>
              </w:rPr>
            </w:pPr>
            <w:r>
              <w:rPr>
                <w:color w:val="000000"/>
                <w:sz w:val="22"/>
                <w:szCs w:val="22"/>
              </w:rPr>
              <w:t xml:space="preserve">Pursuant to Section 3.2.4.3 of the Settlement Agreement, PG&amp;E withdrew this request.  The settlement agreement authorizes PG&amp;E to file a new application seeking to close local offices no earlier than July 1, 2018.  </w:t>
            </w:r>
          </w:p>
          <w:p w14:paraId="2C7B221E" w14:textId="77777777" w:rsidR="00C671DA" w:rsidRPr="0067505F" w:rsidRDefault="00C671DA" w:rsidP="00C36D4F">
            <w:pPr>
              <w:spacing w:before="120"/>
              <w:rPr>
                <w:b/>
                <w:color w:val="000000"/>
                <w:sz w:val="22"/>
                <w:szCs w:val="22"/>
              </w:rPr>
            </w:pPr>
          </w:p>
        </w:tc>
        <w:tc>
          <w:tcPr>
            <w:tcW w:w="4140" w:type="dxa"/>
            <w:shd w:val="clear" w:color="auto" w:fill="auto"/>
          </w:tcPr>
          <w:p w14:paraId="0AD8919F" w14:textId="77777777" w:rsidR="00C671DA" w:rsidRDefault="00C671DA" w:rsidP="00C36D4F">
            <w:pPr>
              <w:spacing w:before="120"/>
              <w:rPr>
                <w:i/>
                <w:color w:val="000000"/>
                <w:sz w:val="22"/>
                <w:szCs w:val="22"/>
              </w:rPr>
            </w:pPr>
          </w:p>
          <w:p w14:paraId="3157477F" w14:textId="77777777" w:rsidR="00C671DA" w:rsidRDefault="00C671DA" w:rsidP="00C36D4F">
            <w:pPr>
              <w:spacing w:before="120"/>
              <w:rPr>
                <w:b/>
                <w:color w:val="000000"/>
                <w:sz w:val="22"/>
                <w:szCs w:val="22"/>
              </w:rPr>
            </w:pPr>
            <w:r>
              <w:rPr>
                <w:i/>
                <w:color w:val="000000"/>
                <w:sz w:val="22"/>
                <w:szCs w:val="22"/>
              </w:rPr>
              <w:t>Financial Issues</w:t>
            </w:r>
          </w:p>
          <w:p w14:paraId="7C5E9898" w14:textId="77777777" w:rsidR="00C671DA" w:rsidRDefault="00C671DA" w:rsidP="00C36D4F">
            <w:pPr>
              <w:pStyle w:val="ListParagraph"/>
              <w:numPr>
                <w:ilvl w:val="0"/>
                <w:numId w:val="11"/>
              </w:numPr>
              <w:spacing w:before="120"/>
              <w:rPr>
                <w:color w:val="000000"/>
              </w:rPr>
            </w:pPr>
            <w:r>
              <w:rPr>
                <w:color w:val="000000"/>
              </w:rPr>
              <w:t>Settlement Agreement, Appendix A, p. 2 of 18 (summary of TURN’s customer care adjustments, as presented in Ex. TURN-8)</w:t>
            </w:r>
          </w:p>
          <w:p w14:paraId="5410E7AB" w14:textId="77777777" w:rsidR="00C671DA" w:rsidRDefault="00C671DA" w:rsidP="00C36D4F">
            <w:pPr>
              <w:pStyle w:val="ListParagraph"/>
              <w:numPr>
                <w:ilvl w:val="0"/>
                <w:numId w:val="11"/>
              </w:numPr>
              <w:spacing w:before="120"/>
              <w:rPr>
                <w:color w:val="000000"/>
              </w:rPr>
            </w:pPr>
            <w:r>
              <w:rPr>
                <w:color w:val="000000"/>
              </w:rPr>
              <w:t>Joint Motion, p. 16 (summarizing Section 3.1.5 of the Settlement Agreement)</w:t>
            </w:r>
          </w:p>
          <w:p w14:paraId="27946D0E" w14:textId="77777777" w:rsidR="00C671DA" w:rsidRDefault="00C671DA" w:rsidP="00C36D4F">
            <w:pPr>
              <w:pStyle w:val="ListParagraph"/>
              <w:numPr>
                <w:ilvl w:val="0"/>
                <w:numId w:val="11"/>
              </w:numPr>
              <w:spacing w:before="120"/>
              <w:rPr>
                <w:color w:val="000000"/>
              </w:rPr>
            </w:pPr>
            <w:r>
              <w:rPr>
                <w:color w:val="000000"/>
              </w:rPr>
              <w:t>Settlement Agreement, Appendix A, O&amp;M Expense Table, p. 6 of 18 (attributing the customer care adjustments as follows:  MWC EZ to TURN and ORA; MWC FK to TURN, ORA, MMID and SSJID; MWC IV to TURN and ORA; MWC DK to TURN and ORA; MWC AR to TURN; and MWC IS to TURN and ORA)</w:t>
            </w:r>
          </w:p>
          <w:p w14:paraId="04287513" w14:textId="77777777" w:rsidR="00C671DA" w:rsidRDefault="00C671DA" w:rsidP="00C36D4F">
            <w:pPr>
              <w:pStyle w:val="ListParagraph"/>
              <w:numPr>
                <w:ilvl w:val="0"/>
                <w:numId w:val="11"/>
              </w:numPr>
              <w:spacing w:before="120"/>
              <w:rPr>
                <w:color w:val="000000"/>
              </w:rPr>
            </w:pPr>
            <w:r w:rsidRPr="002E0C2A">
              <w:rPr>
                <w:color w:val="000000"/>
              </w:rPr>
              <w:t xml:space="preserve">Settlement Agreement, Appendix A, Capital Expenditures Table, p. </w:t>
            </w:r>
            <w:r>
              <w:rPr>
                <w:color w:val="000000"/>
              </w:rPr>
              <w:lastRenderedPageBreak/>
              <w:t>12</w:t>
            </w:r>
            <w:r w:rsidRPr="002E0C2A">
              <w:rPr>
                <w:color w:val="000000"/>
              </w:rPr>
              <w:t xml:space="preserve"> of 18 (</w:t>
            </w:r>
            <w:r>
              <w:rPr>
                <w:color w:val="000000"/>
              </w:rPr>
              <w:t>attributing the customer care adjustment to MWC 2F to TURN and ORA</w:t>
            </w:r>
            <w:r w:rsidRPr="002E0C2A">
              <w:rPr>
                <w:color w:val="000000"/>
              </w:rPr>
              <w:t>)</w:t>
            </w:r>
          </w:p>
          <w:p w14:paraId="1F201C37" w14:textId="77777777" w:rsidR="00C671DA" w:rsidRPr="007B684B" w:rsidRDefault="00C671DA" w:rsidP="00C36D4F">
            <w:pPr>
              <w:pStyle w:val="ListParagraph"/>
              <w:numPr>
                <w:ilvl w:val="0"/>
                <w:numId w:val="11"/>
              </w:numPr>
              <w:spacing w:before="120"/>
              <w:rPr>
                <w:color w:val="000000"/>
              </w:rPr>
            </w:pPr>
            <w:r>
              <w:rPr>
                <w:color w:val="000000"/>
              </w:rPr>
              <w:t xml:space="preserve">D.17-05-013, pp. 95-97 (analyzing and rejecting Section 3.1.5.2 of the Settlement Agreement related to </w:t>
            </w:r>
            <w:r w:rsidRPr="00E40BB2">
              <w:rPr>
                <w:color w:val="000000"/>
              </w:rPr>
              <w:t>Residential Rate Reform Memorandum Account</w:t>
            </w:r>
            <w:r>
              <w:rPr>
                <w:color w:val="000000"/>
              </w:rPr>
              <w:t xml:space="preserve"> cost recovery); pp. 224-225 (discussing and adopting revised Section 3.1.5.2)</w:t>
            </w:r>
          </w:p>
          <w:p w14:paraId="2DE73A4E" w14:textId="77777777" w:rsidR="00C671DA" w:rsidRPr="007C4939" w:rsidRDefault="00C671DA" w:rsidP="00C36D4F">
            <w:pPr>
              <w:spacing w:before="120"/>
              <w:rPr>
                <w:i/>
                <w:color w:val="000000"/>
                <w:sz w:val="22"/>
                <w:szCs w:val="22"/>
              </w:rPr>
            </w:pPr>
            <w:r w:rsidRPr="007C4939">
              <w:rPr>
                <w:i/>
                <w:color w:val="000000"/>
                <w:sz w:val="22"/>
                <w:szCs w:val="22"/>
              </w:rPr>
              <w:t>Customer Service Office Closures</w:t>
            </w:r>
          </w:p>
          <w:p w14:paraId="1AB49163" w14:textId="77777777" w:rsidR="00C671DA" w:rsidRPr="00350C3E" w:rsidRDefault="00C671DA" w:rsidP="00C36D4F">
            <w:pPr>
              <w:pStyle w:val="ListParagraph"/>
              <w:numPr>
                <w:ilvl w:val="0"/>
                <w:numId w:val="11"/>
              </w:numPr>
              <w:spacing w:before="120"/>
              <w:rPr>
                <w:color w:val="000000"/>
              </w:rPr>
            </w:pPr>
            <w:r w:rsidRPr="00350C3E">
              <w:rPr>
                <w:color w:val="000000"/>
              </w:rPr>
              <w:t xml:space="preserve">Ex. TURN-7 (Testimony of Hayley Goodson and Jeffrey </w:t>
            </w:r>
            <w:proofErr w:type="spellStart"/>
            <w:r w:rsidRPr="00350C3E">
              <w:rPr>
                <w:color w:val="000000"/>
              </w:rPr>
              <w:t>Nahigian</w:t>
            </w:r>
            <w:proofErr w:type="spellEnd"/>
            <w:r w:rsidRPr="00350C3E">
              <w:rPr>
                <w:color w:val="000000"/>
              </w:rPr>
              <w:t>)</w:t>
            </w:r>
          </w:p>
          <w:p w14:paraId="1C3A4EA5" w14:textId="77777777" w:rsidR="00C671DA" w:rsidRPr="00350C3E" w:rsidRDefault="00C671DA" w:rsidP="00C36D4F">
            <w:pPr>
              <w:pStyle w:val="ListParagraph"/>
              <w:numPr>
                <w:ilvl w:val="0"/>
                <w:numId w:val="11"/>
              </w:numPr>
              <w:spacing w:before="120"/>
              <w:rPr>
                <w:color w:val="000000"/>
              </w:rPr>
            </w:pPr>
            <w:r w:rsidRPr="00350C3E">
              <w:rPr>
                <w:color w:val="000000"/>
              </w:rPr>
              <w:t>Joint Motion, p. 41.</w:t>
            </w:r>
          </w:p>
          <w:p w14:paraId="03E7D4F4" w14:textId="77777777" w:rsidR="00C671DA" w:rsidRPr="00350C3E" w:rsidRDefault="00C671DA" w:rsidP="00C36D4F">
            <w:pPr>
              <w:pStyle w:val="ListParagraph"/>
              <w:numPr>
                <w:ilvl w:val="0"/>
                <w:numId w:val="11"/>
              </w:numPr>
              <w:spacing w:before="120"/>
              <w:rPr>
                <w:color w:val="000000"/>
              </w:rPr>
            </w:pPr>
            <w:r w:rsidRPr="00350C3E">
              <w:rPr>
                <w:color w:val="000000"/>
              </w:rPr>
              <w:t>Settlement Agreement, Section 3.2.4.3</w:t>
            </w:r>
          </w:p>
          <w:p w14:paraId="6FE15347" w14:textId="77777777" w:rsidR="00C671DA" w:rsidRDefault="00C671DA" w:rsidP="00C36D4F">
            <w:pPr>
              <w:pStyle w:val="ListParagraph"/>
              <w:spacing w:before="120"/>
              <w:rPr>
                <w:color w:val="000000"/>
              </w:rPr>
            </w:pPr>
          </w:p>
        </w:tc>
        <w:tc>
          <w:tcPr>
            <w:tcW w:w="2340" w:type="dxa"/>
            <w:shd w:val="clear" w:color="auto" w:fill="auto"/>
          </w:tcPr>
          <w:p w14:paraId="3244C54D" w14:textId="77777777" w:rsidR="00C671DA" w:rsidRDefault="00C671DA" w:rsidP="00C36D4F">
            <w:pPr>
              <w:spacing w:before="120"/>
              <w:rPr>
                <w:color w:val="000000"/>
              </w:rPr>
            </w:pPr>
            <w:r>
              <w:rPr>
                <w:color w:val="000000"/>
              </w:rPr>
              <w:lastRenderedPageBreak/>
              <w:t>Verified</w:t>
            </w:r>
          </w:p>
          <w:p w14:paraId="1351F437" w14:textId="77777777" w:rsidR="00C671DA" w:rsidRDefault="00C671DA" w:rsidP="00C36D4F">
            <w:pPr>
              <w:spacing w:before="120"/>
              <w:rPr>
                <w:color w:val="000000"/>
              </w:rPr>
            </w:pPr>
          </w:p>
          <w:p w14:paraId="4A12A245" w14:textId="77777777" w:rsidR="00C671DA" w:rsidRPr="007F620E" w:rsidRDefault="00C671DA" w:rsidP="00C36D4F">
            <w:pPr>
              <w:spacing w:before="120"/>
              <w:rPr>
                <w:color w:val="000000"/>
              </w:rPr>
            </w:pPr>
          </w:p>
        </w:tc>
      </w:tr>
      <w:tr w:rsidR="00C671DA" w:rsidRPr="007F620E" w14:paraId="7D44DD83" w14:textId="77777777" w:rsidTr="00C36D4F">
        <w:tc>
          <w:tcPr>
            <w:tcW w:w="3258" w:type="dxa"/>
            <w:shd w:val="clear" w:color="auto" w:fill="auto"/>
          </w:tcPr>
          <w:p w14:paraId="2B17020B" w14:textId="77777777" w:rsidR="00C671DA" w:rsidRPr="00427F5D" w:rsidRDefault="00C671DA" w:rsidP="00C36D4F">
            <w:pPr>
              <w:spacing w:before="120"/>
              <w:rPr>
                <w:b/>
                <w:color w:val="000000"/>
                <w:sz w:val="22"/>
                <w:szCs w:val="22"/>
                <w:u w:val="single"/>
              </w:rPr>
            </w:pPr>
            <w:r>
              <w:rPr>
                <w:b/>
                <w:color w:val="000000"/>
                <w:sz w:val="22"/>
                <w:szCs w:val="22"/>
                <w:u w:val="single"/>
              </w:rPr>
              <w:lastRenderedPageBreak/>
              <w:t xml:space="preserve">Shared Services </w:t>
            </w:r>
          </w:p>
          <w:p w14:paraId="2CB6218F"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shared services O&amp;M and capital, including approximately </w:t>
            </w:r>
            <w:r w:rsidRPr="00F0538F">
              <w:rPr>
                <w:color w:val="000000"/>
                <w:sz w:val="22"/>
                <w:szCs w:val="22"/>
              </w:rPr>
              <w:t>$</w:t>
            </w:r>
            <w:r>
              <w:rPr>
                <w:color w:val="000000"/>
                <w:sz w:val="22"/>
                <w:szCs w:val="22"/>
              </w:rPr>
              <w:t>18</w:t>
            </w:r>
            <w:r w:rsidRPr="00F0538F">
              <w:rPr>
                <w:color w:val="000000"/>
                <w:sz w:val="22"/>
                <w:szCs w:val="22"/>
              </w:rPr>
              <w:t xml:space="preserve"> million in expense adjustments and $1</w:t>
            </w:r>
            <w:r>
              <w:rPr>
                <w:color w:val="000000"/>
                <w:sz w:val="22"/>
                <w:szCs w:val="22"/>
              </w:rPr>
              <w:t>02</w:t>
            </w:r>
            <w:r w:rsidRPr="00F0538F">
              <w:rPr>
                <w:color w:val="000000"/>
                <w:sz w:val="22"/>
                <w:szCs w:val="22"/>
              </w:rPr>
              <w:t xml:space="preserve"> </w:t>
            </w:r>
            <w:r>
              <w:rPr>
                <w:color w:val="000000"/>
                <w:sz w:val="22"/>
                <w:szCs w:val="22"/>
              </w:rPr>
              <w:t>million in capital reductions for 2017.</w:t>
            </w:r>
          </w:p>
          <w:p w14:paraId="62324250" w14:textId="77777777" w:rsidR="00C671DA" w:rsidRPr="00794725" w:rsidRDefault="00C671DA" w:rsidP="00C36D4F">
            <w:pPr>
              <w:spacing w:before="120"/>
              <w:rPr>
                <w:color w:val="000000"/>
                <w:sz w:val="22"/>
                <w:szCs w:val="22"/>
              </w:rPr>
            </w:pPr>
            <w:r>
              <w:rPr>
                <w:color w:val="000000"/>
                <w:sz w:val="22"/>
                <w:szCs w:val="22"/>
              </w:rPr>
              <w:t>The Settlement Agreement adopted by D.17-05-013 reduced PG&amp;E’s forecast by $7.5 million in shared services expense.  The Settlement Agreement additionally reduced PG&amp;E’s forecast by $5.4 million in shared services capital in 2017 for corporate real estate (MWC 23).  This capital adjustment is the result of TURN’s advocacy.</w:t>
            </w:r>
          </w:p>
          <w:p w14:paraId="3D26EF53" w14:textId="77777777" w:rsidR="00C671DA" w:rsidRPr="0067505F" w:rsidRDefault="00C671DA" w:rsidP="00C36D4F">
            <w:pPr>
              <w:spacing w:before="120"/>
              <w:rPr>
                <w:b/>
                <w:color w:val="000000"/>
                <w:sz w:val="22"/>
                <w:szCs w:val="22"/>
              </w:rPr>
            </w:pPr>
          </w:p>
        </w:tc>
        <w:tc>
          <w:tcPr>
            <w:tcW w:w="4140" w:type="dxa"/>
            <w:shd w:val="clear" w:color="auto" w:fill="auto"/>
          </w:tcPr>
          <w:p w14:paraId="19B80B16" w14:textId="77777777" w:rsidR="00C671DA" w:rsidRPr="005A4CD3" w:rsidRDefault="00C671DA" w:rsidP="00C36D4F">
            <w:pPr>
              <w:pStyle w:val="ListParagraph"/>
              <w:numPr>
                <w:ilvl w:val="0"/>
                <w:numId w:val="11"/>
              </w:numPr>
              <w:spacing w:before="120"/>
              <w:rPr>
                <w:color w:val="000000"/>
              </w:rPr>
            </w:pPr>
            <w:r>
              <w:rPr>
                <w:color w:val="000000"/>
              </w:rPr>
              <w:t>Settlement Agreement, Appendix A, p. 2 of 18 (summary of TURN’s shared services adjustments, as presented in Ex. TURN-3 and Ex. TURN-8)</w:t>
            </w:r>
          </w:p>
          <w:p w14:paraId="448E0CDB" w14:textId="77777777" w:rsidR="00C671DA" w:rsidRDefault="00C671DA" w:rsidP="00C36D4F">
            <w:pPr>
              <w:pStyle w:val="ListParagraph"/>
              <w:numPr>
                <w:ilvl w:val="0"/>
                <w:numId w:val="11"/>
              </w:numPr>
              <w:spacing w:before="120"/>
              <w:rPr>
                <w:color w:val="000000"/>
              </w:rPr>
            </w:pPr>
            <w:r>
              <w:rPr>
                <w:color w:val="000000"/>
              </w:rPr>
              <w:t>Joint Motion, p. 21 (summarizing Section 3.1.6 of the Settlement Agreement)</w:t>
            </w:r>
          </w:p>
          <w:p w14:paraId="188FFA70" w14:textId="77777777" w:rsidR="00C671DA" w:rsidRDefault="00C671DA" w:rsidP="00C36D4F">
            <w:pPr>
              <w:pStyle w:val="ListParagraph"/>
              <w:numPr>
                <w:ilvl w:val="0"/>
                <w:numId w:val="11"/>
              </w:numPr>
              <w:spacing w:before="120"/>
              <w:rPr>
                <w:color w:val="000000"/>
              </w:rPr>
            </w:pPr>
            <w:r w:rsidRPr="002E0C2A">
              <w:rPr>
                <w:color w:val="000000"/>
              </w:rPr>
              <w:t xml:space="preserve">Settlement Agreement, Appendix A, Capital Expenditures Table, p. </w:t>
            </w:r>
            <w:r>
              <w:rPr>
                <w:color w:val="000000"/>
              </w:rPr>
              <w:t>12</w:t>
            </w:r>
            <w:r w:rsidRPr="002E0C2A">
              <w:rPr>
                <w:color w:val="000000"/>
              </w:rPr>
              <w:t xml:space="preserve"> of 18 (</w:t>
            </w:r>
            <w:r>
              <w:rPr>
                <w:color w:val="000000"/>
              </w:rPr>
              <w:t>attributing the shared services adjustment to MWC 23 to TURN</w:t>
            </w:r>
            <w:r w:rsidRPr="002E0C2A">
              <w:rPr>
                <w:color w:val="000000"/>
              </w:rPr>
              <w:t>)</w:t>
            </w:r>
          </w:p>
          <w:p w14:paraId="66875C19" w14:textId="77777777" w:rsidR="00C671DA" w:rsidRDefault="00C671DA" w:rsidP="00C36D4F">
            <w:pPr>
              <w:pStyle w:val="ListParagraph"/>
              <w:spacing w:before="120"/>
              <w:rPr>
                <w:color w:val="000000"/>
              </w:rPr>
            </w:pPr>
          </w:p>
        </w:tc>
        <w:tc>
          <w:tcPr>
            <w:tcW w:w="2340" w:type="dxa"/>
            <w:shd w:val="clear" w:color="auto" w:fill="auto"/>
          </w:tcPr>
          <w:p w14:paraId="71E51ADF" w14:textId="77777777" w:rsidR="00C671DA" w:rsidRPr="00CD4E00" w:rsidRDefault="00C671DA" w:rsidP="00C36D4F">
            <w:pPr>
              <w:spacing w:before="120"/>
              <w:rPr>
                <w:color w:val="FF0000"/>
              </w:rPr>
            </w:pPr>
            <w:r w:rsidRPr="00BB5183">
              <w:rPr>
                <w:color w:val="000000" w:themeColor="text1"/>
              </w:rPr>
              <w:t>Verified</w:t>
            </w:r>
          </w:p>
        </w:tc>
      </w:tr>
      <w:tr w:rsidR="00C671DA" w:rsidRPr="007F620E" w14:paraId="66F19499" w14:textId="77777777" w:rsidTr="00C36D4F">
        <w:tc>
          <w:tcPr>
            <w:tcW w:w="3258" w:type="dxa"/>
            <w:shd w:val="clear" w:color="auto" w:fill="auto"/>
          </w:tcPr>
          <w:p w14:paraId="55F2D835" w14:textId="77777777" w:rsidR="00C671DA" w:rsidRPr="00427F5D" w:rsidRDefault="00C671DA" w:rsidP="00C36D4F">
            <w:pPr>
              <w:spacing w:before="120"/>
              <w:rPr>
                <w:b/>
                <w:color w:val="000000"/>
                <w:sz w:val="22"/>
                <w:szCs w:val="22"/>
                <w:u w:val="single"/>
              </w:rPr>
            </w:pPr>
            <w:r w:rsidRPr="00427F5D">
              <w:rPr>
                <w:b/>
                <w:color w:val="000000"/>
                <w:sz w:val="22"/>
                <w:szCs w:val="22"/>
                <w:u w:val="single"/>
              </w:rPr>
              <w:t>Human Resources</w:t>
            </w:r>
          </w:p>
          <w:p w14:paraId="605D5F90"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human resources (HR), </w:t>
            </w:r>
            <w:r>
              <w:rPr>
                <w:color w:val="000000"/>
                <w:sz w:val="22"/>
                <w:szCs w:val="22"/>
              </w:rPr>
              <w:lastRenderedPageBreak/>
              <w:t>including approximately $132 million for HR expense.</w:t>
            </w:r>
          </w:p>
          <w:p w14:paraId="7928103E" w14:textId="77777777" w:rsidR="00C671DA" w:rsidRDefault="00C671DA" w:rsidP="00C36D4F">
            <w:pPr>
              <w:spacing w:before="120"/>
              <w:rPr>
                <w:b/>
                <w:color w:val="000000"/>
                <w:sz w:val="22"/>
                <w:szCs w:val="22"/>
              </w:rPr>
            </w:pPr>
            <w:r>
              <w:rPr>
                <w:color w:val="000000"/>
                <w:sz w:val="22"/>
                <w:szCs w:val="22"/>
              </w:rPr>
              <w:t xml:space="preserve">The Settlement Agreement adopted by D.17-05-013 reduced PG&amp;E’s </w:t>
            </w:r>
            <w:r w:rsidRPr="004D5C67">
              <w:rPr>
                <w:color w:val="000000"/>
                <w:sz w:val="22"/>
                <w:szCs w:val="22"/>
              </w:rPr>
              <w:t>forecast for the HR department by $0.9 million and</w:t>
            </w:r>
            <w:r>
              <w:rPr>
                <w:color w:val="000000"/>
                <w:sz w:val="22"/>
                <w:szCs w:val="22"/>
              </w:rPr>
              <w:t xml:space="preserve"> for companywide HR expense by $83 million.  TURN’s advocacy is reflected in </w:t>
            </w:r>
            <w:r w:rsidRPr="00E71506">
              <w:rPr>
                <w:color w:val="000000"/>
                <w:sz w:val="22"/>
                <w:szCs w:val="22"/>
              </w:rPr>
              <w:t>the</w:t>
            </w:r>
            <w:r>
              <w:rPr>
                <w:color w:val="000000"/>
                <w:sz w:val="22"/>
                <w:szCs w:val="22"/>
              </w:rPr>
              <w:t xml:space="preserve"> $72.3 million adjustment for the Short-Term Incentive Plan (STIP); $5.2 million adjustment for medical and other benefits programs; $2.6 million for various non-qualified pension and defined contribution plans; $1.1 million for workers’ compensation; and $2.1 million for severance/workforce transition.</w:t>
            </w:r>
          </w:p>
          <w:p w14:paraId="1104212C" w14:textId="77777777" w:rsidR="00C671DA" w:rsidRPr="0067505F" w:rsidRDefault="00C671DA" w:rsidP="00C36D4F">
            <w:pPr>
              <w:spacing w:before="120"/>
              <w:rPr>
                <w:b/>
                <w:color w:val="000000"/>
                <w:sz w:val="22"/>
                <w:szCs w:val="22"/>
              </w:rPr>
            </w:pPr>
          </w:p>
        </w:tc>
        <w:tc>
          <w:tcPr>
            <w:tcW w:w="4140" w:type="dxa"/>
            <w:shd w:val="clear" w:color="auto" w:fill="auto"/>
          </w:tcPr>
          <w:p w14:paraId="66795831" w14:textId="77777777" w:rsidR="00C671DA" w:rsidRDefault="00C671DA" w:rsidP="00C36D4F">
            <w:pPr>
              <w:pStyle w:val="ListParagraph"/>
              <w:numPr>
                <w:ilvl w:val="0"/>
                <w:numId w:val="11"/>
              </w:numPr>
              <w:spacing w:before="120"/>
              <w:rPr>
                <w:color w:val="000000"/>
              </w:rPr>
            </w:pPr>
            <w:r>
              <w:rPr>
                <w:color w:val="000000"/>
              </w:rPr>
              <w:lastRenderedPageBreak/>
              <w:t xml:space="preserve">Settlement Agreement, Appendix A, p. 2 of 18 (summary of TURN’s HR department adjustments) and p. 3 of 18 (summary of TURN’s </w:t>
            </w:r>
            <w:r>
              <w:rPr>
                <w:color w:val="000000"/>
              </w:rPr>
              <w:lastRenderedPageBreak/>
              <w:t>companywide HR adjustment), as presented in Ex. TURN-6 and Ex. TURN-9</w:t>
            </w:r>
          </w:p>
          <w:p w14:paraId="58394D61" w14:textId="77777777" w:rsidR="00C671DA" w:rsidRDefault="00C671DA" w:rsidP="00C36D4F">
            <w:pPr>
              <w:pStyle w:val="ListParagraph"/>
              <w:numPr>
                <w:ilvl w:val="0"/>
                <w:numId w:val="11"/>
              </w:numPr>
              <w:spacing w:before="120"/>
              <w:rPr>
                <w:color w:val="000000"/>
              </w:rPr>
            </w:pPr>
            <w:r>
              <w:rPr>
                <w:color w:val="000000"/>
              </w:rPr>
              <w:t>Motion, pp. 22-23 (summarizing Section 3.1.7 of the Settlement Agreement)</w:t>
            </w:r>
          </w:p>
          <w:p w14:paraId="295A6C90" w14:textId="77777777" w:rsidR="00C671DA" w:rsidRDefault="00C671DA" w:rsidP="00C36D4F">
            <w:pPr>
              <w:pStyle w:val="ListParagraph"/>
              <w:numPr>
                <w:ilvl w:val="0"/>
                <w:numId w:val="11"/>
              </w:numPr>
              <w:spacing w:before="120"/>
              <w:rPr>
                <w:color w:val="000000"/>
              </w:rPr>
            </w:pPr>
            <w:r>
              <w:rPr>
                <w:color w:val="000000"/>
              </w:rPr>
              <w:t>Settlement Agreement, Appendix A, A&amp;G Table, p. 9 of 18 (attributing the companywide expense adjustments as follows:  $72 million for STIP to TURN and ORA; $4.7 million for Medical Programs to TURN; $2.6 million for pensions to TURN and ORA; $1.1 million for workers’ comp to TURN and ORA; $2.1 million for severance/workforce transition to TURN)</w:t>
            </w:r>
          </w:p>
          <w:p w14:paraId="0D03A07D" w14:textId="77777777" w:rsidR="00C671DA" w:rsidRDefault="00C671DA" w:rsidP="00C36D4F">
            <w:pPr>
              <w:pStyle w:val="ListParagraph"/>
              <w:spacing w:before="120"/>
              <w:rPr>
                <w:color w:val="000000"/>
              </w:rPr>
            </w:pPr>
          </w:p>
        </w:tc>
        <w:tc>
          <w:tcPr>
            <w:tcW w:w="2340" w:type="dxa"/>
            <w:shd w:val="clear" w:color="auto" w:fill="auto"/>
          </w:tcPr>
          <w:p w14:paraId="5F309C85" w14:textId="77777777" w:rsidR="00C671DA" w:rsidRPr="007F620E" w:rsidRDefault="00C671DA" w:rsidP="00C36D4F">
            <w:pPr>
              <w:spacing w:before="120"/>
              <w:rPr>
                <w:color w:val="000000"/>
              </w:rPr>
            </w:pPr>
            <w:r>
              <w:rPr>
                <w:color w:val="000000"/>
              </w:rPr>
              <w:lastRenderedPageBreak/>
              <w:t>Verified</w:t>
            </w:r>
          </w:p>
        </w:tc>
      </w:tr>
      <w:tr w:rsidR="00C671DA" w:rsidRPr="007F620E" w14:paraId="248772E7" w14:textId="77777777" w:rsidTr="00C36D4F">
        <w:tc>
          <w:tcPr>
            <w:tcW w:w="3258" w:type="dxa"/>
            <w:shd w:val="clear" w:color="auto" w:fill="auto"/>
          </w:tcPr>
          <w:p w14:paraId="5CDE9C34" w14:textId="77777777" w:rsidR="00C671DA" w:rsidRDefault="00C671DA" w:rsidP="00C36D4F">
            <w:pPr>
              <w:spacing w:before="120"/>
              <w:rPr>
                <w:b/>
                <w:color w:val="000000"/>
                <w:sz w:val="22"/>
                <w:szCs w:val="22"/>
                <w:u w:val="single"/>
              </w:rPr>
            </w:pPr>
            <w:r w:rsidRPr="00427F5D">
              <w:rPr>
                <w:b/>
                <w:color w:val="000000"/>
                <w:sz w:val="22"/>
                <w:szCs w:val="22"/>
                <w:u w:val="single"/>
              </w:rPr>
              <w:t>Administrative and General (A&amp;G)</w:t>
            </w:r>
            <w:r>
              <w:rPr>
                <w:b/>
                <w:color w:val="000000"/>
                <w:sz w:val="22"/>
                <w:szCs w:val="22"/>
                <w:u w:val="single"/>
              </w:rPr>
              <w:t xml:space="preserve"> </w:t>
            </w:r>
          </w:p>
          <w:p w14:paraId="631B62EF"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A&amp;G, including approximately $1.2 million for the A&amp;G department and $11.8 million for companywide A&amp;G expense.</w:t>
            </w:r>
          </w:p>
          <w:p w14:paraId="2CAF682E" w14:textId="77777777" w:rsidR="00C671DA" w:rsidRDefault="00C671DA" w:rsidP="00C36D4F">
            <w:pPr>
              <w:spacing w:before="120"/>
              <w:rPr>
                <w:color w:val="000000"/>
                <w:sz w:val="22"/>
                <w:szCs w:val="22"/>
              </w:rPr>
            </w:pPr>
            <w:r>
              <w:rPr>
                <w:color w:val="000000"/>
                <w:sz w:val="22"/>
                <w:szCs w:val="22"/>
              </w:rPr>
              <w:t xml:space="preserve">The Settlement Agreement adopted by D.17-05-013 reduced PG&amp;E’s </w:t>
            </w:r>
            <w:r w:rsidRPr="004D5C67">
              <w:rPr>
                <w:color w:val="000000"/>
                <w:sz w:val="22"/>
                <w:szCs w:val="22"/>
              </w:rPr>
              <w:t xml:space="preserve">forecast for the </w:t>
            </w:r>
            <w:r>
              <w:rPr>
                <w:color w:val="000000"/>
                <w:sz w:val="22"/>
                <w:szCs w:val="22"/>
              </w:rPr>
              <w:t>A&amp;G</w:t>
            </w:r>
            <w:r w:rsidRPr="004D5C67">
              <w:rPr>
                <w:color w:val="000000"/>
                <w:sz w:val="22"/>
                <w:szCs w:val="22"/>
              </w:rPr>
              <w:t xml:space="preserve"> department by $</w:t>
            </w:r>
            <w:r>
              <w:rPr>
                <w:color w:val="000000"/>
                <w:sz w:val="22"/>
                <w:szCs w:val="22"/>
              </w:rPr>
              <w:t>1.8</w:t>
            </w:r>
            <w:r w:rsidRPr="004D5C67">
              <w:rPr>
                <w:color w:val="000000"/>
                <w:sz w:val="22"/>
                <w:szCs w:val="22"/>
              </w:rPr>
              <w:t xml:space="preserve"> million and</w:t>
            </w:r>
            <w:r>
              <w:rPr>
                <w:color w:val="000000"/>
                <w:sz w:val="22"/>
                <w:szCs w:val="22"/>
              </w:rPr>
              <w:t xml:space="preserve"> for companywide A&amp;G expense by $7.7 million.  For the A&amp;G department costs, TURN’s advocacy is reflected in adjustments of $0.8 million for Regulatory Affairs and $0.1 million for Corporate Affairs.  For companywide A&amp;G expense, TURN’s advocacy is reflected in the following adjustments:  $0.1 million for bank fees; $1.2 million for directors’ and officers’ (D&amp;O) liability insurance; $3.4 million for general liability insurance; $2.2 million for nuclear property </w:t>
            </w:r>
            <w:r>
              <w:rPr>
                <w:color w:val="000000"/>
                <w:sz w:val="22"/>
                <w:szCs w:val="22"/>
              </w:rPr>
              <w:lastRenderedPageBreak/>
              <w:t xml:space="preserve">insurance; and $0.3 million for Director fees and expenses. </w:t>
            </w:r>
          </w:p>
          <w:p w14:paraId="603C8221" w14:textId="77777777" w:rsidR="00C671DA" w:rsidRPr="00427F5D" w:rsidRDefault="00C671DA" w:rsidP="00C36D4F">
            <w:pPr>
              <w:spacing w:before="120"/>
              <w:rPr>
                <w:b/>
                <w:color w:val="000000"/>
                <w:sz w:val="22"/>
                <w:szCs w:val="22"/>
                <w:u w:val="single"/>
              </w:rPr>
            </w:pPr>
          </w:p>
        </w:tc>
        <w:tc>
          <w:tcPr>
            <w:tcW w:w="4140" w:type="dxa"/>
            <w:shd w:val="clear" w:color="auto" w:fill="auto"/>
          </w:tcPr>
          <w:p w14:paraId="0C590887" w14:textId="77777777" w:rsidR="00C671DA" w:rsidRDefault="00C671DA" w:rsidP="00C36D4F">
            <w:pPr>
              <w:pStyle w:val="ListParagraph"/>
              <w:numPr>
                <w:ilvl w:val="0"/>
                <w:numId w:val="11"/>
              </w:numPr>
              <w:spacing w:before="120"/>
              <w:rPr>
                <w:color w:val="000000"/>
              </w:rPr>
            </w:pPr>
            <w:r>
              <w:rPr>
                <w:color w:val="000000"/>
              </w:rPr>
              <w:lastRenderedPageBreak/>
              <w:t>Settlement Agreement, Appendix A, p. 2 of 18 (summary of TURN’s A&amp;G department adjustments) and p. 3 of 18 (summary of TURN’s companywide A&amp;G adjustment), as presented in Ex. TURN-6</w:t>
            </w:r>
          </w:p>
          <w:p w14:paraId="4EA8E308" w14:textId="77777777" w:rsidR="00C671DA" w:rsidRDefault="00C671DA" w:rsidP="00C36D4F">
            <w:pPr>
              <w:pStyle w:val="ListParagraph"/>
              <w:numPr>
                <w:ilvl w:val="0"/>
                <w:numId w:val="11"/>
              </w:numPr>
              <w:spacing w:before="120"/>
              <w:rPr>
                <w:color w:val="000000"/>
              </w:rPr>
            </w:pPr>
            <w:r>
              <w:rPr>
                <w:color w:val="000000"/>
              </w:rPr>
              <w:t>Motion, p. 23 (summarizing Section 3.1.8 of the Settlement Agreement)</w:t>
            </w:r>
          </w:p>
          <w:p w14:paraId="401A8864" w14:textId="77777777" w:rsidR="00C671DA" w:rsidRDefault="00C671DA" w:rsidP="00C36D4F">
            <w:pPr>
              <w:pStyle w:val="ListParagraph"/>
              <w:numPr>
                <w:ilvl w:val="0"/>
                <w:numId w:val="11"/>
              </w:numPr>
              <w:spacing w:before="120"/>
              <w:rPr>
                <w:color w:val="000000"/>
              </w:rPr>
            </w:pPr>
            <w:r>
              <w:rPr>
                <w:color w:val="000000"/>
              </w:rPr>
              <w:t xml:space="preserve">Settlement Agreement, Appendix A, A&amp;G Table, p. 8 of 18 (attributing the A&amp;G department adjustments as follows: Regulatory Affairs adjustment to TURN and ORA; Corporate Affairs adjustment to TURN and ORA); p. 10 of 18 (attributing the companywide expense adjustments as follows:  </w:t>
            </w:r>
            <w:r w:rsidRPr="004C0CFD">
              <w:rPr>
                <w:color w:val="000000"/>
              </w:rPr>
              <w:t>bank fees to TURN; D&amp;O liability insurance to TURN, ORA, and CFC; general liability insurance to TURN, ORA, and CFC;</w:t>
            </w:r>
            <w:r>
              <w:rPr>
                <w:color w:val="000000"/>
              </w:rPr>
              <w:t xml:space="preserve"> nuclear property insurance to TURN; and director fees and expenses to TURN)</w:t>
            </w:r>
          </w:p>
          <w:p w14:paraId="54EF400A" w14:textId="77777777" w:rsidR="00C671DA" w:rsidRDefault="00C671DA" w:rsidP="00C36D4F">
            <w:pPr>
              <w:pStyle w:val="ListParagraph"/>
              <w:spacing w:before="120"/>
              <w:rPr>
                <w:color w:val="000000"/>
              </w:rPr>
            </w:pPr>
          </w:p>
        </w:tc>
        <w:tc>
          <w:tcPr>
            <w:tcW w:w="2340" w:type="dxa"/>
            <w:shd w:val="clear" w:color="auto" w:fill="auto"/>
          </w:tcPr>
          <w:p w14:paraId="7978A60E" w14:textId="77777777" w:rsidR="00C671DA" w:rsidRPr="007F620E" w:rsidRDefault="00C671DA" w:rsidP="00C36D4F">
            <w:pPr>
              <w:spacing w:before="120"/>
              <w:rPr>
                <w:color w:val="000000"/>
              </w:rPr>
            </w:pPr>
            <w:r>
              <w:rPr>
                <w:color w:val="000000"/>
              </w:rPr>
              <w:t>Verified</w:t>
            </w:r>
          </w:p>
        </w:tc>
      </w:tr>
      <w:tr w:rsidR="00C671DA" w:rsidRPr="007F620E" w14:paraId="73D3B19F" w14:textId="77777777" w:rsidTr="00C36D4F">
        <w:tc>
          <w:tcPr>
            <w:tcW w:w="3258" w:type="dxa"/>
            <w:shd w:val="clear" w:color="auto" w:fill="auto"/>
          </w:tcPr>
          <w:p w14:paraId="7B4FDFA8" w14:textId="77777777" w:rsidR="00C671DA" w:rsidRPr="00427F5D" w:rsidRDefault="00C671DA" w:rsidP="00C36D4F">
            <w:pPr>
              <w:spacing w:before="120"/>
              <w:rPr>
                <w:b/>
                <w:color w:val="000000"/>
                <w:sz w:val="22"/>
                <w:szCs w:val="22"/>
                <w:u w:val="single"/>
              </w:rPr>
            </w:pPr>
            <w:r w:rsidRPr="00427F5D">
              <w:rPr>
                <w:b/>
                <w:color w:val="000000"/>
                <w:sz w:val="22"/>
                <w:szCs w:val="22"/>
                <w:u w:val="single"/>
              </w:rPr>
              <w:t>Technical and Accounting Issues</w:t>
            </w:r>
          </w:p>
          <w:p w14:paraId="424424C5" w14:textId="77777777" w:rsidR="00C671DA" w:rsidRDefault="00C671DA" w:rsidP="00C36D4F">
            <w:pPr>
              <w:spacing w:before="120"/>
              <w:rPr>
                <w:color w:val="000000"/>
                <w:sz w:val="22"/>
                <w:szCs w:val="22"/>
              </w:rPr>
            </w:pPr>
            <w:r>
              <w:rPr>
                <w:color w:val="000000"/>
                <w:sz w:val="22"/>
                <w:szCs w:val="22"/>
              </w:rPr>
              <w:t xml:space="preserve">TURN proposed </w:t>
            </w:r>
            <w:proofErr w:type="gramStart"/>
            <w:r>
              <w:rPr>
                <w:color w:val="000000"/>
                <w:sz w:val="22"/>
                <w:szCs w:val="22"/>
              </w:rPr>
              <w:t>a number of</w:t>
            </w:r>
            <w:proofErr w:type="gramEnd"/>
            <w:r>
              <w:rPr>
                <w:color w:val="000000"/>
                <w:sz w:val="22"/>
                <w:szCs w:val="22"/>
              </w:rPr>
              <w:t xml:space="preserve"> adjustments to PG&amp;E’s forecast for various technical and accounting issues, including depreciation, 2015 and 2016 capital expenditures, customer deposits, working cash, and other operating revenue.  </w:t>
            </w:r>
          </w:p>
          <w:p w14:paraId="4B437368" w14:textId="77777777" w:rsidR="00C671DA" w:rsidRDefault="00C671DA" w:rsidP="00C36D4F">
            <w:pPr>
              <w:spacing w:before="120"/>
              <w:rPr>
                <w:color w:val="000000"/>
                <w:sz w:val="22"/>
                <w:szCs w:val="22"/>
              </w:rPr>
            </w:pPr>
            <w:r>
              <w:rPr>
                <w:color w:val="000000"/>
                <w:sz w:val="22"/>
                <w:szCs w:val="22"/>
              </w:rPr>
              <w:t xml:space="preserve">The Settlement Agreement adopted by D.17-05-013 reflects TURN’s advocacy in these areas. </w:t>
            </w:r>
          </w:p>
          <w:p w14:paraId="75AF2E73" w14:textId="77777777" w:rsidR="00C671DA" w:rsidRDefault="00C671DA" w:rsidP="00C36D4F">
            <w:pPr>
              <w:spacing w:before="120"/>
              <w:rPr>
                <w:color w:val="000000"/>
                <w:sz w:val="22"/>
                <w:szCs w:val="22"/>
              </w:rPr>
            </w:pPr>
          </w:p>
          <w:p w14:paraId="5C95F187" w14:textId="77777777" w:rsidR="00C671DA" w:rsidRDefault="00C671DA" w:rsidP="00C36D4F">
            <w:pPr>
              <w:spacing w:before="120"/>
              <w:rPr>
                <w:color w:val="000000"/>
                <w:sz w:val="22"/>
                <w:szCs w:val="22"/>
              </w:rPr>
            </w:pPr>
            <w:r>
              <w:rPr>
                <w:color w:val="000000"/>
                <w:sz w:val="22"/>
                <w:szCs w:val="22"/>
              </w:rPr>
              <w:t xml:space="preserve"> </w:t>
            </w:r>
          </w:p>
          <w:p w14:paraId="7F5FBCB4" w14:textId="77777777" w:rsidR="00C671DA" w:rsidRPr="008C6C45" w:rsidRDefault="00C671DA" w:rsidP="00C36D4F">
            <w:pPr>
              <w:spacing w:before="120"/>
              <w:rPr>
                <w:i/>
                <w:color w:val="000000"/>
                <w:sz w:val="22"/>
                <w:szCs w:val="22"/>
              </w:rPr>
            </w:pPr>
            <w:r>
              <w:rPr>
                <w:i/>
                <w:color w:val="000000"/>
                <w:sz w:val="22"/>
                <w:szCs w:val="22"/>
              </w:rPr>
              <w:t>Depreciation</w:t>
            </w:r>
          </w:p>
          <w:p w14:paraId="16D73E7A" w14:textId="77777777" w:rsidR="00C671DA" w:rsidRDefault="00C671DA" w:rsidP="00C36D4F">
            <w:pPr>
              <w:spacing w:before="120"/>
              <w:rPr>
                <w:color w:val="000000"/>
                <w:sz w:val="22"/>
                <w:szCs w:val="22"/>
              </w:rPr>
            </w:pPr>
            <w:r>
              <w:rPr>
                <w:color w:val="000000"/>
                <w:sz w:val="22"/>
                <w:szCs w:val="22"/>
              </w:rPr>
              <w:t xml:space="preserve">TURN proposed life-curve combinations and net salvage values for electric distribution, gas distribution, and common plant that would reduce PG&amp;E’s forecast by $184 million, based on 2014 year-end plant balances.  TURN also proposed longer lives for certain generation assets, which would further reduce PG&amp;E’s depreciation expense.  The Settlement Agreement reduced PG&amp;E’s depreciation request by $67 million, as a compromise of the positions of PG&amp;E, ORA, TURN, A4NR, and CUE.  </w:t>
            </w:r>
          </w:p>
          <w:p w14:paraId="5A84962D" w14:textId="77777777" w:rsidR="00C671DA" w:rsidRPr="008C6C45" w:rsidRDefault="00C671DA" w:rsidP="00C36D4F">
            <w:pPr>
              <w:spacing w:before="120"/>
              <w:rPr>
                <w:i/>
                <w:color w:val="000000"/>
                <w:sz w:val="22"/>
                <w:szCs w:val="22"/>
              </w:rPr>
            </w:pPr>
            <w:r>
              <w:rPr>
                <w:i/>
                <w:color w:val="000000"/>
                <w:sz w:val="22"/>
                <w:szCs w:val="22"/>
              </w:rPr>
              <w:t>2015 and 2016 Capital Expenditures</w:t>
            </w:r>
          </w:p>
          <w:p w14:paraId="2B821D9B" w14:textId="77777777" w:rsidR="00C671DA" w:rsidRDefault="00C671DA" w:rsidP="00C36D4F">
            <w:pPr>
              <w:spacing w:before="120"/>
              <w:rPr>
                <w:color w:val="000000"/>
                <w:sz w:val="22"/>
                <w:szCs w:val="22"/>
              </w:rPr>
            </w:pPr>
            <w:r>
              <w:rPr>
                <w:color w:val="000000"/>
                <w:sz w:val="22"/>
                <w:szCs w:val="22"/>
              </w:rPr>
              <w:t xml:space="preserve">TURN and ORA both proposed reductions to 2015 and 2016 capital.  TURN recommended $150 million in reductions for 2015 capital and $125 million in reductions for 2016 capital based on our analysis of the </w:t>
            </w:r>
            <w:r>
              <w:rPr>
                <w:color w:val="000000"/>
                <w:sz w:val="22"/>
                <w:szCs w:val="22"/>
              </w:rPr>
              <w:lastRenderedPageBreak/>
              <w:t xml:space="preserve">reasonableness of specific capital projects, including gas distribution, electric distribution, energy supply, and corporate real estate.  </w:t>
            </w:r>
          </w:p>
          <w:p w14:paraId="39B6944F" w14:textId="77777777" w:rsidR="00C671DA" w:rsidRDefault="00C671DA" w:rsidP="00C36D4F">
            <w:pPr>
              <w:spacing w:before="120"/>
              <w:rPr>
                <w:color w:val="000000"/>
                <w:sz w:val="22"/>
                <w:szCs w:val="22"/>
              </w:rPr>
            </w:pPr>
            <w:r>
              <w:rPr>
                <w:color w:val="000000"/>
                <w:sz w:val="22"/>
                <w:szCs w:val="22"/>
              </w:rPr>
              <w:t xml:space="preserve">The Settlement Agreement reduced 2015 capital by $186 million to generally align with 2015 recorded costs, as proposed by ORA, plus an additional $10 million reduction in response to TURN’s position that that some of PG&amp;E’s spending on the gas distribution Pathfinder project in 2014 and 2015 should be disallowed because of imprudent recordkeeping.  </w:t>
            </w:r>
          </w:p>
          <w:p w14:paraId="2C645BBD" w14:textId="77777777" w:rsidR="00C671DA" w:rsidRDefault="00C671DA" w:rsidP="00C36D4F">
            <w:pPr>
              <w:spacing w:before="120"/>
              <w:rPr>
                <w:color w:val="000000"/>
                <w:sz w:val="22"/>
                <w:szCs w:val="22"/>
              </w:rPr>
            </w:pPr>
            <w:r>
              <w:rPr>
                <w:color w:val="000000"/>
                <w:sz w:val="22"/>
                <w:szCs w:val="22"/>
              </w:rPr>
              <w:t xml:space="preserve">The Settlement Agreement reduced 2016 capital by $31 million, with $15 million attributed to TURN’s position on PG&amp;E’s imprudent gas distribution leak management spending and $10 million attributed to TURN’s position on the forecast of gas distribution customer connects. </w:t>
            </w:r>
          </w:p>
          <w:p w14:paraId="21202E9D" w14:textId="77777777" w:rsidR="00C671DA" w:rsidRDefault="00C671DA" w:rsidP="00C36D4F">
            <w:pPr>
              <w:spacing w:before="120"/>
              <w:rPr>
                <w:i/>
                <w:color w:val="000000"/>
                <w:sz w:val="22"/>
                <w:szCs w:val="22"/>
              </w:rPr>
            </w:pPr>
            <w:r>
              <w:rPr>
                <w:i/>
                <w:color w:val="000000"/>
                <w:sz w:val="22"/>
                <w:szCs w:val="22"/>
              </w:rPr>
              <w:t>Customer Deposits, Rate Base, and Related Issues</w:t>
            </w:r>
          </w:p>
          <w:p w14:paraId="6AA9056A" w14:textId="77777777" w:rsidR="00C671DA" w:rsidRDefault="00C671DA" w:rsidP="00C36D4F">
            <w:pPr>
              <w:spacing w:before="120"/>
              <w:rPr>
                <w:color w:val="000000"/>
                <w:sz w:val="22"/>
                <w:szCs w:val="22"/>
              </w:rPr>
            </w:pPr>
            <w:r>
              <w:rPr>
                <w:color w:val="000000"/>
                <w:sz w:val="22"/>
                <w:szCs w:val="22"/>
              </w:rPr>
              <w:t>TURN proposed a $7 million reduction in PG&amp;E’s revenue requirement associated with customer deposits.  TURN also proposed adjustments to PG&amp;E’s forecast of working cash equal to $94.5 million.</w:t>
            </w:r>
          </w:p>
          <w:p w14:paraId="71419F2D" w14:textId="77777777" w:rsidR="00C671DA" w:rsidRPr="00B75B1D" w:rsidRDefault="00C671DA" w:rsidP="00C36D4F">
            <w:pPr>
              <w:spacing w:before="120"/>
              <w:rPr>
                <w:color w:val="000000"/>
                <w:sz w:val="22"/>
                <w:szCs w:val="22"/>
              </w:rPr>
            </w:pPr>
            <w:r>
              <w:rPr>
                <w:color w:val="000000"/>
                <w:sz w:val="22"/>
                <w:szCs w:val="22"/>
              </w:rPr>
              <w:t xml:space="preserve">The Settlement Agreement adopted by D.17-05-013 reduced PG&amp;E’s revenue requirement by $6.4 million by using a compromise between TURN’s and ORA’s estimates of the short-term interest rate for customer deposits.  The Settlement Agreement additionally adopts TURN’s and ORA’s forecast of purchased power expense in the lead-lag calculation; a </w:t>
            </w:r>
            <w:r>
              <w:rPr>
                <w:color w:val="000000"/>
                <w:sz w:val="22"/>
                <w:szCs w:val="22"/>
              </w:rPr>
              <w:lastRenderedPageBreak/>
              <w:t>compromise between TURN, ORA, and PG&amp;E for the number of lag days (26) for the goods and services lag; and TURN’s forecast for other receivables and prepayments, which results in a reduction to rate base of $20.2 million.</w:t>
            </w:r>
          </w:p>
          <w:p w14:paraId="7D848239" w14:textId="77777777" w:rsidR="00C671DA" w:rsidRDefault="00C671DA" w:rsidP="00C36D4F">
            <w:pPr>
              <w:spacing w:before="120"/>
              <w:rPr>
                <w:i/>
                <w:color w:val="000000"/>
                <w:sz w:val="22"/>
                <w:szCs w:val="22"/>
              </w:rPr>
            </w:pPr>
            <w:r>
              <w:rPr>
                <w:i/>
                <w:color w:val="000000"/>
                <w:sz w:val="22"/>
                <w:szCs w:val="22"/>
              </w:rPr>
              <w:t>Tax Accounting</w:t>
            </w:r>
          </w:p>
          <w:p w14:paraId="5F84AEBB" w14:textId="77777777" w:rsidR="00C671DA" w:rsidRDefault="00C671DA" w:rsidP="00C36D4F">
            <w:pPr>
              <w:spacing w:before="120"/>
              <w:rPr>
                <w:color w:val="000000"/>
                <w:sz w:val="22"/>
                <w:szCs w:val="22"/>
              </w:rPr>
            </w:pPr>
            <w:r>
              <w:rPr>
                <w:color w:val="000000"/>
                <w:sz w:val="22"/>
                <w:szCs w:val="22"/>
              </w:rPr>
              <w:t>TURN did not address PG&amp;E’s forecast of income and property taxes in testimony.  However, as the Joint Motion explains, TURN raised the issue of tax accounting changes during settlement negotiations.  The negotiated result was Section 3.1.9.3 of the Settlement Agreement, which requires PG&amp;E to create a two-way Tax Repair Memorandum Account to track during the term of this GRC the revenue requirement impacts resulting from certain changes in Federal or State tax law impacting repair deductions or accounting method changes.  In D.17-05-013, the Commission agreed that PG&amp;E should create a memorandum account to track differences between forecast and recorded tax expenses.  The Commission expanded the purpose of the memorandum account, beyond the Settlement Agreement’s focus on changes impacting repair deductions, to reach any revenue differences resulting from the income tax expense forecasted in this proceeding and the tax expenses actually incurred during the 2017-2019 GRC period.</w:t>
            </w:r>
          </w:p>
          <w:p w14:paraId="003016AD" w14:textId="77777777" w:rsidR="00C671DA" w:rsidRPr="00AA7E45" w:rsidRDefault="00C671DA" w:rsidP="00C36D4F">
            <w:pPr>
              <w:spacing w:before="120"/>
              <w:rPr>
                <w:color w:val="000000"/>
                <w:sz w:val="22"/>
                <w:szCs w:val="22"/>
              </w:rPr>
            </w:pPr>
          </w:p>
        </w:tc>
        <w:tc>
          <w:tcPr>
            <w:tcW w:w="4140" w:type="dxa"/>
            <w:shd w:val="clear" w:color="auto" w:fill="auto"/>
          </w:tcPr>
          <w:p w14:paraId="4FE29D0D" w14:textId="77777777" w:rsidR="00C671DA" w:rsidRDefault="00C671DA" w:rsidP="00C36D4F">
            <w:pPr>
              <w:pStyle w:val="ListParagraph"/>
              <w:numPr>
                <w:ilvl w:val="0"/>
                <w:numId w:val="11"/>
              </w:numPr>
              <w:spacing w:before="120"/>
              <w:rPr>
                <w:color w:val="000000"/>
              </w:rPr>
            </w:pPr>
            <w:r>
              <w:rPr>
                <w:color w:val="000000"/>
              </w:rPr>
              <w:lastRenderedPageBreak/>
              <w:t>Joint Motion, pp. 24-28 (addressing Settlement Agreement, Section 3.1.9)</w:t>
            </w:r>
          </w:p>
          <w:p w14:paraId="43AFCA06" w14:textId="77777777" w:rsidR="00C671DA" w:rsidRDefault="00C671DA" w:rsidP="00C36D4F">
            <w:pPr>
              <w:spacing w:before="120"/>
              <w:rPr>
                <w:color w:val="000000"/>
              </w:rPr>
            </w:pPr>
          </w:p>
          <w:p w14:paraId="49E62949" w14:textId="77777777" w:rsidR="00C671DA" w:rsidRDefault="00C671DA" w:rsidP="00C36D4F">
            <w:pPr>
              <w:spacing w:before="120"/>
              <w:rPr>
                <w:color w:val="000000"/>
              </w:rPr>
            </w:pPr>
          </w:p>
          <w:p w14:paraId="1DCABEF2" w14:textId="77777777" w:rsidR="00C671DA" w:rsidRDefault="00C671DA" w:rsidP="00C36D4F">
            <w:pPr>
              <w:spacing w:before="120"/>
              <w:rPr>
                <w:color w:val="000000"/>
              </w:rPr>
            </w:pPr>
          </w:p>
          <w:p w14:paraId="060C1333" w14:textId="77777777" w:rsidR="00C671DA" w:rsidRDefault="00C671DA" w:rsidP="00C36D4F">
            <w:pPr>
              <w:spacing w:before="120"/>
              <w:rPr>
                <w:color w:val="000000"/>
              </w:rPr>
            </w:pPr>
          </w:p>
          <w:p w14:paraId="1849315E" w14:textId="77777777" w:rsidR="00C671DA" w:rsidRDefault="00C671DA" w:rsidP="00C36D4F">
            <w:pPr>
              <w:spacing w:before="120"/>
              <w:rPr>
                <w:color w:val="000000"/>
              </w:rPr>
            </w:pPr>
          </w:p>
          <w:p w14:paraId="4AF7B292" w14:textId="77777777" w:rsidR="00C671DA" w:rsidRDefault="00C671DA" w:rsidP="00C36D4F">
            <w:pPr>
              <w:spacing w:before="120"/>
              <w:rPr>
                <w:color w:val="000000"/>
              </w:rPr>
            </w:pPr>
          </w:p>
          <w:p w14:paraId="1B8A7990" w14:textId="77777777" w:rsidR="00C671DA" w:rsidRDefault="00C671DA" w:rsidP="00C36D4F">
            <w:pPr>
              <w:spacing w:before="120"/>
              <w:rPr>
                <w:color w:val="000000"/>
              </w:rPr>
            </w:pPr>
          </w:p>
          <w:p w14:paraId="2A6639B8" w14:textId="77777777" w:rsidR="00C671DA" w:rsidRDefault="00C671DA" w:rsidP="00C36D4F">
            <w:pPr>
              <w:spacing w:before="120"/>
              <w:rPr>
                <w:color w:val="000000"/>
              </w:rPr>
            </w:pPr>
          </w:p>
          <w:p w14:paraId="2EC1085C" w14:textId="77777777" w:rsidR="00C671DA" w:rsidRPr="00524BD2" w:rsidRDefault="00C671DA" w:rsidP="00C36D4F">
            <w:pPr>
              <w:spacing w:before="120"/>
              <w:rPr>
                <w:color w:val="000000"/>
              </w:rPr>
            </w:pPr>
          </w:p>
          <w:p w14:paraId="3E6A73F5" w14:textId="77777777" w:rsidR="00C671DA" w:rsidRPr="008C6C45" w:rsidRDefault="00C671DA" w:rsidP="00C36D4F">
            <w:pPr>
              <w:spacing w:before="120"/>
              <w:rPr>
                <w:i/>
                <w:color w:val="000000"/>
                <w:sz w:val="22"/>
                <w:szCs w:val="22"/>
              </w:rPr>
            </w:pPr>
            <w:r>
              <w:rPr>
                <w:i/>
                <w:color w:val="000000"/>
                <w:sz w:val="22"/>
                <w:szCs w:val="22"/>
              </w:rPr>
              <w:t>Depreciation</w:t>
            </w:r>
          </w:p>
          <w:p w14:paraId="14EF633C" w14:textId="77777777" w:rsidR="00C671DA" w:rsidRDefault="00C671DA" w:rsidP="00C36D4F">
            <w:pPr>
              <w:pStyle w:val="ListParagraph"/>
              <w:numPr>
                <w:ilvl w:val="0"/>
                <w:numId w:val="11"/>
              </w:numPr>
              <w:spacing w:before="120"/>
              <w:rPr>
                <w:color w:val="000000"/>
              </w:rPr>
            </w:pPr>
            <w:r>
              <w:rPr>
                <w:color w:val="000000"/>
              </w:rPr>
              <w:t>Ex. TURN-11; Ex. TURN-6, pp. 27-30 (survivor curves for generation assets)</w:t>
            </w:r>
          </w:p>
          <w:p w14:paraId="3EBEB77C" w14:textId="77777777" w:rsidR="00C671DA" w:rsidRDefault="00C671DA" w:rsidP="00C36D4F">
            <w:pPr>
              <w:pStyle w:val="ListParagraph"/>
              <w:numPr>
                <w:ilvl w:val="0"/>
                <w:numId w:val="11"/>
              </w:numPr>
              <w:spacing w:before="120"/>
              <w:rPr>
                <w:color w:val="000000"/>
              </w:rPr>
            </w:pPr>
            <w:r w:rsidRPr="00A07737">
              <w:rPr>
                <w:color w:val="000000"/>
              </w:rPr>
              <w:t xml:space="preserve">Joint Motion, </w:t>
            </w:r>
            <w:r>
              <w:rPr>
                <w:color w:val="000000"/>
              </w:rPr>
              <w:t>p. 24</w:t>
            </w:r>
            <w:r w:rsidRPr="00A07737">
              <w:rPr>
                <w:color w:val="000000"/>
              </w:rPr>
              <w:t xml:space="preserve"> (addressing Settlement Agreement, Section 3.1.</w:t>
            </w:r>
            <w:r>
              <w:rPr>
                <w:color w:val="000000"/>
              </w:rPr>
              <w:t>9.1</w:t>
            </w:r>
            <w:r w:rsidRPr="00A07737">
              <w:rPr>
                <w:color w:val="000000"/>
              </w:rPr>
              <w:t>)</w:t>
            </w:r>
          </w:p>
          <w:p w14:paraId="3591DCD9" w14:textId="77777777" w:rsidR="00C671DA" w:rsidRDefault="00C671DA" w:rsidP="00C36D4F">
            <w:pPr>
              <w:spacing w:before="120"/>
              <w:rPr>
                <w:color w:val="000000"/>
              </w:rPr>
            </w:pPr>
          </w:p>
          <w:p w14:paraId="37D251A4" w14:textId="77777777" w:rsidR="00C671DA" w:rsidRDefault="00C671DA" w:rsidP="00C36D4F">
            <w:pPr>
              <w:spacing w:before="120"/>
              <w:rPr>
                <w:color w:val="000000"/>
              </w:rPr>
            </w:pPr>
          </w:p>
          <w:p w14:paraId="1A92CE22" w14:textId="77777777" w:rsidR="00C671DA" w:rsidRDefault="00C671DA" w:rsidP="00C36D4F">
            <w:pPr>
              <w:spacing w:before="120"/>
              <w:rPr>
                <w:color w:val="000000"/>
              </w:rPr>
            </w:pPr>
          </w:p>
          <w:p w14:paraId="0CFAA1C1" w14:textId="77777777" w:rsidR="00C671DA" w:rsidRDefault="00C671DA" w:rsidP="00C36D4F">
            <w:pPr>
              <w:spacing w:before="120"/>
              <w:rPr>
                <w:color w:val="000000"/>
              </w:rPr>
            </w:pPr>
          </w:p>
          <w:p w14:paraId="061C33D2" w14:textId="77777777" w:rsidR="00C671DA" w:rsidRDefault="00C671DA" w:rsidP="00C36D4F">
            <w:pPr>
              <w:spacing w:before="120"/>
              <w:rPr>
                <w:color w:val="000000"/>
              </w:rPr>
            </w:pPr>
          </w:p>
          <w:p w14:paraId="02FCB671" w14:textId="77777777" w:rsidR="00C671DA" w:rsidRDefault="00C671DA" w:rsidP="00C36D4F">
            <w:pPr>
              <w:spacing w:before="120"/>
              <w:rPr>
                <w:color w:val="000000"/>
              </w:rPr>
            </w:pPr>
          </w:p>
          <w:p w14:paraId="33EFB48A" w14:textId="77777777" w:rsidR="00C671DA" w:rsidRPr="00647B3A" w:rsidRDefault="00C671DA" w:rsidP="00C36D4F">
            <w:pPr>
              <w:spacing w:before="120"/>
              <w:rPr>
                <w:color w:val="000000"/>
              </w:rPr>
            </w:pPr>
          </w:p>
          <w:p w14:paraId="0DEDE16A" w14:textId="77777777" w:rsidR="00C671DA" w:rsidRPr="001F2E33" w:rsidRDefault="00C671DA" w:rsidP="00C36D4F">
            <w:pPr>
              <w:spacing w:before="120"/>
              <w:rPr>
                <w:i/>
                <w:color w:val="000000"/>
                <w:sz w:val="22"/>
                <w:szCs w:val="22"/>
              </w:rPr>
            </w:pPr>
            <w:r>
              <w:rPr>
                <w:i/>
                <w:color w:val="000000"/>
                <w:sz w:val="22"/>
                <w:szCs w:val="22"/>
              </w:rPr>
              <w:t>2015 and 2016 Capital Expenditures</w:t>
            </w:r>
          </w:p>
          <w:p w14:paraId="79ED4A5D" w14:textId="77777777" w:rsidR="00C671DA" w:rsidRDefault="00C671DA" w:rsidP="00C36D4F">
            <w:pPr>
              <w:pStyle w:val="ListParagraph"/>
              <w:numPr>
                <w:ilvl w:val="0"/>
                <w:numId w:val="11"/>
              </w:numPr>
              <w:spacing w:before="120"/>
              <w:rPr>
                <w:color w:val="000000"/>
              </w:rPr>
            </w:pPr>
            <w:r>
              <w:rPr>
                <w:color w:val="000000"/>
              </w:rPr>
              <w:t>Joint Motion, p. 25 (addressing Settlement Agreement, Section 3.1.9.2)</w:t>
            </w:r>
          </w:p>
          <w:p w14:paraId="1F4ACE18" w14:textId="77777777" w:rsidR="00C671DA" w:rsidRDefault="00C671DA" w:rsidP="00C36D4F">
            <w:pPr>
              <w:pStyle w:val="ListParagraph"/>
              <w:numPr>
                <w:ilvl w:val="0"/>
                <w:numId w:val="11"/>
              </w:numPr>
              <w:spacing w:before="120"/>
              <w:rPr>
                <w:color w:val="000000"/>
              </w:rPr>
            </w:pPr>
            <w:r>
              <w:rPr>
                <w:color w:val="000000"/>
              </w:rPr>
              <w:t xml:space="preserve">Settlement Agreement, Appendix A, p. 2 of 18 (summary of TURN’s 2015 and 2016 capital adjustments, as presented in </w:t>
            </w:r>
            <w:r w:rsidRPr="0078360D">
              <w:rPr>
                <w:color w:val="000000"/>
              </w:rPr>
              <w:t>Ex. TURN-1,</w:t>
            </w:r>
            <w:r>
              <w:rPr>
                <w:color w:val="000000"/>
              </w:rPr>
              <w:t xml:space="preserve"> Ex. </w:t>
            </w:r>
            <w:r>
              <w:rPr>
                <w:color w:val="000000"/>
              </w:rPr>
              <w:lastRenderedPageBreak/>
              <w:t>TURN-2, Ex. TURN-4, Ex. TURN-6, and Ex. TURN-8)</w:t>
            </w:r>
          </w:p>
          <w:p w14:paraId="13D12F63" w14:textId="77777777" w:rsidR="00C671DA" w:rsidRDefault="00C671DA" w:rsidP="00C36D4F">
            <w:pPr>
              <w:pStyle w:val="ListParagraph"/>
              <w:numPr>
                <w:ilvl w:val="0"/>
                <w:numId w:val="11"/>
              </w:numPr>
              <w:spacing w:before="120"/>
              <w:rPr>
                <w:color w:val="000000"/>
              </w:rPr>
            </w:pPr>
            <w:r>
              <w:rPr>
                <w:color w:val="000000"/>
              </w:rPr>
              <w:t xml:space="preserve">Settlement Agreement, Appendix A, 2015-2016 Capital Expenditures Table, p. 14 of 18 to 17 of 18 (showing all of TURN’s 2015 and 2016 capital adjustments) </w:t>
            </w:r>
          </w:p>
          <w:p w14:paraId="5B139313" w14:textId="77777777" w:rsidR="00C671DA" w:rsidRDefault="00C671DA" w:rsidP="00C36D4F">
            <w:pPr>
              <w:pStyle w:val="ListParagraph"/>
              <w:numPr>
                <w:ilvl w:val="0"/>
                <w:numId w:val="11"/>
              </w:numPr>
              <w:spacing w:before="120"/>
              <w:rPr>
                <w:color w:val="000000"/>
              </w:rPr>
            </w:pPr>
            <w:r>
              <w:rPr>
                <w:color w:val="000000"/>
              </w:rPr>
              <w:t>Settlement Agreement, Appendix A, 2015-2016 Capital Expenditures Table, p. 14 of 18 (</w:t>
            </w:r>
            <w:r w:rsidRPr="00E8139B">
              <w:rPr>
                <w:color w:val="000000"/>
              </w:rPr>
              <w:t xml:space="preserve">attributing </w:t>
            </w:r>
            <w:r>
              <w:rPr>
                <w:color w:val="000000"/>
              </w:rPr>
              <w:t>a</w:t>
            </w:r>
            <w:r w:rsidRPr="00E8139B">
              <w:rPr>
                <w:color w:val="000000"/>
              </w:rPr>
              <w:t xml:space="preserve"> $10 million reduction to 2015 capital </w:t>
            </w:r>
            <w:r>
              <w:rPr>
                <w:color w:val="000000"/>
              </w:rPr>
              <w:t xml:space="preserve">in MWC 2F </w:t>
            </w:r>
            <w:r w:rsidRPr="00E8139B">
              <w:rPr>
                <w:color w:val="000000"/>
              </w:rPr>
              <w:t xml:space="preserve">to TURN’s position on the Pathfinder project; a $15 million reduction to 2016 capital </w:t>
            </w:r>
            <w:r>
              <w:rPr>
                <w:color w:val="000000"/>
              </w:rPr>
              <w:t xml:space="preserve">in MWC 50 </w:t>
            </w:r>
            <w:r w:rsidRPr="00E8139B">
              <w:rPr>
                <w:color w:val="000000"/>
              </w:rPr>
              <w:t xml:space="preserve">to TURN’s position on gas distribution leak management imprudence; and a $10 million reduction in 2016 capital </w:t>
            </w:r>
            <w:r>
              <w:rPr>
                <w:color w:val="000000"/>
              </w:rPr>
              <w:t xml:space="preserve">in MWC 29 </w:t>
            </w:r>
            <w:r w:rsidRPr="00E8139B">
              <w:rPr>
                <w:color w:val="000000"/>
              </w:rPr>
              <w:t>for gas distribution customer connects)</w:t>
            </w:r>
          </w:p>
          <w:p w14:paraId="18FE1CE4" w14:textId="77777777" w:rsidR="00C671DA" w:rsidRDefault="00C671DA" w:rsidP="00C36D4F">
            <w:pPr>
              <w:spacing w:before="120"/>
              <w:rPr>
                <w:color w:val="000000"/>
              </w:rPr>
            </w:pPr>
          </w:p>
          <w:p w14:paraId="67A71A43" w14:textId="77777777" w:rsidR="00C671DA" w:rsidRDefault="00C671DA" w:rsidP="00C36D4F">
            <w:pPr>
              <w:spacing w:before="120"/>
              <w:rPr>
                <w:color w:val="000000"/>
              </w:rPr>
            </w:pPr>
          </w:p>
          <w:p w14:paraId="10A76877" w14:textId="77777777" w:rsidR="00C671DA" w:rsidRDefault="00C671DA" w:rsidP="00C36D4F">
            <w:pPr>
              <w:spacing w:before="120"/>
              <w:rPr>
                <w:color w:val="000000"/>
              </w:rPr>
            </w:pPr>
          </w:p>
          <w:p w14:paraId="015F54D5" w14:textId="77777777" w:rsidR="00C671DA" w:rsidRPr="00524BD2" w:rsidRDefault="00C671DA" w:rsidP="00C36D4F">
            <w:pPr>
              <w:spacing w:before="120"/>
              <w:rPr>
                <w:color w:val="000000"/>
              </w:rPr>
            </w:pPr>
          </w:p>
          <w:p w14:paraId="41461A50" w14:textId="77777777" w:rsidR="00C671DA" w:rsidRDefault="00C671DA" w:rsidP="00C36D4F">
            <w:pPr>
              <w:spacing w:before="120"/>
              <w:rPr>
                <w:i/>
                <w:color w:val="000000"/>
                <w:sz w:val="22"/>
                <w:szCs w:val="22"/>
              </w:rPr>
            </w:pPr>
            <w:r>
              <w:rPr>
                <w:i/>
                <w:color w:val="000000"/>
                <w:sz w:val="22"/>
                <w:szCs w:val="22"/>
              </w:rPr>
              <w:t>Customer Deposits, Rate Base, and Related Issues</w:t>
            </w:r>
          </w:p>
          <w:p w14:paraId="396C4BFA" w14:textId="77777777" w:rsidR="00C671DA" w:rsidRDefault="00C671DA" w:rsidP="00C36D4F">
            <w:pPr>
              <w:pStyle w:val="ListParagraph"/>
              <w:numPr>
                <w:ilvl w:val="0"/>
                <w:numId w:val="11"/>
              </w:numPr>
              <w:spacing w:before="120"/>
              <w:rPr>
                <w:color w:val="000000"/>
              </w:rPr>
            </w:pPr>
            <w:r>
              <w:rPr>
                <w:color w:val="000000"/>
              </w:rPr>
              <w:t>Ex. TURN-6, pp. 61-83 (addressing fuel oil inventory, working cash issues -- other receivables, prepayments, Diablo Canyon outage prepayment, lead lag study, and customer deposits)</w:t>
            </w:r>
          </w:p>
          <w:p w14:paraId="0AAB7DC1" w14:textId="77777777" w:rsidR="00C671DA" w:rsidRDefault="00C671DA" w:rsidP="00C36D4F">
            <w:pPr>
              <w:pStyle w:val="ListParagraph"/>
              <w:numPr>
                <w:ilvl w:val="0"/>
                <w:numId w:val="11"/>
              </w:numPr>
              <w:spacing w:before="120"/>
              <w:rPr>
                <w:color w:val="000000"/>
              </w:rPr>
            </w:pPr>
            <w:r w:rsidRPr="00071DF6">
              <w:rPr>
                <w:color w:val="000000"/>
              </w:rPr>
              <w:t xml:space="preserve">Joint Motion, </w:t>
            </w:r>
            <w:r>
              <w:rPr>
                <w:color w:val="000000"/>
              </w:rPr>
              <w:t>pp. 25-27</w:t>
            </w:r>
            <w:r w:rsidRPr="00071DF6">
              <w:rPr>
                <w:color w:val="000000"/>
              </w:rPr>
              <w:t xml:space="preserve"> (addressing Settlement Agreement, Section 3.1.</w:t>
            </w:r>
            <w:r>
              <w:rPr>
                <w:color w:val="000000"/>
              </w:rPr>
              <w:t>9.4</w:t>
            </w:r>
            <w:r w:rsidRPr="00071DF6">
              <w:rPr>
                <w:color w:val="000000"/>
              </w:rPr>
              <w:t>)</w:t>
            </w:r>
          </w:p>
          <w:p w14:paraId="700416F9" w14:textId="77777777" w:rsidR="00C671DA" w:rsidRDefault="00C671DA" w:rsidP="00C36D4F">
            <w:pPr>
              <w:pStyle w:val="ListParagraph"/>
              <w:numPr>
                <w:ilvl w:val="0"/>
                <w:numId w:val="11"/>
              </w:numPr>
              <w:spacing w:before="120"/>
              <w:rPr>
                <w:color w:val="000000"/>
              </w:rPr>
            </w:pPr>
            <w:r>
              <w:rPr>
                <w:color w:val="000000"/>
              </w:rPr>
              <w:t>Settlement Agreement, Section 3.1.9.4</w:t>
            </w:r>
          </w:p>
          <w:p w14:paraId="67F241B2" w14:textId="77777777" w:rsidR="00C671DA" w:rsidRPr="00524BD2" w:rsidRDefault="00C671DA" w:rsidP="00C36D4F">
            <w:pPr>
              <w:pStyle w:val="ListParagraph"/>
              <w:spacing w:before="120"/>
              <w:rPr>
                <w:color w:val="000000"/>
              </w:rPr>
            </w:pPr>
          </w:p>
          <w:p w14:paraId="53CF3197" w14:textId="77777777" w:rsidR="00C671DA" w:rsidRDefault="00C671DA" w:rsidP="00C36D4F">
            <w:pPr>
              <w:spacing w:before="120"/>
              <w:rPr>
                <w:color w:val="000000"/>
              </w:rPr>
            </w:pPr>
          </w:p>
          <w:p w14:paraId="4EAE4539" w14:textId="77777777" w:rsidR="00C671DA" w:rsidRDefault="00C671DA" w:rsidP="00C36D4F">
            <w:pPr>
              <w:spacing w:before="120"/>
              <w:rPr>
                <w:color w:val="000000"/>
              </w:rPr>
            </w:pPr>
          </w:p>
          <w:p w14:paraId="0EA26D9B" w14:textId="77777777" w:rsidR="00C671DA" w:rsidRDefault="00C671DA" w:rsidP="00C36D4F">
            <w:pPr>
              <w:spacing w:before="120"/>
              <w:rPr>
                <w:color w:val="000000"/>
              </w:rPr>
            </w:pPr>
          </w:p>
          <w:p w14:paraId="08539B3E" w14:textId="77777777" w:rsidR="00C671DA" w:rsidRDefault="00C671DA" w:rsidP="00C36D4F">
            <w:pPr>
              <w:spacing w:before="120"/>
              <w:rPr>
                <w:color w:val="000000"/>
              </w:rPr>
            </w:pPr>
          </w:p>
          <w:p w14:paraId="0A775B64" w14:textId="77777777" w:rsidR="00C671DA" w:rsidRDefault="00C671DA" w:rsidP="00C36D4F">
            <w:pPr>
              <w:spacing w:before="120"/>
              <w:rPr>
                <w:color w:val="000000"/>
              </w:rPr>
            </w:pPr>
          </w:p>
          <w:p w14:paraId="1FF9B1D8" w14:textId="77777777" w:rsidR="00C671DA" w:rsidRDefault="00C671DA" w:rsidP="00C36D4F">
            <w:pPr>
              <w:spacing w:before="120"/>
              <w:rPr>
                <w:color w:val="000000"/>
              </w:rPr>
            </w:pPr>
          </w:p>
          <w:p w14:paraId="49286CE2" w14:textId="77777777" w:rsidR="00C671DA" w:rsidRDefault="00C671DA" w:rsidP="00C36D4F">
            <w:pPr>
              <w:spacing w:before="120"/>
              <w:rPr>
                <w:color w:val="000000"/>
              </w:rPr>
            </w:pPr>
          </w:p>
          <w:p w14:paraId="2EE5E388" w14:textId="77777777" w:rsidR="00C671DA" w:rsidRDefault="00C671DA" w:rsidP="00C36D4F">
            <w:pPr>
              <w:spacing w:before="120"/>
              <w:rPr>
                <w:color w:val="000000"/>
              </w:rPr>
            </w:pPr>
          </w:p>
          <w:p w14:paraId="4456B28C" w14:textId="77777777" w:rsidR="00C671DA" w:rsidRPr="00524BD2" w:rsidRDefault="00C671DA" w:rsidP="00C36D4F">
            <w:pPr>
              <w:spacing w:before="120"/>
              <w:rPr>
                <w:color w:val="000000"/>
              </w:rPr>
            </w:pPr>
          </w:p>
          <w:p w14:paraId="4D0C6C0A" w14:textId="77777777" w:rsidR="00C671DA" w:rsidRDefault="00C671DA" w:rsidP="00C36D4F">
            <w:pPr>
              <w:spacing w:before="120"/>
              <w:rPr>
                <w:i/>
                <w:color w:val="000000"/>
                <w:sz w:val="22"/>
                <w:szCs w:val="22"/>
              </w:rPr>
            </w:pPr>
            <w:r>
              <w:rPr>
                <w:i/>
                <w:color w:val="000000"/>
                <w:sz w:val="22"/>
                <w:szCs w:val="22"/>
              </w:rPr>
              <w:t>Tax Accounting</w:t>
            </w:r>
          </w:p>
          <w:p w14:paraId="7099AAE6" w14:textId="77777777" w:rsidR="00C671DA" w:rsidRDefault="00C671DA" w:rsidP="00C36D4F">
            <w:pPr>
              <w:pStyle w:val="ListParagraph"/>
              <w:numPr>
                <w:ilvl w:val="0"/>
                <w:numId w:val="11"/>
              </w:numPr>
              <w:spacing w:before="120"/>
              <w:rPr>
                <w:color w:val="000000"/>
              </w:rPr>
            </w:pPr>
            <w:r w:rsidRPr="00071DF6">
              <w:rPr>
                <w:color w:val="000000"/>
              </w:rPr>
              <w:t xml:space="preserve">Joint Motion, </w:t>
            </w:r>
            <w:r>
              <w:rPr>
                <w:color w:val="000000"/>
              </w:rPr>
              <w:t>pp. 25</w:t>
            </w:r>
            <w:r w:rsidRPr="00071DF6">
              <w:rPr>
                <w:color w:val="000000"/>
              </w:rPr>
              <w:t xml:space="preserve"> (addressing Settlement Agreement, Section 3.1.</w:t>
            </w:r>
            <w:r>
              <w:rPr>
                <w:color w:val="000000"/>
              </w:rPr>
              <w:t>9.3</w:t>
            </w:r>
            <w:r w:rsidRPr="00071DF6">
              <w:rPr>
                <w:color w:val="000000"/>
              </w:rPr>
              <w:t>)</w:t>
            </w:r>
          </w:p>
          <w:p w14:paraId="523E2FA4" w14:textId="77777777" w:rsidR="00C671DA" w:rsidRDefault="00C671DA" w:rsidP="00C36D4F">
            <w:pPr>
              <w:pStyle w:val="ListParagraph"/>
              <w:numPr>
                <w:ilvl w:val="0"/>
                <w:numId w:val="11"/>
              </w:numPr>
              <w:spacing w:before="120"/>
              <w:rPr>
                <w:color w:val="000000"/>
              </w:rPr>
            </w:pPr>
            <w:r>
              <w:rPr>
                <w:color w:val="000000"/>
              </w:rPr>
              <w:t>Settlement Agreement, Section 3.1.9.3</w:t>
            </w:r>
          </w:p>
          <w:p w14:paraId="36B68A9C" w14:textId="77777777" w:rsidR="00C671DA" w:rsidRPr="00071DF6" w:rsidRDefault="00C671DA" w:rsidP="00C36D4F">
            <w:pPr>
              <w:pStyle w:val="ListParagraph"/>
              <w:numPr>
                <w:ilvl w:val="0"/>
                <w:numId w:val="11"/>
              </w:numPr>
              <w:spacing w:before="120"/>
              <w:rPr>
                <w:color w:val="000000"/>
              </w:rPr>
            </w:pPr>
            <w:r>
              <w:rPr>
                <w:color w:val="000000"/>
              </w:rPr>
              <w:t>D.17-05-013, pp. 116-117</w:t>
            </w:r>
          </w:p>
          <w:p w14:paraId="13F048F5" w14:textId="77777777" w:rsidR="00C671DA" w:rsidRDefault="00C671DA" w:rsidP="00C36D4F">
            <w:pPr>
              <w:spacing w:before="120"/>
              <w:ind w:left="360"/>
              <w:rPr>
                <w:color w:val="000000"/>
              </w:rPr>
            </w:pPr>
          </w:p>
          <w:p w14:paraId="042BA105" w14:textId="77777777" w:rsidR="00C671DA" w:rsidRDefault="00C671DA" w:rsidP="00C36D4F">
            <w:pPr>
              <w:spacing w:before="120"/>
              <w:ind w:left="360"/>
              <w:rPr>
                <w:color w:val="000000"/>
              </w:rPr>
            </w:pPr>
          </w:p>
          <w:p w14:paraId="18CCF145" w14:textId="77777777" w:rsidR="00C671DA" w:rsidRPr="00A07737" w:rsidRDefault="00C671DA" w:rsidP="00C36D4F">
            <w:pPr>
              <w:pStyle w:val="ListParagraph"/>
              <w:spacing w:before="120"/>
              <w:rPr>
                <w:color w:val="000000"/>
              </w:rPr>
            </w:pPr>
          </w:p>
        </w:tc>
        <w:tc>
          <w:tcPr>
            <w:tcW w:w="2340" w:type="dxa"/>
            <w:shd w:val="clear" w:color="auto" w:fill="auto"/>
          </w:tcPr>
          <w:p w14:paraId="09509D3E" w14:textId="77777777" w:rsidR="00C671DA" w:rsidRDefault="00C671DA" w:rsidP="00C36D4F">
            <w:pPr>
              <w:spacing w:before="120"/>
              <w:rPr>
                <w:color w:val="000000"/>
              </w:rPr>
            </w:pPr>
            <w:r>
              <w:rPr>
                <w:color w:val="000000"/>
              </w:rPr>
              <w:lastRenderedPageBreak/>
              <w:t>Verified</w:t>
            </w:r>
          </w:p>
          <w:p w14:paraId="74ACF756" w14:textId="77777777" w:rsidR="00C671DA" w:rsidRDefault="00C671DA" w:rsidP="00C36D4F">
            <w:pPr>
              <w:spacing w:before="120"/>
              <w:rPr>
                <w:color w:val="000000"/>
              </w:rPr>
            </w:pPr>
          </w:p>
          <w:p w14:paraId="2A9997B4" w14:textId="77777777" w:rsidR="00C671DA" w:rsidRDefault="00C671DA" w:rsidP="00C36D4F">
            <w:pPr>
              <w:spacing w:before="120"/>
              <w:rPr>
                <w:color w:val="000000"/>
              </w:rPr>
            </w:pPr>
          </w:p>
          <w:p w14:paraId="615D98CC" w14:textId="77777777" w:rsidR="00C671DA" w:rsidRDefault="00C671DA" w:rsidP="00C36D4F">
            <w:pPr>
              <w:spacing w:before="120"/>
              <w:rPr>
                <w:color w:val="000000"/>
              </w:rPr>
            </w:pPr>
          </w:p>
          <w:p w14:paraId="5EBBC417" w14:textId="77777777" w:rsidR="00C671DA" w:rsidRDefault="00C671DA" w:rsidP="00C36D4F">
            <w:pPr>
              <w:spacing w:before="120"/>
              <w:rPr>
                <w:color w:val="000000"/>
              </w:rPr>
            </w:pPr>
          </w:p>
          <w:p w14:paraId="645E9B77" w14:textId="77777777" w:rsidR="00C671DA" w:rsidRDefault="00C671DA" w:rsidP="00C36D4F">
            <w:pPr>
              <w:spacing w:before="120"/>
              <w:rPr>
                <w:color w:val="000000"/>
              </w:rPr>
            </w:pPr>
          </w:p>
          <w:p w14:paraId="1C7F20C4" w14:textId="77777777" w:rsidR="00C671DA" w:rsidRDefault="00C671DA" w:rsidP="00C36D4F">
            <w:pPr>
              <w:spacing w:before="120"/>
              <w:rPr>
                <w:color w:val="000000"/>
              </w:rPr>
            </w:pPr>
          </w:p>
          <w:p w14:paraId="5418AE55" w14:textId="77777777" w:rsidR="00C671DA" w:rsidRDefault="00C671DA" w:rsidP="00C36D4F">
            <w:pPr>
              <w:spacing w:before="120"/>
              <w:rPr>
                <w:color w:val="000000"/>
              </w:rPr>
            </w:pPr>
          </w:p>
          <w:p w14:paraId="51E4D662" w14:textId="77777777" w:rsidR="00C671DA" w:rsidRDefault="00C671DA" w:rsidP="00C36D4F">
            <w:pPr>
              <w:spacing w:before="120"/>
              <w:rPr>
                <w:color w:val="000000"/>
              </w:rPr>
            </w:pPr>
          </w:p>
          <w:p w14:paraId="53014FD5" w14:textId="77777777" w:rsidR="00C671DA" w:rsidRDefault="00C671DA" w:rsidP="00C36D4F">
            <w:pPr>
              <w:spacing w:before="120"/>
              <w:rPr>
                <w:color w:val="000000"/>
              </w:rPr>
            </w:pPr>
          </w:p>
          <w:p w14:paraId="74607D3C" w14:textId="77777777" w:rsidR="00C671DA" w:rsidRDefault="00C671DA" w:rsidP="00C36D4F">
            <w:pPr>
              <w:spacing w:before="120"/>
              <w:rPr>
                <w:color w:val="000000"/>
              </w:rPr>
            </w:pPr>
            <w:r>
              <w:rPr>
                <w:color w:val="000000"/>
              </w:rPr>
              <w:t>Verified, the Settlement Agreement reduced PG&amp;E’s depreciation request as a comprise of the positions of PG&amp;E, ORA, TURN, A4NR, and CUE.</w:t>
            </w:r>
          </w:p>
          <w:p w14:paraId="34B1655A" w14:textId="77777777" w:rsidR="00C671DA" w:rsidRDefault="00C671DA" w:rsidP="00C36D4F">
            <w:pPr>
              <w:spacing w:before="120"/>
              <w:rPr>
                <w:color w:val="000000"/>
              </w:rPr>
            </w:pPr>
          </w:p>
          <w:p w14:paraId="1489FF98" w14:textId="77777777" w:rsidR="00C671DA" w:rsidRDefault="00C671DA" w:rsidP="00C36D4F">
            <w:pPr>
              <w:spacing w:before="120"/>
              <w:rPr>
                <w:color w:val="000000"/>
              </w:rPr>
            </w:pPr>
          </w:p>
          <w:p w14:paraId="0D1F3227" w14:textId="77777777" w:rsidR="00C671DA" w:rsidRDefault="00C671DA" w:rsidP="00C36D4F">
            <w:pPr>
              <w:spacing w:before="120"/>
              <w:rPr>
                <w:color w:val="000000"/>
              </w:rPr>
            </w:pPr>
          </w:p>
          <w:p w14:paraId="00D3C409" w14:textId="77777777" w:rsidR="00C671DA" w:rsidRDefault="00C671DA" w:rsidP="00C36D4F">
            <w:pPr>
              <w:spacing w:before="120"/>
              <w:rPr>
                <w:color w:val="000000"/>
              </w:rPr>
            </w:pPr>
          </w:p>
          <w:p w14:paraId="571433C8" w14:textId="77777777" w:rsidR="00C671DA" w:rsidRDefault="00C671DA" w:rsidP="00C36D4F">
            <w:pPr>
              <w:spacing w:before="120"/>
              <w:rPr>
                <w:color w:val="000000"/>
              </w:rPr>
            </w:pPr>
          </w:p>
          <w:p w14:paraId="3D13676F" w14:textId="77777777" w:rsidR="00C671DA" w:rsidRDefault="00C671DA" w:rsidP="00C36D4F">
            <w:pPr>
              <w:spacing w:before="120"/>
              <w:rPr>
                <w:color w:val="000000"/>
              </w:rPr>
            </w:pPr>
          </w:p>
          <w:p w14:paraId="2C73E238" w14:textId="77777777" w:rsidR="00C671DA" w:rsidRDefault="00C671DA" w:rsidP="00C36D4F">
            <w:pPr>
              <w:spacing w:before="120"/>
              <w:rPr>
                <w:color w:val="000000"/>
              </w:rPr>
            </w:pPr>
          </w:p>
          <w:p w14:paraId="74BA5076" w14:textId="77777777" w:rsidR="00C671DA" w:rsidRDefault="00C671DA" w:rsidP="00C36D4F">
            <w:pPr>
              <w:spacing w:before="120"/>
              <w:rPr>
                <w:color w:val="000000"/>
              </w:rPr>
            </w:pPr>
            <w:r>
              <w:rPr>
                <w:color w:val="000000"/>
              </w:rPr>
              <w:t xml:space="preserve">Verified  </w:t>
            </w:r>
          </w:p>
          <w:p w14:paraId="2AADC211" w14:textId="77777777" w:rsidR="00C671DA" w:rsidRDefault="00C671DA" w:rsidP="00C36D4F">
            <w:pPr>
              <w:spacing w:before="120"/>
              <w:rPr>
                <w:color w:val="000000"/>
              </w:rPr>
            </w:pPr>
          </w:p>
          <w:p w14:paraId="66FAE21C" w14:textId="77777777" w:rsidR="00C671DA" w:rsidRDefault="00C671DA" w:rsidP="00C36D4F">
            <w:pPr>
              <w:spacing w:before="120"/>
              <w:rPr>
                <w:color w:val="000000"/>
              </w:rPr>
            </w:pPr>
          </w:p>
          <w:p w14:paraId="41C14781" w14:textId="77777777" w:rsidR="00C671DA" w:rsidRDefault="00C671DA" w:rsidP="00C36D4F">
            <w:pPr>
              <w:spacing w:before="120"/>
              <w:rPr>
                <w:color w:val="000000"/>
              </w:rPr>
            </w:pPr>
          </w:p>
          <w:p w14:paraId="2EE0F8F4" w14:textId="77777777" w:rsidR="00C671DA" w:rsidRDefault="00C671DA" w:rsidP="00C36D4F">
            <w:pPr>
              <w:spacing w:before="120"/>
              <w:rPr>
                <w:color w:val="000000"/>
              </w:rPr>
            </w:pPr>
          </w:p>
          <w:p w14:paraId="07BB815C" w14:textId="77777777" w:rsidR="00C671DA" w:rsidRDefault="00C671DA" w:rsidP="00C36D4F">
            <w:pPr>
              <w:spacing w:before="120"/>
              <w:rPr>
                <w:color w:val="000000"/>
              </w:rPr>
            </w:pPr>
          </w:p>
          <w:p w14:paraId="3F5E5C4C" w14:textId="77777777" w:rsidR="00C671DA" w:rsidRDefault="00C671DA" w:rsidP="00C36D4F">
            <w:pPr>
              <w:spacing w:before="120"/>
              <w:rPr>
                <w:color w:val="000000"/>
              </w:rPr>
            </w:pPr>
          </w:p>
          <w:p w14:paraId="22079A17" w14:textId="77777777" w:rsidR="00C671DA" w:rsidRDefault="00C671DA" w:rsidP="00C36D4F">
            <w:pPr>
              <w:spacing w:before="120"/>
              <w:rPr>
                <w:color w:val="000000"/>
              </w:rPr>
            </w:pPr>
          </w:p>
          <w:p w14:paraId="18AF2CF7" w14:textId="77777777" w:rsidR="00C671DA" w:rsidRDefault="00C671DA" w:rsidP="00C36D4F">
            <w:pPr>
              <w:spacing w:before="120"/>
              <w:rPr>
                <w:color w:val="000000"/>
              </w:rPr>
            </w:pPr>
          </w:p>
          <w:p w14:paraId="135CB395" w14:textId="77777777" w:rsidR="00C671DA" w:rsidRDefault="00C671DA" w:rsidP="00C36D4F">
            <w:pPr>
              <w:spacing w:before="120"/>
              <w:rPr>
                <w:color w:val="000000"/>
              </w:rPr>
            </w:pPr>
          </w:p>
          <w:p w14:paraId="66622947" w14:textId="77777777" w:rsidR="00C671DA" w:rsidRDefault="00C671DA" w:rsidP="00C36D4F">
            <w:pPr>
              <w:spacing w:before="120"/>
              <w:rPr>
                <w:color w:val="000000"/>
              </w:rPr>
            </w:pPr>
          </w:p>
          <w:p w14:paraId="5ED673F0" w14:textId="77777777" w:rsidR="00C671DA" w:rsidRDefault="00C671DA" w:rsidP="00C36D4F">
            <w:pPr>
              <w:spacing w:before="120"/>
              <w:rPr>
                <w:color w:val="000000"/>
              </w:rPr>
            </w:pPr>
          </w:p>
          <w:p w14:paraId="642AB4A6" w14:textId="77777777" w:rsidR="00C671DA" w:rsidRDefault="00C671DA" w:rsidP="00C36D4F">
            <w:pPr>
              <w:spacing w:before="120"/>
              <w:rPr>
                <w:color w:val="000000"/>
              </w:rPr>
            </w:pPr>
          </w:p>
          <w:p w14:paraId="556124D0" w14:textId="77777777" w:rsidR="00C671DA" w:rsidRDefault="00C671DA" w:rsidP="00C36D4F">
            <w:pPr>
              <w:spacing w:before="120"/>
              <w:rPr>
                <w:color w:val="000000"/>
              </w:rPr>
            </w:pPr>
          </w:p>
          <w:p w14:paraId="0ACE179B" w14:textId="77777777" w:rsidR="00C671DA" w:rsidRDefault="00C671DA" w:rsidP="00C36D4F">
            <w:pPr>
              <w:spacing w:before="120"/>
              <w:rPr>
                <w:color w:val="000000"/>
              </w:rPr>
            </w:pPr>
          </w:p>
          <w:p w14:paraId="1F6C5932" w14:textId="77777777" w:rsidR="00C671DA" w:rsidRDefault="00C671DA" w:rsidP="00C36D4F">
            <w:pPr>
              <w:spacing w:before="120"/>
              <w:rPr>
                <w:color w:val="000000"/>
              </w:rPr>
            </w:pPr>
          </w:p>
          <w:p w14:paraId="1AA69C5F" w14:textId="77777777" w:rsidR="00C671DA" w:rsidRDefault="00C671DA" w:rsidP="00C36D4F">
            <w:pPr>
              <w:spacing w:before="120"/>
              <w:rPr>
                <w:color w:val="000000"/>
              </w:rPr>
            </w:pPr>
          </w:p>
          <w:p w14:paraId="04C9ADC0" w14:textId="77777777" w:rsidR="00C671DA" w:rsidRDefault="00C671DA" w:rsidP="00C36D4F">
            <w:pPr>
              <w:spacing w:before="120"/>
              <w:rPr>
                <w:color w:val="000000"/>
              </w:rPr>
            </w:pPr>
          </w:p>
          <w:p w14:paraId="481B4BEE" w14:textId="77777777" w:rsidR="00C671DA" w:rsidRDefault="00C671DA" w:rsidP="00C36D4F">
            <w:pPr>
              <w:spacing w:before="120"/>
              <w:rPr>
                <w:color w:val="000000"/>
              </w:rPr>
            </w:pPr>
          </w:p>
          <w:p w14:paraId="5A3CD79B" w14:textId="77777777" w:rsidR="00C671DA" w:rsidRDefault="00C671DA" w:rsidP="00C36D4F">
            <w:pPr>
              <w:spacing w:before="120"/>
              <w:rPr>
                <w:color w:val="000000"/>
              </w:rPr>
            </w:pPr>
          </w:p>
          <w:p w14:paraId="6B282F98" w14:textId="77777777" w:rsidR="00C671DA" w:rsidRDefault="00C671DA" w:rsidP="00C36D4F">
            <w:pPr>
              <w:spacing w:before="120"/>
              <w:rPr>
                <w:color w:val="000000"/>
              </w:rPr>
            </w:pPr>
          </w:p>
          <w:p w14:paraId="7FB6D5B2" w14:textId="77777777" w:rsidR="00C671DA" w:rsidRDefault="00C671DA" w:rsidP="00C36D4F">
            <w:pPr>
              <w:spacing w:before="120"/>
              <w:rPr>
                <w:color w:val="000000"/>
              </w:rPr>
            </w:pPr>
          </w:p>
          <w:p w14:paraId="24311B0E" w14:textId="77777777" w:rsidR="00C671DA" w:rsidRDefault="00C671DA" w:rsidP="00C36D4F">
            <w:pPr>
              <w:spacing w:before="120"/>
              <w:rPr>
                <w:color w:val="000000"/>
              </w:rPr>
            </w:pPr>
          </w:p>
          <w:p w14:paraId="0AE7B8A3" w14:textId="77777777" w:rsidR="00C671DA" w:rsidRDefault="00C671DA" w:rsidP="00C36D4F">
            <w:pPr>
              <w:spacing w:before="120"/>
              <w:rPr>
                <w:color w:val="000000"/>
              </w:rPr>
            </w:pPr>
          </w:p>
          <w:p w14:paraId="76A302CE" w14:textId="77777777" w:rsidR="00C671DA" w:rsidRDefault="00C671DA" w:rsidP="00C36D4F">
            <w:pPr>
              <w:spacing w:before="120"/>
              <w:rPr>
                <w:color w:val="000000"/>
              </w:rPr>
            </w:pPr>
            <w:r>
              <w:rPr>
                <w:color w:val="000000"/>
              </w:rPr>
              <w:t>Verified</w:t>
            </w:r>
          </w:p>
          <w:p w14:paraId="66AF7E83" w14:textId="77777777" w:rsidR="00C671DA" w:rsidRDefault="00C671DA" w:rsidP="00C36D4F">
            <w:pPr>
              <w:spacing w:before="120"/>
              <w:rPr>
                <w:color w:val="000000"/>
              </w:rPr>
            </w:pPr>
          </w:p>
          <w:p w14:paraId="75955428" w14:textId="77777777" w:rsidR="00C671DA" w:rsidRDefault="00C671DA" w:rsidP="00C36D4F">
            <w:pPr>
              <w:spacing w:before="120"/>
              <w:rPr>
                <w:color w:val="000000"/>
              </w:rPr>
            </w:pPr>
          </w:p>
          <w:p w14:paraId="7CCA8A4C" w14:textId="77777777" w:rsidR="00C671DA" w:rsidRDefault="00C671DA" w:rsidP="00C36D4F">
            <w:pPr>
              <w:spacing w:before="120"/>
              <w:rPr>
                <w:color w:val="000000"/>
              </w:rPr>
            </w:pPr>
          </w:p>
          <w:p w14:paraId="01288AE9" w14:textId="77777777" w:rsidR="00C671DA" w:rsidRDefault="00C671DA" w:rsidP="00C36D4F">
            <w:pPr>
              <w:spacing w:before="120"/>
              <w:rPr>
                <w:color w:val="000000"/>
              </w:rPr>
            </w:pPr>
          </w:p>
          <w:p w14:paraId="0B65C585" w14:textId="77777777" w:rsidR="00C671DA" w:rsidRDefault="00C671DA" w:rsidP="00C36D4F">
            <w:pPr>
              <w:spacing w:before="120"/>
              <w:rPr>
                <w:color w:val="000000"/>
              </w:rPr>
            </w:pPr>
          </w:p>
          <w:p w14:paraId="5A572D9F" w14:textId="77777777" w:rsidR="00C671DA" w:rsidRDefault="00C671DA" w:rsidP="00C36D4F">
            <w:pPr>
              <w:spacing w:before="120"/>
              <w:rPr>
                <w:color w:val="000000"/>
              </w:rPr>
            </w:pPr>
          </w:p>
          <w:p w14:paraId="5D7E1BD7" w14:textId="77777777" w:rsidR="00C671DA" w:rsidRDefault="00C671DA" w:rsidP="00C36D4F">
            <w:pPr>
              <w:spacing w:before="120"/>
              <w:rPr>
                <w:color w:val="000000"/>
              </w:rPr>
            </w:pPr>
          </w:p>
          <w:p w14:paraId="49FEFEFE" w14:textId="77777777" w:rsidR="00C671DA" w:rsidRDefault="00C671DA" w:rsidP="00C36D4F">
            <w:pPr>
              <w:spacing w:before="120"/>
              <w:rPr>
                <w:color w:val="FF0000"/>
              </w:rPr>
            </w:pPr>
          </w:p>
          <w:p w14:paraId="568921BA" w14:textId="77777777" w:rsidR="00C671DA" w:rsidRDefault="00C671DA" w:rsidP="00C36D4F">
            <w:pPr>
              <w:spacing w:before="120"/>
              <w:rPr>
                <w:color w:val="FF0000"/>
              </w:rPr>
            </w:pPr>
          </w:p>
          <w:p w14:paraId="65DFB309" w14:textId="77777777" w:rsidR="00C671DA" w:rsidRDefault="00C671DA" w:rsidP="00C36D4F">
            <w:pPr>
              <w:spacing w:before="120"/>
              <w:rPr>
                <w:color w:val="FF0000"/>
              </w:rPr>
            </w:pPr>
          </w:p>
          <w:p w14:paraId="51E451A3" w14:textId="77777777" w:rsidR="00C671DA" w:rsidRDefault="00C671DA" w:rsidP="00C36D4F">
            <w:pPr>
              <w:spacing w:before="120"/>
              <w:rPr>
                <w:color w:val="FF0000"/>
              </w:rPr>
            </w:pPr>
          </w:p>
          <w:p w14:paraId="3F1CAD3C" w14:textId="77777777" w:rsidR="00C671DA" w:rsidRDefault="00C671DA" w:rsidP="00C36D4F">
            <w:pPr>
              <w:spacing w:before="120"/>
              <w:rPr>
                <w:color w:val="FF0000"/>
              </w:rPr>
            </w:pPr>
          </w:p>
          <w:p w14:paraId="4A2EBA87" w14:textId="77777777" w:rsidR="00C671DA" w:rsidRDefault="00C671DA" w:rsidP="00C36D4F">
            <w:pPr>
              <w:spacing w:before="120"/>
              <w:rPr>
                <w:color w:val="FF0000"/>
              </w:rPr>
            </w:pPr>
          </w:p>
          <w:p w14:paraId="7DB69DD0" w14:textId="77777777" w:rsidR="00C671DA" w:rsidRDefault="00C671DA" w:rsidP="00C36D4F">
            <w:pPr>
              <w:spacing w:before="120"/>
              <w:rPr>
                <w:color w:val="FF0000"/>
              </w:rPr>
            </w:pPr>
          </w:p>
          <w:p w14:paraId="61D12D6C" w14:textId="77777777" w:rsidR="00C671DA" w:rsidRDefault="00C671DA" w:rsidP="00C36D4F">
            <w:pPr>
              <w:spacing w:before="120"/>
              <w:rPr>
                <w:color w:val="FF0000"/>
              </w:rPr>
            </w:pPr>
          </w:p>
          <w:p w14:paraId="30C861A0" w14:textId="77777777" w:rsidR="00C671DA" w:rsidRDefault="00C671DA" w:rsidP="00C36D4F">
            <w:pPr>
              <w:spacing w:before="120"/>
              <w:rPr>
                <w:color w:val="FF0000"/>
              </w:rPr>
            </w:pPr>
          </w:p>
          <w:p w14:paraId="1256055A" w14:textId="77777777" w:rsidR="00C671DA" w:rsidRDefault="00C671DA" w:rsidP="00C36D4F">
            <w:pPr>
              <w:spacing w:before="120"/>
              <w:rPr>
                <w:color w:val="FF0000"/>
              </w:rPr>
            </w:pPr>
          </w:p>
          <w:p w14:paraId="09181974" w14:textId="77777777" w:rsidR="00C671DA" w:rsidRDefault="00C671DA" w:rsidP="00C36D4F">
            <w:pPr>
              <w:spacing w:before="120"/>
              <w:rPr>
                <w:color w:val="FF0000"/>
              </w:rPr>
            </w:pPr>
          </w:p>
          <w:p w14:paraId="7C951CC0" w14:textId="77777777" w:rsidR="00C671DA" w:rsidRDefault="00C671DA" w:rsidP="00C36D4F">
            <w:pPr>
              <w:spacing w:before="120"/>
              <w:rPr>
                <w:color w:val="FF0000"/>
              </w:rPr>
            </w:pPr>
          </w:p>
          <w:p w14:paraId="7F7CF8FE" w14:textId="77777777" w:rsidR="00C671DA" w:rsidRDefault="00C671DA" w:rsidP="00C36D4F">
            <w:pPr>
              <w:spacing w:before="240"/>
              <w:rPr>
                <w:color w:val="000000"/>
                <w:sz w:val="22"/>
                <w:szCs w:val="22"/>
              </w:rPr>
            </w:pPr>
            <w:r>
              <w:rPr>
                <w:color w:val="000000"/>
                <w:sz w:val="22"/>
                <w:szCs w:val="22"/>
              </w:rPr>
              <w:t xml:space="preserve">As TURN acknowledges, in D.17-05-013 the Commission did not adopt Section 3.1.9.3 of the Settlement Agreement (D.17-05-013, OP 1.b).  Instead, the Commission directed PG&amp;E to establish </w:t>
            </w:r>
            <w:r w:rsidRPr="005A7E91">
              <w:rPr>
                <w:color w:val="000000"/>
                <w:sz w:val="22"/>
                <w:szCs w:val="22"/>
              </w:rPr>
              <w:t>a two-way tax memorandum account</w:t>
            </w:r>
            <w:r>
              <w:rPr>
                <w:color w:val="000000"/>
                <w:sz w:val="22"/>
                <w:szCs w:val="22"/>
              </w:rPr>
              <w:t xml:space="preserve"> that would be structured identically to the memorandum accounts ordered by the Commission in previous decisions addressing GRC applications of </w:t>
            </w:r>
            <w:r w:rsidRPr="000248FA">
              <w:rPr>
                <w:color w:val="000000"/>
                <w:sz w:val="22"/>
                <w:szCs w:val="22"/>
              </w:rPr>
              <w:t xml:space="preserve">SDG&amp;E and SoCalGas </w:t>
            </w:r>
            <w:r>
              <w:rPr>
                <w:color w:val="000000"/>
                <w:sz w:val="22"/>
                <w:szCs w:val="22"/>
              </w:rPr>
              <w:t>(</w:t>
            </w:r>
            <w:r w:rsidRPr="000248FA">
              <w:rPr>
                <w:color w:val="000000"/>
                <w:sz w:val="22"/>
                <w:szCs w:val="22"/>
              </w:rPr>
              <w:t>D.16-06-054</w:t>
            </w:r>
            <w:r>
              <w:rPr>
                <w:color w:val="000000"/>
                <w:sz w:val="22"/>
                <w:szCs w:val="22"/>
              </w:rPr>
              <w:t>)</w:t>
            </w:r>
            <w:r w:rsidRPr="000248FA">
              <w:rPr>
                <w:color w:val="000000"/>
                <w:sz w:val="22"/>
                <w:szCs w:val="22"/>
              </w:rPr>
              <w:t xml:space="preserve"> and </w:t>
            </w:r>
            <w:r>
              <w:rPr>
                <w:color w:val="000000"/>
                <w:sz w:val="22"/>
                <w:szCs w:val="22"/>
              </w:rPr>
              <w:t>Liberty Utilities (</w:t>
            </w:r>
            <w:r w:rsidRPr="000248FA">
              <w:rPr>
                <w:color w:val="000000"/>
                <w:sz w:val="22"/>
                <w:szCs w:val="22"/>
              </w:rPr>
              <w:t>D.16-12-024</w:t>
            </w:r>
            <w:r>
              <w:rPr>
                <w:color w:val="000000"/>
                <w:sz w:val="22"/>
                <w:szCs w:val="22"/>
              </w:rPr>
              <w:t xml:space="preserve">).  </w:t>
            </w:r>
            <w:r w:rsidRPr="009976A2">
              <w:rPr>
                <w:i/>
                <w:color w:val="000000"/>
                <w:sz w:val="22"/>
                <w:szCs w:val="22"/>
              </w:rPr>
              <w:t>See</w:t>
            </w:r>
            <w:r>
              <w:rPr>
                <w:color w:val="000000"/>
                <w:sz w:val="22"/>
                <w:szCs w:val="22"/>
              </w:rPr>
              <w:t xml:space="preserve"> D.17-05-013 at 115-118 and 225-229 and OP 11.</w:t>
            </w:r>
          </w:p>
          <w:p w14:paraId="7869233A" w14:textId="77777777" w:rsidR="00C671DA" w:rsidRDefault="00C671DA" w:rsidP="00C36D4F">
            <w:pPr>
              <w:spacing w:before="120"/>
              <w:rPr>
                <w:color w:val="000000"/>
              </w:rPr>
            </w:pPr>
            <w:r>
              <w:rPr>
                <w:color w:val="000000"/>
                <w:sz w:val="22"/>
                <w:szCs w:val="22"/>
              </w:rPr>
              <w:t xml:space="preserve">TURN’s efforts in settlement negotiations made no contribution to the Commission’s decision regarding the tax memorandum account adopted in D.17-05-013.  </w:t>
            </w:r>
            <w:proofErr w:type="gramStart"/>
            <w:r>
              <w:rPr>
                <w:color w:val="000000"/>
                <w:sz w:val="22"/>
                <w:szCs w:val="22"/>
              </w:rPr>
              <w:t>Therefore</w:t>
            </w:r>
            <w:proofErr w:type="gramEnd"/>
            <w:r>
              <w:rPr>
                <w:color w:val="000000"/>
                <w:sz w:val="22"/>
                <w:szCs w:val="22"/>
              </w:rPr>
              <w:t xml:space="preserve"> the hours are non-compensable due to lack of significant contribution.</w:t>
            </w:r>
          </w:p>
          <w:p w14:paraId="74796B1E" w14:textId="77777777" w:rsidR="00C671DA" w:rsidRDefault="00C671DA" w:rsidP="00C36D4F">
            <w:pPr>
              <w:spacing w:before="120"/>
              <w:rPr>
                <w:color w:val="000000"/>
              </w:rPr>
            </w:pPr>
          </w:p>
          <w:p w14:paraId="710F5242" w14:textId="77777777" w:rsidR="00C671DA" w:rsidRPr="007F620E" w:rsidRDefault="00C671DA" w:rsidP="00C36D4F">
            <w:pPr>
              <w:spacing w:before="120"/>
              <w:rPr>
                <w:color w:val="000000"/>
              </w:rPr>
            </w:pPr>
          </w:p>
        </w:tc>
      </w:tr>
      <w:tr w:rsidR="00C671DA" w:rsidRPr="007F620E" w14:paraId="22F8CC14" w14:textId="77777777" w:rsidTr="00C36D4F">
        <w:tc>
          <w:tcPr>
            <w:tcW w:w="3258" w:type="dxa"/>
            <w:shd w:val="clear" w:color="auto" w:fill="auto"/>
          </w:tcPr>
          <w:p w14:paraId="1B522683" w14:textId="77777777" w:rsidR="00C671DA" w:rsidRDefault="00C671DA" w:rsidP="00C36D4F">
            <w:pPr>
              <w:spacing w:before="120"/>
              <w:rPr>
                <w:b/>
                <w:color w:val="000000"/>
                <w:sz w:val="22"/>
                <w:szCs w:val="22"/>
                <w:u w:val="single"/>
              </w:rPr>
            </w:pPr>
            <w:r w:rsidRPr="00756174">
              <w:rPr>
                <w:b/>
                <w:color w:val="000000"/>
                <w:sz w:val="22"/>
                <w:szCs w:val="22"/>
                <w:u w:val="single"/>
              </w:rPr>
              <w:lastRenderedPageBreak/>
              <w:t>Principles for Deferred Work</w:t>
            </w:r>
          </w:p>
          <w:p w14:paraId="399C2BE8" w14:textId="77777777" w:rsidR="00C671DA" w:rsidRDefault="00C671DA" w:rsidP="00C36D4F">
            <w:pPr>
              <w:rPr>
                <w:sz w:val="22"/>
                <w:szCs w:val="22"/>
              </w:rPr>
            </w:pPr>
          </w:p>
          <w:p w14:paraId="374D4597" w14:textId="77777777" w:rsidR="00C671DA" w:rsidRPr="004D538E" w:rsidRDefault="00C671DA" w:rsidP="00C36D4F">
            <w:pPr>
              <w:rPr>
                <w:sz w:val="22"/>
                <w:szCs w:val="22"/>
              </w:rPr>
            </w:pPr>
            <w:r w:rsidRPr="004D538E">
              <w:rPr>
                <w:sz w:val="22"/>
                <w:szCs w:val="22"/>
              </w:rPr>
              <w:t xml:space="preserve">TURN raised a broad concern in its testimony with PG&amp;E’s practice of delaying or deferring work based on reprioritization, and then including that work in its forecasts here.  TURN also recommended various capital disallowances for previously funded safety-related work that was not performed by PG&amp;E in the 2014-2016 period, such as work concerning </w:t>
            </w:r>
            <w:proofErr w:type="spellStart"/>
            <w:r w:rsidRPr="004D538E">
              <w:rPr>
                <w:sz w:val="22"/>
                <w:szCs w:val="22"/>
              </w:rPr>
              <w:t>Aldyl</w:t>
            </w:r>
            <w:proofErr w:type="spellEnd"/>
            <w:r w:rsidRPr="004D538E">
              <w:rPr>
                <w:sz w:val="22"/>
                <w:szCs w:val="22"/>
              </w:rPr>
              <w:t xml:space="preserve">-A Mains (MAT 14D), High Pressure Regulators (MWC 2K), Valves (MAT 50E) and Reliability Main Replacement (MAT 50A), on the grounds that deferring such work was contrary to principles set forth in Decisions 11-05-018 and 14-08-032.  </w:t>
            </w:r>
          </w:p>
          <w:p w14:paraId="2A737152" w14:textId="77777777" w:rsidR="00C671DA" w:rsidRPr="004D538E" w:rsidRDefault="00C671DA" w:rsidP="00C36D4F">
            <w:pPr>
              <w:rPr>
                <w:sz w:val="22"/>
                <w:szCs w:val="22"/>
              </w:rPr>
            </w:pPr>
          </w:p>
          <w:p w14:paraId="29CF2ADC" w14:textId="77777777" w:rsidR="00C671DA" w:rsidRPr="004D538E" w:rsidRDefault="00C671DA" w:rsidP="00C36D4F">
            <w:pPr>
              <w:rPr>
                <w:sz w:val="22"/>
                <w:szCs w:val="22"/>
              </w:rPr>
            </w:pPr>
            <w:r w:rsidRPr="004D538E">
              <w:rPr>
                <w:sz w:val="22"/>
                <w:szCs w:val="22"/>
              </w:rPr>
              <w:t>Section 3.2.8.4 of the Settlement Agreement responds to TURN’s concerns about deferred maintenance and reprioritization.  That provision summarizes principles articulated in the Commission’s 2014 GRC decision on deferred work and PG&amp;E’s financial health.  It also requires PG&amp;E, for previously funded safety work that PG&amp;E deferred and for which PG&amp;E seeks future funding, to demonstrate how the funding request is consistent with the identified principles.  This showing must be presented in PG&amp;E’s next GRC and its next Gas Transmission and Storage rate case.</w:t>
            </w:r>
          </w:p>
          <w:p w14:paraId="0BAC0C1F" w14:textId="77777777" w:rsidR="00C671DA" w:rsidRPr="00706D67" w:rsidRDefault="00C671DA" w:rsidP="00C36D4F">
            <w:pPr>
              <w:spacing w:before="120"/>
              <w:rPr>
                <w:color w:val="000000"/>
                <w:sz w:val="22"/>
                <w:szCs w:val="22"/>
              </w:rPr>
            </w:pPr>
          </w:p>
        </w:tc>
        <w:tc>
          <w:tcPr>
            <w:tcW w:w="4140" w:type="dxa"/>
            <w:shd w:val="clear" w:color="auto" w:fill="auto"/>
          </w:tcPr>
          <w:p w14:paraId="6259BEB3" w14:textId="77777777" w:rsidR="00C671DA" w:rsidRDefault="00C671DA" w:rsidP="00C36D4F">
            <w:pPr>
              <w:pStyle w:val="ListParagraph"/>
              <w:numPr>
                <w:ilvl w:val="0"/>
                <w:numId w:val="11"/>
              </w:numPr>
              <w:spacing w:before="120"/>
              <w:rPr>
                <w:color w:val="000000"/>
              </w:rPr>
            </w:pPr>
            <w:r>
              <w:rPr>
                <w:color w:val="000000"/>
              </w:rPr>
              <w:t>Joint Motion, pp. 51-52 (addressing Settlement Agreement, Section 3.2.8.4)</w:t>
            </w:r>
          </w:p>
          <w:p w14:paraId="27F5D722" w14:textId="77777777" w:rsidR="00C671DA" w:rsidRDefault="00C671DA" w:rsidP="00C36D4F">
            <w:pPr>
              <w:pStyle w:val="ListParagraph"/>
              <w:numPr>
                <w:ilvl w:val="0"/>
                <w:numId w:val="11"/>
              </w:numPr>
              <w:spacing w:before="120"/>
              <w:rPr>
                <w:color w:val="000000"/>
              </w:rPr>
            </w:pPr>
            <w:r>
              <w:rPr>
                <w:color w:val="000000"/>
              </w:rPr>
              <w:t>Settlement Agreement, Section 3.2.8.4</w:t>
            </w:r>
          </w:p>
          <w:p w14:paraId="1D4B01BB" w14:textId="77777777" w:rsidR="00C671DA" w:rsidRDefault="00C671DA" w:rsidP="00C36D4F">
            <w:pPr>
              <w:pStyle w:val="ListParagraph"/>
              <w:numPr>
                <w:ilvl w:val="0"/>
                <w:numId w:val="11"/>
              </w:numPr>
              <w:spacing w:before="120"/>
              <w:rPr>
                <w:color w:val="000000"/>
              </w:rPr>
            </w:pPr>
            <w:r>
              <w:rPr>
                <w:color w:val="000000"/>
              </w:rPr>
              <w:t>D.17-05-013, pp. 186-189</w:t>
            </w:r>
          </w:p>
        </w:tc>
        <w:tc>
          <w:tcPr>
            <w:tcW w:w="2340" w:type="dxa"/>
            <w:shd w:val="clear" w:color="auto" w:fill="auto"/>
          </w:tcPr>
          <w:p w14:paraId="618E1642" w14:textId="77777777" w:rsidR="00C671DA" w:rsidRPr="007F620E" w:rsidRDefault="00C671DA" w:rsidP="00C36D4F">
            <w:pPr>
              <w:spacing w:before="120"/>
              <w:rPr>
                <w:color w:val="000000"/>
              </w:rPr>
            </w:pPr>
            <w:r>
              <w:rPr>
                <w:color w:val="000000"/>
              </w:rPr>
              <w:t>Verified</w:t>
            </w:r>
          </w:p>
        </w:tc>
      </w:tr>
      <w:tr w:rsidR="00C671DA" w:rsidRPr="007F620E" w14:paraId="76921BEC" w14:textId="77777777" w:rsidTr="00C36D4F">
        <w:tc>
          <w:tcPr>
            <w:tcW w:w="3258" w:type="dxa"/>
            <w:shd w:val="clear" w:color="auto" w:fill="auto"/>
          </w:tcPr>
          <w:p w14:paraId="3DB9D689" w14:textId="77777777" w:rsidR="00C671DA" w:rsidRPr="008E048E" w:rsidRDefault="00C671DA" w:rsidP="00C36D4F">
            <w:pPr>
              <w:spacing w:before="120"/>
              <w:rPr>
                <w:b/>
                <w:color w:val="000000"/>
                <w:sz w:val="22"/>
                <w:szCs w:val="22"/>
                <w:u w:val="single"/>
              </w:rPr>
            </w:pPr>
            <w:r w:rsidRPr="008E048E">
              <w:rPr>
                <w:b/>
                <w:color w:val="000000"/>
                <w:sz w:val="22"/>
                <w:szCs w:val="22"/>
                <w:u w:val="single"/>
              </w:rPr>
              <w:t>Risk Management &amp; Integrated Planning</w:t>
            </w:r>
          </w:p>
          <w:p w14:paraId="1D68133F" w14:textId="77777777" w:rsidR="00C671DA" w:rsidRPr="008E048E" w:rsidRDefault="00C671DA" w:rsidP="00C36D4F">
            <w:pPr>
              <w:rPr>
                <w:sz w:val="22"/>
                <w:szCs w:val="22"/>
              </w:rPr>
            </w:pPr>
          </w:p>
          <w:p w14:paraId="3CB72AAF" w14:textId="77777777" w:rsidR="00C671DA" w:rsidRPr="008E048E" w:rsidRDefault="00C671DA" w:rsidP="00C36D4F">
            <w:pPr>
              <w:rPr>
                <w:sz w:val="22"/>
                <w:szCs w:val="22"/>
              </w:rPr>
            </w:pPr>
            <w:r w:rsidRPr="008E048E">
              <w:rPr>
                <w:sz w:val="22"/>
                <w:szCs w:val="22"/>
              </w:rPr>
              <w:lastRenderedPageBreak/>
              <w:t>In Ex. TURN-1, TURN described PG&amp;E’s risk management and integrated planning process as “opaque” and recommended various improvements, including an explicit prioritization of PG&amp;E’s proposed programs and projects.</w:t>
            </w:r>
          </w:p>
          <w:p w14:paraId="59ED4A66" w14:textId="77777777" w:rsidR="00C671DA" w:rsidRPr="008E048E" w:rsidRDefault="00C671DA" w:rsidP="00C36D4F">
            <w:pPr>
              <w:rPr>
                <w:sz w:val="22"/>
                <w:szCs w:val="22"/>
              </w:rPr>
            </w:pPr>
          </w:p>
          <w:p w14:paraId="7F4C0830" w14:textId="77777777" w:rsidR="00C671DA" w:rsidRPr="008E048E" w:rsidRDefault="00C671DA" w:rsidP="00C36D4F">
            <w:pPr>
              <w:rPr>
                <w:sz w:val="22"/>
                <w:szCs w:val="22"/>
              </w:rPr>
            </w:pPr>
            <w:r w:rsidRPr="008E048E">
              <w:rPr>
                <w:sz w:val="22"/>
                <w:szCs w:val="22"/>
              </w:rPr>
              <w:t xml:space="preserve">Section 3.2.8.8 of the Settlement Agreement requires that PG&amp;E categorize its proposed risk mitigation programs and projects as either mandatory or discretionary.  For the discretionary items, PG&amp;E will be required to rank the items within a line of business by quintile (i.e., the programs and projects would need to be prioritized as within the top 20%, next 20%, etc.) or by a numeric ranking if such data is reasonably available.  For work categorized as mandatory, PG&amp;E will need to include information explaining why PG&amp;E views the work as mandatory </w:t>
            </w:r>
            <w:proofErr w:type="gramStart"/>
            <w:r w:rsidRPr="008E048E">
              <w:rPr>
                <w:sz w:val="22"/>
                <w:szCs w:val="22"/>
              </w:rPr>
              <w:t>and also</w:t>
            </w:r>
            <w:proofErr w:type="gramEnd"/>
            <w:r w:rsidRPr="008E048E">
              <w:rPr>
                <w:sz w:val="22"/>
                <w:szCs w:val="22"/>
              </w:rPr>
              <w:t xml:space="preserve"> whether the work is a “best practice”.</w:t>
            </w:r>
          </w:p>
          <w:p w14:paraId="22E3112D" w14:textId="77777777" w:rsidR="00C671DA" w:rsidRPr="008E048E" w:rsidRDefault="00C671DA" w:rsidP="00C36D4F">
            <w:pPr>
              <w:spacing w:before="120"/>
              <w:rPr>
                <w:b/>
                <w:color w:val="000000"/>
                <w:sz w:val="22"/>
                <w:szCs w:val="22"/>
              </w:rPr>
            </w:pPr>
          </w:p>
        </w:tc>
        <w:tc>
          <w:tcPr>
            <w:tcW w:w="4140" w:type="dxa"/>
            <w:shd w:val="clear" w:color="auto" w:fill="auto"/>
          </w:tcPr>
          <w:p w14:paraId="7C16A903" w14:textId="77777777" w:rsidR="00C671DA" w:rsidRDefault="00C671DA" w:rsidP="00C36D4F">
            <w:pPr>
              <w:pStyle w:val="ListParagraph"/>
              <w:numPr>
                <w:ilvl w:val="0"/>
                <w:numId w:val="11"/>
              </w:numPr>
              <w:spacing w:before="120"/>
              <w:rPr>
                <w:color w:val="000000"/>
              </w:rPr>
            </w:pPr>
            <w:r>
              <w:rPr>
                <w:color w:val="000000"/>
              </w:rPr>
              <w:lastRenderedPageBreak/>
              <w:t>Joint Motion, p. 53 (addressing Settlement Agreement, Section 3.2.8.8)</w:t>
            </w:r>
          </w:p>
          <w:p w14:paraId="0C5EC4BD" w14:textId="77777777" w:rsidR="00C671DA" w:rsidRDefault="00C671DA" w:rsidP="00C36D4F">
            <w:pPr>
              <w:pStyle w:val="ListParagraph"/>
              <w:numPr>
                <w:ilvl w:val="0"/>
                <w:numId w:val="11"/>
              </w:numPr>
              <w:spacing w:before="120"/>
              <w:rPr>
                <w:color w:val="000000"/>
              </w:rPr>
            </w:pPr>
            <w:r>
              <w:rPr>
                <w:color w:val="000000"/>
              </w:rPr>
              <w:lastRenderedPageBreak/>
              <w:t>Settlement Agreement, Section 3.2.8.8</w:t>
            </w:r>
          </w:p>
          <w:p w14:paraId="2AAE48D3" w14:textId="77777777" w:rsidR="00C671DA" w:rsidRPr="00D23253" w:rsidRDefault="00C671DA" w:rsidP="00C36D4F">
            <w:pPr>
              <w:spacing w:before="120"/>
              <w:rPr>
                <w:color w:val="000000"/>
              </w:rPr>
            </w:pPr>
          </w:p>
        </w:tc>
        <w:tc>
          <w:tcPr>
            <w:tcW w:w="2340" w:type="dxa"/>
            <w:shd w:val="clear" w:color="auto" w:fill="auto"/>
          </w:tcPr>
          <w:p w14:paraId="7B2C8909" w14:textId="77777777" w:rsidR="00C671DA" w:rsidRPr="007F620E" w:rsidRDefault="00C671DA" w:rsidP="00C36D4F">
            <w:pPr>
              <w:spacing w:before="120"/>
              <w:rPr>
                <w:color w:val="000000"/>
              </w:rPr>
            </w:pPr>
            <w:r>
              <w:rPr>
                <w:color w:val="000000"/>
              </w:rPr>
              <w:lastRenderedPageBreak/>
              <w:t>Verified</w:t>
            </w:r>
          </w:p>
        </w:tc>
      </w:tr>
      <w:tr w:rsidR="00C671DA" w:rsidRPr="007F620E" w14:paraId="34B87E89" w14:textId="77777777" w:rsidTr="00C36D4F">
        <w:tc>
          <w:tcPr>
            <w:tcW w:w="3258" w:type="dxa"/>
            <w:shd w:val="clear" w:color="auto" w:fill="auto"/>
          </w:tcPr>
          <w:p w14:paraId="5E461E19" w14:textId="77777777" w:rsidR="00C671DA" w:rsidRPr="008E048E" w:rsidRDefault="00C671DA" w:rsidP="00C36D4F">
            <w:pPr>
              <w:spacing w:before="120"/>
              <w:rPr>
                <w:b/>
                <w:color w:val="000000"/>
                <w:sz w:val="22"/>
                <w:szCs w:val="22"/>
                <w:u w:val="single"/>
              </w:rPr>
            </w:pPr>
            <w:r w:rsidRPr="008E048E">
              <w:rPr>
                <w:b/>
                <w:color w:val="000000"/>
                <w:sz w:val="22"/>
                <w:szCs w:val="22"/>
                <w:u w:val="single"/>
              </w:rPr>
              <w:t>Showing Related to Affordability in Next GRC</w:t>
            </w:r>
          </w:p>
          <w:p w14:paraId="42FD9E8A" w14:textId="77777777" w:rsidR="00C671DA" w:rsidRPr="008E048E" w:rsidRDefault="00C671DA" w:rsidP="00C36D4F">
            <w:pPr>
              <w:rPr>
                <w:sz w:val="22"/>
                <w:szCs w:val="22"/>
              </w:rPr>
            </w:pPr>
          </w:p>
          <w:p w14:paraId="16B7FED5" w14:textId="77777777" w:rsidR="00C671DA" w:rsidRPr="008E048E" w:rsidRDefault="00C671DA" w:rsidP="00C36D4F">
            <w:pPr>
              <w:rPr>
                <w:sz w:val="22"/>
                <w:szCs w:val="22"/>
              </w:rPr>
            </w:pPr>
            <w:r w:rsidRPr="008E048E">
              <w:rPr>
                <w:sz w:val="22"/>
                <w:szCs w:val="22"/>
              </w:rPr>
              <w:t>TURN witness Roger Colton demonstrated in Ex. TURN-13 that the affordability of PG&amp;E’s rates, and the ability of its residential customers to absorb proposed rate increases, cannot be judged by comparing PG&amp;E’s rates or average bills to the national average.  This method is insufficient because the cost-of-living in California is substantially higher than elsewhere in the country and varies significantly across the counties in PG&amp;E’s service territory.  Due to the high cost-of-</w:t>
            </w:r>
            <w:r w:rsidRPr="008E048E">
              <w:rPr>
                <w:sz w:val="22"/>
                <w:szCs w:val="22"/>
              </w:rPr>
              <w:lastRenderedPageBreak/>
              <w:t xml:space="preserve">living here, even </w:t>
            </w:r>
            <w:proofErr w:type="gramStart"/>
            <w:r w:rsidRPr="008E048E">
              <w:rPr>
                <w:sz w:val="22"/>
                <w:szCs w:val="22"/>
              </w:rPr>
              <w:t>moderate income</w:t>
            </w:r>
            <w:proofErr w:type="gramEnd"/>
            <w:r w:rsidRPr="008E048E">
              <w:rPr>
                <w:sz w:val="22"/>
                <w:szCs w:val="22"/>
              </w:rPr>
              <w:t xml:space="preserve"> customers in PG&amp;E’s service territory have insufficient incomes to meet the cost-of-living in their respective communities as measured by the Self-Sufficiency Income.  For these reasons, any meaningful consideration of economic circumstances, and how those circumstances inform the affordability of proposed rate increases, must consider county-level cost of living data, in addition to service territory-wide data.  </w:t>
            </w:r>
          </w:p>
          <w:p w14:paraId="2BB7FE08" w14:textId="77777777" w:rsidR="00C671DA" w:rsidRPr="008E048E" w:rsidRDefault="00C671DA" w:rsidP="00C36D4F">
            <w:pPr>
              <w:rPr>
                <w:sz w:val="22"/>
                <w:szCs w:val="22"/>
              </w:rPr>
            </w:pPr>
          </w:p>
          <w:p w14:paraId="4C994BC7" w14:textId="77777777" w:rsidR="00C671DA" w:rsidRPr="008E048E" w:rsidRDefault="00C671DA" w:rsidP="00C36D4F">
            <w:pPr>
              <w:rPr>
                <w:sz w:val="22"/>
                <w:szCs w:val="22"/>
              </w:rPr>
            </w:pPr>
            <w:r w:rsidRPr="008E048E">
              <w:rPr>
                <w:sz w:val="22"/>
                <w:szCs w:val="22"/>
              </w:rPr>
              <w:t xml:space="preserve">Section 3.2.4.10 of the Settlement Agreement requires PG&amp;E to provide certain information as part of its showing in its next GRC that will assist the Commission and parties in analyzing the affordability of PG&amp;E’s rate request.  Such information includes, but is not limited to, cost of living data for each county in PG&amp;E’s service territory, as compared to the national average, for at least the five most recent years with available cost of living data. </w:t>
            </w:r>
          </w:p>
          <w:p w14:paraId="2FFCE716" w14:textId="77777777" w:rsidR="00C671DA" w:rsidRPr="008E048E" w:rsidRDefault="00C671DA" w:rsidP="00C36D4F">
            <w:pPr>
              <w:rPr>
                <w:sz w:val="22"/>
                <w:szCs w:val="22"/>
              </w:rPr>
            </w:pPr>
            <w:r w:rsidRPr="008E048E">
              <w:rPr>
                <w:sz w:val="22"/>
                <w:szCs w:val="22"/>
              </w:rPr>
              <w:t>Hence, the information to be provided by PG&amp;E in its next GRC will facilitate the kind of analysis conducted by Mr. Colton for TURN in this proceeding, to the benefit of the Commission and PG&amp;E’s ratepayers.</w:t>
            </w:r>
          </w:p>
          <w:p w14:paraId="143A1003" w14:textId="77777777" w:rsidR="00C671DA" w:rsidRPr="008E048E" w:rsidRDefault="00C671DA" w:rsidP="00C36D4F">
            <w:pPr>
              <w:spacing w:before="120"/>
              <w:rPr>
                <w:b/>
                <w:color w:val="000000"/>
                <w:sz w:val="22"/>
                <w:szCs w:val="22"/>
              </w:rPr>
            </w:pPr>
          </w:p>
        </w:tc>
        <w:tc>
          <w:tcPr>
            <w:tcW w:w="4140" w:type="dxa"/>
            <w:shd w:val="clear" w:color="auto" w:fill="auto"/>
          </w:tcPr>
          <w:p w14:paraId="1284EE7A" w14:textId="77777777" w:rsidR="00C671DA" w:rsidRDefault="00C671DA" w:rsidP="00C36D4F">
            <w:pPr>
              <w:pStyle w:val="ListParagraph"/>
              <w:numPr>
                <w:ilvl w:val="0"/>
                <w:numId w:val="11"/>
              </w:numPr>
              <w:spacing w:before="120"/>
              <w:rPr>
                <w:color w:val="000000"/>
              </w:rPr>
            </w:pPr>
            <w:r>
              <w:rPr>
                <w:color w:val="000000"/>
              </w:rPr>
              <w:lastRenderedPageBreak/>
              <w:t>Ex. TURN-13 (Testimony of Roger Colton)</w:t>
            </w:r>
          </w:p>
          <w:p w14:paraId="10BD7851" w14:textId="77777777" w:rsidR="00C671DA" w:rsidRDefault="00C671DA" w:rsidP="00C36D4F">
            <w:pPr>
              <w:pStyle w:val="ListParagraph"/>
              <w:numPr>
                <w:ilvl w:val="0"/>
                <w:numId w:val="11"/>
              </w:numPr>
              <w:spacing w:before="120"/>
              <w:rPr>
                <w:color w:val="000000"/>
              </w:rPr>
            </w:pPr>
            <w:r>
              <w:rPr>
                <w:color w:val="000000"/>
              </w:rPr>
              <w:t>Settlement Agreement, Section 3.2.4.10 (“Economic Circumstances”)</w:t>
            </w:r>
          </w:p>
        </w:tc>
        <w:tc>
          <w:tcPr>
            <w:tcW w:w="2340" w:type="dxa"/>
            <w:shd w:val="clear" w:color="auto" w:fill="auto"/>
          </w:tcPr>
          <w:p w14:paraId="4FBD8587" w14:textId="77777777" w:rsidR="00C671DA" w:rsidRPr="007F620E" w:rsidRDefault="00C671DA" w:rsidP="00C36D4F">
            <w:pPr>
              <w:spacing w:before="120"/>
              <w:rPr>
                <w:color w:val="000000"/>
              </w:rPr>
            </w:pPr>
            <w:r>
              <w:rPr>
                <w:color w:val="000000"/>
              </w:rPr>
              <w:t>Verified</w:t>
            </w:r>
          </w:p>
        </w:tc>
      </w:tr>
      <w:tr w:rsidR="00C671DA" w:rsidRPr="007F620E" w14:paraId="2F3AF6AD" w14:textId="77777777" w:rsidTr="00C36D4F">
        <w:tc>
          <w:tcPr>
            <w:tcW w:w="3258" w:type="dxa"/>
            <w:shd w:val="clear" w:color="auto" w:fill="auto"/>
          </w:tcPr>
          <w:p w14:paraId="24DB163A" w14:textId="77777777" w:rsidR="00C671DA" w:rsidRPr="0042672B" w:rsidRDefault="00C671DA" w:rsidP="00C36D4F">
            <w:pPr>
              <w:spacing w:before="120"/>
              <w:rPr>
                <w:b/>
                <w:color w:val="000000"/>
                <w:sz w:val="22"/>
                <w:szCs w:val="22"/>
                <w:u w:val="single"/>
              </w:rPr>
            </w:pPr>
            <w:r w:rsidRPr="0042672B">
              <w:rPr>
                <w:b/>
                <w:color w:val="000000"/>
                <w:sz w:val="22"/>
                <w:szCs w:val="22"/>
                <w:u w:val="single"/>
              </w:rPr>
              <w:t>Contested Issues</w:t>
            </w:r>
          </w:p>
          <w:p w14:paraId="03F07B5A" w14:textId="77777777" w:rsidR="00C671DA" w:rsidRPr="0042672B" w:rsidRDefault="00C671DA" w:rsidP="00C36D4F">
            <w:pPr>
              <w:spacing w:before="120"/>
              <w:rPr>
                <w:color w:val="000000"/>
                <w:sz w:val="22"/>
                <w:szCs w:val="22"/>
              </w:rPr>
            </w:pPr>
            <w:r w:rsidRPr="0042672B">
              <w:rPr>
                <w:color w:val="000000"/>
                <w:sz w:val="22"/>
                <w:szCs w:val="22"/>
              </w:rPr>
              <w:t xml:space="preserve">The settlement agreement identified two contested issues: (1) whether to add a third post-test year to PG&amp;E’s 2017 GRC cycle, and (2) whether PG&amp;E should be authorized to establish a new balancing account to record costs to comply with gas leak </w:t>
            </w:r>
            <w:r w:rsidRPr="0042672B">
              <w:rPr>
                <w:color w:val="000000"/>
                <w:sz w:val="22"/>
                <w:szCs w:val="22"/>
              </w:rPr>
              <w:lastRenderedPageBreak/>
              <w:t xml:space="preserve">management requirements that may emerge from R.15-01-008.  </w:t>
            </w:r>
          </w:p>
          <w:p w14:paraId="3BB8DBBA" w14:textId="77777777" w:rsidR="00C671DA" w:rsidRPr="00EB25F8" w:rsidRDefault="00C671DA" w:rsidP="00C36D4F">
            <w:pPr>
              <w:spacing w:before="120"/>
              <w:rPr>
                <w:i/>
                <w:color w:val="000000"/>
                <w:sz w:val="22"/>
                <w:szCs w:val="22"/>
              </w:rPr>
            </w:pPr>
            <w:r w:rsidRPr="00EB25F8">
              <w:rPr>
                <w:i/>
                <w:color w:val="000000"/>
                <w:sz w:val="22"/>
                <w:szCs w:val="22"/>
              </w:rPr>
              <w:t>Third Post-Test Year</w:t>
            </w:r>
          </w:p>
          <w:p w14:paraId="3DD2329B" w14:textId="77777777" w:rsidR="00C671DA" w:rsidRDefault="00C671DA" w:rsidP="00C36D4F">
            <w:pPr>
              <w:spacing w:before="120"/>
              <w:rPr>
                <w:color w:val="000000"/>
                <w:sz w:val="22"/>
                <w:szCs w:val="22"/>
              </w:rPr>
            </w:pPr>
            <w:r w:rsidRPr="00F613D6">
              <w:rPr>
                <w:color w:val="000000"/>
                <w:sz w:val="22"/>
                <w:szCs w:val="22"/>
              </w:rPr>
              <w:t xml:space="preserve">TURN opposed the proposal of PG&amp;E and ORA to </w:t>
            </w:r>
            <w:r>
              <w:rPr>
                <w:color w:val="000000"/>
                <w:sz w:val="22"/>
                <w:szCs w:val="22"/>
              </w:rPr>
              <w:t xml:space="preserve">add a third post-test year to PG&amp;E’s 2017 GRC cycle.  TURN argued that the Commission twice recently rejected appeals for a third post-test year; the record contains no evidence in support of a third post-test year; and extending this GRC to 2020 would delay PG&amp;E’s first RAMP filing by a year.  Other parties also opposed a third post-test year, including CAUSE, A4NR, and CFC.  Later, TURN opposed the recommendation of ORA and PG&amp;E that the PD (which proposed to reject the third post-test year as premature) be modified to find the 2019 attrition adjustment reasonable for 2020 if the Commission adopts a four-year GRC cycle prior to PG&amp;E’s next GRC filing. </w:t>
            </w:r>
          </w:p>
          <w:p w14:paraId="43EC3B73" w14:textId="77777777" w:rsidR="00C671DA" w:rsidRDefault="00C671DA" w:rsidP="00C36D4F">
            <w:pPr>
              <w:spacing w:before="120"/>
              <w:rPr>
                <w:color w:val="000000"/>
                <w:sz w:val="22"/>
                <w:szCs w:val="22"/>
              </w:rPr>
            </w:pPr>
            <w:r>
              <w:rPr>
                <w:color w:val="000000"/>
                <w:sz w:val="22"/>
                <w:szCs w:val="22"/>
              </w:rPr>
              <w:t xml:space="preserve">In D.17-05-013, the Commission declined to change the term of this GRC from three years to four years.  The Commission pointed to D.16-06-005, issued in R.13-11-006, in which it determined that changing the GRC cycle was premature because of the status of the first S-MAP applications and RAMP, and noted that the first RAMP is only just beginning.  It also noted the forthcoming report from Energy Division in R.13-11-006, which will address the merits of moving toward a longer GRC cycle, to be followed by Commission decision.  The Commission concluded that it should not prejudge the outcome of that process here.  The Commission also agreed with TURN (and A4NR) that it was </w:t>
            </w:r>
            <w:r>
              <w:rPr>
                <w:color w:val="000000"/>
                <w:sz w:val="22"/>
                <w:szCs w:val="22"/>
              </w:rPr>
              <w:lastRenderedPageBreak/>
              <w:t>unnecessary and inappropriate to address the revenue requirement for 2020 in this proceeding.</w:t>
            </w:r>
          </w:p>
          <w:p w14:paraId="58B18E22" w14:textId="77777777" w:rsidR="00C671DA" w:rsidRDefault="00C671DA" w:rsidP="00C36D4F">
            <w:pPr>
              <w:spacing w:before="120"/>
              <w:rPr>
                <w:color w:val="000000"/>
                <w:sz w:val="22"/>
                <w:szCs w:val="22"/>
              </w:rPr>
            </w:pPr>
            <w:r>
              <w:rPr>
                <w:i/>
                <w:color w:val="000000"/>
                <w:sz w:val="22"/>
                <w:szCs w:val="22"/>
              </w:rPr>
              <w:t>Gas Leak Management Balancing Account</w:t>
            </w:r>
          </w:p>
          <w:p w14:paraId="2EA682A6" w14:textId="77777777" w:rsidR="00C671DA" w:rsidRDefault="00C671DA" w:rsidP="00C36D4F">
            <w:pPr>
              <w:spacing w:before="120"/>
              <w:rPr>
                <w:sz w:val="22"/>
                <w:szCs w:val="22"/>
              </w:rPr>
            </w:pPr>
            <w:r>
              <w:rPr>
                <w:color w:val="000000"/>
                <w:sz w:val="22"/>
                <w:szCs w:val="22"/>
              </w:rPr>
              <w:t xml:space="preserve">TURN opposed the proposal of PG&amp;E, EDF, and CUE to establish a balancing account to record costs to comply with gas leak management requirements that may emerge from R.15-01-008.  TURN argued that it would be </w:t>
            </w:r>
            <w:r w:rsidRPr="003C56BA">
              <w:rPr>
                <w:sz w:val="22"/>
                <w:szCs w:val="22"/>
              </w:rPr>
              <w:t>inappropriate and unnecessary to establish a balancing account, or indeed any</w:t>
            </w:r>
            <w:r>
              <w:rPr>
                <w:sz w:val="22"/>
                <w:szCs w:val="22"/>
              </w:rPr>
              <w:t xml:space="preserve"> </w:t>
            </w:r>
            <w:r w:rsidRPr="003C56BA">
              <w:rPr>
                <w:sz w:val="22"/>
                <w:szCs w:val="22"/>
              </w:rPr>
              <w:t>type of ratemaking account, in this proceeding to track costs that are not the subject of</w:t>
            </w:r>
            <w:r>
              <w:rPr>
                <w:sz w:val="22"/>
                <w:szCs w:val="22"/>
              </w:rPr>
              <w:t xml:space="preserve"> </w:t>
            </w:r>
            <w:r w:rsidRPr="003C56BA">
              <w:rPr>
                <w:sz w:val="22"/>
                <w:szCs w:val="22"/>
              </w:rPr>
              <w:t xml:space="preserve">this </w:t>
            </w:r>
            <w:proofErr w:type="gramStart"/>
            <w:r w:rsidRPr="003C56BA">
              <w:rPr>
                <w:sz w:val="22"/>
                <w:szCs w:val="22"/>
              </w:rPr>
              <w:t>GRC, and</w:t>
            </w:r>
            <w:proofErr w:type="gramEnd"/>
            <w:r w:rsidRPr="003C56BA">
              <w:rPr>
                <w:sz w:val="22"/>
                <w:szCs w:val="22"/>
              </w:rPr>
              <w:t xml:space="preserve"> are yet to be identified and authorized in Rulemaking 15-01-008. </w:t>
            </w:r>
            <w:r>
              <w:rPr>
                <w:sz w:val="22"/>
                <w:szCs w:val="22"/>
              </w:rPr>
              <w:t xml:space="preserve"> TURN suggested that </w:t>
            </w:r>
            <w:r w:rsidRPr="003C56BA">
              <w:rPr>
                <w:sz w:val="22"/>
                <w:szCs w:val="22"/>
              </w:rPr>
              <w:t xml:space="preserve">the proper costs </w:t>
            </w:r>
            <w:r>
              <w:rPr>
                <w:sz w:val="22"/>
                <w:szCs w:val="22"/>
              </w:rPr>
              <w:t xml:space="preserve">and </w:t>
            </w:r>
            <w:r w:rsidRPr="003C56BA">
              <w:rPr>
                <w:sz w:val="22"/>
                <w:szCs w:val="22"/>
              </w:rPr>
              <w:t>any necessary cost</w:t>
            </w:r>
            <w:r>
              <w:rPr>
                <w:sz w:val="22"/>
                <w:szCs w:val="22"/>
              </w:rPr>
              <w:t xml:space="preserve"> </w:t>
            </w:r>
            <w:r w:rsidRPr="003C56BA">
              <w:rPr>
                <w:sz w:val="22"/>
                <w:szCs w:val="22"/>
              </w:rPr>
              <w:t>recovery mechanism – whether a balancing account, a memorandum account, or some</w:t>
            </w:r>
            <w:r>
              <w:rPr>
                <w:sz w:val="22"/>
                <w:szCs w:val="22"/>
              </w:rPr>
              <w:t xml:space="preserve"> </w:t>
            </w:r>
            <w:r w:rsidRPr="003C56BA">
              <w:rPr>
                <w:sz w:val="22"/>
                <w:szCs w:val="22"/>
              </w:rPr>
              <w:t xml:space="preserve">other mechanism – </w:t>
            </w:r>
            <w:r>
              <w:rPr>
                <w:sz w:val="22"/>
                <w:szCs w:val="22"/>
              </w:rPr>
              <w:t xml:space="preserve">should be addressed </w:t>
            </w:r>
            <w:r w:rsidRPr="003C56BA">
              <w:rPr>
                <w:sz w:val="22"/>
                <w:szCs w:val="22"/>
              </w:rPr>
              <w:t>in R.15-01-008, the proceeding that is addressing the underlying work</w:t>
            </w:r>
            <w:r>
              <w:rPr>
                <w:sz w:val="22"/>
                <w:szCs w:val="22"/>
              </w:rPr>
              <w:t xml:space="preserve"> </w:t>
            </w:r>
            <w:r w:rsidRPr="003C56BA">
              <w:rPr>
                <w:sz w:val="22"/>
                <w:szCs w:val="22"/>
              </w:rPr>
              <w:t xml:space="preserve">to be done. </w:t>
            </w:r>
            <w:r>
              <w:rPr>
                <w:sz w:val="22"/>
                <w:szCs w:val="22"/>
              </w:rPr>
              <w:t xml:space="preserve"> CAUSE and CFC also opposed this proposal.</w:t>
            </w:r>
          </w:p>
          <w:p w14:paraId="44EEDB0B" w14:textId="77777777" w:rsidR="00C671DA" w:rsidRDefault="00C671DA" w:rsidP="00C36D4F">
            <w:pPr>
              <w:spacing w:before="120"/>
              <w:rPr>
                <w:sz w:val="22"/>
                <w:szCs w:val="22"/>
              </w:rPr>
            </w:pPr>
          </w:p>
          <w:p w14:paraId="1A560C71" w14:textId="77777777" w:rsidR="00C671DA" w:rsidRPr="009037AD" w:rsidRDefault="00C671DA" w:rsidP="00C36D4F">
            <w:pPr>
              <w:rPr>
                <w:rFonts w:ascii="Times" w:hAnsi="Times"/>
                <w:sz w:val="20"/>
                <w:szCs w:val="20"/>
              </w:rPr>
            </w:pPr>
            <w:r>
              <w:rPr>
                <w:sz w:val="22"/>
                <w:szCs w:val="22"/>
              </w:rPr>
              <w:t xml:space="preserve">In D.17-05-013, </w:t>
            </w:r>
            <w:r w:rsidRPr="009037AD">
              <w:rPr>
                <w:sz w:val="22"/>
                <w:szCs w:val="22"/>
              </w:rPr>
              <w:t>the Commission agreed with TURN that this proceeding is the wrong forum to determine cost recovery for these costs. The Commission explained, “We conclude that we should not decide this question in this GRC decision because it is now actively pending in R.15-01-008. The proposal to adopt the new balancing account is denied without prejudice.”</w:t>
            </w:r>
          </w:p>
          <w:p w14:paraId="7227FD8D" w14:textId="77777777" w:rsidR="00C671DA" w:rsidRPr="0067505F" w:rsidRDefault="00C671DA" w:rsidP="00C36D4F">
            <w:pPr>
              <w:spacing w:before="120"/>
              <w:rPr>
                <w:b/>
                <w:color w:val="000000"/>
                <w:sz w:val="22"/>
                <w:szCs w:val="22"/>
              </w:rPr>
            </w:pPr>
          </w:p>
        </w:tc>
        <w:tc>
          <w:tcPr>
            <w:tcW w:w="4140" w:type="dxa"/>
            <w:shd w:val="clear" w:color="auto" w:fill="auto"/>
          </w:tcPr>
          <w:p w14:paraId="0336F466" w14:textId="77777777" w:rsidR="00C671DA" w:rsidRDefault="00C671DA" w:rsidP="00C36D4F">
            <w:pPr>
              <w:spacing w:before="120"/>
              <w:rPr>
                <w:color w:val="000000"/>
              </w:rPr>
            </w:pPr>
          </w:p>
          <w:p w14:paraId="6E4AAF5D" w14:textId="77777777" w:rsidR="00C671DA" w:rsidRPr="00EB25F8" w:rsidRDefault="00C671DA" w:rsidP="00C36D4F">
            <w:pPr>
              <w:spacing w:before="120"/>
              <w:rPr>
                <w:i/>
                <w:color w:val="000000"/>
                <w:sz w:val="22"/>
                <w:szCs w:val="22"/>
              </w:rPr>
            </w:pPr>
            <w:r w:rsidRPr="00EB25F8">
              <w:rPr>
                <w:i/>
                <w:color w:val="000000"/>
                <w:sz w:val="22"/>
                <w:szCs w:val="22"/>
              </w:rPr>
              <w:t>Third Post-Test Year</w:t>
            </w:r>
          </w:p>
          <w:p w14:paraId="42367979" w14:textId="77777777" w:rsidR="00C671DA" w:rsidRDefault="00C671DA" w:rsidP="00C36D4F">
            <w:pPr>
              <w:pStyle w:val="ListParagraph"/>
              <w:numPr>
                <w:ilvl w:val="0"/>
                <w:numId w:val="11"/>
              </w:numPr>
              <w:spacing w:before="120"/>
              <w:rPr>
                <w:color w:val="000000"/>
              </w:rPr>
            </w:pPr>
            <w:r>
              <w:rPr>
                <w:color w:val="000000"/>
              </w:rPr>
              <w:t>D.17-05-013, pp. 197-198, pp. 229-230</w:t>
            </w:r>
          </w:p>
          <w:p w14:paraId="3EDEFD16" w14:textId="77777777" w:rsidR="00C671DA" w:rsidRDefault="00C671DA" w:rsidP="00C36D4F">
            <w:pPr>
              <w:pStyle w:val="ListParagraph"/>
              <w:numPr>
                <w:ilvl w:val="0"/>
                <w:numId w:val="11"/>
              </w:numPr>
              <w:spacing w:before="120"/>
              <w:rPr>
                <w:color w:val="000000"/>
              </w:rPr>
            </w:pPr>
            <w:r>
              <w:rPr>
                <w:color w:val="000000"/>
              </w:rPr>
              <w:t>Joint Motion, p. 55</w:t>
            </w:r>
          </w:p>
          <w:p w14:paraId="0B9FFE93" w14:textId="77777777" w:rsidR="00C671DA" w:rsidRDefault="00C671DA" w:rsidP="00C36D4F">
            <w:pPr>
              <w:pStyle w:val="ListParagraph"/>
              <w:numPr>
                <w:ilvl w:val="0"/>
                <w:numId w:val="11"/>
              </w:numPr>
              <w:spacing w:before="120"/>
              <w:rPr>
                <w:color w:val="000000"/>
              </w:rPr>
            </w:pPr>
            <w:r>
              <w:rPr>
                <w:color w:val="000000"/>
              </w:rPr>
              <w:t>Settlement Agreement, Section 4.1</w:t>
            </w:r>
          </w:p>
          <w:p w14:paraId="13F60F1E" w14:textId="77777777" w:rsidR="00C671DA" w:rsidRDefault="00C671DA" w:rsidP="00C36D4F">
            <w:pPr>
              <w:pStyle w:val="ListParagraph"/>
              <w:numPr>
                <w:ilvl w:val="0"/>
                <w:numId w:val="11"/>
              </w:numPr>
              <w:spacing w:before="120"/>
              <w:rPr>
                <w:color w:val="000000"/>
              </w:rPr>
            </w:pPr>
            <w:r>
              <w:rPr>
                <w:color w:val="000000"/>
              </w:rPr>
              <w:lastRenderedPageBreak/>
              <w:t>TURN/CAUSE Comments on Contested Issues, filed Aug. 18, 2016, pp. 2-10</w:t>
            </w:r>
          </w:p>
          <w:p w14:paraId="61AEB0D6" w14:textId="77777777" w:rsidR="00C671DA" w:rsidRDefault="00C671DA" w:rsidP="00C36D4F">
            <w:pPr>
              <w:pStyle w:val="ListParagraph"/>
              <w:numPr>
                <w:ilvl w:val="0"/>
                <w:numId w:val="11"/>
              </w:numPr>
              <w:spacing w:before="120"/>
              <w:rPr>
                <w:color w:val="000000"/>
              </w:rPr>
            </w:pPr>
            <w:r w:rsidRPr="00AD09FE">
              <w:rPr>
                <w:color w:val="000000"/>
              </w:rPr>
              <w:t xml:space="preserve">TURN Reply Comments on Contested Issues, filed Aug. 25, 2016, pp. </w:t>
            </w:r>
            <w:r>
              <w:rPr>
                <w:color w:val="000000"/>
              </w:rPr>
              <w:t>3-11</w:t>
            </w:r>
          </w:p>
          <w:p w14:paraId="05C2F1C4" w14:textId="77777777" w:rsidR="00C671DA" w:rsidRPr="0070152B" w:rsidRDefault="00C671DA" w:rsidP="00C36D4F">
            <w:pPr>
              <w:pStyle w:val="ListParagraph"/>
              <w:numPr>
                <w:ilvl w:val="0"/>
                <w:numId w:val="11"/>
              </w:numPr>
              <w:spacing w:before="120"/>
              <w:rPr>
                <w:color w:val="000000"/>
              </w:rPr>
            </w:pPr>
            <w:r>
              <w:rPr>
                <w:color w:val="000000"/>
              </w:rPr>
              <w:t>TURN Reply Comments on the PD, filed 3/27/17, pp. 1-2</w:t>
            </w:r>
          </w:p>
          <w:p w14:paraId="22C18E86" w14:textId="77777777" w:rsidR="00C671DA" w:rsidRPr="00EB25F8" w:rsidRDefault="00C671DA" w:rsidP="00C36D4F">
            <w:pPr>
              <w:spacing w:before="120"/>
              <w:rPr>
                <w:i/>
                <w:color w:val="000000"/>
                <w:sz w:val="22"/>
                <w:szCs w:val="22"/>
              </w:rPr>
            </w:pPr>
            <w:r>
              <w:rPr>
                <w:i/>
                <w:color w:val="000000"/>
                <w:sz w:val="22"/>
                <w:szCs w:val="22"/>
              </w:rPr>
              <w:t>Gas Leak Management Balancing Account</w:t>
            </w:r>
          </w:p>
          <w:p w14:paraId="7685657F" w14:textId="77777777" w:rsidR="00C671DA" w:rsidRPr="009037AD" w:rsidRDefault="00C671DA" w:rsidP="00C36D4F">
            <w:pPr>
              <w:pStyle w:val="ListParagraph"/>
              <w:numPr>
                <w:ilvl w:val="0"/>
                <w:numId w:val="11"/>
              </w:numPr>
              <w:spacing w:before="120"/>
              <w:rPr>
                <w:color w:val="000000"/>
              </w:rPr>
            </w:pPr>
            <w:r w:rsidRPr="009037AD">
              <w:rPr>
                <w:color w:val="000000"/>
              </w:rPr>
              <w:t>D.17-05-013, p</w:t>
            </w:r>
            <w:r>
              <w:rPr>
                <w:color w:val="000000"/>
              </w:rPr>
              <w:t>p</w:t>
            </w:r>
            <w:r w:rsidRPr="009037AD">
              <w:rPr>
                <w:color w:val="000000"/>
              </w:rPr>
              <w:t>. 200</w:t>
            </w:r>
            <w:r>
              <w:rPr>
                <w:color w:val="000000"/>
              </w:rPr>
              <w:t>, 230</w:t>
            </w:r>
          </w:p>
          <w:p w14:paraId="7693A987" w14:textId="77777777" w:rsidR="00C671DA" w:rsidRPr="00FB029A" w:rsidRDefault="00C671DA" w:rsidP="00C36D4F">
            <w:pPr>
              <w:pStyle w:val="ListParagraph"/>
              <w:numPr>
                <w:ilvl w:val="0"/>
                <w:numId w:val="11"/>
              </w:numPr>
              <w:spacing w:before="120"/>
              <w:rPr>
                <w:color w:val="000000"/>
              </w:rPr>
            </w:pPr>
            <w:r w:rsidRPr="00FB029A">
              <w:rPr>
                <w:color w:val="000000"/>
              </w:rPr>
              <w:t>Joint Motion, p. 55</w:t>
            </w:r>
          </w:p>
          <w:p w14:paraId="19DB8B91" w14:textId="77777777" w:rsidR="00C671DA" w:rsidRPr="00FB029A" w:rsidRDefault="00C671DA" w:rsidP="00C36D4F">
            <w:pPr>
              <w:pStyle w:val="ListParagraph"/>
              <w:numPr>
                <w:ilvl w:val="0"/>
                <w:numId w:val="11"/>
              </w:numPr>
              <w:spacing w:before="120"/>
              <w:rPr>
                <w:color w:val="000000"/>
              </w:rPr>
            </w:pPr>
            <w:r w:rsidRPr="00FB029A">
              <w:rPr>
                <w:color w:val="000000"/>
              </w:rPr>
              <w:t>Settlement Agreement, Section 4.2</w:t>
            </w:r>
          </w:p>
          <w:p w14:paraId="16860655" w14:textId="77777777" w:rsidR="00C671DA" w:rsidRPr="00FB029A" w:rsidRDefault="00C671DA" w:rsidP="00C36D4F">
            <w:pPr>
              <w:pStyle w:val="ListParagraph"/>
              <w:numPr>
                <w:ilvl w:val="0"/>
                <w:numId w:val="11"/>
              </w:numPr>
              <w:spacing w:before="120"/>
              <w:rPr>
                <w:color w:val="000000"/>
              </w:rPr>
            </w:pPr>
            <w:r w:rsidRPr="00866238">
              <w:rPr>
                <w:color w:val="000000"/>
              </w:rPr>
              <w:t>TURN</w:t>
            </w:r>
            <w:r>
              <w:rPr>
                <w:color w:val="000000"/>
              </w:rPr>
              <w:t>/CAUSE</w:t>
            </w:r>
            <w:r w:rsidRPr="00866238">
              <w:rPr>
                <w:color w:val="000000"/>
              </w:rPr>
              <w:t xml:space="preserve"> Comments on Contested </w:t>
            </w:r>
            <w:r w:rsidRPr="00FB029A">
              <w:rPr>
                <w:color w:val="000000"/>
              </w:rPr>
              <w:t>Issues, filed Aug. 18, 2016, pp. 10-17</w:t>
            </w:r>
          </w:p>
          <w:p w14:paraId="2EAD9763" w14:textId="77777777" w:rsidR="00C671DA" w:rsidRPr="0070152B" w:rsidRDefault="00C671DA" w:rsidP="00C36D4F">
            <w:pPr>
              <w:pStyle w:val="ListParagraph"/>
              <w:numPr>
                <w:ilvl w:val="0"/>
                <w:numId w:val="11"/>
              </w:numPr>
              <w:spacing w:before="120"/>
              <w:rPr>
                <w:color w:val="000000"/>
              </w:rPr>
            </w:pPr>
            <w:r w:rsidRPr="0070152B">
              <w:rPr>
                <w:color w:val="000000"/>
              </w:rPr>
              <w:t>TURN Reply Comments on Contested Issues, filed Aug. 25, 2016, pp. 11-17</w:t>
            </w:r>
          </w:p>
          <w:p w14:paraId="549586C2" w14:textId="77777777" w:rsidR="00C671DA" w:rsidRPr="0070152B" w:rsidRDefault="00C671DA" w:rsidP="00C36D4F">
            <w:pPr>
              <w:pStyle w:val="ListParagraph"/>
              <w:numPr>
                <w:ilvl w:val="0"/>
                <w:numId w:val="11"/>
              </w:numPr>
              <w:spacing w:before="120"/>
              <w:rPr>
                <w:color w:val="000000"/>
              </w:rPr>
            </w:pPr>
            <w:r w:rsidRPr="0070152B">
              <w:rPr>
                <w:color w:val="000000"/>
              </w:rPr>
              <w:t>TURN Reply Comments on the PD, filed 3/27/17, pp. 2-4</w:t>
            </w:r>
            <w:r>
              <w:rPr>
                <w:color w:val="000000"/>
              </w:rPr>
              <w:t xml:space="preserve"> (opposing the changes advocated by PG&amp;E, EDF, and CUE)</w:t>
            </w:r>
          </w:p>
          <w:p w14:paraId="075F997F" w14:textId="77777777" w:rsidR="00C671DA" w:rsidRPr="00866238" w:rsidRDefault="00C671DA" w:rsidP="00C36D4F">
            <w:pPr>
              <w:spacing w:before="120"/>
              <w:rPr>
                <w:color w:val="000000"/>
              </w:rPr>
            </w:pPr>
          </w:p>
        </w:tc>
        <w:tc>
          <w:tcPr>
            <w:tcW w:w="2340" w:type="dxa"/>
            <w:shd w:val="clear" w:color="auto" w:fill="auto"/>
          </w:tcPr>
          <w:p w14:paraId="79904884" w14:textId="77777777" w:rsidR="00C671DA" w:rsidRPr="007F620E" w:rsidRDefault="00C671DA" w:rsidP="00C36D4F">
            <w:pPr>
              <w:spacing w:before="120"/>
              <w:rPr>
                <w:color w:val="000000"/>
              </w:rPr>
            </w:pPr>
            <w:r>
              <w:rPr>
                <w:color w:val="000000"/>
              </w:rPr>
              <w:lastRenderedPageBreak/>
              <w:t>Verified</w:t>
            </w:r>
          </w:p>
        </w:tc>
      </w:tr>
    </w:tbl>
    <w:p w14:paraId="0416151B" w14:textId="77777777" w:rsidR="00C671DA" w:rsidRPr="007F620E" w:rsidRDefault="00C671DA" w:rsidP="00C671DA">
      <w:pPr>
        <w:rPr>
          <w:color w:val="000000"/>
        </w:rPr>
      </w:pPr>
    </w:p>
    <w:p w14:paraId="5E346082" w14:textId="77777777" w:rsidR="00C671DA" w:rsidRPr="007F620E" w:rsidRDefault="00C671DA" w:rsidP="00C671DA">
      <w:pPr>
        <w:keepNext/>
        <w:keepLines/>
        <w:numPr>
          <w:ilvl w:val="0"/>
          <w:numId w:val="1"/>
        </w:numPr>
        <w:tabs>
          <w:tab w:val="clear" w:pos="900"/>
          <w:tab w:val="num" w:pos="360"/>
        </w:tabs>
        <w:spacing w:after="120"/>
        <w:ind w:left="360"/>
        <w:rPr>
          <w:b/>
          <w:color w:val="000000"/>
        </w:rPr>
      </w:pPr>
      <w:r w:rsidRPr="007F620E">
        <w:rPr>
          <w:b/>
          <w:color w:val="000000"/>
        </w:rPr>
        <w:lastRenderedPageBreak/>
        <w:t>Duplication of Effort (§ 1801.3(f) and § 1802.5):</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1710"/>
        <w:gridCol w:w="1980"/>
      </w:tblGrid>
      <w:tr w:rsidR="00C671DA" w:rsidRPr="007F620E" w14:paraId="3556CF67" w14:textId="77777777" w:rsidTr="00C36D4F">
        <w:tc>
          <w:tcPr>
            <w:tcW w:w="6048" w:type="dxa"/>
            <w:shd w:val="clear" w:color="auto" w:fill="auto"/>
          </w:tcPr>
          <w:p w14:paraId="1A6741CE" w14:textId="77777777" w:rsidR="00C671DA" w:rsidRPr="007F620E" w:rsidRDefault="00C671DA" w:rsidP="00C36D4F">
            <w:pPr>
              <w:keepNext/>
              <w:keepLines/>
              <w:spacing w:before="120"/>
              <w:rPr>
                <w:color w:val="000000"/>
              </w:rPr>
            </w:pPr>
          </w:p>
        </w:tc>
        <w:tc>
          <w:tcPr>
            <w:tcW w:w="1710" w:type="dxa"/>
            <w:tcBorders>
              <w:bottom w:val="single" w:sz="4" w:space="0" w:color="auto"/>
            </w:tcBorders>
            <w:shd w:val="clear" w:color="auto" w:fill="auto"/>
          </w:tcPr>
          <w:p w14:paraId="065448DE" w14:textId="77777777" w:rsidR="00C671DA" w:rsidRPr="007F620E" w:rsidRDefault="00C671DA" w:rsidP="00C36D4F">
            <w:pPr>
              <w:keepNext/>
              <w:keepLines/>
              <w:spacing w:before="120"/>
              <w:jc w:val="center"/>
              <w:rPr>
                <w:b/>
                <w:color w:val="000000"/>
              </w:rPr>
            </w:pPr>
            <w:r w:rsidRPr="007F620E">
              <w:rPr>
                <w:b/>
                <w:color w:val="000000"/>
              </w:rPr>
              <w:t>Intervenor’s Assertion</w:t>
            </w:r>
          </w:p>
        </w:tc>
        <w:tc>
          <w:tcPr>
            <w:tcW w:w="1980" w:type="dxa"/>
            <w:shd w:val="clear" w:color="auto" w:fill="auto"/>
          </w:tcPr>
          <w:p w14:paraId="6A7C15A2" w14:textId="77777777" w:rsidR="00C671DA" w:rsidRPr="007F620E" w:rsidRDefault="00C671DA" w:rsidP="00C36D4F">
            <w:pPr>
              <w:keepNext/>
              <w:keepLines/>
              <w:spacing w:before="120"/>
              <w:jc w:val="center"/>
              <w:rPr>
                <w:b/>
                <w:color w:val="000000"/>
              </w:rPr>
            </w:pPr>
            <w:r w:rsidRPr="007F620E">
              <w:rPr>
                <w:b/>
                <w:color w:val="000000"/>
              </w:rPr>
              <w:t>CPUC Discussion</w:t>
            </w:r>
          </w:p>
        </w:tc>
      </w:tr>
      <w:tr w:rsidR="00C671DA" w:rsidRPr="007F620E" w14:paraId="77B09BBA" w14:textId="77777777" w:rsidTr="00C36D4F">
        <w:tc>
          <w:tcPr>
            <w:tcW w:w="6048" w:type="dxa"/>
            <w:shd w:val="clear" w:color="auto" w:fill="auto"/>
          </w:tcPr>
          <w:p w14:paraId="5E5F7D4E" w14:textId="77777777" w:rsidR="00C671DA" w:rsidRPr="007F620E" w:rsidRDefault="00C671DA" w:rsidP="00C36D4F">
            <w:pPr>
              <w:keepNext/>
              <w:keepLines/>
              <w:spacing w:before="120"/>
              <w:ind w:left="360" w:hanging="360"/>
              <w:rPr>
                <w:b/>
                <w:color w:val="000000"/>
              </w:rPr>
            </w:pPr>
            <w:r w:rsidRPr="007F620E">
              <w:rPr>
                <w:b/>
                <w:color w:val="000000"/>
              </w:rPr>
              <w:t>a.</w:t>
            </w:r>
            <w:r w:rsidRPr="007F620E">
              <w:rPr>
                <w:b/>
                <w:color w:val="000000"/>
              </w:rPr>
              <w:tab/>
            </w:r>
            <w:r>
              <w:rPr>
                <w:b/>
              </w:rPr>
              <w:t>Was the Public Advocate’s Office at the California Public Utilities Commission (Cal Advocates) a party to the proceeding</w:t>
            </w:r>
            <w:r w:rsidRPr="007F620E">
              <w:rPr>
                <w:b/>
                <w:color w:val="000000"/>
              </w:rPr>
              <w:t>?</w:t>
            </w:r>
            <w:r w:rsidRPr="007F620E">
              <w:rPr>
                <w:rStyle w:val="FootnoteReference"/>
                <w:b/>
                <w:color w:val="000000"/>
              </w:rPr>
              <w:footnoteReference w:id="2"/>
            </w:r>
          </w:p>
        </w:tc>
        <w:tc>
          <w:tcPr>
            <w:tcW w:w="1710" w:type="dxa"/>
            <w:shd w:val="clear" w:color="auto" w:fill="auto"/>
          </w:tcPr>
          <w:p w14:paraId="1056FFD7" w14:textId="77777777" w:rsidR="00C671DA" w:rsidRPr="00D54FDE" w:rsidRDefault="00C671DA" w:rsidP="00C36D4F">
            <w:pPr>
              <w:keepNext/>
              <w:keepLines/>
              <w:spacing w:before="120"/>
              <w:rPr>
                <w:color w:val="000000"/>
              </w:rPr>
            </w:pPr>
            <w:r w:rsidRPr="00D54FDE">
              <w:rPr>
                <w:color w:val="000000"/>
              </w:rPr>
              <w:t>Yes</w:t>
            </w:r>
          </w:p>
        </w:tc>
        <w:tc>
          <w:tcPr>
            <w:tcW w:w="1980" w:type="dxa"/>
            <w:shd w:val="clear" w:color="auto" w:fill="auto"/>
          </w:tcPr>
          <w:p w14:paraId="74A1A129" w14:textId="77777777" w:rsidR="00C671DA" w:rsidRPr="00CE33FC" w:rsidRDefault="00C671DA" w:rsidP="00C36D4F">
            <w:pPr>
              <w:keepNext/>
              <w:keepLines/>
              <w:spacing w:before="120"/>
              <w:rPr>
                <w:color w:val="000000"/>
              </w:rPr>
            </w:pPr>
            <w:r w:rsidRPr="00CE33FC">
              <w:rPr>
                <w:color w:val="000000"/>
              </w:rPr>
              <w:t>Verified</w:t>
            </w:r>
          </w:p>
        </w:tc>
      </w:tr>
      <w:tr w:rsidR="00C671DA" w:rsidRPr="007F620E" w14:paraId="51D83C0A" w14:textId="77777777" w:rsidTr="00C36D4F">
        <w:tc>
          <w:tcPr>
            <w:tcW w:w="6048" w:type="dxa"/>
            <w:shd w:val="clear" w:color="auto" w:fill="auto"/>
          </w:tcPr>
          <w:p w14:paraId="4D5315E5" w14:textId="77777777" w:rsidR="00C671DA" w:rsidRPr="007F620E" w:rsidRDefault="00C671DA" w:rsidP="00C36D4F">
            <w:pPr>
              <w:tabs>
                <w:tab w:val="left" w:pos="360"/>
              </w:tabs>
              <w:spacing w:before="120"/>
              <w:ind w:left="360" w:hanging="360"/>
              <w:rPr>
                <w:b/>
                <w:color w:val="000000"/>
              </w:rPr>
            </w:pPr>
            <w:r w:rsidRPr="007F620E">
              <w:rPr>
                <w:b/>
                <w:color w:val="000000"/>
              </w:rPr>
              <w:t>b.</w:t>
            </w:r>
            <w:r w:rsidRPr="007F620E">
              <w:rPr>
                <w:b/>
                <w:color w:val="000000"/>
              </w:rPr>
              <w:tab/>
              <w:t xml:space="preserve">Were there other parties to the proceeding with positions </w:t>
            </w:r>
            <w:proofErr w:type="gramStart"/>
            <w:r w:rsidRPr="007F620E">
              <w:rPr>
                <w:b/>
                <w:color w:val="000000"/>
              </w:rPr>
              <w:t>similar to</w:t>
            </w:r>
            <w:proofErr w:type="gramEnd"/>
            <w:r w:rsidRPr="007F620E">
              <w:rPr>
                <w:b/>
                <w:color w:val="000000"/>
              </w:rPr>
              <w:t xml:space="preserve"> yours? </w:t>
            </w:r>
          </w:p>
        </w:tc>
        <w:tc>
          <w:tcPr>
            <w:tcW w:w="1710" w:type="dxa"/>
            <w:shd w:val="clear" w:color="auto" w:fill="auto"/>
          </w:tcPr>
          <w:p w14:paraId="077BDE9E" w14:textId="77777777" w:rsidR="00C671DA" w:rsidRPr="00D54FDE" w:rsidRDefault="00C671DA" w:rsidP="00C36D4F">
            <w:pPr>
              <w:spacing w:before="120"/>
              <w:rPr>
                <w:color w:val="000000"/>
              </w:rPr>
            </w:pPr>
            <w:r w:rsidRPr="00D54FDE">
              <w:rPr>
                <w:color w:val="000000"/>
              </w:rPr>
              <w:t>Yes</w:t>
            </w:r>
          </w:p>
        </w:tc>
        <w:tc>
          <w:tcPr>
            <w:tcW w:w="1980" w:type="dxa"/>
            <w:shd w:val="clear" w:color="auto" w:fill="auto"/>
          </w:tcPr>
          <w:p w14:paraId="36180082" w14:textId="77777777" w:rsidR="00C671DA" w:rsidRPr="00CE33FC" w:rsidRDefault="00C671DA" w:rsidP="00C36D4F">
            <w:pPr>
              <w:spacing w:before="120"/>
              <w:rPr>
                <w:color w:val="000000"/>
              </w:rPr>
            </w:pPr>
            <w:r w:rsidRPr="00CE33FC">
              <w:rPr>
                <w:color w:val="000000"/>
              </w:rPr>
              <w:t>Verified</w:t>
            </w:r>
          </w:p>
        </w:tc>
      </w:tr>
      <w:tr w:rsidR="00C671DA" w:rsidRPr="007F620E" w14:paraId="18F57B35" w14:textId="77777777" w:rsidTr="00C36D4F">
        <w:tc>
          <w:tcPr>
            <w:tcW w:w="7758" w:type="dxa"/>
            <w:gridSpan w:val="2"/>
            <w:shd w:val="clear" w:color="auto" w:fill="auto"/>
          </w:tcPr>
          <w:p w14:paraId="6F842A0A" w14:textId="77777777" w:rsidR="00C671DA" w:rsidRPr="002146E0" w:rsidRDefault="00C671DA" w:rsidP="00C36D4F">
            <w:pPr>
              <w:spacing w:before="120"/>
              <w:ind w:left="360" w:hanging="360"/>
              <w:rPr>
                <w:color w:val="000000"/>
              </w:rPr>
            </w:pPr>
            <w:r w:rsidRPr="007F620E">
              <w:rPr>
                <w:b/>
                <w:color w:val="000000"/>
              </w:rPr>
              <w:t>c.</w:t>
            </w:r>
            <w:r w:rsidRPr="007F620E">
              <w:rPr>
                <w:b/>
                <w:color w:val="000000"/>
              </w:rPr>
              <w:tab/>
              <w:t>If so, provide name of other parties:</w:t>
            </w:r>
            <w:r>
              <w:rPr>
                <w:b/>
                <w:color w:val="000000"/>
              </w:rPr>
              <w:t xml:space="preserve">  </w:t>
            </w:r>
            <w:r w:rsidRPr="00E825B6">
              <w:rPr>
                <w:color w:val="000000"/>
                <w:sz w:val="22"/>
                <w:szCs w:val="22"/>
              </w:rPr>
              <w:t>In addition to ORA, TURN had similar positions on one or more issues as the following parties:  Alliance for Nuclear Responsibility (A4NR); Coalition of California Utility Employees (CUE); Collaborative Approaches to Utility Safety Enforcement (CAUSE); Consumer Federation of California (CFC); the National Diversity Coalition (NDC), which was represented by the National Asian American Coalition (NAAC)</w:t>
            </w:r>
            <w:r>
              <w:rPr>
                <w:color w:val="000000"/>
                <w:sz w:val="22"/>
                <w:szCs w:val="22"/>
              </w:rPr>
              <w:t xml:space="preserve">; and the three Irrigation Districts, South San Joaquin, Merced, and Modesto. </w:t>
            </w:r>
          </w:p>
          <w:p w14:paraId="3C4DBCBE" w14:textId="77777777" w:rsidR="00C671DA" w:rsidRPr="007F620E" w:rsidRDefault="00C671DA" w:rsidP="00C36D4F">
            <w:pPr>
              <w:spacing w:before="120"/>
              <w:ind w:left="360" w:hanging="360"/>
              <w:rPr>
                <w:b/>
                <w:color w:val="000000"/>
              </w:rPr>
            </w:pPr>
          </w:p>
        </w:tc>
        <w:tc>
          <w:tcPr>
            <w:tcW w:w="1980" w:type="dxa"/>
            <w:shd w:val="clear" w:color="auto" w:fill="auto"/>
          </w:tcPr>
          <w:p w14:paraId="0D4E8949" w14:textId="77777777" w:rsidR="00C671DA" w:rsidRPr="00CE33FC" w:rsidRDefault="00C671DA" w:rsidP="00C36D4F">
            <w:pPr>
              <w:spacing w:before="120"/>
              <w:rPr>
                <w:color w:val="000000"/>
              </w:rPr>
            </w:pPr>
            <w:r w:rsidRPr="00CE33FC">
              <w:rPr>
                <w:color w:val="000000"/>
              </w:rPr>
              <w:t>Verified</w:t>
            </w:r>
          </w:p>
        </w:tc>
      </w:tr>
      <w:tr w:rsidR="00C671DA" w:rsidRPr="007F620E" w14:paraId="12B0459E" w14:textId="77777777" w:rsidTr="00C36D4F">
        <w:tc>
          <w:tcPr>
            <w:tcW w:w="7758" w:type="dxa"/>
            <w:gridSpan w:val="2"/>
            <w:shd w:val="clear" w:color="auto" w:fill="auto"/>
          </w:tcPr>
          <w:p w14:paraId="1C8450E3" w14:textId="77777777" w:rsidR="00C671DA" w:rsidRDefault="00C671DA" w:rsidP="00C36D4F">
            <w:pPr>
              <w:tabs>
                <w:tab w:val="left" w:pos="360"/>
              </w:tabs>
              <w:spacing w:before="120"/>
              <w:ind w:left="360" w:hanging="360"/>
              <w:rPr>
                <w:b/>
                <w:color w:val="000000"/>
              </w:rPr>
            </w:pPr>
            <w:r w:rsidRPr="007F620E">
              <w:rPr>
                <w:b/>
                <w:color w:val="000000"/>
              </w:rPr>
              <w:t>d</w:t>
            </w:r>
            <w:r w:rsidRPr="00E825B6">
              <w:rPr>
                <w:b/>
                <w:color w:val="000000"/>
              </w:rPr>
              <w:t>.</w:t>
            </w:r>
            <w:r w:rsidRPr="00E825B6">
              <w:rPr>
                <w:b/>
                <w:color w:val="000000"/>
              </w:rPr>
              <w:tab/>
              <w:t>Intervenor’s claim of non-duplication:</w:t>
            </w:r>
          </w:p>
          <w:p w14:paraId="1B1FC386" w14:textId="77777777" w:rsidR="00C671DA" w:rsidRDefault="00C671DA" w:rsidP="00C36D4F">
            <w:pPr>
              <w:pStyle w:val="p1"/>
              <w:rPr>
                <w:rFonts w:ascii="Times New Roman" w:hAnsi="Times New Roman"/>
                <w:sz w:val="22"/>
                <w:szCs w:val="22"/>
              </w:rPr>
            </w:pPr>
          </w:p>
          <w:p w14:paraId="2C9CA1DB" w14:textId="77777777" w:rsidR="00C671DA" w:rsidRPr="002146E0" w:rsidRDefault="00C671DA" w:rsidP="00C36D4F">
            <w:pPr>
              <w:rPr>
                <w:sz w:val="22"/>
                <w:szCs w:val="22"/>
              </w:rPr>
            </w:pPr>
            <w:r w:rsidRPr="002146E0">
              <w:rPr>
                <w:sz w:val="22"/>
                <w:szCs w:val="22"/>
              </w:rPr>
              <w:t xml:space="preserve">TURN’s work in a GRC is typically coordinated with other like-minded groups, and this case was no different.  Our time records include </w:t>
            </w:r>
            <w:proofErr w:type="gramStart"/>
            <w:r w:rsidRPr="002146E0">
              <w:rPr>
                <w:sz w:val="22"/>
                <w:szCs w:val="22"/>
              </w:rPr>
              <w:t>a number of</w:t>
            </w:r>
            <w:proofErr w:type="gramEnd"/>
            <w:r w:rsidRPr="002146E0">
              <w:rPr>
                <w:sz w:val="22"/>
                <w:szCs w:val="22"/>
              </w:rPr>
              <w:t xml:space="preserve"> entries (all</w:t>
            </w:r>
          </w:p>
          <w:p w14:paraId="0FFA0E8D" w14:textId="77777777" w:rsidR="00C671DA" w:rsidRPr="002146E0" w:rsidRDefault="00C671DA" w:rsidP="00C36D4F">
            <w:pPr>
              <w:rPr>
                <w:sz w:val="22"/>
                <w:szCs w:val="22"/>
              </w:rPr>
            </w:pPr>
            <w:r w:rsidRPr="002146E0">
              <w:rPr>
                <w:sz w:val="22"/>
                <w:szCs w:val="22"/>
              </w:rPr>
              <w:t>of those coded as “Coord” and also embedded in some of those coded “GP”) for</w:t>
            </w:r>
          </w:p>
          <w:p w14:paraId="070CEF59" w14:textId="77777777" w:rsidR="00C671DA" w:rsidRPr="002146E0" w:rsidRDefault="00C671DA" w:rsidP="00C36D4F">
            <w:pPr>
              <w:rPr>
                <w:sz w:val="22"/>
                <w:szCs w:val="22"/>
              </w:rPr>
            </w:pPr>
            <w:r w:rsidRPr="002146E0">
              <w:rPr>
                <w:sz w:val="22"/>
                <w:szCs w:val="22"/>
              </w:rPr>
              <w:t>efforts devoted to communicating with the other intervenors about matters such as</w:t>
            </w:r>
          </w:p>
          <w:p w14:paraId="1646DEAF" w14:textId="77777777" w:rsidR="00C671DA" w:rsidRPr="002146E0" w:rsidRDefault="00C671DA" w:rsidP="00C36D4F">
            <w:pPr>
              <w:rPr>
                <w:sz w:val="22"/>
                <w:szCs w:val="22"/>
              </w:rPr>
            </w:pPr>
            <w:r w:rsidRPr="002146E0">
              <w:rPr>
                <w:sz w:val="22"/>
                <w:szCs w:val="22"/>
              </w:rPr>
              <w:t>procedural strategies and issue area allocation.</w:t>
            </w:r>
          </w:p>
          <w:p w14:paraId="37D99FA4" w14:textId="77777777" w:rsidR="00C671DA" w:rsidRPr="002146E0" w:rsidRDefault="00C671DA" w:rsidP="00C36D4F">
            <w:pPr>
              <w:rPr>
                <w:sz w:val="22"/>
                <w:szCs w:val="22"/>
              </w:rPr>
            </w:pPr>
          </w:p>
          <w:p w14:paraId="32CE15AB" w14:textId="77777777" w:rsidR="00C671DA" w:rsidRPr="002146E0" w:rsidRDefault="00C671DA" w:rsidP="00C36D4F">
            <w:pPr>
              <w:rPr>
                <w:sz w:val="22"/>
                <w:szCs w:val="22"/>
              </w:rPr>
            </w:pPr>
            <w:r w:rsidRPr="002146E0">
              <w:rPr>
                <w:sz w:val="22"/>
                <w:szCs w:val="22"/>
              </w:rPr>
              <w:t>As is our regular practice in GRC-type proceedings, TURN closely coordinated with</w:t>
            </w:r>
          </w:p>
          <w:p w14:paraId="272218B7" w14:textId="77777777" w:rsidR="00C671DA" w:rsidRPr="002146E0" w:rsidRDefault="00C671DA" w:rsidP="00C36D4F">
            <w:pPr>
              <w:rPr>
                <w:sz w:val="22"/>
                <w:szCs w:val="22"/>
              </w:rPr>
            </w:pPr>
            <w:r w:rsidRPr="002146E0">
              <w:rPr>
                <w:sz w:val="22"/>
                <w:szCs w:val="22"/>
              </w:rPr>
              <w:t>ORA from the earliest stages of the GRC in order to avoid and minimize duplication.</w:t>
            </w:r>
          </w:p>
          <w:p w14:paraId="621AE4EB" w14:textId="77777777" w:rsidR="00C671DA" w:rsidRPr="002146E0" w:rsidRDefault="00C671DA" w:rsidP="00C36D4F">
            <w:pPr>
              <w:rPr>
                <w:sz w:val="22"/>
                <w:szCs w:val="22"/>
              </w:rPr>
            </w:pPr>
            <w:r w:rsidRPr="002146E0">
              <w:rPr>
                <w:sz w:val="22"/>
                <w:szCs w:val="22"/>
              </w:rPr>
              <w:t>Avoiding duplication entirely with ORA is nearly impossible (since the staff seeks to</w:t>
            </w:r>
          </w:p>
          <w:p w14:paraId="3CCCED4E" w14:textId="77777777" w:rsidR="00C671DA" w:rsidRPr="002146E0" w:rsidRDefault="00C671DA" w:rsidP="00C36D4F">
            <w:pPr>
              <w:rPr>
                <w:sz w:val="22"/>
                <w:szCs w:val="22"/>
              </w:rPr>
            </w:pPr>
            <w:r w:rsidRPr="002146E0">
              <w:rPr>
                <w:sz w:val="22"/>
                <w:szCs w:val="22"/>
              </w:rPr>
              <w:t>address nearly all issue areas covered by the utility application).  Therefore the</w:t>
            </w:r>
          </w:p>
          <w:p w14:paraId="1CB88C53" w14:textId="77777777" w:rsidR="00C671DA" w:rsidRPr="002146E0" w:rsidRDefault="00C671DA" w:rsidP="00C36D4F">
            <w:pPr>
              <w:rPr>
                <w:sz w:val="22"/>
                <w:szCs w:val="22"/>
              </w:rPr>
            </w:pPr>
            <w:r w:rsidRPr="002146E0">
              <w:rPr>
                <w:sz w:val="22"/>
                <w:szCs w:val="22"/>
              </w:rPr>
              <w:t>coordination effort with ORA aims to minimize duplication, and to ensure that where</w:t>
            </w:r>
          </w:p>
          <w:p w14:paraId="6EEC0E76" w14:textId="77777777" w:rsidR="00C671DA" w:rsidRPr="002146E0" w:rsidRDefault="00C671DA" w:rsidP="00C36D4F">
            <w:pPr>
              <w:rPr>
                <w:sz w:val="22"/>
                <w:szCs w:val="22"/>
              </w:rPr>
            </w:pPr>
            <w:r w:rsidRPr="002146E0">
              <w:rPr>
                <w:sz w:val="22"/>
                <w:szCs w:val="22"/>
              </w:rPr>
              <w:t>such duplication occurs TURN’s witnesses are presenting distinct and unique</w:t>
            </w:r>
          </w:p>
          <w:p w14:paraId="70F3BB8D" w14:textId="77777777" w:rsidR="00C671DA" w:rsidRPr="002146E0" w:rsidRDefault="00C671DA" w:rsidP="00C36D4F">
            <w:pPr>
              <w:rPr>
                <w:sz w:val="22"/>
                <w:szCs w:val="22"/>
              </w:rPr>
            </w:pPr>
            <w:r w:rsidRPr="002146E0">
              <w:rPr>
                <w:sz w:val="22"/>
                <w:szCs w:val="22"/>
              </w:rPr>
              <w:t>arguments in support of the common or overlapping recommendations. As a result,</w:t>
            </w:r>
          </w:p>
          <w:p w14:paraId="516F05A2" w14:textId="77777777" w:rsidR="00C671DA" w:rsidRPr="002146E0" w:rsidRDefault="00C671DA" w:rsidP="00C36D4F">
            <w:pPr>
              <w:rPr>
                <w:sz w:val="22"/>
                <w:szCs w:val="22"/>
              </w:rPr>
            </w:pPr>
            <w:r w:rsidRPr="002146E0">
              <w:rPr>
                <w:sz w:val="22"/>
                <w:szCs w:val="22"/>
              </w:rPr>
              <w:t>the Commission ended up with a more robust record.</w:t>
            </w:r>
          </w:p>
          <w:p w14:paraId="2B3809F8" w14:textId="77777777" w:rsidR="00C671DA" w:rsidRPr="002146E0" w:rsidRDefault="00C671DA" w:rsidP="00C36D4F">
            <w:pPr>
              <w:rPr>
                <w:sz w:val="22"/>
                <w:szCs w:val="22"/>
              </w:rPr>
            </w:pPr>
          </w:p>
          <w:p w14:paraId="1FE33B13" w14:textId="77777777" w:rsidR="00C671DA" w:rsidRPr="002146E0" w:rsidRDefault="00C671DA" w:rsidP="00C36D4F">
            <w:pPr>
              <w:rPr>
                <w:color w:val="000000"/>
                <w:sz w:val="22"/>
                <w:szCs w:val="22"/>
              </w:rPr>
            </w:pPr>
            <w:r w:rsidRPr="002146E0">
              <w:rPr>
                <w:color w:val="000000"/>
                <w:sz w:val="22"/>
                <w:szCs w:val="22"/>
              </w:rPr>
              <w:t xml:space="preserve">TURN also worked to coordinate with the other parties with whom we had common interests and/or overlapping positions to avoid undue duplication where possible.  For instance, TURN coordinated with A4NR on issues related to Diablo Canyon and the contested third post-test year issue.  TURN coordinated with CUE on PG&amp;E’s proposal to close 26 customer service offices.  TURN coordinated with CAUSE on issues related to safety and risk, and we filed joint comments on the two contested settlement issues.  TURN coordinated with CFC on issue coverage </w:t>
            </w:r>
            <w:r>
              <w:rPr>
                <w:color w:val="000000"/>
                <w:sz w:val="22"/>
                <w:szCs w:val="22"/>
              </w:rPr>
              <w:t>in general</w:t>
            </w:r>
            <w:r w:rsidRPr="002146E0">
              <w:rPr>
                <w:color w:val="000000"/>
                <w:sz w:val="22"/>
                <w:szCs w:val="22"/>
              </w:rPr>
              <w:t xml:space="preserve">.  TURN also coordinated with NDC via NAAC on issues related to STIP and </w:t>
            </w:r>
            <w:r w:rsidRPr="002146E0">
              <w:rPr>
                <w:color w:val="000000"/>
                <w:sz w:val="22"/>
                <w:szCs w:val="22"/>
              </w:rPr>
              <w:lastRenderedPageBreak/>
              <w:t xml:space="preserve">executive compensation.  Finally, we conferred with the South San Joaquin, Merced, and Modesto Irrigation Districts about our shared interests in customer retention costs, resulting in TURN’s leaving that issue to them to address in testimony.  </w:t>
            </w:r>
          </w:p>
          <w:p w14:paraId="6B5E026B" w14:textId="77777777" w:rsidR="00C671DA" w:rsidRPr="002146E0" w:rsidRDefault="00C671DA" w:rsidP="00C36D4F">
            <w:pPr>
              <w:rPr>
                <w:color w:val="000000"/>
                <w:sz w:val="22"/>
                <w:szCs w:val="22"/>
                <w:highlight w:val="yellow"/>
              </w:rPr>
            </w:pPr>
          </w:p>
          <w:p w14:paraId="108FBDC2" w14:textId="77777777" w:rsidR="00C671DA" w:rsidRPr="002146E0" w:rsidRDefault="00C671DA" w:rsidP="00C36D4F">
            <w:pPr>
              <w:rPr>
                <w:sz w:val="22"/>
                <w:szCs w:val="22"/>
              </w:rPr>
            </w:pPr>
            <w:r w:rsidRPr="002146E0">
              <w:rPr>
                <w:sz w:val="22"/>
                <w:szCs w:val="22"/>
              </w:rPr>
              <w:t>In sum, the Commission should find that TURN's participation was efficiently</w:t>
            </w:r>
          </w:p>
          <w:p w14:paraId="756F6AC1" w14:textId="77777777" w:rsidR="00C671DA" w:rsidRPr="002146E0" w:rsidRDefault="00C671DA" w:rsidP="00C36D4F">
            <w:pPr>
              <w:rPr>
                <w:sz w:val="22"/>
                <w:szCs w:val="22"/>
              </w:rPr>
            </w:pPr>
            <w:r w:rsidRPr="002146E0">
              <w:rPr>
                <w:sz w:val="22"/>
                <w:szCs w:val="22"/>
              </w:rPr>
              <w:t xml:space="preserve">coordinated with the participation of other intervenors wherever possible, </w:t>
            </w:r>
            <w:proofErr w:type="gramStart"/>
            <w:r w:rsidRPr="002146E0">
              <w:rPr>
                <w:sz w:val="22"/>
                <w:szCs w:val="22"/>
              </w:rPr>
              <w:t>so as to</w:t>
            </w:r>
            <w:proofErr w:type="gramEnd"/>
          </w:p>
          <w:p w14:paraId="4E5F5F8E" w14:textId="77777777" w:rsidR="00C671DA" w:rsidRPr="002146E0" w:rsidRDefault="00C671DA" w:rsidP="00C36D4F">
            <w:pPr>
              <w:rPr>
                <w:sz w:val="22"/>
                <w:szCs w:val="22"/>
              </w:rPr>
            </w:pPr>
            <w:r w:rsidRPr="002146E0">
              <w:rPr>
                <w:sz w:val="22"/>
                <w:szCs w:val="22"/>
              </w:rPr>
              <w:t>avoid undue duplication and to ensure that any such duplication served to</w:t>
            </w:r>
          </w:p>
          <w:p w14:paraId="3BE1A4BA" w14:textId="77777777" w:rsidR="00C671DA" w:rsidRPr="002146E0" w:rsidRDefault="00C671DA" w:rsidP="00C36D4F">
            <w:pPr>
              <w:rPr>
                <w:sz w:val="22"/>
                <w:szCs w:val="22"/>
              </w:rPr>
            </w:pPr>
            <w:r w:rsidRPr="002146E0">
              <w:rPr>
                <w:sz w:val="22"/>
                <w:szCs w:val="22"/>
              </w:rPr>
              <w:t>supplement, complement, or contribute to the showing of the other intervenor.  And</w:t>
            </w:r>
          </w:p>
          <w:p w14:paraId="5A793AC0" w14:textId="77777777" w:rsidR="00C671DA" w:rsidRPr="002146E0" w:rsidRDefault="00C671DA" w:rsidP="00C36D4F">
            <w:pPr>
              <w:rPr>
                <w:sz w:val="22"/>
                <w:szCs w:val="22"/>
              </w:rPr>
            </w:pPr>
            <w:r w:rsidRPr="002146E0">
              <w:rPr>
                <w:sz w:val="22"/>
                <w:szCs w:val="22"/>
              </w:rPr>
              <w:t>consistent with such a finding, the Commission should determine that all of TURN’s</w:t>
            </w:r>
          </w:p>
          <w:p w14:paraId="77CFC704" w14:textId="77777777" w:rsidR="00C671DA" w:rsidRPr="002146E0" w:rsidRDefault="00C671DA" w:rsidP="00C36D4F">
            <w:pPr>
              <w:rPr>
                <w:sz w:val="22"/>
                <w:szCs w:val="22"/>
              </w:rPr>
            </w:pPr>
            <w:r w:rsidRPr="002146E0">
              <w:rPr>
                <w:sz w:val="22"/>
                <w:szCs w:val="22"/>
              </w:rPr>
              <w:t>work is compensable consistent with the conditions set forth in Section 1802.5.</w:t>
            </w:r>
          </w:p>
          <w:p w14:paraId="7912DA89" w14:textId="77777777" w:rsidR="00C671DA" w:rsidRPr="00A14071" w:rsidRDefault="00C671DA" w:rsidP="00C36D4F">
            <w:pPr>
              <w:pStyle w:val="p1"/>
              <w:rPr>
                <w:rFonts w:ascii="Times New Roman" w:hAnsi="Times New Roman"/>
                <w:sz w:val="22"/>
                <w:szCs w:val="22"/>
              </w:rPr>
            </w:pPr>
            <w:r w:rsidRPr="00324585">
              <w:rPr>
                <w:rFonts w:ascii="Times New Roman" w:hAnsi="Times New Roman"/>
                <w:color w:val="000000"/>
                <w:sz w:val="22"/>
                <w:szCs w:val="22"/>
                <w:highlight w:val="yellow"/>
              </w:rPr>
              <w:t xml:space="preserve"> </w:t>
            </w:r>
            <w:r>
              <w:rPr>
                <w:color w:val="000000"/>
                <w:highlight w:val="yellow"/>
              </w:rPr>
              <w:t xml:space="preserve">  </w:t>
            </w:r>
          </w:p>
        </w:tc>
        <w:tc>
          <w:tcPr>
            <w:tcW w:w="1980" w:type="dxa"/>
            <w:shd w:val="clear" w:color="auto" w:fill="auto"/>
          </w:tcPr>
          <w:p w14:paraId="6356C429" w14:textId="77777777" w:rsidR="00C671DA" w:rsidRPr="00007A81" w:rsidRDefault="00C671DA" w:rsidP="00C36D4F">
            <w:pPr>
              <w:tabs>
                <w:tab w:val="left" w:pos="360"/>
              </w:tabs>
              <w:spacing w:before="120"/>
              <w:ind w:left="-37"/>
              <w:rPr>
                <w:color w:val="000000"/>
              </w:rPr>
            </w:pPr>
            <w:r w:rsidRPr="00565E11">
              <w:rPr>
                <w:color w:val="000000" w:themeColor="text1"/>
              </w:rPr>
              <w:lastRenderedPageBreak/>
              <w:t>Noted</w:t>
            </w:r>
            <w:r>
              <w:rPr>
                <w:color w:val="000000" w:themeColor="text1"/>
              </w:rPr>
              <w:t>.  Although other parties made similar arguments, the arguments and exhibits provided by TURN were complimentary rather than duplicative which resulted in a more complete record.</w:t>
            </w:r>
          </w:p>
        </w:tc>
      </w:tr>
    </w:tbl>
    <w:p w14:paraId="0F6B8762" w14:textId="77777777" w:rsidR="00C671DA" w:rsidRPr="007F620E" w:rsidRDefault="00C671DA" w:rsidP="00C671DA">
      <w:pPr>
        <w:rPr>
          <w:color w:val="000000"/>
        </w:rPr>
      </w:pPr>
    </w:p>
    <w:p w14:paraId="2B356AEF" w14:textId="77777777" w:rsidR="00C671DA" w:rsidRPr="007F620E" w:rsidRDefault="00C671DA" w:rsidP="00C671DA">
      <w:pPr>
        <w:tabs>
          <w:tab w:val="left" w:pos="1440"/>
        </w:tabs>
        <w:rPr>
          <w:color w:val="000000"/>
        </w:rPr>
      </w:pPr>
    </w:p>
    <w:p w14:paraId="3B540C5F" w14:textId="77777777" w:rsidR="00C671DA" w:rsidRPr="007F620E" w:rsidRDefault="00C671DA" w:rsidP="00C671DA">
      <w:pPr>
        <w:tabs>
          <w:tab w:val="left" w:pos="1260"/>
        </w:tabs>
        <w:ind w:left="1260" w:hanging="1260"/>
        <w:rPr>
          <w:b/>
          <w:color w:val="000000"/>
        </w:rPr>
      </w:pPr>
      <w:r w:rsidRPr="007F620E">
        <w:rPr>
          <w:b/>
          <w:color w:val="000000"/>
        </w:rPr>
        <w:t>PART III:</w:t>
      </w:r>
      <w:r w:rsidRPr="007F620E">
        <w:rPr>
          <w:b/>
          <w:color w:val="000000"/>
        </w:rPr>
        <w:tab/>
        <w:t xml:space="preserve">REASONABLENESS OF REQUESTED COMPENSATION </w:t>
      </w:r>
    </w:p>
    <w:p w14:paraId="226B5F2C" w14:textId="77777777" w:rsidR="00C671DA" w:rsidRPr="007F620E" w:rsidRDefault="00C671DA" w:rsidP="00C671DA">
      <w:pPr>
        <w:rPr>
          <w:color w:val="000000"/>
        </w:rPr>
      </w:pPr>
    </w:p>
    <w:p w14:paraId="0C2ED97A" w14:textId="77777777" w:rsidR="00C671DA" w:rsidRPr="007F620E" w:rsidRDefault="00C671DA" w:rsidP="00C671DA">
      <w:pPr>
        <w:numPr>
          <w:ilvl w:val="0"/>
          <w:numId w:val="2"/>
        </w:numPr>
        <w:tabs>
          <w:tab w:val="clear" w:pos="900"/>
          <w:tab w:val="num" w:pos="360"/>
        </w:tabs>
        <w:spacing w:after="120"/>
        <w:ind w:left="360"/>
        <w:rPr>
          <w:b/>
          <w:color w:val="000000"/>
        </w:rPr>
      </w:pPr>
      <w:r w:rsidRPr="007F620E">
        <w:rPr>
          <w:b/>
          <w:color w:val="000000"/>
        </w:rPr>
        <w:t>General Claim of Reasonableness (§ 1801 and § 1806):</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250"/>
      </w:tblGrid>
      <w:tr w:rsidR="00C671DA" w:rsidRPr="007F620E" w14:paraId="2C205C8A" w14:textId="77777777" w:rsidTr="00C36D4F">
        <w:tc>
          <w:tcPr>
            <w:tcW w:w="7488" w:type="dxa"/>
            <w:tcBorders>
              <w:bottom w:val="single" w:sz="4" w:space="0" w:color="auto"/>
            </w:tcBorders>
            <w:shd w:val="clear" w:color="auto" w:fill="auto"/>
          </w:tcPr>
          <w:p w14:paraId="7C59E386" w14:textId="77777777" w:rsidR="00C671DA" w:rsidRPr="007F620E" w:rsidRDefault="00C671DA" w:rsidP="00C36D4F">
            <w:pPr>
              <w:rPr>
                <w:b/>
                <w:color w:val="000000"/>
              </w:rPr>
            </w:pPr>
            <w:r w:rsidRPr="000A6194">
              <w:rPr>
                <w:b/>
                <w:color w:val="000000"/>
              </w:rPr>
              <w:t>a. Intervenor’s claim of cost reasonableness:</w:t>
            </w:r>
          </w:p>
          <w:p w14:paraId="1F7A9374" w14:textId="77777777" w:rsidR="00C671DA" w:rsidRDefault="00C671DA" w:rsidP="00C36D4F">
            <w:pPr>
              <w:rPr>
                <w:b/>
                <w:color w:val="000000"/>
              </w:rPr>
            </w:pPr>
          </w:p>
          <w:p w14:paraId="3C7781B6" w14:textId="77777777" w:rsidR="00C671DA" w:rsidRPr="0053314B" w:rsidRDefault="00C671DA" w:rsidP="00C36D4F">
            <w:pPr>
              <w:pStyle w:val="p1"/>
              <w:rPr>
                <w:rFonts w:ascii="Times New Roman" w:hAnsi="Times New Roman"/>
                <w:sz w:val="22"/>
                <w:szCs w:val="22"/>
              </w:rPr>
            </w:pPr>
            <w:r w:rsidRPr="0053314B">
              <w:rPr>
                <w:rFonts w:ascii="Times New Roman" w:hAnsi="Times New Roman"/>
                <w:sz w:val="22"/>
                <w:szCs w:val="22"/>
              </w:rPr>
              <w:t xml:space="preserve">TURN’s request for intervenor compensation seeks an award of approximately </w:t>
            </w:r>
            <w:r w:rsidRPr="003B3109">
              <w:rPr>
                <w:rFonts w:ascii="Times New Roman" w:hAnsi="Times New Roman"/>
                <w:sz w:val="22"/>
                <w:szCs w:val="22"/>
              </w:rPr>
              <w:t>$1.4</w:t>
            </w:r>
            <w:r w:rsidRPr="0053314B">
              <w:rPr>
                <w:rFonts w:ascii="Times New Roman" w:hAnsi="Times New Roman"/>
                <w:sz w:val="22"/>
                <w:szCs w:val="22"/>
              </w:rPr>
              <w:t xml:space="preserve"> million as the reasonable cost of our participation in the proceeding. </w:t>
            </w:r>
            <w:r>
              <w:rPr>
                <w:rFonts w:ascii="Times New Roman" w:hAnsi="Times New Roman"/>
                <w:sz w:val="22"/>
                <w:szCs w:val="22"/>
              </w:rPr>
              <w:t xml:space="preserve"> </w:t>
            </w:r>
            <w:proofErr w:type="gramStart"/>
            <w:r w:rsidRPr="0053314B">
              <w:rPr>
                <w:rFonts w:ascii="Times New Roman" w:hAnsi="Times New Roman"/>
                <w:sz w:val="22"/>
                <w:szCs w:val="22"/>
              </w:rPr>
              <w:t>In light of</w:t>
            </w:r>
            <w:proofErr w:type="gramEnd"/>
            <w:r w:rsidRPr="0053314B">
              <w:rPr>
                <w:rFonts w:ascii="Times New Roman" w:hAnsi="Times New Roman"/>
                <w:sz w:val="22"/>
                <w:szCs w:val="22"/>
              </w:rPr>
              <w:t xml:space="preserve"> the scope and quality of TURN’s work, and the benefits achieved through TURN’s participation in the proceeding, the Commission should have little trouble concluding that the amount requested is reasonable.</w:t>
            </w:r>
          </w:p>
          <w:p w14:paraId="4FB80247" w14:textId="77777777" w:rsidR="00C671DA" w:rsidRPr="0053314B" w:rsidRDefault="00C671DA" w:rsidP="00C36D4F">
            <w:pPr>
              <w:pStyle w:val="p1"/>
              <w:rPr>
                <w:rFonts w:ascii="Times New Roman" w:hAnsi="Times New Roman"/>
                <w:sz w:val="22"/>
                <w:szCs w:val="22"/>
              </w:rPr>
            </w:pPr>
          </w:p>
          <w:p w14:paraId="613C2B7E" w14:textId="77777777" w:rsidR="00C671DA" w:rsidRPr="0053314B" w:rsidRDefault="00C671DA" w:rsidP="00C36D4F">
            <w:pPr>
              <w:pStyle w:val="p1"/>
              <w:rPr>
                <w:rFonts w:ascii="Times New Roman" w:hAnsi="Times New Roman"/>
                <w:sz w:val="22"/>
                <w:szCs w:val="22"/>
              </w:rPr>
            </w:pPr>
            <w:r w:rsidRPr="0053314B">
              <w:rPr>
                <w:rFonts w:ascii="Times New Roman" w:hAnsi="Times New Roman"/>
                <w:sz w:val="22"/>
                <w:szCs w:val="22"/>
              </w:rPr>
              <w:t>The requested compensation amount is a very small fraction of the savings</w:t>
            </w:r>
          </w:p>
          <w:p w14:paraId="5C5D6879" w14:textId="77777777" w:rsidR="00C671DA" w:rsidRDefault="00C671DA" w:rsidP="00C36D4F">
            <w:pPr>
              <w:pStyle w:val="p1"/>
              <w:rPr>
                <w:rFonts w:ascii="Times New Roman" w:hAnsi="Times New Roman"/>
                <w:color w:val="000000"/>
                <w:sz w:val="22"/>
                <w:szCs w:val="22"/>
              </w:rPr>
            </w:pPr>
            <w:r w:rsidRPr="0053314B">
              <w:rPr>
                <w:rFonts w:ascii="Times New Roman" w:hAnsi="Times New Roman"/>
                <w:sz w:val="22"/>
                <w:szCs w:val="22"/>
              </w:rPr>
              <w:t xml:space="preserve">directly and indirectly attributable to TURN’s work.  </w:t>
            </w:r>
            <w:r w:rsidRPr="0053314B">
              <w:rPr>
                <w:rFonts w:ascii="Times New Roman" w:hAnsi="Times New Roman"/>
                <w:color w:val="000000"/>
                <w:sz w:val="22"/>
                <w:szCs w:val="22"/>
              </w:rPr>
              <w:t>TURN’s efforts in this proceeding, taken together with the other parties to the Settlement Agreement, will save ratepayers $750 million over the 2017 GRC cycle.</w:t>
            </w:r>
            <w:r w:rsidRPr="0053314B">
              <w:rPr>
                <w:rStyle w:val="FootnoteReference"/>
                <w:rFonts w:ascii="Times New Roman" w:hAnsi="Times New Roman"/>
                <w:color w:val="000000"/>
                <w:sz w:val="22"/>
                <w:szCs w:val="22"/>
              </w:rPr>
              <w:footnoteReference w:id="3"/>
            </w:r>
            <w:r w:rsidRPr="0053314B">
              <w:rPr>
                <w:rFonts w:ascii="Times New Roman" w:hAnsi="Times New Roman"/>
                <w:color w:val="000000"/>
                <w:sz w:val="22"/>
                <w:szCs w:val="22"/>
              </w:rPr>
              <w:t xml:space="preserve">  </w:t>
            </w:r>
            <w:r>
              <w:rPr>
                <w:rFonts w:ascii="Times New Roman" w:hAnsi="Times New Roman"/>
                <w:color w:val="000000"/>
                <w:sz w:val="22"/>
                <w:szCs w:val="22"/>
              </w:rPr>
              <w:t xml:space="preserve">As described above in the substantial contribution section, TURN can take credit for a substantial portion of this reduction.  Moreover, TURN’s efforts resulted in customer service benefits, particularly for the customers who use the 26 customer service offices that will stay open for the time being.  TURN’s efforts related to risk management and deferred work deemed necessary for safe and reliable service will also provide enhanced spending accountability for PG&amp;E, to the benefit of ratepayers.  </w:t>
            </w:r>
          </w:p>
          <w:p w14:paraId="067DD2C9" w14:textId="77777777" w:rsidR="00C671DA" w:rsidRDefault="00C671DA" w:rsidP="00C36D4F">
            <w:pPr>
              <w:pStyle w:val="p1"/>
              <w:rPr>
                <w:rFonts w:ascii="Times New Roman" w:hAnsi="Times New Roman"/>
                <w:color w:val="000000"/>
                <w:sz w:val="22"/>
                <w:szCs w:val="22"/>
              </w:rPr>
            </w:pPr>
          </w:p>
          <w:p w14:paraId="240C20EB" w14:textId="77777777" w:rsidR="00C671DA" w:rsidRPr="002116B5" w:rsidRDefault="00C671DA" w:rsidP="00C36D4F">
            <w:pPr>
              <w:pStyle w:val="p1"/>
              <w:rPr>
                <w:rFonts w:ascii="Times New Roman" w:hAnsi="Times New Roman"/>
                <w:sz w:val="22"/>
                <w:szCs w:val="22"/>
              </w:rPr>
            </w:pPr>
            <w:r>
              <w:rPr>
                <w:rFonts w:ascii="Times New Roman" w:hAnsi="Times New Roman"/>
                <w:sz w:val="22"/>
                <w:szCs w:val="22"/>
              </w:rPr>
              <w:t>The total</w:t>
            </w:r>
            <w:r w:rsidRPr="0053314B">
              <w:rPr>
                <w:rFonts w:ascii="Times New Roman" w:hAnsi="Times New Roman"/>
                <w:sz w:val="22"/>
                <w:szCs w:val="22"/>
              </w:rPr>
              <w:t xml:space="preserve"> amount </w:t>
            </w:r>
            <w:r>
              <w:rPr>
                <w:rFonts w:ascii="Times New Roman" w:hAnsi="Times New Roman"/>
                <w:sz w:val="22"/>
                <w:szCs w:val="22"/>
              </w:rPr>
              <w:t xml:space="preserve">of TURN’s request </w:t>
            </w:r>
            <w:r w:rsidRPr="0053314B">
              <w:rPr>
                <w:rFonts w:ascii="Times New Roman" w:hAnsi="Times New Roman"/>
                <w:sz w:val="22"/>
                <w:szCs w:val="22"/>
              </w:rPr>
              <w:t xml:space="preserve">is </w:t>
            </w:r>
            <w:r>
              <w:rPr>
                <w:rFonts w:ascii="Times New Roman" w:hAnsi="Times New Roman"/>
                <w:sz w:val="22"/>
                <w:szCs w:val="22"/>
              </w:rPr>
              <w:t xml:space="preserve">also reasonable </w:t>
            </w:r>
            <w:proofErr w:type="gramStart"/>
            <w:r>
              <w:rPr>
                <w:rFonts w:ascii="Times New Roman" w:hAnsi="Times New Roman"/>
                <w:sz w:val="22"/>
                <w:szCs w:val="22"/>
              </w:rPr>
              <w:t>in light of</w:t>
            </w:r>
            <w:proofErr w:type="gramEnd"/>
            <w:r>
              <w:rPr>
                <w:rFonts w:ascii="Times New Roman" w:hAnsi="Times New Roman"/>
                <w:sz w:val="22"/>
                <w:szCs w:val="22"/>
              </w:rPr>
              <w:t xml:space="preserve"> recent awards of compensation to TURN for work in </w:t>
            </w:r>
            <w:r w:rsidRPr="0053314B">
              <w:rPr>
                <w:rFonts w:ascii="Times New Roman" w:hAnsi="Times New Roman"/>
                <w:sz w:val="22"/>
                <w:szCs w:val="22"/>
              </w:rPr>
              <w:t xml:space="preserve">the PG&amp;E 2014 GRC and the SCE 2015 GRC.  </w:t>
            </w:r>
            <w:r>
              <w:rPr>
                <w:rFonts w:ascii="Times New Roman" w:hAnsi="Times New Roman"/>
                <w:sz w:val="22"/>
                <w:szCs w:val="22"/>
              </w:rPr>
              <w:t xml:space="preserve">The Commission in D.15-08-023 awarded TURN approximately $1.5 million in the PG&amp;E 2014 GRC, and in D.16-04-011, approximately </w:t>
            </w:r>
            <w:r w:rsidRPr="00106EBF">
              <w:rPr>
                <w:rFonts w:ascii="Times New Roman" w:hAnsi="Times New Roman"/>
                <w:sz w:val="22"/>
                <w:szCs w:val="22"/>
              </w:rPr>
              <w:t>$1.6 million</w:t>
            </w:r>
            <w:r>
              <w:rPr>
                <w:rFonts w:ascii="Times New Roman" w:hAnsi="Times New Roman"/>
                <w:sz w:val="22"/>
                <w:szCs w:val="22"/>
              </w:rPr>
              <w:t xml:space="preserve"> in the SCE 2015 GRC.  </w:t>
            </w:r>
            <w:r w:rsidRPr="0053314B">
              <w:rPr>
                <w:rFonts w:ascii="Times New Roman" w:hAnsi="Times New Roman"/>
                <w:sz w:val="22"/>
                <w:szCs w:val="22"/>
              </w:rPr>
              <w:t xml:space="preserve">The similarity in dollar amount, </w:t>
            </w:r>
            <w:proofErr w:type="gramStart"/>
            <w:r w:rsidRPr="0053314B">
              <w:rPr>
                <w:rFonts w:ascii="Times New Roman" w:hAnsi="Times New Roman"/>
                <w:sz w:val="22"/>
                <w:szCs w:val="22"/>
              </w:rPr>
              <w:t>despite the fact that</w:t>
            </w:r>
            <w:proofErr w:type="gramEnd"/>
            <w:r w:rsidRPr="0053314B">
              <w:rPr>
                <w:rFonts w:ascii="Times New Roman" w:hAnsi="Times New Roman"/>
                <w:sz w:val="22"/>
                <w:szCs w:val="22"/>
              </w:rPr>
              <w:t xml:space="preserve"> this GRC settled while the other two did not, reflects several factors.  First, TURN presented more volumes of testimony, sponsored by more witnesses, in this </w:t>
            </w:r>
            <w:r w:rsidRPr="0053314B">
              <w:rPr>
                <w:rFonts w:ascii="Times New Roman" w:hAnsi="Times New Roman"/>
                <w:sz w:val="22"/>
                <w:szCs w:val="22"/>
              </w:rPr>
              <w:lastRenderedPageBreak/>
              <w:t>proceeding.</w:t>
            </w:r>
            <w:r w:rsidRPr="0053314B">
              <w:rPr>
                <w:rStyle w:val="FootnoteReference"/>
                <w:rFonts w:ascii="Times New Roman" w:hAnsi="Times New Roman"/>
                <w:sz w:val="22"/>
                <w:szCs w:val="22"/>
              </w:rPr>
              <w:footnoteReference w:id="4"/>
            </w:r>
            <w:r w:rsidRPr="0053314B">
              <w:rPr>
                <w:rFonts w:ascii="Times New Roman" w:hAnsi="Times New Roman"/>
                <w:sz w:val="22"/>
                <w:szCs w:val="22"/>
              </w:rPr>
              <w:t xml:space="preserve">  Second, settlement negotiations were extremely time-intensive for TURN attorneys, primarily Ms. Goodson</w:t>
            </w:r>
            <w:r>
              <w:rPr>
                <w:rFonts w:ascii="Times New Roman" w:hAnsi="Times New Roman"/>
                <w:sz w:val="22"/>
                <w:szCs w:val="22"/>
              </w:rPr>
              <w:t xml:space="preserve">, who </w:t>
            </w:r>
            <w:r w:rsidRPr="000A6194">
              <w:rPr>
                <w:rFonts w:ascii="Times New Roman" w:hAnsi="Times New Roman"/>
                <w:sz w:val="22"/>
                <w:szCs w:val="22"/>
              </w:rPr>
              <w:t>devoted 185 hours to</w:t>
            </w:r>
            <w:r>
              <w:rPr>
                <w:rFonts w:ascii="Times New Roman" w:hAnsi="Times New Roman"/>
                <w:sz w:val="22"/>
                <w:szCs w:val="22"/>
              </w:rPr>
              <w:t xml:space="preserve"> this activity</w:t>
            </w:r>
            <w:r w:rsidRPr="0053314B">
              <w:rPr>
                <w:rFonts w:ascii="Times New Roman" w:hAnsi="Times New Roman"/>
                <w:sz w:val="22"/>
                <w:szCs w:val="22"/>
              </w:rPr>
              <w:t>.  Finally, the work done in those other cases was in 2012</w:t>
            </w:r>
            <w:r>
              <w:rPr>
                <w:rFonts w:ascii="Times New Roman" w:hAnsi="Times New Roman"/>
                <w:sz w:val="22"/>
                <w:szCs w:val="22"/>
              </w:rPr>
              <w:t>-2014 for the PG&amp;E 2014 GRC and in 2013-2015 for the SCE 2015 GRC.  T</w:t>
            </w:r>
            <w:r w:rsidRPr="0053314B">
              <w:rPr>
                <w:rFonts w:ascii="Times New Roman" w:hAnsi="Times New Roman"/>
                <w:sz w:val="22"/>
                <w:szCs w:val="22"/>
              </w:rPr>
              <w:t xml:space="preserve">he hourly rates for TURN’s experts and attorneys were lower </w:t>
            </w:r>
            <w:r>
              <w:rPr>
                <w:rFonts w:ascii="Times New Roman" w:hAnsi="Times New Roman"/>
                <w:sz w:val="22"/>
                <w:szCs w:val="22"/>
              </w:rPr>
              <w:t xml:space="preserve">in those earlier GRCs </w:t>
            </w:r>
            <w:r w:rsidRPr="0053314B">
              <w:rPr>
                <w:rFonts w:ascii="Times New Roman" w:hAnsi="Times New Roman"/>
                <w:sz w:val="22"/>
                <w:szCs w:val="22"/>
              </w:rPr>
              <w:t>than for most of the work requested here</w:t>
            </w:r>
            <w:r>
              <w:rPr>
                <w:rFonts w:ascii="Times New Roman" w:hAnsi="Times New Roman"/>
                <w:sz w:val="22"/>
                <w:szCs w:val="22"/>
              </w:rPr>
              <w:t xml:space="preserve">,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TURN’s time in 2015 here and in 2015 in the SCE 2015 GRC.</w:t>
            </w:r>
            <w:r>
              <w:t xml:space="preserve"> </w:t>
            </w:r>
            <w:r w:rsidRPr="0053314B">
              <w:rPr>
                <w:rFonts w:ascii="Times New Roman" w:hAnsi="Times New Roman"/>
                <w:sz w:val="22"/>
                <w:szCs w:val="22"/>
              </w:rPr>
              <w:t xml:space="preserve"> </w:t>
            </w:r>
          </w:p>
          <w:p w14:paraId="00579E2F" w14:textId="77777777" w:rsidR="00C671DA" w:rsidRPr="007F620E" w:rsidRDefault="00C671DA" w:rsidP="00C36D4F">
            <w:pPr>
              <w:rPr>
                <w:b/>
                <w:color w:val="000000"/>
              </w:rPr>
            </w:pPr>
          </w:p>
        </w:tc>
        <w:tc>
          <w:tcPr>
            <w:tcW w:w="2250" w:type="dxa"/>
            <w:shd w:val="clear" w:color="auto" w:fill="auto"/>
          </w:tcPr>
          <w:p w14:paraId="3C5C1723" w14:textId="77777777" w:rsidR="00C671DA" w:rsidRPr="007F620E" w:rsidRDefault="00C671DA" w:rsidP="00C36D4F">
            <w:pPr>
              <w:pBdr>
                <w:bottom w:val="single" w:sz="12" w:space="1" w:color="auto"/>
              </w:pBdr>
              <w:spacing w:before="120"/>
              <w:jc w:val="center"/>
              <w:rPr>
                <w:b/>
                <w:color w:val="000000"/>
              </w:rPr>
            </w:pPr>
            <w:r w:rsidRPr="007F620E">
              <w:rPr>
                <w:b/>
                <w:color w:val="000000"/>
              </w:rPr>
              <w:lastRenderedPageBreak/>
              <w:t>CPUC Discussion</w:t>
            </w:r>
          </w:p>
          <w:p w14:paraId="33F07E0C" w14:textId="77777777" w:rsidR="00C671DA" w:rsidRPr="00007A81" w:rsidRDefault="00C671DA" w:rsidP="00C36D4F">
            <w:pPr>
              <w:spacing w:before="120"/>
              <w:rPr>
                <w:color w:val="000000"/>
              </w:rPr>
            </w:pPr>
            <w:r w:rsidRPr="00007A81">
              <w:rPr>
                <w:color w:val="000000"/>
              </w:rPr>
              <w:t>Noted</w:t>
            </w:r>
          </w:p>
        </w:tc>
      </w:tr>
      <w:tr w:rsidR="00C671DA" w:rsidRPr="007F620E" w14:paraId="1153F050" w14:textId="77777777" w:rsidTr="00C36D4F">
        <w:tc>
          <w:tcPr>
            <w:tcW w:w="7488" w:type="dxa"/>
            <w:shd w:val="clear" w:color="auto" w:fill="auto"/>
          </w:tcPr>
          <w:p w14:paraId="708AED3A" w14:textId="77777777" w:rsidR="00C671DA" w:rsidRDefault="00C671DA" w:rsidP="00C36D4F">
            <w:pPr>
              <w:rPr>
                <w:b/>
                <w:color w:val="000000"/>
              </w:rPr>
            </w:pPr>
            <w:r w:rsidRPr="00ED5B58">
              <w:rPr>
                <w:b/>
                <w:color w:val="000000"/>
              </w:rPr>
              <w:t>b. Reasonableness of hours claimed:</w:t>
            </w:r>
          </w:p>
          <w:p w14:paraId="1CBBB4C5" w14:textId="77777777" w:rsidR="00C671DA" w:rsidRDefault="00C671DA" w:rsidP="00C36D4F">
            <w:pPr>
              <w:rPr>
                <w:b/>
                <w:color w:val="000000"/>
              </w:rPr>
            </w:pPr>
          </w:p>
          <w:p w14:paraId="6812B637" w14:textId="77777777" w:rsidR="00C671DA" w:rsidRPr="00587AD3" w:rsidRDefault="00C671DA" w:rsidP="00C36D4F">
            <w:pPr>
              <w:rPr>
                <w:color w:val="000000"/>
                <w:sz w:val="22"/>
                <w:szCs w:val="22"/>
              </w:rPr>
            </w:pPr>
            <w:r w:rsidRPr="00587AD3">
              <w:rPr>
                <w:color w:val="000000"/>
                <w:sz w:val="22"/>
                <w:szCs w:val="22"/>
              </w:rPr>
              <w:t xml:space="preserve">TURN seeks compensation for approximately 4,800 hours of time devoted to this proceeding by our staff attorneys, staff expert, and outside consultants.  The collective efforts of this team resulted in thirteen volumes of testimony, a settlement agreement adopted by the Commission in D.17-05-013 that reflects many of the recommendations presented by TURN, and the Commission’s adoption of TURN’s positions on the two non-settled issues.  In the sections that follow, TURN describes the contributions of all members of our team and why the Commission should find that the hours incurred were reasonable, </w:t>
            </w:r>
            <w:proofErr w:type="gramStart"/>
            <w:r w:rsidRPr="00587AD3">
              <w:rPr>
                <w:color w:val="000000"/>
                <w:sz w:val="22"/>
                <w:szCs w:val="22"/>
              </w:rPr>
              <w:t>in light of</w:t>
            </w:r>
            <w:proofErr w:type="gramEnd"/>
            <w:r w:rsidRPr="00587AD3">
              <w:rPr>
                <w:color w:val="000000"/>
                <w:sz w:val="22"/>
                <w:szCs w:val="22"/>
              </w:rPr>
              <w:t xml:space="preserve"> our substantial contribution described in Section II above.</w:t>
            </w:r>
          </w:p>
          <w:p w14:paraId="30E55537" w14:textId="77777777" w:rsidR="00C671DA" w:rsidRPr="00587AD3" w:rsidRDefault="00C671DA" w:rsidP="00C36D4F">
            <w:pPr>
              <w:rPr>
                <w:b/>
                <w:color w:val="000000"/>
                <w:sz w:val="22"/>
                <w:szCs w:val="22"/>
              </w:rPr>
            </w:pPr>
          </w:p>
          <w:p w14:paraId="6902F4C5" w14:textId="77777777" w:rsidR="00C671DA" w:rsidRPr="00587AD3" w:rsidRDefault="00C671DA" w:rsidP="00C36D4F">
            <w:pPr>
              <w:rPr>
                <w:b/>
                <w:color w:val="000000"/>
                <w:sz w:val="22"/>
                <w:szCs w:val="22"/>
                <w:u w:val="single"/>
              </w:rPr>
            </w:pPr>
            <w:r w:rsidRPr="00587AD3">
              <w:rPr>
                <w:b/>
                <w:color w:val="000000"/>
                <w:sz w:val="22"/>
                <w:szCs w:val="22"/>
                <w:u w:val="single"/>
              </w:rPr>
              <w:t>TURN Attorneys</w:t>
            </w:r>
          </w:p>
          <w:p w14:paraId="317528F2" w14:textId="77777777" w:rsidR="00C671DA" w:rsidRPr="00587AD3" w:rsidRDefault="00C671DA" w:rsidP="00C36D4F">
            <w:pPr>
              <w:rPr>
                <w:color w:val="000000"/>
                <w:sz w:val="22"/>
                <w:szCs w:val="22"/>
                <w:u w:val="single"/>
              </w:rPr>
            </w:pPr>
          </w:p>
          <w:p w14:paraId="76B09DA8"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Hayley Goodson served as TURN’s lead and coordinating attorney throughout this proceeding.  She also was responsible for covering several substantive issue areas, including post-test year ratemaking, customer deposits and cash working capital, and portions of customer care, HR, A&amp;G, and electric distribution.  Ms. Goodson additionally prepared and sponsored testimony as a TURN witness herself (Exhibit TURN-7).  Finally, Ms. Goodson was TURN’s lead representative throughout settlement negotiations, which lasted three months.  Ms. Goodson’s timesheets reflect this time commitment and the leading role played by TURN (with ORA) in negotiations.  TURN seeks compensation for just over 500 of Ms. Goodson’s hours here, or the equivalent of approximately 13 weeks of full-time work.  While Ms. Goodson’s hours are significant because of the extensive settlement negotiations, TURN notes that the time required of TURN’s other attorneys who were much last active in negotiations was significantly lower because the case settled before going to evidentiary and briefing.  Those activities tend to require significant time commitments from TURN’s attorneys, which were avoided by the successful settlement negotiations.</w:t>
            </w:r>
          </w:p>
          <w:p w14:paraId="709D3CC0" w14:textId="77777777" w:rsidR="00C671DA" w:rsidRPr="00587AD3" w:rsidRDefault="00C671DA" w:rsidP="00C36D4F">
            <w:pPr>
              <w:pStyle w:val="p1"/>
              <w:rPr>
                <w:rFonts w:ascii="Times New Roman" w:hAnsi="Times New Roman"/>
                <w:sz w:val="22"/>
                <w:szCs w:val="22"/>
              </w:rPr>
            </w:pPr>
          </w:p>
          <w:p w14:paraId="5B30825E"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Six other TURN staff attorneys worked on this PG&amp;E GRC:  Tom Long, Robert Finkelstein, Marcel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Matthew Freedman, Elise Torres, and Nina </w:t>
            </w:r>
            <w:proofErr w:type="spellStart"/>
            <w:r w:rsidRPr="00587AD3">
              <w:rPr>
                <w:rFonts w:ascii="Times New Roman" w:hAnsi="Times New Roman"/>
                <w:sz w:val="22"/>
                <w:szCs w:val="22"/>
              </w:rPr>
              <w:t>Suetake</w:t>
            </w:r>
            <w:proofErr w:type="spellEnd"/>
            <w:r w:rsidRPr="00587AD3">
              <w:rPr>
                <w:rFonts w:ascii="Times New Roman" w:hAnsi="Times New Roman"/>
                <w:sz w:val="22"/>
                <w:szCs w:val="22"/>
              </w:rPr>
              <w:t xml:space="preserve">.  </w:t>
            </w:r>
          </w:p>
          <w:p w14:paraId="6F062A49" w14:textId="77777777" w:rsidR="00C671DA" w:rsidRPr="00587AD3" w:rsidRDefault="00C671DA" w:rsidP="00C36D4F">
            <w:pPr>
              <w:pStyle w:val="p1"/>
              <w:rPr>
                <w:rFonts w:ascii="Times New Roman" w:hAnsi="Times New Roman"/>
                <w:sz w:val="22"/>
                <w:szCs w:val="22"/>
              </w:rPr>
            </w:pPr>
          </w:p>
          <w:p w14:paraId="5A912010"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Mr. Long, TURN’s Legal Director, was very active throughout this proceeding.  He covered gas distribution, safety and risk, and other policy and ratemaking issues.  He also sponsored testimony on PG&amp;E’s quantitative risk models, PG&amp;E’s deferral of work based on reprioritization, and gas distribution </w:t>
            </w:r>
            <w:r w:rsidRPr="00587AD3">
              <w:rPr>
                <w:rFonts w:ascii="Times New Roman" w:hAnsi="Times New Roman"/>
                <w:sz w:val="22"/>
                <w:szCs w:val="22"/>
              </w:rPr>
              <w:lastRenderedPageBreak/>
              <w:t xml:space="preserve">recordkeeping, Ex. TURN-1.  And he worked closely with Ms. Goodson throughout settlement negotiations, particularly as negotiations pertained to his </w:t>
            </w:r>
            <w:proofErr w:type="gramStart"/>
            <w:r w:rsidRPr="00587AD3">
              <w:rPr>
                <w:rFonts w:ascii="Times New Roman" w:hAnsi="Times New Roman"/>
                <w:sz w:val="22"/>
                <w:szCs w:val="22"/>
              </w:rPr>
              <w:t>particular issue</w:t>
            </w:r>
            <w:proofErr w:type="gramEnd"/>
            <w:r w:rsidRPr="00587AD3">
              <w:rPr>
                <w:rFonts w:ascii="Times New Roman" w:hAnsi="Times New Roman"/>
                <w:sz w:val="22"/>
                <w:szCs w:val="22"/>
              </w:rPr>
              <w:t xml:space="preserve"> areas.  TURN seeks compensation for approximately 420 of his hours here.</w:t>
            </w:r>
          </w:p>
          <w:p w14:paraId="0C87F53C" w14:textId="77777777" w:rsidR="00C671DA" w:rsidRPr="00587AD3" w:rsidRDefault="00C671DA" w:rsidP="00C36D4F">
            <w:pPr>
              <w:pStyle w:val="p1"/>
              <w:rPr>
                <w:rFonts w:ascii="Times New Roman" w:hAnsi="Times New Roman"/>
                <w:sz w:val="22"/>
                <w:szCs w:val="22"/>
              </w:rPr>
            </w:pPr>
          </w:p>
          <w:p w14:paraId="56D7B618"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Mr. Finkelstein covered depreciation, corporate real estate, portions of A&amp;G, miscellaneous revenues, and other policy and cost-of-service issues.  He additionally prepared and sponsored testimony, Exhibit TURN-10, and worked closely with Ms. Goodson throughout settlement negotiations.  TURN seeks compensation for approximately 290 of his hours here.</w:t>
            </w:r>
          </w:p>
          <w:p w14:paraId="2C719282" w14:textId="77777777" w:rsidR="00C671DA" w:rsidRPr="00587AD3" w:rsidRDefault="00C671DA" w:rsidP="00C36D4F">
            <w:pPr>
              <w:pStyle w:val="p1"/>
              <w:rPr>
                <w:rFonts w:ascii="Times New Roman" w:hAnsi="Times New Roman"/>
                <w:sz w:val="22"/>
                <w:szCs w:val="22"/>
              </w:rPr>
            </w:pPr>
          </w:p>
          <w:p w14:paraId="1C0E4C43"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Mr.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Mr. Freedman, Ms. Torres, and Ms. </w:t>
            </w:r>
            <w:proofErr w:type="spellStart"/>
            <w:r w:rsidRPr="00587AD3">
              <w:rPr>
                <w:rFonts w:ascii="Times New Roman" w:hAnsi="Times New Roman"/>
                <w:sz w:val="22"/>
                <w:szCs w:val="22"/>
              </w:rPr>
              <w:t>Suetake</w:t>
            </w:r>
            <w:proofErr w:type="spellEnd"/>
            <w:r w:rsidRPr="00587AD3">
              <w:rPr>
                <w:rFonts w:ascii="Times New Roman" w:hAnsi="Times New Roman"/>
                <w:sz w:val="22"/>
                <w:szCs w:val="22"/>
              </w:rPr>
              <w:t xml:space="preserve"> each covered discrete issue areas.  Mr.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covered portions of electric distribution and customer care, as well as affordability issues.  Mr.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also addressed the gas leak management issues with overlaps between this proceeding and R.15-01-008, where he has represented TURN.  Mr. Freedman covered generation, particularly issues related to Diablo Canyon, an area in which he has </w:t>
            </w:r>
            <w:proofErr w:type="gramStart"/>
            <w:r w:rsidRPr="00587AD3">
              <w:rPr>
                <w:rFonts w:ascii="Times New Roman" w:hAnsi="Times New Roman"/>
                <w:sz w:val="22"/>
                <w:szCs w:val="22"/>
              </w:rPr>
              <w:t>particular expertise</w:t>
            </w:r>
            <w:proofErr w:type="gramEnd"/>
            <w:r w:rsidRPr="00587AD3">
              <w:rPr>
                <w:rFonts w:ascii="Times New Roman" w:hAnsi="Times New Roman"/>
                <w:sz w:val="22"/>
                <w:szCs w:val="22"/>
              </w:rPr>
              <w:t xml:space="preserve"> and extensive experience.  Ms. Torres covered incentive compensation, </w:t>
            </w:r>
            <w:proofErr w:type="gramStart"/>
            <w:r w:rsidRPr="00587AD3">
              <w:rPr>
                <w:rFonts w:ascii="Times New Roman" w:hAnsi="Times New Roman"/>
                <w:sz w:val="22"/>
                <w:szCs w:val="22"/>
              </w:rPr>
              <w:t>and also</w:t>
            </w:r>
            <w:proofErr w:type="gramEnd"/>
            <w:r w:rsidRPr="00587AD3">
              <w:rPr>
                <w:rFonts w:ascii="Times New Roman" w:hAnsi="Times New Roman"/>
                <w:sz w:val="22"/>
                <w:szCs w:val="22"/>
              </w:rPr>
              <w:t xml:space="preserve"> helped with other HR and A&amp;G issues.  Ms. </w:t>
            </w:r>
            <w:proofErr w:type="spellStart"/>
            <w:r w:rsidRPr="00587AD3">
              <w:rPr>
                <w:rFonts w:ascii="Times New Roman" w:hAnsi="Times New Roman"/>
                <w:sz w:val="22"/>
                <w:szCs w:val="22"/>
              </w:rPr>
              <w:t>Suetake</w:t>
            </w:r>
            <w:proofErr w:type="spellEnd"/>
            <w:r w:rsidRPr="00587AD3">
              <w:rPr>
                <w:rFonts w:ascii="Times New Roman" w:hAnsi="Times New Roman"/>
                <w:sz w:val="22"/>
                <w:szCs w:val="22"/>
              </w:rPr>
              <w:t xml:space="preserve"> joined the GRC team in the spring of 2016, and took over responsibility for certain electric distribution, generation, HR, and A&amp;G issues.  The hours sought for each of these TURN attorneys are reasonable given the scope of their issue coverage in the proceeding.  </w:t>
            </w:r>
          </w:p>
          <w:p w14:paraId="6B90614E" w14:textId="77777777" w:rsidR="00C671DA" w:rsidRPr="00587AD3" w:rsidRDefault="00C671DA" w:rsidP="00C36D4F">
            <w:pPr>
              <w:pStyle w:val="p1"/>
              <w:rPr>
                <w:rFonts w:ascii="Times New Roman" w:hAnsi="Times New Roman"/>
                <w:sz w:val="22"/>
                <w:szCs w:val="22"/>
              </w:rPr>
            </w:pPr>
          </w:p>
          <w:p w14:paraId="1CF1EBAB"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TURN submits that our recorded attorney hours in this proceeding are reasonable, both as described above and as demonstrated in the wide-ranging substantial contribution TURN made in this proceeding.  Therefore, TURN seeks compensation for </w:t>
            </w:r>
            <w:proofErr w:type="gramStart"/>
            <w:r w:rsidRPr="00587AD3">
              <w:rPr>
                <w:rFonts w:ascii="Times New Roman" w:hAnsi="Times New Roman"/>
                <w:sz w:val="22"/>
                <w:szCs w:val="22"/>
              </w:rPr>
              <w:t>all of</w:t>
            </w:r>
            <w:proofErr w:type="gramEnd"/>
            <w:r w:rsidRPr="00587AD3">
              <w:rPr>
                <w:rFonts w:ascii="Times New Roman" w:hAnsi="Times New Roman"/>
                <w:sz w:val="22"/>
                <w:szCs w:val="22"/>
              </w:rPr>
              <w:t xml:space="preserve"> the hours recorded by our attorneys and included in this request.</w:t>
            </w:r>
          </w:p>
          <w:p w14:paraId="07EABC31" w14:textId="77777777" w:rsidR="00C671DA" w:rsidRPr="00587AD3" w:rsidRDefault="00C671DA" w:rsidP="00C36D4F">
            <w:pPr>
              <w:rPr>
                <w:color w:val="000000"/>
                <w:sz w:val="22"/>
                <w:szCs w:val="22"/>
              </w:rPr>
            </w:pPr>
          </w:p>
          <w:p w14:paraId="534258B3" w14:textId="77777777" w:rsidR="00C671DA" w:rsidRPr="00587AD3" w:rsidRDefault="00C671DA" w:rsidP="00C36D4F">
            <w:pPr>
              <w:rPr>
                <w:b/>
                <w:color w:val="000000"/>
                <w:sz w:val="22"/>
                <w:szCs w:val="22"/>
                <w:u w:val="single"/>
              </w:rPr>
            </w:pPr>
            <w:r w:rsidRPr="00587AD3">
              <w:rPr>
                <w:b/>
                <w:color w:val="000000"/>
                <w:sz w:val="22"/>
                <w:szCs w:val="22"/>
                <w:u w:val="single"/>
              </w:rPr>
              <w:t>TURN Expert Eric Borden</w:t>
            </w:r>
          </w:p>
          <w:p w14:paraId="3351AE02" w14:textId="77777777" w:rsidR="00C671DA" w:rsidRPr="00587AD3" w:rsidRDefault="00C671DA" w:rsidP="00C36D4F">
            <w:pPr>
              <w:rPr>
                <w:color w:val="000000"/>
                <w:sz w:val="22"/>
                <w:szCs w:val="22"/>
                <w:u w:val="single"/>
              </w:rPr>
            </w:pPr>
          </w:p>
          <w:p w14:paraId="5F8D5A8A" w14:textId="77777777" w:rsidR="00C671DA" w:rsidRPr="00587AD3" w:rsidRDefault="00C671DA" w:rsidP="00C36D4F">
            <w:pPr>
              <w:pStyle w:val="BlockText"/>
              <w:tabs>
                <w:tab w:val="left" w:pos="7110"/>
              </w:tabs>
              <w:ind w:left="0" w:right="162"/>
              <w:rPr>
                <w:color w:val="000000"/>
                <w:sz w:val="22"/>
                <w:szCs w:val="22"/>
              </w:rPr>
            </w:pPr>
            <w:r w:rsidRPr="00587AD3">
              <w:rPr>
                <w:color w:val="000000"/>
                <w:sz w:val="22"/>
                <w:szCs w:val="22"/>
              </w:rPr>
              <w:t xml:space="preserve">Mr. Borden is TURN’s in-house energy analyst who joined TURN in February 2015.  Prior to TURN, Mr. Borden worked as a consultant in energy and finance for approximately seven years. </w:t>
            </w:r>
          </w:p>
          <w:p w14:paraId="4CD75BD7" w14:textId="77777777" w:rsidR="00C671DA" w:rsidRPr="00587AD3" w:rsidRDefault="00C671DA" w:rsidP="00C36D4F">
            <w:pPr>
              <w:rPr>
                <w:sz w:val="22"/>
                <w:szCs w:val="22"/>
                <w:highlight w:val="yellow"/>
              </w:rPr>
            </w:pPr>
            <w:r w:rsidRPr="00587AD3">
              <w:rPr>
                <w:sz w:val="22"/>
                <w:szCs w:val="22"/>
              </w:rPr>
              <w:t xml:space="preserve">In this proceeding, Mr. Borden conducted discovery and analysis, and prepared testimony, Exhibit TURN-4, addressing several electric distribution topics, as well as one gas distribution topic.  Specifically, Mr. Borden addressed various topics in PG&amp;E-4, Chapter 13, “Electric Distribution Capital,” PG&amp;E-4, Chapter 17, “New Business and Work at the Request of Others,” and one topic in PG&amp;E-3, Chapter 8 related to forecast of new non-residential gas meters.  Within these chapters, Mr. Borden analyzed expenditures related to distribution substation capacity projects (MWC 46), including adjustments to protect ratepayers from funding the same projects twice, as well as a new cost category, “Unidentified, Emergent Work,” for forecast years 2015-2017.  Mr. Borden’s testimony sought to demonstrate why disallowances from 2015-2017 of $53 million, $57 million, and $76 million, respectively, were necessary. </w:t>
            </w:r>
          </w:p>
          <w:p w14:paraId="7CEB1CAC" w14:textId="77777777" w:rsidR="00C671DA" w:rsidRPr="00587AD3" w:rsidRDefault="00C671DA" w:rsidP="00C36D4F">
            <w:pPr>
              <w:widowControl w:val="0"/>
              <w:autoSpaceDE w:val="0"/>
              <w:autoSpaceDN w:val="0"/>
              <w:adjustRightInd w:val="0"/>
              <w:rPr>
                <w:sz w:val="22"/>
                <w:szCs w:val="22"/>
              </w:rPr>
            </w:pPr>
          </w:p>
          <w:p w14:paraId="62B7DCF5" w14:textId="77777777" w:rsidR="00C671DA" w:rsidRPr="00587AD3" w:rsidRDefault="00C671DA" w:rsidP="00C36D4F">
            <w:pPr>
              <w:widowControl w:val="0"/>
              <w:autoSpaceDE w:val="0"/>
              <w:autoSpaceDN w:val="0"/>
              <w:adjustRightInd w:val="0"/>
              <w:rPr>
                <w:sz w:val="22"/>
                <w:szCs w:val="22"/>
              </w:rPr>
            </w:pPr>
            <w:r w:rsidRPr="00587AD3">
              <w:rPr>
                <w:sz w:val="22"/>
                <w:szCs w:val="22"/>
              </w:rPr>
              <w:t xml:space="preserve">Among other issues, Mr. Borden provided analysis on historical forecasts versus actual expenditures for distribution capacity projects, as well as project-level </w:t>
            </w:r>
            <w:r w:rsidRPr="00587AD3">
              <w:rPr>
                <w:sz w:val="22"/>
                <w:szCs w:val="22"/>
              </w:rPr>
              <w:lastRenderedPageBreak/>
              <w:t>expenditures that were not warranted, and a new category of distribution capacity forecasting.  Further, he closely scrutinized PG&amp;E pilot data to demonstrate why the utility’s volt-var optimization (VVO) program was unlikely to be cost-effective.  And finally, he analyzed PG&amp;E’s regression model and various inputs to forecast new non-residential customers, arguing a lower non-residential meter forecast was more reasonable than PG&amp;E’s forecast.  TURN requests compensation for approximately 230 hours of Mr. Borden’s time.</w:t>
            </w:r>
          </w:p>
          <w:p w14:paraId="42A48130" w14:textId="77777777" w:rsidR="00C671DA" w:rsidRPr="00587AD3" w:rsidRDefault="00C671DA" w:rsidP="00C36D4F">
            <w:pPr>
              <w:widowControl w:val="0"/>
              <w:autoSpaceDE w:val="0"/>
              <w:autoSpaceDN w:val="0"/>
              <w:adjustRightInd w:val="0"/>
              <w:rPr>
                <w:sz w:val="22"/>
                <w:szCs w:val="22"/>
              </w:rPr>
            </w:pPr>
          </w:p>
          <w:p w14:paraId="3BFCF4A4" w14:textId="77777777" w:rsidR="00C671DA" w:rsidRPr="00587AD3" w:rsidRDefault="00C671DA" w:rsidP="00C36D4F">
            <w:pPr>
              <w:widowControl w:val="0"/>
              <w:autoSpaceDE w:val="0"/>
              <w:autoSpaceDN w:val="0"/>
              <w:adjustRightInd w:val="0"/>
              <w:rPr>
                <w:sz w:val="22"/>
                <w:szCs w:val="22"/>
              </w:rPr>
            </w:pPr>
            <w:r w:rsidRPr="00587AD3">
              <w:rPr>
                <w:sz w:val="22"/>
                <w:szCs w:val="22"/>
              </w:rPr>
              <w:t xml:space="preserve">Mr. Borden’s work was distinct from TURN’s other witnesses who addressed electric distribution issues, The Wired Group and Garrick Jones of JBS Energy.  The Wired Group addressed the Distributed Energy Resource Integration Capacity (DERIC) program, part of MWC 06 presented in PG&amp;E-4, Chapter 13.  Mr. Borden addressed the same cost category and chapter, but his recommendations related solely to PG&amp;E’s Volt-var optimization (VVO) program from this section, which is distinct from the DERIC program.  Mr. Borden’s work was also distinct from that of Mr. Jones; the two addressed completely different chapters of Exhibit PG&amp;E-4. </w:t>
            </w:r>
          </w:p>
          <w:p w14:paraId="72420820" w14:textId="77777777" w:rsidR="00C671DA" w:rsidRPr="00587AD3" w:rsidRDefault="00C671DA" w:rsidP="00C36D4F">
            <w:pPr>
              <w:rPr>
                <w:color w:val="000000"/>
                <w:sz w:val="22"/>
                <w:szCs w:val="22"/>
              </w:rPr>
            </w:pPr>
          </w:p>
          <w:p w14:paraId="6A3E9794" w14:textId="77777777" w:rsidR="00C671DA" w:rsidRPr="00587AD3" w:rsidRDefault="00C671DA" w:rsidP="00C36D4F">
            <w:pPr>
              <w:rPr>
                <w:b/>
                <w:color w:val="000000"/>
                <w:sz w:val="22"/>
                <w:szCs w:val="22"/>
                <w:u w:val="single"/>
              </w:rPr>
            </w:pPr>
            <w:r w:rsidRPr="00587AD3">
              <w:rPr>
                <w:b/>
                <w:color w:val="000000"/>
                <w:sz w:val="22"/>
                <w:szCs w:val="22"/>
                <w:u w:val="single"/>
              </w:rPr>
              <w:t>TURN Outside Consultants</w:t>
            </w:r>
          </w:p>
          <w:p w14:paraId="7E49EE97" w14:textId="77777777" w:rsidR="00C671DA" w:rsidRPr="00587AD3" w:rsidRDefault="00C671DA" w:rsidP="00C36D4F">
            <w:pPr>
              <w:rPr>
                <w:color w:val="000000"/>
                <w:sz w:val="22"/>
                <w:szCs w:val="22"/>
                <w:u w:val="single"/>
              </w:rPr>
            </w:pPr>
          </w:p>
          <w:p w14:paraId="75531149" w14:textId="77777777" w:rsidR="00C671DA" w:rsidRPr="00587AD3" w:rsidRDefault="00C671DA" w:rsidP="00C36D4F">
            <w:pPr>
              <w:rPr>
                <w:b/>
                <w:i/>
                <w:color w:val="000000"/>
                <w:sz w:val="22"/>
                <w:szCs w:val="22"/>
                <w:u w:val="single"/>
              </w:rPr>
            </w:pPr>
            <w:r w:rsidRPr="00587AD3">
              <w:rPr>
                <w:b/>
                <w:i/>
                <w:color w:val="000000"/>
                <w:sz w:val="22"/>
                <w:szCs w:val="22"/>
                <w:u w:val="single"/>
              </w:rPr>
              <w:t>JBS Energy</w:t>
            </w:r>
          </w:p>
          <w:p w14:paraId="0ECB163B" w14:textId="77777777" w:rsidR="00C671DA" w:rsidRPr="00587AD3" w:rsidRDefault="00C671DA" w:rsidP="00C36D4F">
            <w:pPr>
              <w:rPr>
                <w:i/>
                <w:color w:val="000000"/>
                <w:sz w:val="22"/>
                <w:szCs w:val="22"/>
                <w:u w:val="single"/>
              </w:rPr>
            </w:pPr>
          </w:p>
          <w:p w14:paraId="2020A0E3"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JBS Energy once again played an instrumental role in TURN’s participation in this GRC by covering a broad array of </w:t>
            </w:r>
            <w:proofErr w:type="gramStart"/>
            <w:r w:rsidRPr="00587AD3">
              <w:rPr>
                <w:rFonts w:ascii="Times New Roman" w:hAnsi="Times New Roman"/>
                <w:sz w:val="22"/>
                <w:szCs w:val="22"/>
              </w:rPr>
              <w:t>issues, and</w:t>
            </w:r>
            <w:proofErr w:type="gramEnd"/>
            <w:r w:rsidRPr="00587AD3">
              <w:rPr>
                <w:rFonts w:ascii="Times New Roman" w:hAnsi="Times New Roman"/>
                <w:sz w:val="22"/>
                <w:szCs w:val="22"/>
              </w:rPr>
              <w:t xml:space="preserve"> conducting an in-depth review of past spending patterns and forecasts for this GRC.</w:t>
            </w:r>
          </w:p>
          <w:p w14:paraId="1EC8FAEF" w14:textId="77777777" w:rsidR="00C671DA" w:rsidRPr="00587AD3" w:rsidRDefault="00C671DA" w:rsidP="00C36D4F">
            <w:pPr>
              <w:pStyle w:val="p1"/>
              <w:rPr>
                <w:rFonts w:ascii="Times New Roman" w:hAnsi="Times New Roman"/>
                <w:sz w:val="22"/>
                <w:szCs w:val="22"/>
              </w:rPr>
            </w:pPr>
          </w:p>
          <w:p w14:paraId="1F4F6DD4"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The members of JBS Energy engaged in a thorough review of a broad array of issues, with a correspondingly substantial number of hours invoiced for the associated work of JBS Energy.  This work was a critical part of TURN’s success in this proceeding.  </w:t>
            </w:r>
            <w:proofErr w:type="gramStart"/>
            <w:r w:rsidRPr="00587AD3">
              <w:rPr>
                <w:rFonts w:ascii="Times New Roman" w:hAnsi="Times New Roman"/>
                <w:sz w:val="22"/>
                <w:szCs w:val="22"/>
              </w:rPr>
              <w:t>In light of</w:t>
            </w:r>
            <w:proofErr w:type="gramEnd"/>
            <w:r w:rsidRPr="00587AD3">
              <w:rPr>
                <w:rFonts w:ascii="Times New Roman" w:hAnsi="Times New Roman"/>
                <w:sz w:val="22"/>
                <w:szCs w:val="22"/>
              </w:rPr>
              <w:t xml:space="preserve"> the breadth of TURN’s substantial contribution and the dollar impact of many of our positions reflected in the settlement agreement, the Commission should have little trouble concluding that the requested number of hours and the associated intervenor compensation is a very cost-effective investment for PG&amp;E’s ratepayers.</w:t>
            </w:r>
          </w:p>
          <w:p w14:paraId="45353109" w14:textId="77777777" w:rsidR="00C671DA" w:rsidRPr="00587AD3" w:rsidRDefault="00C671DA" w:rsidP="00C36D4F">
            <w:pPr>
              <w:pStyle w:val="p1"/>
              <w:rPr>
                <w:rFonts w:ascii="Times New Roman" w:hAnsi="Times New Roman"/>
                <w:sz w:val="22"/>
                <w:szCs w:val="22"/>
              </w:rPr>
            </w:pPr>
          </w:p>
          <w:p w14:paraId="24A70A00"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Four members of JBS Energy’s staff worked on the PG&amp;E GRC on behalf of TURN, with three of them sponsoring testimony.  William </w:t>
            </w:r>
            <w:proofErr w:type="spellStart"/>
            <w:r w:rsidRPr="00587AD3">
              <w:rPr>
                <w:rFonts w:ascii="Times New Roman" w:hAnsi="Times New Roman"/>
                <w:sz w:val="22"/>
                <w:szCs w:val="22"/>
              </w:rPr>
              <w:t>Perea</w:t>
            </w:r>
            <w:proofErr w:type="spellEnd"/>
            <w:r w:rsidRPr="00587AD3">
              <w:rPr>
                <w:rFonts w:ascii="Times New Roman" w:hAnsi="Times New Roman"/>
                <w:sz w:val="22"/>
                <w:szCs w:val="22"/>
              </w:rPr>
              <w:t xml:space="preserve"> Marcus’s testimony, Exhibit TURN-6, covered generation, HR, A&amp;G (other than incentive compensation), customer deposits, cash working capital, and depreciation related to generation.  Garrick Jones prepared and sponsored Exhibit TURN-3, which addressed a range of electric distribution issues, including issues with IT crossover, such as mapping.  Mr. Jones also assisted with analysis and discovery on HR, A&amp;G, risk, and integrated planning.  And John Sugar sponsored separate testimony on gas distribution and compensation issues, covered in Exhibits TURN-2 and TURN-9, respectively.  Last but certainly not least, Greg </w:t>
            </w:r>
            <w:proofErr w:type="spellStart"/>
            <w:r w:rsidRPr="00587AD3">
              <w:rPr>
                <w:rFonts w:ascii="Times New Roman" w:hAnsi="Times New Roman"/>
                <w:sz w:val="22"/>
                <w:szCs w:val="22"/>
              </w:rPr>
              <w:t>Ruszovan</w:t>
            </w:r>
            <w:proofErr w:type="spellEnd"/>
            <w:r w:rsidRPr="00587AD3">
              <w:rPr>
                <w:rFonts w:ascii="Times New Roman" w:hAnsi="Times New Roman"/>
                <w:sz w:val="22"/>
                <w:szCs w:val="22"/>
              </w:rPr>
              <w:t xml:space="preserve"> has highly-developed data analysis, compilation and presentation skills, and played a critical role in developing and performing some of the analysis reflected in the testimony sponsored by other JBS Energy firm members. The Commission should find reasonable the requested amounts for the members of JBS Energy.</w:t>
            </w:r>
          </w:p>
          <w:p w14:paraId="373772C6" w14:textId="77777777" w:rsidR="00C671DA" w:rsidRPr="00587AD3" w:rsidRDefault="00C671DA" w:rsidP="00C36D4F">
            <w:pPr>
              <w:rPr>
                <w:i/>
                <w:color w:val="000000"/>
                <w:sz w:val="22"/>
                <w:szCs w:val="22"/>
                <w:u w:val="single"/>
              </w:rPr>
            </w:pPr>
          </w:p>
          <w:p w14:paraId="653AE86C" w14:textId="77777777" w:rsidR="00C671DA" w:rsidRPr="00587AD3" w:rsidRDefault="00C671DA" w:rsidP="00C36D4F">
            <w:pPr>
              <w:rPr>
                <w:b/>
                <w:i/>
                <w:color w:val="000000"/>
                <w:sz w:val="22"/>
                <w:szCs w:val="22"/>
                <w:u w:val="single"/>
              </w:rPr>
            </w:pPr>
            <w:r w:rsidRPr="00587AD3">
              <w:rPr>
                <w:b/>
                <w:i/>
                <w:color w:val="000000"/>
                <w:sz w:val="22"/>
                <w:szCs w:val="22"/>
                <w:u w:val="single"/>
              </w:rPr>
              <w:lastRenderedPageBreak/>
              <w:t xml:space="preserve">Jeffrey </w:t>
            </w:r>
            <w:proofErr w:type="spellStart"/>
            <w:r w:rsidRPr="00587AD3">
              <w:rPr>
                <w:b/>
                <w:i/>
                <w:color w:val="000000"/>
                <w:sz w:val="22"/>
                <w:szCs w:val="22"/>
                <w:u w:val="single"/>
              </w:rPr>
              <w:t>Nahigian</w:t>
            </w:r>
            <w:proofErr w:type="spellEnd"/>
          </w:p>
          <w:p w14:paraId="1FF376EA" w14:textId="77777777" w:rsidR="00C671DA" w:rsidRPr="00587AD3" w:rsidRDefault="00C671DA" w:rsidP="00C36D4F">
            <w:pPr>
              <w:rPr>
                <w:i/>
                <w:color w:val="000000"/>
                <w:sz w:val="22"/>
                <w:szCs w:val="22"/>
                <w:u w:val="single"/>
              </w:rPr>
            </w:pPr>
          </w:p>
          <w:p w14:paraId="5A25B643" w14:textId="77777777" w:rsidR="00C671DA" w:rsidRPr="00587AD3" w:rsidRDefault="00C671DA" w:rsidP="00C36D4F">
            <w:pPr>
              <w:rPr>
                <w:color w:val="000000"/>
                <w:sz w:val="22"/>
                <w:szCs w:val="22"/>
              </w:rPr>
            </w:pPr>
            <w:r w:rsidRPr="00587AD3">
              <w:rPr>
                <w:color w:val="000000"/>
                <w:sz w:val="22"/>
                <w:szCs w:val="22"/>
              </w:rPr>
              <w:t xml:space="preserve">Jeffrey </w:t>
            </w:r>
            <w:proofErr w:type="spellStart"/>
            <w:r w:rsidRPr="00587AD3">
              <w:rPr>
                <w:color w:val="000000"/>
                <w:sz w:val="22"/>
                <w:szCs w:val="22"/>
              </w:rPr>
              <w:t>Nahigian</w:t>
            </w:r>
            <w:proofErr w:type="spellEnd"/>
            <w:r w:rsidRPr="00587AD3">
              <w:rPr>
                <w:color w:val="000000"/>
                <w:sz w:val="22"/>
                <w:szCs w:val="22"/>
              </w:rPr>
              <w:t xml:space="preserve">, a long-time member of the JBS Energy firm now providing consulting services on his own, assisted TURN in reviewing PG&amp;E’s customer service and corporate real estate requests.  Mr. </w:t>
            </w:r>
            <w:proofErr w:type="spellStart"/>
            <w:r w:rsidRPr="00587AD3">
              <w:rPr>
                <w:color w:val="000000"/>
                <w:sz w:val="22"/>
                <w:szCs w:val="22"/>
              </w:rPr>
              <w:t>Nahigian</w:t>
            </w:r>
            <w:proofErr w:type="spellEnd"/>
            <w:r w:rsidRPr="00587AD3">
              <w:rPr>
                <w:color w:val="000000"/>
                <w:sz w:val="22"/>
                <w:szCs w:val="22"/>
              </w:rPr>
              <w:t xml:space="preserve"> has covered these subject matters on behalf of TURN in </w:t>
            </w:r>
            <w:proofErr w:type="gramStart"/>
            <w:r w:rsidRPr="00587AD3">
              <w:rPr>
                <w:color w:val="000000"/>
                <w:sz w:val="22"/>
                <w:szCs w:val="22"/>
              </w:rPr>
              <w:t>a number of</w:t>
            </w:r>
            <w:proofErr w:type="gramEnd"/>
            <w:r w:rsidRPr="00587AD3">
              <w:rPr>
                <w:color w:val="000000"/>
                <w:sz w:val="22"/>
                <w:szCs w:val="22"/>
              </w:rPr>
              <w:t xml:space="preserve"> prior GRCs.  Mr. </w:t>
            </w:r>
            <w:proofErr w:type="spellStart"/>
            <w:r w:rsidRPr="00587AD3">
              <w:rPr>
                <w:color w:val="000000"/>
                <w:sz w:val="22"/>
                <w:szCs w:val="22"/>
              </w:rPr>
              <w:t>Nahigian</w:t>
            </w:r>
            <w:proofErr w:type="spellEnd"/>
            <w:r w:rsidRPr="00587AD3">
              <w:rPr>
                <w:color w:val="000000"/>
                <w:sz w:val="22"/>
                <w:szCs w:val="22"/>
              </w:rPr>
              <w:t xml:space="preserve"> conducted discovery, prepared testimony, and assisted TURN during settlement negotiations regarding customer service and corporate real estate issues.  He addressed </w:t>
            </w:r>
            <w:proofErr w:type="gramStart"/>
            <w:r w:rsidRPr="00587AD3">
              <w:rPr>
                <w:color w:val="000000"/>
                <w:sz w:val="22"/>
                <w:szCs w:val="22"/>
              </w:rPr>
              <w:t>both of these</w:t>
            </w:r>
            <w:proofErr w:type="gramEnd"/>
            <w:r w:rsidRPr="00587AD3">
              <w:rPr>
                <w:color w:val="000000"/>
                <w:sz w:val="22"/>
                <w:szCs w:val="22"/>
              </w:rPr>
              <w:t xml:space="preserve"> issue areas in Exhibit TURN-8.  Mr. </w:t>
            </w:r>
            <w:proofErr w:type="spellStart"/>
            <w:r w:rsidRPr="00587AD3">
              <w:rPr>
                <w:color w:val="000000"/>
                <w:sz w:val="22"/>
                <w:szCs w:val="22"/>
              </w:rPr>
              <w:t>Nahigian</w:t>
            </w:r>
            <w:proofErr w:type="spellEnd"/>
            <w:r w:rsidRPr="00587AD3">
              <w:rPr>
                <w:color w:val="000000"/>
                <w:sz w:val="22"/>
                <w:szCs w:val="22"/>
              </w:rPr>
              <w:t xml:space="preserve"> also worked together with TURN attorney Hayley Goodson to analyze one of PG&amp;E’s customer service requests, the proposal to close 26 customer service offices.  Mr. </w:t>
            </w:r>
            <w:proofErr w:type="spellStart"/>
            <w:r w:rsidRPr="00587AD3">
              <w:rPr>
                <w:color w:val="000000"/>
                <w:sz w:val="22"/>
                <w:szCs w:val="22"/>
              </w:rPr>
              <w:t>Nahigian</w:t>
            </w:r>
            <w:proofErr w:type="spellEnd"/>
            <w:r w:rsidRPr="00587AD3">
              <w:rPr>
                <w:color w:val="000000"/>
                <w:sz w:val="22"/>
                <w:szCs w:val="22"/>
              </w:rPr>
              <w:t xml:space="preserve"> and Ms. Goodson jointly sponsored Exhibit TURN-7, in which TURN opposed these closures.</w:t>
            </w:r>
          </w:p>
          <w:p w14:paraId="73CE1E93" w14:textId="77777777" w:rsidR="00C671DA" w:rsidRPr="00587AD3" w:rsidRDefault="00C671DA" w:rsidP="00C36D4F">
            <w:pPr>
              <w:rPr>
                <w:color w:val="000000"/>
                <w:sz w:val="22"/>
                <w:szCs w:val="22"/>
              </w:rPr>
            </w:pPr>
            <w:r w:rsidRPr="00587AD3">
              <w:rPr>
                <w:color w:val="000000"/>
                <w:sz w:val="22"/>
                <w:szCs w:val="22"/>
              </w:rPr>
              <w:t xml:space="preserve"> </w:t>
            </w:r>
          </w:p>
          <w:p w14:paraId="4577DF5E" w14:textId="77777777" w:rsidR="00C671DA" w:rsidRPr="00587AD3" w:rsidRDefault="00C671DA" w:rsidP="00C36D4F">
            <w:pPr>
              <w:rPr>
                <w:b/>
                <w:i/>
                <w:color w:val="000000"/>
                <w:sz w:val="22"/>
                <w:szCs w:val="22"/>
                <w:u w:val="single"/>
              </w:rPr>
            </w:pPr>
            <w:r w:rsidRPr="00587AD3">
              <w:rPr>
                <w:b/>
                <w:i/>
                <w:color w:val="000000"/>
                <w:sz w:val="22"/>
                <w:szCs w:val="22"/>
                <w:u w:val="single"/>
              </w:rPr>
              <w:t>Roger D. Colton, Fisher, Sheehan &amp; Colton</w:t>
            </w:r>
          </w:p>
          <w:p w14:paraId="22C0FDA1" w14:textId="77777777" w:rsidR="00C671DA" w:rsidRPr="00587AD3" w:rsidRDefault="00C671DA" w:rsidP="00C36D4F">
            <w:pPr>
              <w:rPr>
                <w:i/>
                <w:color w:val="000000"/>
                <w:sz w:val="22"/>
                <w:szCs w:val="22"/>
                <w:u w:val="single"/>
              </w:rPr>
            </w:pPr>
          </w:p>
          <w:p w14:paraId="60CED337" w14:textId="77777777" w:rsidR="00C671DA" w:rsidRPr="00587AD3" w:rsidRDefault="00C671DA" w:rsidP="00C36D4F">
            <w:pPr>
              <w:rPr>
                <w:sz w:val="22"/>
                <w:szCs w:val="22"/>
              </w:rPr>
            </w:pPr>
            <w:r w:rsidRPr="00587AD3">
              <w:rPr>
                <w:sz w:val="22"/>
                <w:szCs w:val="22"/>
              </w:rPr>
              <w:t xml:space="preserve">TURN provided a first-of-its-kind analysis of the affordability of PG&amp;E’s current rates, and its proposed rate increase, for residential customers, in testimony prepared by Roger D. Colton of Fisher, Sheehan &amp; Colton, Exhibit TURN-13.  TURN offered this testimony in response to PG&amp;E’s claim that the average bills resulting from its GRC request would still be below the national average, and its suggestion that the California Alternate Rates for Energy (CARE) and Family Electric Rate Assistance (FERA) programs can address the affordability challenges faced by its customers. (Ex. PG&amp;E-1, pp. 1-6 to 1-8).  </w:t>
            </w:r>
          </w:p>
          <w:p w14:paraId="7989DAFD" w14:textId="77777777" w:rsidR="00C671DA" w:rsidRPr="00587AD3" w:rsidRDefault="00C671DA" w:rsidP="00C36D4F">
            <w:pPr>
              <w:rPr>
                <w:sz w:val="22"/>
                <w:szCs w:val="22"/>
              </w:rPr>
            </w:pPr>
          </w:p>
          <w:p w14:paraId="38A31F56" w14:textId="77777777" w:rsidR="00C671DA" w:rsidRPr="00587AD3" w:rsidRDefault="00C671DA" w:rsidP="00C36D4F">
            <w:pPr>
              <w:rPr>
                <w:sz w:val="22"/>
                <w:szCs w:val="22"/>
              </w:rPr>
            </w:pPr>
            <w:r w:rsidRPr="00587AD3">
              <w:rPr>
                <w:sz w:val="22"/>
                <w:szCs w:val="22"/>
              </w:rPr>
              <w:t xml:space="preserve">Mr. Colton, a national expert on low-income utility issues (as explained below in Section III.C, Comment 3), examined the rates and usage of PG&amp;E residential customers relative to the usage of residential customers elsewhere, recognizing that overall bills are a function not merely of rates but of usage as well, and examined the affordability of PG&amp;E electric bills for customers with incomes above 200% of the Federal Poverty Level.  His analysis additionally explained the need to take cost-of-living into account in examining the affordability of utility bills because the cost-of-living in California is substantially higher than elsewhere in the country.  Mr. Colton found that even </w:t>
            </w:r>
            <w:proofErr w:type="gramStart"/>
            <w:r w:rsidRPr="00587AD3">
              <w:rPr>
                <w:sz w:val="22"/>
                <w:szCs w:val="22"/>
              </w:rPr>
              <w:t>moderate income</w:t>
            </w:r>
            <w:proofErr w:type="gramEnd"/>
            <w:r w:rsidRPr="00587AD3">
              <w:rPr>
                <w:sz w:val="22"/>
                <w:szCs w:val="22"/>
              </w:rPr>
              <w:t xml:space="preserve"> customers in PG&amp;E’s service territory have insufficient incomes to meet the cost-of-living in their respective communities as measured by the Self-Sufficiency Income. Thus, the unaffordability of PG&amp;E bills is not limited to low-income customers.  Finally, he examined the relative ability of PG&amp;E customers to maintain service rather than facing the disconnection of service for </w:t>
            </w:r>
            <w:proofErr w:type="gramStart"/>
            <w:r w:rsidRPr="00587AD3">
              <w:rPr>
                <w:sz w:val="22"/>
                <w:szCs w:val="22"/>
              </w:rPr>
              <w:t>nonpayment, or</w:t>
            </w:r>
            <w:proofErr w:type="gramEnd"/>
            <w:r w:rsidRPr="00587AD3">
              <w:rPr>
                <w:sz w:val="22"/>
                <w:szCs w:val="22"/>
              </w:rPr>
              <w:t xml:space="preserve"> face unpaid account balances leading to various nonpayment collection activities.  His examination of the extent to which PG&amp;E customers fail to pay their bills showed that PG&amp;E falls into the lower tiers of utility performance nationwide.  Similarly, once they fall into arrears, PG&amp;E customers have a more difficult time getting out of arrears to prevent the disconnection of service for nonpayment.  Mr. Colton found that PG&amp;E falls well into the bottom half of utilities nationwide with respect to the degree the utility is forced to utilize service disconnections as the collection activity of last resort.  Based on his analysis, Mr. Colton concluded that PG&amp;E can make no special claim to having affordable bills for residential customers, and that further increases in PG&amp;E rates will result in a further performance decline on each affordability factor he studied.</w:t>
            </w:r>
          </w:p>
          <w:p w14:paraId="64F5F0CB" w14:textId="77777777" w:rsidR="00C671DA" w:rsidRPr="00587AD3" w:rsidRDefault="00C671DA" w:rsidP="00C36D4F">
            <w:pPr>
              <w:rPr>
                <w:sz w:val="22"/>
                <w:szCs w:val="22"/>
              </w:rPr>
            </w:pPr>
          </w:p>
          <w:p w14:paraId="4A2391AF" w14:textId="77777777" w:rsidR="00C671DA" w:rsidRPr="00587AD3" w:rsidRDefault="00C671DA" w:rsidP="00C36D4F">
            <w:pPr>
              <w:rPr>
                <w:sz w:val="22"/>
                <w:szCs w:val="22"/>
              </w:rPr>
            </w:pPr>
            <w:r w:rsidRPr="00587AD3">
              <w:rPr>
                <w:sz w:val="22"/>
                <w:szCs w:val="22"/>
              </w:rPr>
              <w:t>Section 3.2.4.10 of the Settlement Agreement requires PG&amp;E to provide certain information as part of its showing in its next GRC that will assist the Commission and parties in analyzing the affordability of PG&amp;E’s rate request.  Such information includes, but is not limited to, cost of living data for each county in PG&amp;E’s service territory, as compared to the national average, for at least the five most recent years with available cost of living data.  As demonstrated in Ex. TURN-13, cost of living varies significantly across the counties in PG&amp;E's service territory.  Because of this variation, any meaningful consideration of economic circumstances, and how those circumstances inform the affordability of proposed rate increases, must consider county-level cost of living data, not simply service territory-wide data.  Hence, the information to be provided by PG&amp;E in its next GRC will facilitate the kind of analysis conducted by Mr. Colton for TURN in this proceeding, to the benefit of the Commission and PG&amp;E’s ratepayers.</w:t>
            </w:r>
          </w:p>
          <w:p w14:paraId="5198BCAB" w14:textId="77777777" w:rsidR="00C671DA" w:rsidRPr="00587AD3" w:rsidRDefault="00C671DA" w:rsidP="00C36D4F">
            <w:pPr>
              <w:rPr>
                <w:i/>
                <w:color w:val="000000"/>
                <w:sz w:val="22"/>
                <w:szCs w:val="22"/>
              </w:rPr>
            </w:pPr>
          </w:p>
          <w:p w14:paraId="6B8ABAA5" w14:textId="77777777" w:rsidR="00C671DA" w:rsidRPr="00587AD3" w:rsidRDefault="00C671DA" w:rsidP="00C36D4F">
            <w:pPr>
              <w:rPr>
                <w:b/>
                <w:i/>
                <w:color w:val="000000"/>
                <w:sz w:val="22"/>
                <w:szCs w:val="22"/>
                <w:u w:val="single"/>
              </w:rPr>
            </w:pPr>
            <w:r w:rsidRPr="00587AD3">
              <w:rPr>
                <w:b/>
                <w:i/>
                <w:color w:val="000000"/>
                <w:sz w:val="22"/>
                <w:szCs w:val="22"/>
                <w:u w:val="single"/>
              </w:rPr>
              <w:t>The Wired Group</w:t>
            </w:r>
          </w:p>
          <w:p w14:paraId="44273391" w14:textId="77777777" w:rsidR="00C671DA" w:rsidRPr="00587AD3" w:rsidRDefault="00C671DA" w:rsidP="00C36D4F">
            <w:pPr>
              <w:rPr>
                <w:i/>
                <w:color w:val="000000"/>
                <w:sz w:val="22"/>
                <w:szCs w:val="22"/>
                <w:u w:val="single"/>
              </w:rPr>
            </w:pPr>
          </w:p>
          <w:p w14:paraId="2EF2239C" w14:textId="77777777" w:rsidR="00C671DA" w:rsidRPr="00587AD3" w:rsidRDefault="00C671DA" w:rsidP="00C36D4F">
            <w:pPr>
              <w:rPr>
                <w:sz w:val="22"/>
                <w:szCs w:val="22"/>
              </w:rPr>
            </w:pPr>
            <w:r w:rsidRPr="00587AD3">
              <w:rPr>
                <w:sz w:val="22"/>
                <w:szCs w:val="22"/>
              </w:rPr>
              <w:t>In this rate case, PG&amp;E proposed a first-in-kind Distributed Energy Resource Integration Capacity (“DERIC”) program, with a forecast three-year capital budget of about $100 million, intended to pre-emptively reconductor certain circuits, upgrade certain substations, and upgrade certain capacitor banks and voltage regulation devices, with the ostensible goal of preventing potential future voltage or reliability problems as a result of high penetration levels of distributed generation.</w:t>
            </w:r>
          </w:p>
          <w:p w14:paraId="1A4CDAA9" w14:textId="77777777" w:rsidR="00C671DA" w:rsidRPr="00587AD3" w:rsidRDefault="00C671DA" w:rsidP="00C36D4F">
            <w:pPr>
              <w:rPr>
                <w:sz w:val="22"/>
                <w:szCs w:val="22"/>
              </w:rPr>
            </w:pPr>
          </w:p>
          <w:p w14:paraId="116D47B6" w14:textId="77777777" w:rsidR="00C671DA" w:rsidRPr="00587AD3" w:rsidRDefault="00C671DA" w:rsidP="00C36D4F">
            <w:pPr>
              <w:rPr>
                <w:sz w:val="22"/>
                <w:szCs w:val="22"/>
              </w:rPr>
            </w:pPr>
            <w:r w:rsidRPr="00587AD3">
              <w:rPr>
                <w:sz w:val="22"/>
                <w:szCs w:val="22"/>
              </w:rPr>
              <w:t xml:space="preserve">Due to the significant policy and economic implications of this program, especially </w:t>
            </w:r>
            <w:proofErr w:type="gramStart"/>
            <w:r w:rsidRPr="00587AD3">
              <w:rPr>
                <w:sz w:val="22"/>
                <w:szCs w:val="22"/>
              </w:rPr>
              <w:t>in light of</w:t>
            </w:r>
            <w:proofErr w:type="gramEnd"/>
            <w:r w:rsidRPr="00587AD3">
              <w:rPr>
                <w:sz w:val="22"/>
                <w:szCs w:val="22"/>
              </w:rPr>
              <w:t xml:space="preserve"> policies concerning DER integration capacities being debated in the distributed resources plan rulemaking 14-08-013, TURN retained the services of the Wired Group to evaluate PG&amp;E’s request. The Wired Group is a consulting firm specializing in the evaluation of utility distribution system performance, and specifically evaluating the performance and potential of smart grid, demand response and distributed energy investments and opportunities. The Wired Group consults primarily for consumer and environmental advocates and for utility regulatory staff.</w:t>
            </w:r>
          </w:p>
          <w:p w14:paraId="2864BB14" w14:textId="77777777" w:rsidR="00C671DA" w:rsidRPr="00587AD3" w:rsidRDefault="00C671DA" w:rsidP="00C36D4F">
            <w:pPr>
              <w:rPr>
                <w:sz w:val="22"/>
                <w:szCs w:val="22"/>
              </w:rPr>
            </w:pPr>
          </w:p>
          <w:p w14:paraId="3B69BD51" w14:textId="77777777" w:rsidR="00C671DA" w:rsidRPr="00587AD3" w:rsidRDefault="00C671DA" w:rsidP="00C36D4F">
            <w:pPr>
              <w:rPr>
                <w:sz w:val="22"/>
                <w:szCs w:val="22"/>
              </w:rPr>
            </w:pPr>
            <w:r w:rsidRPr="00587AD3">
              <w:rPr>
                <w:sz w:val="22"/>
                <w:szCs w:val="22"/>
              </w:rPr>
              <w:t xml:space="preserve">Experts Paul Alvarez, Dennis Stephens and Thomas Carter from The Wired Group devoted approximately 240 hours (160.75, 71 and 10 hours respectively) to conduct detailed discovery and prepare expert testimony concerning the DERIC program. Their testimony was identified as Exhibit TURN-5 in this proceeding. Mr. Alvarez and Mr. Stephens have not previously testified before the CPUC. </w:t>
            </w:r>
          </w:p>
          <w:p w14:paraId="6290981A" w14:textId="77777777" w:rsidR="00C671DA" w:rsidRPr="00587AD3" w:rsidRDefault="00C671DA" w:rsidP="00C36D4F">
            <w:pPr>
              <w:rPr>
                <w:sz w:val="22"/>
                <w:szCs w:val="22"/>
              </w:rPr>
            </w:pPr>
          </w:p>
          <w:p w14:paraId="602808D1" w14:textId="77777777" w:rsidR="00C671DA" w:rsidRPr="00587AD3" w:rsidRDefault="00C671DA" w:rsidP="00C36D4F">
            <w:pPr>
              <w:rPr>
                <w:sz w:val="22"/>
                <w:szCs w:val="22"/>
              </w:rPr>
            </w:pPr>
            <w:r w:rsidRPr="00587AD3">
              <w:rPr>
                <w:sz w:val="22"/>
                <w:szCs w:val="22"/>
              </w:rPr>
              <w:t xml:space="preserve">After fifteen years in product development and product management for Fortune 500 companies, Mr. Alvarez joined Xcel Energy in 2001 to oversee the development of </w:t>
            </w:r>
            <w:r w:rsidRPr="00587AD3">
              <w:rPr>
                <w:bCs/>
                <w:sz w:val="22"/>
                <w:szCs w:val="22"/>
              </w:rPr>
              <w:t xml:space="preserve">energy efficiency and demand response programs for residential and commercial and industrial customers, as well as programs in support of voluntary renewable energy purchases and renewable portfolio standard compliance. After leaving Xcel in 2008, Mr. Alvarez went to private consulting where he conducted comprehensive evaluations of smart grid deployment performance in Colorado and Ohio. Mr. Alvarez founded the Wired Group in 2012 to focus exclusively on distribution utility performance measurement and </w:t>
            </w:r>
            <w:r w:rsidRPr="00587AD3">
              <w:rPr>
                <w:bCs/>
                <w:sz w:val="22"/>
                <w:szCs w:val="22"/>
              </w:rPr>
              <w:lastRenderedPageBreak/>
              <w:t xml:space="preserve">utility customer value creation. He is the author of </w:t>
            </w:r>
            <w:r w:rsidRPr="00587AD3">
              <w:rPr>
                <w:bCs/>
                <w:i/>
                <w:sz w:val="22"/>
                <w:szCs w:val="22"/>
              </w:rPr>
              <w:t>Smart Grid Hype &amp; Reality: A Systems Approach to Maximizing Customer Return on Utility Investment</w:t>
            </w:r>
            <w:r w:rsidRPr="00587AD3">
              <w:rPr>
                <w:i/>
                <w:sz w:val="22"/>
                <w:szCs w:val="22"/>
              </w:rPr>
              <w:t xml:space="preserve"> </w:t>
            </w:r>
            <w:r w:rsidRPr="00587AD3">
              <w:rPr>
                <w:sz w:val="22"/>
                <w:szCs w:val="22"/>
              </w:rPr>
              <w:t>(2014). Mr. Alvarez was the lead in developing discovery questions, analyzing data and writing testimony addressing policy issues and cost/benefit analyses regarding PG&amp;E’s DERIC program and alternative investments.</w:t>
            </w:r>
          </w:p>
          <w:p w14:paraId="7AE71EED" w14:textId="77777777" w:rsidR="00C671DA" w:rsidRPr="00587AD3" w:rsidRDefault="00C671DA" w:rsidP="00C36D4F">
            <w:pPr>
              <w:rPr>
                <w:sz w:val="22"/>
                <w:szCs w:val="22"/>
              </w:rPr>
            </w:pPr>
          </w:p>
          <w:p w14:paraId="0F9A649C" w14:textId="77777777" w:rsidR="00C671DA" w:rsidRPr="00587AD3" w:rsidRDefault="00C671DA" w:rsidP="00C36D4F">
            <w:pPr>
              <w:rPr>
                <w:bCs/>
                <w:sz w:val="22"/>
                <w:szCs w:val="22"/>
              </w:rPr>
            </w:pPr>
            <w:r w:rsidRPr="00587AD3">
              <w:rPr>
                <w:sz w:val="22"/>
                <w:szCs w:val="22"/>
              </w:rPr>
              <w:t xml:space="preserve">Mr. Stephens is a consultant with the Wired Group. He worked as an electrical engineer in distribution operations for Xcel Energy from 1975 to 2011. During that 35-year tenure </w:t>
            </w:r>
            <w:r w:rsidRPr="00587AD3">
              <w:rPr>
                <w:bCs/>
                <w:sz w:val="22"/>
                <w:szCs w:val="22"/>
              </w:rPr>
              <w:t xml:space="preserve">he held a series of positions with increasing responsibility in areas of distribution design, planning, operations management, asset management, and the innovative use of technology to assist with these functions. As Director of Utility </w:t>
            </w:r>
            <w:proofErr w:type="gramStart"/>
            <w:r w:rsidRPr="00587AD3">
              <w:rPr>
                <w:bCs/>
                <w:sz w:val="22"/>
                <w:szCs w:val="22"/>
              </w:rPr>
              <w:t>Innovations</w:t>
            </w:r>
            <w:proofErr w:type="gramEnd"/>
            <w:r w:rsidRPr="00587AD3">
              <w:rPr>
                <w:bCs/>
                <w:sz w:val="22"/>
                <w:szCs w:val="22"/>
              </w:rPr>
              <w:t xml:space="preserve"> he worked with many software providers, including ABB, IBM, and Siemens, helping them develop distribution automation ideas into practical software applications of value to grid owners and operators. In 2009, he established a DER integration strategy and capability road-map for Xcel Energy. The technical project components focused on Boulder, which had the highest concentration of PV solar installations in Xcel Energy’s eight-state electric service area. In this proceeding, Mr. Stephens conducted the analyses and wrote testimony concerning the technical grid distribution issues addressed by PG&amp;E’s DERIC program. Mr. Stephens analyzed the ostensible problems resulting from integrating distributed generation on PG&amp;E’s system and analyzed the technical need for the preemptive asset investments proposed as part of the DERIC program.</w:t>
            </w:r>
          </w:p>
          <w:p w14:paraId="3112678D" w14:textId="77777777" w:rsidR="00C671DA" w:rsidRPr="00587AD3" w:rsidRDefault="00C671DA" w:rsidP="00C36D4F">
            <w:pPr>
              <w:rPr>
                <w:bCs/>
                <w:sz w:val="22"/>
                <w:szCs w:val="22"/>
              </w:rPr>
            </w:pPr>
          </w:p>
          <w:p w14:paraId="2A1B4C83" w14:textId="77777777" w:rsidR="00C671DA" w:rsidRPr="00587AD3" w:rsidRDefault="00C671DA" w:rsidP="00C36D4F">
            <w:pPr>
              <w:rPr>
                <w:sz w:val="22"/>
                <w:szCs w:val="22"/>
              </w:rPr>
            </w:pPr>
            <w:r w:rsidRPr="00587AD3">
              <w:rPr>
                <w:bCs/>
                <w:sz w:val="22"/>
                <w:szCs w:val="22"/>
              </w:rPr>
              <w:t>Mr. Carter is also a technical consultant for the Wired Group.</w:t>
            </w:r>
            <w:r w:rsidRPr="00587AD3">
              <w:rPr>
                <w:sz w:val="22"/>
                <w:szCs w:val="22"/>
              </w:rPr>
              <w:t xml:space="preserve"> Mr. Carter has over 30 years’ experience developing and managing conservation, load management, and renewable energy programs for investor-owned utilities. Along with</w:t>
            </w:r>
            <w:r w:rsidRPr="00587AD3">
              <w:rPr>
                <w:rFonts w:eastAsia="PMingLiU"/>
                <w:sz w:val="22"/>
                <w:szCs w:val="22"/>
              </w:rPr>
              <w:t xml:space="preserve"> </w:t>
            </w:r>
            <w:r w:rsidRPr="00587AD3">
              <w:rPr>
                <w:sz w:val="22"/>
                <w:szCs w:val="22"/>
              </w:rPr>
              <w:t xml:space="preserve">the marketing aspects of these programs he also managed technical electric and data communications issues between equipment vendors and distribution grid operations and planning. Mr. Carter has served as technical liaison with a variety of stakeholders in developing and securing approval for conservation and load management programs in New Mexico, Texas, and Colorado. Mr. Carter has testified and presented evidence before the Colorado Public Utility Commission. He is a veteran of the U.S. Air Force, and holds a </w:t>
            </w:r>
            <w:proofErr w:type="gramStart"/>
            <w:r w:rsidRPr="00587AD3">
              <w:rPr>
                <w:sz w:val="22"/>
                <w:szCs w:val="22"/>
              </w:rPr>
              <w:t>Bachelor’s</w:t>
            </w:r>
            <w:proofErr w:type="gramEnd"/>
            <w:r w:rsidRPr="00587AD3">
              <w:rPr>
                <w:sz w:val="22"/>
                <w:szCs w:val="22"/>
              </w:rPr>
              <w:t xml:space="preserve"> degree in Electrical Engineering from the University of Colorado. Mr. Carter provided limited technical support in developing analyses and testimony but did not submit expert testimony under his own name.</w:t>
            </w:r>
          </w:p>
          <w:p w14:paraId="74531195" w14:textId="77777777" w:rsidR="00C671DA" w:rsidRPr="00587AD3" w:rsidRDefault="00C671DA" w:rsidP="00C36D4F">
            <w:pPr>
              <w:rPr>
                <w:sz w:val="22"/>
                <w:szCs w:val="22"/>
              </w:rPr>
            </w:pPr>
          </w:p>
          <w:p w14:paraId="31D672B9" w14:textId="77777777" w:rsidR="00C671DA" w:rsidRPr="00587AD3" w:rsidRDefault="00C671DA" w:rsidP="00C36D4F">
            <w:pPr>
              <w:rPr>
                <w:sz w:val="22"/>
                <w:szCs w:val="22"/>
              </w:rPr>
            </w:pPr>
            <w:r w:rsidRPr="00587AD3">
              <w:rPr>
                <w:sz w:val="22"/>
                <w:szCs w:val="22"/>
              </w:rPr>
              <w:t xml:space="preserve">As shown in the detailed resumes of witnesses Alvarez and Stephens in Exhibit TURN-5, these two witnesses are not only experts in distribution asset evaluation and distribution </w:t>
            </w:r>
            <w:proofErr w:type="gramStart"/>
            <w:r w:rsidRPr="00587AD3">
              <w:rPr>
                <w:sz w:val="22"/>
                <w:szCs w:val="22"/>
              </w:rPr>
              <w:t>operations, but</w:t>
            </w:r>
            <w:proofErr w:type="gramEnd"/>
            <w:r w:rsidRPr="00587AD3">
              <w:rPr>
                <w:sz w:val="22"/>
                <w:szCs w:val="22"/>
              </w:rPr>
              <w:t xml:space="preserve"> have specific technical expertise in evaluating smart grid solutions intended to optimize the use of distributed energy resources. </w:t>
            </w:r>
          </w:p>
          <w:p w14:paraId="0AFBE4C6" w14:textId="77777777" w:rsidR="00C671DA" w:rsidRPr="00587AD3" w:rsidRDefault="00C671DA" w:rsidP="00C36D4F">
            <w:pPr>
              <w:rPr>
                <w:sz w:val="22"/>
                <w:szCs w:val="22"/>
              </w:rPr>
            </w:pPr>
          </w:p>
          <w:p w14:paraId="7C8430EE" w14:textId="77777777" w:rsidR="00C671DA" w:rsidRPr="00587AD3" w:rsidRDefault="00C671DA" w:rsidP="00C36D4F">
            <w:pPr>
              <w:rPr>
                <w:bCs/>
                <w:sz w:val="22"/>
                <w:szCs w:val="22"/>
              </w:rPr>
            </w:pPr>
            <w:r w:rsidRPr="00587AD3">
              <w:rPr>
                <w:sz w:val="22"/>
                <w:szCs w:val="22"/>
              </w:rPr>
              <w:t xml:space="preserve">While normally TURN might not devote such detailed attention to one program that comprises about $22 million in capital spending for the test year, the potential implications of the DERIC program warranted the use of consultants with engineering and program evaluation expertise to analyze the reasonableness of the DERIC program. The DERIC program addressed only </w:t>
            </w:r>
            <w:r w:rsidRPr="00587AD3">
              <w:rPr>
                <w:bCs/>
                <w:sz w:val="22"/>
                <w:szCs w:val="22"/>
              </w:rPr>
              <w:t xml:space="preserve">upgrade 506 of PG&amp;E’s 3200 circuits and 5 of its 900 substations; </w:t>
            </w:r>
            <w:proofErr w:type="gramStart"/>
            <w:r w:rsidRPr="00587AD3">
              <w:rPr>
                <w:bCs/>
                <w:sz w:val="22"/>
                <w:szCs w:val="22"/>
              </w:rPr>
              <w:t>so</w:t>
            </w:r>
            <w:proofErr w:type="gramEnd"/>
            <w:r w:rsidRPr="00587AD3">
              <w:rPr>
                <w:bCs/>
                <w:sz w:val="22"/>
                <w:szCs w:val="22"/>
              </w:rPr>
              <w:t xml:space="preserve"> continuation of this program to upgrade all circuits and substations would potentially cost billions of dollars in the </w:t>
            </w:r>
            <w:r w:rsidRPr="00587AD3">
              <w:rPr>
                <w:bCs/>
                <w:sz w:val="22"/>
                <w:szCs w:val="22"/>
              </w:rPr>
              <w:lastRenderedPageBreak/>
              <w:t xml:space="preserve">future. Mr. Alvarez and Mr. Stephens demonstrated that the proposed asset investments were premature, and that PG&amp;E had been able to successfully integrate distributed energy resources using its traditional distribution interconnection planning and upgrade procedures without incurring any problems.  As explained in the substantial contribution section above, Section 3.1.3 of the Settlement Agreement reduced PG&amp;E’s 2017 capital forecast by </w:t>
            </w:r>
            <w:r w:rsidRPr="00587AD3">
              <w:rPr>
                <w:color w:val="000000"/>
                <w:sz w:val="22"/>
                <w:szCs w:val="22"/>
              </w:rPr>
              <w:t>$40.5 million for capacity projects, including those in support of the DERIC program.</w:t>
            </w:r>
          </w:p>
          <w:p w14:paraId="765612B8" w14:textId="77777777" w:rsidR="00C671DA" w:rsidRPr="00587AD3" w:rsidRDefault="00C671DA" w:rsidP="00C36D4F">
            <w:pPr>
              <w:rPr>
                <w:i/>
                <w:color w:val="000000"/>
                <w:sz w:val="22"/>
                <w:szCs w:val="22"/>
                <w:u w:val="single"/>
              </w:rPr>
            </w:pPr>
          </w:p>
          <w:p w14:paraId="5F190B36" w14:textId="77777777" w:rsidR="00C671DA" w:rsidRPr="00587AD3" w:rsidRDefault="00C671DA" w:rsidP="00C36D4F">
            <w:pPr>
              <w:rPr>
                <w:b/>
                <w:i/>
                <w:color w:val="000000"/>
                <w:sz w:val="22"/>
                <w:szCs w:val="22"/>
                <w:u w:val="single"/>
              </w:rPr>
            </w:pPr>
            <w:r w:rsidRPr="00587AD3">
              <w:rPr>
                <w:b/>
                <w:i/>
                <w:color w:val="000000"/>
                <w:sz w:val="22"/>
                <w:szCs w:val="22"/>
                <w:u w:val="single"/>
              </w:rPr>
              <w:t>Catherine Yap of Barkovich &amp; Yap</w:t>
            </w:r>
          </w:p>
          <w:p w14:paraId="5ED005E2" w14:textId="77777777" w:rsidR="00C671DA" w:rsidRPr="00587AD3" w:rsidRDefault="00C671DA" w:rsidP="00C36D4F">
            <w:pPr>
              <w:rPr>
                <w:color w:val="000000"/>
                <w:sz w:val="22"/>
                <w:szCs w:val="22"/>
              </w:rPr>
            </w:pPr>
          </w:p>
          <w:p w14:paraId="6D7EA530"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Catherine Yap, a principal of Barkovich &amp; Yap, presented TURN’s analysis and recommendation associated with post-test year ratemaking and attrition increases.  Ms. Yap played a critical role not only in the development and presentation of TURN’s position in testimony, Ex. TURN-12, but also with assisting TURN during settlement negotiations, both related to post-test year ratemaking and the RO Model.  Ms. Yap additionally assisted TURN during the workshop at the beginning of the proceeding, where the RO Model was at issue, and during the workshop/evidentiary hearings held following the submission of the settlement agreement, during which post-test year ratemaking was an issue of focus.  TURN requests slightly less than 250 hours in total for the work of Ms. Yap in this proceeding.  The Commission should find reasonable the requested amount for her work.   </w:t>
            </w:r>
          </w:p>
          <w:p w14:paraId="2E940678" w14:textId="77777777" w:rsidR="00C671DA" w:rsidRPr="00587AD3" w:rsidRDefault="00C671DA" w:rsidP="00C36D4F">
            <w:pPr>
              <w:rPr>
                <w:color w:val="000000"/>
                <w:sz w:val="22"/>
                <w:szCs w:val="22"/>
              </w:rPr>
            </w:pPr>
          </w:p>
          <w:p w14:paraId="7FC8EFF3" w14:textId="77777777" w:rsidR="00C671DA" w:rsidRPr="00587AD3" w:rsidRDefault="00C671DA" w:rsidP="00C36D4F">
            <w:pPr>
              <w:rPr>
                <w:b/>
                <w:i/>
                <w:color w:val="000000"/>
                <w:sz w:val="22"/>
                <w:szCs w:val="22"/>
                <w:u w:val="single"/>
              </w:rPr>
            </w:pPr>
            <w:r w:rsidRPr="00587AD3">
              <w:rPr>
                <w:b/>
                <w:i/>
                <w:color w:val="000000"/>
                <w:sz w:val="22"/>
                <w:szCs w:val="22"/>
                <w:u w:val="single"/>
              </w:rPr>
              <w:t xml:space="preserve">Snavely, King, </w:t>
            </w:r>
            <w:proofErr w:type="spellStart"/>
            <w:r w:rsidRPr="00587AD3">
              <w:rPr>
                <w:b/>
                <w:i/>
                <w:color w:val="000000"/>
                <w:sz w:val="22"/>
                <w:szCs w:val="22"/>
                <w:u w:val="single"/>
              </w:rPr>
              <w:t>Majoros</w:t>
            </w:r>
            <w:proofErr w:type="spellEnd"/>
            <w:r w:rsidRPr="00587AD3">
              <w:rPr>
                <w:b/>
                <w:i/>
                <w:color w:val="000000"/>
                <w:sz w:val="22"/>
                <w:szCs w:val="22"/>
                <w:u w:val="single"/>
              </w:rPr>
              <w:t>, &amp; Associates</w:t>
            </w:r>
          </w:p>
          <w:p w14:paraId="5AAA2C9F" w14:textId="77777777" w:rsidR="00C671DA" w:rsidRPr="00587AD3" w:rsidRDefault="00C671DA" w:rsidP="00C36D4F">
            <w:pPr>
              <w:rPr>
                <w:color w:val="000000"/>
                <w:sz w:val="22"/>
                <w:szCs w:val="22"/>
              </w:rPr>
            </w:pPr>
          </w:p>
          <w:p w14:paraId="4D7EA69A"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TURN relied on Snavely, King, </w:t>
            </w:r>
            <w:proofErr w:type="spellStart"/>
            <w:r w:rsidRPr="00587AD3">
              <w:rPr>
                <w:rFonts w:ascii="Times New Roman" w:hAnsi="Times New Roman"/>
                <w:sz w:val="22"/>
                <w:szCs w:val="22"/>
              </w:rPr>
              <w:t>Majoros</w:t>
            </w:r>
            <w:proofErr w:type="spellEnd"/>
            <w:r w:rsidRPr="00587AD3">
              <w:rPr>
                <w:rFonts w:ascii="Times New Roman" w:hAnsi="Times New Roman"/>
                <w:sz w:val="22"/>
                <w:szCs w:val="22"/>
              </w:rPr>
              <w:t xml:space="preserve"> &amp; Associates for the development and presentation of TURN’s depreciation testimony in this proceeding, Exhibit TURN-11.  This was a return engagement for the firm, as it had provided expert witness services to TURN in several prior GRC proceedings during the 2000s.  Michael </w:t>
            </w:r>
            <w:proofErr w:type="spellStart"/>
            <w:r w:rsidRPr="00587AD3">
              <w:rPr>
                <w:rFonts w:ascii="Times New Roman" w:hAnsi="Times New Roman"/>
                <w:sz w:val="22"/>
                <w:szCs w:val="22"/>
              </w:rPr>
              <w:t>Majoros</w:t>
            </w:r>
            <w:proofErr w:type="spellEnd"/>
            <w:r w:rsidRPr="00587AD3">
              <w:rPr>
                <w:rFonts w:ascii="Times New Roman" w:hAnsi="Times New Roman"/>
                <w:sz w:val="22"/>
                <w:szCs w:val="22"/>
              </w:rPr>
              <w:t xml:space="preserve">, the firm’s principal who had served as TURN’s witness in the past, generally supervised the work of James </w:t>
            </w:r>
            <w:proofErr w:type="spellStart"/>
            <w:r w:rsidRPr="00587AD3">
              <w:rPr>
                <w:rFonts w:ascii="Times New Roman" w:hAnsi="Times New Roman"/>
                <w:sz w:val="22"/>
                <w:szCs w:val="22"/>
              </w:rPr>
              <w:t>Garren</w:t>
            </w:r>
            <w:proofErr w:type="spellEnd"/>
            <w:r w:rsidRPr="00587AD3">
              <w:rPr>
                <w:rFonts w:ascii="Times New Roman" w:hAnsi="Times New Roman"/>
                <w:sz w:val="22"/>
                <w:szCs w:val="22"/>
              </w:rPr>
              <w:t xml:space="preserve">, a more junior firm member who performed the bulk of the analysis and testimony development.  The total number of hours for members of Snavely King for their work in this proceeding is substantially lower than the figure included in TURN’s other relatively recent GRC proceedings for major energy utilities (223 total hours here as compared to approximately 300 hours in the PG&amp;E 2014 GRC, for example).  Consistent with their roles on this project, Mr. </w:t>
            </w:r>
            <w:proofErr w:type="spellStart"/>
            <w:r w:rsidRPr="00587AD3">
              <w:rPr>
                <w:rFonts w:ascii="Times New Roman" w:hAnsi="Times New Roman"/>
                <w:sz w:val="22"/>
                <w:szCs w:val="22"/>
              </w:rPr>
              <w:t>Garren</w:t>
            </w:r>
            <w:proofErr w:type="spellEnd"/>
            <w:r w:rsidRPr="00587AD3">
              <w:rPr>
                <w:rFonts w:ascii="Times New Roman" w:hAnsi="Times New Roman"/>
                <w:sz w:val="22"/>
                <w:szCs w:val="22"/>
              </w:rPr>
              <w:t xml:space="preserve"> recorded </w:t>
            </w:r>
            <w:proofErr w:type="gramStart"/>
            <w:r w:rsidRPr="00587AD3">
              <w:rPr>
                <w:rFonts w:ascii="Times New Roman" w:hAnsi="Times New Roman"/>
                <w:sz w:val="22"/>
                <w:szCs w:val="22"/>
              </w:rPr>
              <w:t>the majority of</w:t>
            </w:r>
            <w:proofErr w:type="gramEnd"/>
            <w:r w:rsidRPr="00587AD3">
              <w:rPr>
                <w:rFonts w:ascii="Times New Roman" w:hAnsi="Times New Roman"/>
                <w:sz w:val="22"/>
                <w:szCs w:val="22"/>
              </w:rPr>
              <w:t xml:space="preserve"> the hours.  </w:t>
            </w:r>
          </w:p>
          <w:p w14:paraId="0ECA4FCB" w14:textId="77777777" w:rsidR="00C671DA" w:rsidRPr="00587AD3" w:rsidRDefault="00C671DA" w:rsidP="00C36D4F">
            <w:pPr>
              <w:pStyle w:val="p1"/>
              <w:rPr>
                <w:rFonts w:ascii="Times New Roman" w:hAnsi="Times New Roman"/>
                <w:sz w:val="22"/>
                <w:szCs w:val="22"/>
              </w:rPr>
            </w:pPr>
          </w:p>
          <w:p w14:paraId="0263DD2A"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TURN seeks compensation for the hours associated with work on depreciation-related issues. This includes the hours billed to TURN Snavely, King, </w:t>
            </w:r>
            <w:proofErr w:type="spellStart"/>
            <w:r w:rsidRPr="00587AD3">
              <w:rPr>
                <w:rFonts w:ascii="Times New Roman" w:hAnsi="Times New Roman"/>
                <w:sz w:val="22"/>
                <w:szCs w:val="22"/>
              </w:rPr>
              <w:t>Majoros</w:t>
            </w:r>
            <w:proofErr w:type="spellEnd"/>
            <w:r w:rsidRPr="00587AD3">
              <w:rPr>
                <w:rFonts w:ascii="Times New Roman" w:hAnsi="Times New Roman"/>
                <w:sz w:val="22"/>
                <w:szCs w:val="22"/>
              </w:rPr>
              <w:t xml:space="preserve"> &amp; Associates, and the hours recorded by TURN’s staff attorney Finkelstein who handled the issue on behalf of TURN.  Given TURN’s substantial contribution on depreciation-related issues in the overall settlement context, the Commission should find reasonable </w:t>
            </w:r>
            <w:proofErr w:type="gramStart"/>
            <w:r w:rsidRPr="00587AD3">
              <w:rPr>
                <w:rFonts w:ascii="Times New Roman" w:hAnsi="Times New Roman"/>
                <w:sz w:val="22"/>
                <w:szCs w:val="22"/>
              </w:rPr>
              <w:t>all of</w:t>
            </w:r>
            <w:proofErr w:type="gramEnd"/>
            <w:r w:rsidRPr="00587AD3">
              <w:rPr>
                <w:rFonts w:ascii="Times New Roman" w:hAnsi="Times New Roman"/>
                <w:sz w:val="22"/>
                <w:szCs w:val="22"/>
              </w:rPr>
              <w:t xml:space="preserve"> the hours requested for work on those issues.</w:t>
            </w:r>
          </w:p>
          <w:p w14:paraId="4C28537F" w14:textId="77777777" w:rsidR="00C671DA" w:rsidRPr="00587AD3" w:rsidRDefault="00C671DA" w:rsidP="00C36D4F">
            <w:pPr>
              <w:rPr>
                <w:color w:val="000000"/>
                <w:sz w:val="22"/>
                <w:szCs w:val="22"/>
              </w:rPr>
            </w:pPr>
          </w:p>
          <w:p w14:paraId="421814AB" w14:textId="77777777" w:rsidR="00C671DA" w:rsidRPr="00587AD3" w:rsidRDefault="00C671DA" w:rsidP="00C36D4F">
            <w:pPr>
              <w:rPr>
                <w:b/>
                <w:color w:val="000000"/>
                <w:sz w:val="22"/>
                <w:szCs w:val="22"/>
                <w:u w:val="single"/>
              </w:rPr>
            </w:pPr>
            <w:r w:rsidRPr="00587AD3">
              <w:rPr>
                <w:b/>
                <w:color w:val="000000"/>
                <w:sz w:val="22"/>
                <w:szCs w:val="22"/>
                <w:u w:val="single"/>
              </w:rPr>
              <w:t>Other Issues</w:t>
            </w:r>
          </w:p>
          <w:p w14:paraId="30DDB352" w14:textId="77777777" w:rsidR="00C671DA" w:rsidRPr="00587AD3" w:rsidRDefault="00C671DA" w:rsidP="00C36D4F">
            <w:pPr>
              <w:rPr>
                <w:color w:val="000000"/>
                <w:sz w:val="22"/>
                <w:szCs w:val="22"/>
                <w:u w:val="single"/>
              </w:rPr>
            </w:pPr>
          </w:p>
          <w:p w14:paraId="44352A67" w14:textId="77777777" w:rsidR="00C671DA" w:rsidRPr="00587AD3" w:rsidRDefault="00C671DA" w:rsidP="00C36D4F">
            <w:pPr>
              <w:rPr>
                <w:b/>
                <w:i/>
                <w:color w:val="000000"/>
                <w:sz w:val="22"/>
                <w:szCs w:val="22"/>
                <w:u w:val="single"/>
              </w:rPr>
            </w:pPr>
            <w:r w:rsidRPr="00587AD3">
              <w:rPr>
                <w:b/>
                <w:i/>
                <w:color w:val="000000"/>
                <w:sz w:val="22"/>
                <w:szCs w:val="22"/>
                <w:u w:val="single"/>
              </w:rPr>
              <w:t xml:space="preserve">Review of PG&amp;E’s Post-D.17-05-013 Compliance Advice Letters </w:t>
            </w:r>
          </w:p>
          <w:p w14:paraId="46A8948C" w14:textId="77777777" w:rsidR="00C671DA" w:rsidRPr="00587AD3" w:rsidRDefault="00C671DA" w:rsidP="00C36D4F">
            <w:pPr>
              <w:rPr>
                <w:color w:val="000000"/>
                <w:sz w:val="22"/>
                <w:szCs w:val="22"/>
                <w:u w:val="single"/>
              </w:rPr>
            </w:pPr>
          </w:p>
          <w:p w14:paraId="4C57A49D" w14:textId="77777777" w:rsidR="00C671DA" w:rsidRPr="00587AD3" w:rsidRDefault="00C671DA" w:rsidP="00C36D4F">
            <w:pPr>
              <w:rPr>
                <w:color w:val="000000"/>
                <w:sz w:val="22"/>
                <w:szCs w:val="22"/>
              </w:rPr>
            </w:pPr>
            <w:r w:rsidRPr="00587AD3">
              <w:rPr>
                <w:color w:val="000000"/>
                <w:sz w:val="22"/>
                <w:szCs w:val="22"/>
              </w:rPr>
              <w:lastRenderedPageBreak/>
              <w:t>TURN has also included a very limited number of hours devoted to reviewing PG&amp;E’s Advice Letter 3851-G/5087-E, filed in compliance with D.17-05-013 on June 12, 2017.  In that advice letter, PG&amp;E provided “positive proof” that the revenue requirement adopted in D.17-05-013 is still just and reasonable, despite PG&amp;E’s announcement of $300 million in budget cuts in January 2017, after the submission of the proposed settlement agreement.  TURN submits that these 2 hours should be compensable, even though we ultimately determined that further action was unnecessary, because reviewing PG&amp;E’s showing was an important element of the case.</w:t>
            </w:r>
          </w:p>
          <w:p w14:paraId="5952E823" w14:textId="77777777" w:rsidR="00C671DA" w:rsidRPr="00587AD3" w:rsidRDefault="00C671DA" w:rsidP="00C36D4F">
            <w:pPr>
              <w:rPr>
                <w:color w:val="000000"/>
                <w:sz w:val="22"/>
                <w:szCs w:val="22"/>
              </w:rPr>
            </w:pPr>
          </w:p>
          <w:p w14:paraId="5CA05D08" w14:textId="77777777" w:rsidR="00C671DA" w:rsidRPr="00587AD3" w:rsidRDefault="00C671DA" w:rsidP="00C36D4F">
            <w:pPr>
              <w:rPr>
                <w:b/>
                <w:i/>
                <w:color w:val="000000"/>
                <w:sz w:val="22"/>
                <w:szCs w:val="22"/>
                <w:u w:val="single"/>
              </w:rPr>
            </w:pPr>
            <w:r w:rsidRPr="00587AD3">
              <w:rPr>
                <w:b/>
                <w:i/>
                <w:color w:val="000000"/>
                <w:sz w:val="22"/>
                <w:szCs w:val="22"/>
                <w:u w:val="single"/>
              </w:rPr>
              <w:t>Meetings or Discussions Involving More Than One TURN Attorney or Expert</w:t>
            </w:r>
          </w:p>
          <w:p w14:paraId="0F1DDF57" w14:textId="77777777" w:rsidR="00C671DA" w:rsidRPr="00587AD3" w:rsidRDefault="00C671DA" w:rsidP="00C36D4F">
            <w:pPr>
              <w:rPr>
                <w:color w:val="000000"/>
                <w:sz w:val="22"/>
                <w:szCs w:val="22"/>
                <w:u w:val="single"/>
              </w:rPr>
            </w:pPr>
          </w:p>
          <w:p w14:paraId="080DC182"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A relatively small percentage of hours and hourly entries reflect internal</w:t>
            </w:r>
          </w:p>
          <w:p w14:paraId="12C554D9"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and external meetings involving two or more of TURN’s attorneys and expert witnesses. In past compensation decisions, the Commission has deemed such entries as reflecting internal duplication that is not eligible for an award of intervenor compensation. This is not the case here. For the meetings that were among TURN’s attorneys and expert witnesses, such meetings are essential to the effective development and implementation of TURN’s strategy for this proceeding. None of the attendees are there in a duplicative role – each is an active participant, bringing his or her </w:t>
            </w:r>
            <w:proofErr w:type="gramStart"/>
            <w:r w:rsidRPr="00587AD3">
              <w:rPr>
                <w:rFonts w:ascii="Times New Roman" w:hAnsi="Times New Roman"/>
                <w:sz w:val="22"/>
                <w:szCs w:val="22"/>
              </w:rPr>
              <w:t>particular knowledge</w:t>
            </w:r>
            <w:proofErr w:type="gramEnd"/>
            <w:r w:rsidRPr="00587AD3">
              <w:rPr>
                <w:rFonts w:ascii="Times New Roman" w:hAnsi="Times New Roman"/>
                <w:sz w:val="22"/>
                <w:szCs w:val="22"/>
              </w:rPr>
              <w:t xml:space="preserve"> and expertise to bear on the discussions. As a result, TURN </w:t>
            </w:r>
            <w:proofErr w:type="gramStart"/>
            <w:r w:rsidRPr="00587AD3">
              <w:rPr>
                <w:rFonts w:ascii="Times New Roman" w:hAnsi="Times New Roman"/>
                <w:sz w:val="22"/>
                <w:szCs w:val="22"/>
              </w:rPr>
              <w:t>is able to</w:t>
            </w:r>
            <w:proofErr w:type="gramEnd"/>
            <w:r w:rsidRPr="00587AD3">
              <w:rPr>
                <w:rFonts w:ascii="Times New Roman" w:hAnsi="Times New Roman"/>
                <w:sz w:val="22"/>
                <w:szCs w:val="22"/>
              </w:rPr>
              <w:t xml:space="preserve"> identify issues and angles that would almost certainly never come to mind but for the “group-think” achievable in such settings.</w:t>
            </w:r>
          </w:p>
          <w:p w14:paraId="3754BA49" w14:textId="77777777" w:rsidR="00C671DA" w:rsidRPr="00587AD3" w:rsidRDefault="00C671DA" w:rsidP="00C36D4F">
            <w:pPr>
              <w:pStyle w:val="p1"/>
              <w:rPr>
                <w:rFonts w:ascii="Times New Roman" w:hAnsi="Times New Roman"/>
                <w:sz w:val="22"/>
                <w:szCs w:val="22"/>
              </w:rPr>
            </w:pPr>
          </w:p>
          <w:p w14:paraId="487B57DD"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There were also meetings with other parties at which more than one attorney represented TURN on occasion. The Commission should understand that this is often essential in a case such as this one, with a wide range of issues that no single person is likely to master. TURN’s requested hours do not include any for a TURN attorney or expert witness where his or her presence at a meeting was not necessary in order to achieve the meeting’s purpose. TURN submits that such meetings can be part of an intervenor’s effective advocacy before the Commission, and that intervenor compensation can and should be awarded for the time of all participants in such meetings where, as here, each participant needed to be in the meeting to advance the intervenor’s advocacy efforts.</w:t>
            </w:r>
          </w:p>
          <w:p w14:paraId="3EE68EDB" w14:textId="77777777" w:rsidR="00C671DA" w:rsidRPr="00587AD3" w:rsidRDefault="00C671DA" w:rsidP="00C36D4F">
            <w:pPr>
              <w:rPr>
                <w:color w:val="000000"/>
                <w:sz w:val="22"/>
                <w:szCs w:val="22"/>
                <w:u w:val="single"/>
              </w:rPr>
            </w:pPr>
            <w:r w:rsidRPr="00587AD3">
              <w:rPr>
                <w:color w:val="000000"/>
                <w:sz w:val="22"/>
                <w:szCs w:val="22"/>
                <w:u w:val="single"/>
              </w:rPr>
              <w:t xml:space="preserve"> </w:t>
            </w:r>
          </w:p>
          <w:p w14:paraId="2E032BAB" w14:textId="77777777" w:rsidR="00C671DA" w:rsidRPr="00587AD3" w:rsidRDefault="00C671DA" w:rsidP="00C36D4F">
            <w:pPr>
              <w:rPr>
                <w:b/>
                <w:i/>
                <w:color w:val="000000"/>
                <w:sz w:val="22"/>
                <w:szCs w:val="22"/>
                <w:u w:val="single"/>
              </w:rPr>
            </w:pPr>
            <w:r w:rsidRPr="00587AD3">
              <w:rPr>
                <w:b/>
                <w:i/>
                <w:color w:val="000000"/>
                <w:sz w:val="22"/>
                <w:szCs w:val="22"/>
                <w:u w:val="single"/>
              </w:rPr>
              <w:t>Intervenor Compensation-Related Time</w:t>
            </w:r>
          </w:p>
          <w:p w14:paraId="4AAF1D3B" w14:textId="77777777" w:rsidR="00C671DA" w:rsidRPr="00587AD3" w:rsidRDefault="00C671DA" w:rsidP="00C36D4F">
            <w:pPr>
              <w:pStyle w:val="p1"/>
              <w:rPr>
                <w:rFonts w:ascii="Times New Roman" w:hAnsi="Times New Roman"/>
                <w:sz w:val="22"/>
                <w:szCs w:val="22"/>
              </w:rPr>
            </w:pPr>
          </w:p>
          <w:p w14:paraId="3B013FAB"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TURN is requesting compensation for 25 hours devoted to compensation-related matters, primarily 23.5 hours associated with preparation of this request for compensation.  This request includes 22 hours of Ms. Goodson’s time.  Given her extensive knowledge of all aspects of this proceeding, she was the most efficient choice to prepare this request.  Mr.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also contributed 1.5 hours of work on this compensation request, specifically related to the reasonableness of hours and hourly rates requested for the Wired Group, whose work Mr. </w:t>
            </w:r>
            <w:proofErr w:type="spellStart"/>
            <w:r w:rsidRPr="00587AD3">
              <w:rPr>
                <w:rFonts w:ascii="Times New Roman" w:hAnsi="Times New Roman"/>
                <w:sz w:val="22"/>
                <w:szCs w:val="22"/>
              </w:rPr>
              <w:t>Hawiger</w:t>
            </w:r>
            <w:proofErr w:type="spellEnd"/>
            <w:r w:rsidRPr="00587AD3">
              <w:rPr>
                <w:rFonts w:ascii="Times New Roman" w:hAnsi="Times New Roman"/>
                <w:sz w:val="22"/>
                <w:szCs w:val="22"/>
              </w:rPr>
              <w:t xml:space="preserve"> directly managed for TURN.  The remaining 1.5 hours were associated with Ms. Goodson’s preparation of TURN’s NOI in 2015 and subsequent amendment to TURN’s NOI in early 2016.  TURN was in the process of updating our Bylaws and Articles of Incorporation at the time we filed our original NOI on November 30, 2015.  Because those documents had not been finalized by TURN’s Board of </w:t>
            </w:r>
            <w:r w:rsidRPr="00587AD3">
              <w:rPr>
                <w:rFonts w:ascii="Times New Roman" w:hAnsi="Times New Roman"/>
                <w:sz w:val="22"/>
                <w:szCs w:val="22"/>
              </w:rPr>
              <w:lastRenderedPageBreak/>
              <w:t xml:space="preserve">Directors, TURN indicated that it would amend its NOI as soon as those documents became </w:t>
            </w:r>
            <w:proofErr w:type="gramStart"/>
            <w:r w:rsidRPr="00587AD3">
              <w:rPr>
                <w:rFonts w:ascii="Times New Roman" w:hAnsi="Times New Roman"/>
                <w:sz w:val="22"/>
                <w:szCs w:val="22"/>
              </w:rPr>
              <w:t>available, and</w:t>
            </w:r>
            <w:proofErr w:type="gramEnd"/>
            <w:r w:rsidRPr="00587AD3">
              <w:rPr>
                <w:rFonts w:ascii="Times New Roman" w:hAnsi="Times New Roman"/>
                <w:sz w:val="22"/>
                <w:szCs w:val="22"/>
              </w:rPr>
              <w:t xml:space="preserve"> did so on January 6, 2016.   </w:t>
            </w:r>
          </w:p>
          <w:p w14:paraId="39F457CA" w14:textId="77777777" w:rsidR="00C671DA" w:rsidRPr="00587AD3" w:rsidRDefault="00C671DA" w:rsidP="00C36D4F">
            <w:pPr>
              <w:pStyle w:val="p1"/>
              <w:rPr>
                <w:rFonts w:ascii="Times New Roman" w:hAnsi="Times New Roman"/>
                <w:sz w:val="22"/>
                <w:szCs w:val="22"/>
              </w:rPr>
            </w:pPr>
          </w:p>
          <w:p w14:paraId="6DD8C3F6" w14:textId="77777777" w:rsidR="00C671DA" w:rsidRPr="00587AD3" w:rsidRDefault="00C671DA" w:rsidP="00C36D4F">
            <w:pPr>
              <w:pStyle w:val="p1"/>
              <w:rPr>
                <w:rFonts w:ascii="Times New Roman" w:hAnsi="Times New Roman"/>
                <w:sz w:val="22"/>
                <w:szCs w:val="22"/>
              </w:rPr>
            </w:pPr>
            <w:r w:rsidRPr="00587AD3">
              <w:rPr>
                <w:rFonts w:ascii="Times New Roman" w:hAnsi="Times New Roman"/>
                <w:sz w:val="22"/>
                <w:szCs w:val="22"/>
              </w:rPr>
              <w:t xml:space="preserve">While higher than the number of hours TURN tends to seek for compensation-related matters, this is a reasonable figure </w:t>
            </w:r>
            <w:proofErr w:type="gramStart"/>
            <w:r w:rsidRPr="00587AD3">
              <w:rPr>
                <w:rFonts w:ascii="Times New Roman" w:hAnsi="Times New Roman"/>
                <w:sz w:val="22"/>
                <w:szCs w:val="22"/>
              </w:rPr>
              <w:t>in light of</w:t>
            </w:r>
            <w:proofErr w:type="gramEnd"/>
            <w:r w:rsidRPr="00587AD3">
              <w:rPr>
                <w:rFonts w:ascii="Times New Roman" w:hAnsi="Times New Roman"/>
                <w:sz w:val="22"/>
                <w:szCs w:val="22"/>
              </w:rPr>
              <w:t xml:space="preserve"> the size and complexity of the request for compensation itself. The number of hours devoted to a request for compensation is driven in large part by the number of individuals and daily time entries involved in the substantive work. For example, the greater the number of individuals and associated time entries, and the greater the likelihood that the request will need to address a new hourly rate for some of those individuals.  In this case, TURN additionally needed to present a showing supporting first-time hourly rates for several of our new expert witnesses.  TURN’s request for compensation for 23.5 hours for preparation of this claim falls well within the range of hours found reasonable by the Commission in decisions addressing TURN’s intervenor compensation requests in recent GRCs.  </w:t>
            </w:r>
            <w:r w:rsidRPr="00587AD3">
              <w:rPr>
                <w:rFonts w:ascii="Times New Roman" w:hAnsi="Times New Roman"/>
                <w:i/>
                <w:sz w:val="22"/>
                <w:szCs w:val="22"/>
              </w:rPr>
              <w:t xml:space="preserve">See </w:t>
            </w:r>
            <w:r w:rsidRPr="00587AD3">
              <w:rPr>
                <w:rFonts w:ascii="Times New Roman" w:hAnsi="Times New Roman"/>
                <w:sz w:val="22"/>
                <w:szCs w:val="22"/>
              </w:rPr>
              <w:t xml:space="preserve">D.13-08-022 (SCE 2012 GRC), awarding compensation for </w:t>
            </w:r>
            <w:r w:rsidRPr="00587AD3">
              <w:rPr>
                <w:rFonts w:ascii="Times New Roman" w:hAnsi="Times New Roman"/>
                <w:sz w:val="22"/>
                <w:szCs w:val="22"/>
                <w:u w:val="single"/>
              </w:rPr>
              <w:t>28.25 hours</w:t>
            </w:r>
            <w:r w:rsidRPr="00587AD3">
              <w:rPr>
                <w:rFonts w:ascii="Times New Roman" w:hAnsi="Times New Roman"/>
                <w:sz w:val="22"/>
                <w:szCs w:val="22"/>
              </w:rPr>
              <w:t xml:space="preserve"> for claim preparation; D.14-05-015 (Sempra Utilities 2012 GRC), awarding compensation for </w:t>
            </w:r>
            <w:r w:rsidRPr="00587AD3">
              <w:rPr>
                <w:rFonts w:ascii="Times New Roman" w:hAnsi="Times New Roman"/>
                <w:sz w:val="22"/>
                <w:szCs w:val="22"/>
                <w:u w:val="single"/>
              </w:rPr>
              <w:t>24.5 hours</w:t>
            </w:r>
            <w:r w:rsidRPr="00587AD3">
              <w:rPr>
                <w:rFonts w:ascii="Times New Roman" w:hAnsi="Times New Roman"/>
                <w:sz w:val="22"/>
                <w:szCs w:val="22"/>
              </w:rPr>
              <w:t xml:space="preserve"> for claim preparation; D.15-08-023 (PG&amp;E 2014 GRC), awarding compensation for </w:t>
            </w:r>
            <w:r w:rsidRPr="00587AD3">
              <w:rPr>
                <w:rFonts w:ascii="Times New Roman" w:hAnsi="Times New Roman"/>
                <w:sz w:val="22"/>
                <w:szCs w:val="22"/>
                <w:u w:val="single"/>
              </w:rPr>
              <w:t>28.5 hours</w:t>
            </w:r>
            <w:r w:rsidRPr="00587AD3">
              <w:rPr>
                <w:rFonts w:ascii="Times New Roman" w:hAnsi="Times New Roman"/>
                <w:sz w:val="22"/>
                <w:szCs w:val="22"/>
              </w:rPr>
              <w:t xml:space="preserve"> for claim preparation; D.16-04-011 (SCE 2015 GRC), awarding compensation for </w:t>
            </w:r>
            <w:r w:rsidRPr="00587AD3">
              <w:rPr>
                <w:rFonts w:ascii="Times New Roman" w:hAnsi="Times New Roman"/>
                <w:sz w:val="22"/>
                <w:szCs w:val="22"/>
                <w:u w:val="single"/>
              </w:rPr>
              <w:t>21.25 hours</w:t>
            </w:r>
            <w:r w:rsidRPr="00587AD3">
              <w:rPr>
                <w:rFonts w:ascii="Times New Roman" w:hAnsi="Times New Roman"/>
                <w:sz w:val="22"/>
                <w:szCs w:val="22"/>
              </w:rPr>
              <w:t xml:space="preserve"> for claim preparation; and D.16-11-004 (Sempra 2016 GRC), awarding compensation for </w:t>
            </w:r>
            <w:r w:rsidRPr="00587AD3">
              <w:rPr>
                <w:rFonts w:ascii="Times New Roman" w:hAnsi="Times New Roman"/>
                <w:sz w:val="22"/>
                <w:szCs w:val="22"/>
                <w:u w:val="single"/>
              </w:rPr>
              <w:t>20 hours</w:t>
            </w:r>
            <w:r w:rsidRPr="00587AD3">
              <w:rPr>
                <w:rFonts w:ascii="Times New Roman" w:hAnsi="Times New Roman"/>
                <w:sz w:val="22"/>
                <w:szCs w:val="22"/>
              </w:rPr>
              <w:t xml:space="preserve"> for claim preparation. </w:t>
            </w:r>
          </w:p>
          <w:p w14:paraId="2FE29D91" w14:textId="77777777" w:rsidR="00C671DA" w:rsidRPr="00587AD3" w:rsidRDefault="00C671DA" w:rsidP="00C36D4F">
            <w:pPr>
              <w:rPr>
                <w:color w:val="000000"/>
                <w:sz w:val="22"/>
                <w:szCs w:val="22"/>
                <w:u w:val="single"/>
              </w:rPr>
            </w:pPr>
          </w:p>
          <w:p w14:paraId="23C39E6A" w14:textId="77777777" w:rsidR="00C671DA" w:rsidRPr="00587AD3" w:rsidRDefault="00C671DA" w:rsidP="00C36D4F">
            <w:pPr>
              <w:rPr>
                <w:b/>
                <w:i/>
                <w:color w:val="000000"/>
                <w:sz w:val="22"/>
                <w:szCs w:val="22"/>
                <w:u w:val="single"/>
              </w:rPr>
            </w:pPr>
          </w:p>
          <w:p w14:paraId="22A12113" w14:textId="77777777" w:rsidR="00C671DA" w:rsidRPr="00587AD3" w:rsidRDefault="00C671DA" w:rsidP="00C36D4F">
            <w:pPr>
              <w:rPr>
                <w:b/>
                <w:i/>
                <w:color w:val="000000"/>
                <w:sz w:val="22"/>
                <w:szCs w:val="22"/>
                <w:u w:val="single"/>
              </w:rPr>
            </w:pPr>
            <w:r w:rsidRPr="00587AD3">
              <w:rPr>
                <w:b/>
                <w:i/>
                <w:color w:val="000000"/>
                <w:sz w:val="22"/>
                <w:szCs w:val="22"/>
                <w:u w:val="single"/>
              </w:rPr>
              <w:t>Reasonableness of TURN’s Direct Expenses</w:t>
            </w:r>
          </w:p>
          <w:p w14:paraId="1A7EA434" w14:textId="77777777" w:rsidR="00C671DA" w:rsidRPr="00587AD3" w:rsidRDefault="00C671DA" w:rsidP="00C36D4F">
            <w:pPr>
              <w:rPr>
                <w:color w:val="000000"/>
                <w:sz w:val="22"/>
                <w:szCs w:val="22"/>
              </w:rPr>
            </w:pPr>
          </w:p>
          <w:p w14:paraId="076E319E" w14:textId="77777777" w:rsidR="00C671DA" w:rsidRPr="00587AD3" w:rsidRDefault="00C671DA" w:rsidP="00C36D4F">
            <w:pPr>
              <w:rPr>
                <w:color w:val="000000"/>
                <w:sz w:val="22"/>
                <w:szCs w:val="22"/>
              </w:rPr>
            </w:pPr>
            <w:r w:rsidRPr="00587AD3">
              <w:rPr>
                <w:color w:val="000000"/>
                <w:sz w:val="22"/>
                <w:szCs w:val="22"/>
              </w:rPr>
              <w:t xml:space="preserve">TURN includes within this request our direct expenses associated with photocopies, postage, telephone expense, and legal research through Lexis, totaling $301.39.  TURN’s expenses are significantly lower than is typical for a GRC because the proceeding settled before evidentiary hearing, which avoided much of the copying expenses associated with hearing exhibits and lengthy post-hearing briefs.  For instance, in the most recently completed SCE GRC, A.13-11-003, TURN requested and received compensation for $2,688.82 in copying expense, compared to our copying costs of $55.15 here.  </w:t>
            </w:r>
            <w:r w:rsidRPr="00587AD3">
              <w:rPr>
                <w:i/>
                <w:color w:val="000000"/>
                <w:sz w:val="22"/>
                <w:szCs w:val="22"/>
              </w:rPr>
              <w:t>See</w:t>
            </w:r>
            <w:r w:rsidRPr="00587AD3">
              <w:rPr>
                <w:color w:val="000000"/>
                <w:sz w:val="22"/>
                <w:szCs w:val="22"/>
              </w:rPr>
              <w:t xml:space="preserve"> D.16-04-011, p. 24.  The Commission should find that our very modest direct expenses are reasonable and award compensation.</w:t>
            </w:r>
          </w:p>
          <w:p w14:paraId="29721BE5" w14:textId="77777777" w:rsidR="00C671DA" w:rsidRPr="00587AD3" w:rsidRDefault="00C671DA" w:rsidP="00C36D4F">
            <w:pPr>
              <w:rPr>
                <w:i/>
                <w:color w:val="000000"/>
                <w:sz w:val="22"/>
                <w:szCs w:val="22"/>
                <w:u w:val="single"/>
              </w:rPr>
            </w:pPr>
          </w:p>
          <w:p w14:paraId="19A4DB16" w14:textId="77777777" w:rsidR="00C671DA" w:rsidRPr="007F620E" w:rsidRDefault="00C671DA" w:rsidP="00C36D4F">
            <w:pPr>
              <w:rPr>
                <w:color w:val="000000"/>
              </w:rPr>
            </w:pPr>
          </w:p>
        </w:tc>
        <w:tc>
          <w:tcPr>
            <w:tcW w:w="2250" w:type="dxa"/>
            <w:shd w:val="clear" w:color="auto" w:fill="auto"/>
          </w:tcPr>
          <w:p w14:paraId="6475ABFD" w14:textId="77777777" w:rsidR="00C671DA" w:rsidRPr="007F620E" w:rsidRDefault="00C671DA" w:rsidP="00C36D4F">
            <w:pPr>
              <w:spacing w:before="120"/>
              <w:rPr>
                <w:color w:val="000000"/>
              </w:rPr>
            </w:pPr>
            <w:r>
              <w:rPr>
                <w:color w:val="000000"/>
              </w:rPr>
              <w:lastRenderedPageBreak/>
              <w:t>With the reductions made in this decision and further explained in Part III.D, the hours claimed are reasonable.</w:t>
            </w:r>
          </w:p>
        </w:tc>
      </w:tr>
      <w:tr w:rsidR="00C671DA" w:rsidRPr="007F620E" w14:paraId="1D4754AE" w14:textId="77777777" w:rsidTr="00C36D4F">
        <w:tc>
          <w:tcPr>
            <w:tcW w:w="7488" w:type="dxa"/>
            <w:shd w:val="clear" w:color="auto" w:fill="auto"/>
          </w:tcPr>
          <w:p w14:paraId="5C36FA03" w14:textId="77777777" w:rsidR="00C671DA" w:rsidRDefault="00C671DA" w:rsidP="00C36D4F">
            <w:pPr>
              <w:rPr>
                <w:b/>
                <w:color w:val="000000"/>
              </w:rPr>
            </w:pPr>
            <w:r w:rsidRPr="007F620E">
              <w:rPr>
                <w:b/>
                <w:color w:val="000000"/>
              </w:rPr>
              <w:lastRenderedPageBreak/>
              <w:t xml:space="preserve">c. </w:t>
            </w:r>
            <w:r w:rsidRPr="00746E55">
              <w:rPr>
                <w:b/>
                <w:color w:val="000000"/>
              </w:rPr>
              <w:t>Allocation of hours by issue:</w:t>
            </w:r>
          </w:p>
          <w:p w14:paraId="442233D5" w14:textId="77777777" w:rsidR="00C671DA" w:rsidRDefault="00C671DA" w:rsidP="00C36D4F">
            <w:pPr>
              <w:rPr>
                <w:b/>
                <w:color w:val="000000"/>
              </w:rPr>
            </w:pPr>
          </w:p>
          <w:p w14:paraId="6F2B5E0C" w14:textId="77777777" w:rsidR="00C671DA" w:rsidRPr="005632E1" w:rsidRDefault="00C671DA" w:rsidP="00C36D4F">
            <w:pPr>
              <w:rPr>
                <w:b/>
                <w:color w:val="000000"/>
                <w:sz w:val="22"/>
                <w:szCs w:val="22"/>
              </w:rPr>
            </w:pPr>
            <w:r w:rsidRPr="005632E1">
              <w:rPr>
                <w:color w:val="000000"/>
                <w:sz w:val="22"/>
                <w:szCs w:val="22"/>
              </w:rPr>
              <w:t xml:space="preserve">TURN has allocated </w:t>
            </w:r>
            <w:proofErr w:type="gramStart"/>
            <w:r w:rsidRPr="005632E1">
              <w:rPr>
                <w:color w:val="000000"/>
                <w:sz w:val="22"/>
                <w:szCs w:val="22"/>
              </w:rPr>
              <w:t>all of</w:t>
            </w:r>
            <w:proofErr w:type="gramEnd"/>
            <w:r w:rsidRPr="005632E1">
              <w:rPr>
                <w:color w:val="000000"/>
                <w:sz w:val="22"/>
                <w:szCs w:val="22"/>
              </w:rPr>
              <w:t xml:space="preserve"> our attorney and consultant time by issue area or activity, as is evident on our attached timesheets (Attachment 2) and in Attachment 4, which shows the allocation of TURN’s time included in this request by attorney or expert and issue / activity area.  The following codes relate to specific substantive issue and activity areas addressed by TURN.</w:t>
            </w:r>
          </w:p>
          <w:p w14:paraId="6DC3F33C" w14:textId="77777777" w:rsidR="00C671DA" w:rsidRDefault="00C671DA" w:rsidP="00C36D4F">
            <w:pPr>
              <w:rPr>
                <w:b/>
                <w:color w:val="000000"/>
              </w:rPr>
            </w:pPr>
          </w:p>
          <w:p w14:paraId="11572ED3" w14:textId="77777777" w:rsidR="00C671DA" w:rsidRDefault="00C671DA" w:rsidP="00C36D4F">
            <w:pPr>
              <w:rPr>
                <w:b/>
                <w:color w:val="000000"/>
              </w:rPr>
            </w:pPr>
          </w:p>
          <w:p w14:paraId="58AC0907" w14:textId="77777777" w:rsidR="00C671DA" w:rsidRDefault="00C671DA" w:rsidP="00C36D4F">
            <w:pPr>
              <w:rPr>
                <w:b/>
                <w:color w:val="000000"/>
              </w:rPr>
            </w:pPr>
          </w:p>
          <w:p w14:paraId="5AE32A1B" w14:textId="77777777" w:rsidR="00C671DA" w:rsidRDefault="00C671DA" w:rsidP="00C36D4F">
            <w:pPr>
              <w:rPr>
                <w:b/>
                <w:color w:val="000000"/>
              </w:rPr>
            </w:pPr>
          </w:p>
          <w:tbl>
            <w:tblPr>
              <w:tblW w:w="6810" w:type="dxa"/>
              <w:tblLayout w:type="fixed"/>
              <w:tblLook w:val="04A0" w:firstRow="1" w:lastRow="0" w:firstColumn="1" w:lastColumn="0" w:noHBand="0" w:noVBand="1"/>
            </w:tblPr>
            <w:tblGrid>
              <w:gridCol w:w="1080"/>
              <w:gridCol w:w="3600"/>
              <w:gridCol w:w="1135"/>
              <w:gridCol w:w="995"/>
            </w:tblGrid>
            <w:tr w:rsidR="00C671DA" w14:paraId="6558A552" w14:textId="77777777" w:rsidTr="00C36D4F">
              <w:trPr>
                <w:trHeight w:val="52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7D34279" w14:textId="77777777" w:rsidR="00C671DA" w:rsidRDefault="00C671DA" w:rsidP="00C36D4F">
                  <w:pPr>
                    <w:rPr>
                      <w:b/>
                      <w:bCs/>
                      <w:color w:val="000000"/>
                      <w:sz w:val="20"/>
                      <w:szCs w:val="20"/>
                    </w:rPr>
                  </w:pPr>
                  <w:r>
                    <w:rPr>
                      <w:b/>
                      <w:bCs/>
                      <w:color w:val="000000"/>
                      <w:sz w:val="20"/>
                      <w:szCs w:val="20"/>
                    </w:rPr>
                    <w:lastRenderedPageBreak/>
                    <w:t>Code</w:t>
                  </w:r>
                </w:p>
              </w:tc>
              <w:tc>
                <w:tcPr>
                  <w:tcW w:w="3600" w:type="dxa"/>
                  <w:tcBorders>
                    <w:top w:val="single" w:sz="4" w:space="0" w:color="auto"/>
                    <w:left w:val="nil"/>
                    <w:bottom w:val="single" w:sz="4" w:space="0" w:color="auto"/>
                    <w:right w:val="single" w:sz="4" w:space="0" w:color="auto"/>
                  </w:tcBorders>
                  <w:shd w:val="clear" w:color="auto" w:fill="auto"/>
                  <w:hideMark/>
                </w:tcPr>
                <w:p w14:paraId="5EA9EEAD" w14:textId="77777777" w:rsidR="00C671DA" w:rsidRDefault="00C671DA" w:rsidP="00C36D4F">
                  <w:pPr>
                    <w:rPr>
                      <w:b/>
                      <w:bCs/>
                      <w:color w:val="000000"/>
                      <w:sz w:val="20"/>
                      <w:szCs w:val="20"/>
                    </w:rPr>
                  </w:pPr>
                  <w:r>
                    <w:rPr>
                      <w:b/>
                      <w:bCs/>
                      <w:color w:val="000000"/>
                      <w:sz w:val="20"/>
                      <w:szCs w:val="20"/>
                    </w:rPr>
                    <w:t>Description</w:t>
                  </w:r>
                </w:p>
              </w:tc>
              <w:tc>
                <w:tcPr>
                  <w:tcW w:w="1135" w:type="dxa"/>
                  <w:tcBorders>
                    <w:top w:val="single" w:sz="4" w:space="0" w:color="auto"/>
                    <w:left w:val="nil"/>
                    <w:bottom w:val="single" w:sz="4" w:space="0" w:color="auto"/>
                    <w:right w:val="nil"/>
                  </w:tcBorders>
                  <w:shd w:val="clear" w:color="auto" w:fill="auto"/>
                  <w:hideMark/>
                </w:tcPr>
                <w:p w14:paraId="38365111" w14:textId="77777777" w:rsidR="00C671DA" w:rsidRDefault="00C671DA" w:rsidP="00C36D4F">
                  <w:pPr>
                    <w:rPr>
                      <w:b/>
                      <w:bCs/>
                      <w:color w:val="000000"/>
                      <w:sz w:val="20"/>
                      <w:szCs w:val="20"/>
                    </w:rPr>
                  </w:pPr>
                  <w:r>
                    <w:rPr>
                      <w:b/>
                      <w:bCs/>
                      <w:color w:val="000000"/>
                      <w:sz w:val="20"/>
                      <w:szCs w:val="20"/>
                    </w:rPr>
                    <w:t>Allocation of Time</w:t>
                  </w:r>
                </w:p>
              </w:tc>
              <w:tc>
                <w:tcPr>
                  <w:tcW w:w="995" w:type="dxa"/>
                  <w:tcBorders>
                    <w:top w:val="single" w:sz="4" w:space="0" w:color="auto"/>
                    <w:left w:val="single" w:sz="4" w:space="0" w:color="auto"/>
                    <w:bottom w:val="single" w:sz="4" w:space="0" w:color="auto"/>
                    <w:right w:val="single" w:sz="4" w:space="0" w:color="auto"/>
                  </w:tcBorders>
                  <w:shd w:val="clear" w:color="auto" w:fill="auto"/>
                  <w:noWrap/>
                  <w:hideMark/>
                </w:tcPr>
                <w:p w14:paraId="16D0DA6F" w14:textId="77777777" w:rsidR="00C671DA" w:rsidRDefault="00C671DA" w:rsidP="00C36D4F">
                  <w:pPr>
                    <w:rPr>
                      <w:b/>
                      <w:bCs/>
                      <w:color w:val="000000"/>
                      <w:sz w:val="20"/>
                      <w:szCs w:val="20"/>
                    </w:rPr>
                  </w:pPr>
                  <w:r>
                    <w:rPr>
                      <w:b/>
                      <w:bCs/>
                      <w:color w:val="000000"/>
                      <w:sz w:val="20"/>
                      <w:szCs w:val="20"/>
                    </w:rPr>
                    <w:t xml:space="preserve"> Hours</w:t>
                  </w:r>
                </w:p>
              </w:tc>
            </w:tr>
            <w:tr w:rsidR="00C671DA" w14:paraId="7BC532ED" w14:textId="77777777" w:rsidTr="00C36D4F">
              <w:trPr>
                <w:trHeight w:val="780"/>
              </w:trPr>
              <w:tc>
                <w:tcPr>
                  <w:tcW w:w="1080" w:type="dxa"/>
                  <w:tcBorders>
                    <w:top w:val="nil"/>
                    <w:left w:val="single" w:sz="4" w:space="0" w:color="auto"/>
                    <w:bottom w:val="single" w:sz="4" w:space="0" w:color="auto"/>
                    <w:right w:val="single" w:sz="4" w:space="0" w:color="auto"/>
                  </w:tcBorders>
                  <w:shd w:val="clear" w:color="auto" w:fill="auto"/>
                  <w:hideMark/>
                </w:tcPr>
                <w:p w14:paraId="14CB2231" w14:textId="77777777" w:rsidR="00C671DA" w:rsidRDefault="00C671DA" w:rsidP="00C36D4F">
                  <w:pPr>
                    <w:rPr>
                      <w:color w:val="000000"/>
                      <w:sz w:val="20"/>
                      <w:szCs w:val="20"/>
                    </w:rPr>
                  </w:pPr>
                  <w:r>
                    <w:rPr>
                      <w:color w:val="000000"/>
                      <w:sz w:val="20"/>
                      <w:szCs w:val="20"/>
                    </w:rPr>
                    <w:t>#</w:t>
                  </w:r>
                </w:p>
              </w:tc>
              <w:tc>
                <w:tcPr>
                  <w:tcW w:w="3600" w:type="dxa"/>
                  <w:tcBorders>
                    <w:top w:val="nil"/>
                    <w:left w:val="nil"/>
                    <w:bottom w:val="single" w:sz="4" w:space="0" w:color="auto"/>
                    <w:right w:val="single" w:sz="4" w:space="0" w:color="auto"/>
                  </w:tcBorders>
                  <w:shd w:val="clear" w:color="auto" w:fill="auto"/>
                  <w:hideMark/>
                </w:tcPr>
                <w:p w14:paraId="4FEB7EC0" w14:textId="77777777" w:rsidR="00C671DA" w:rsidRDefault="00C671DA" w:rsidP="00C36D4F">
                  <w:pPr>
                    <w:rPr>
                      <w:color w:val="000000"/>
                      <w:sz w:val="20"/>
                      <w:szCs w:val="20"/>
                    </w:rPr>
                  </w:pPr>
                  <w:r>
                    <w:rPr>
                      <w:color w:val="000000"/>
                      <w:sz w:val="20"/>
                      <w:szCs w:val="20"/>
                    </w:rPr>
                    <w:t>The work in in this category pertained to substantive issues but was not specific to any one issue area addressed by TURN.</w:t>
                  </w:r>
                </w:p>
              </w:tc>
              <w:tc>
                <w:tcPr>
                  <w:tcW w:w="1135" w:type="dxa"/>
                  <w:tcBorders>
                    <w:top w:val="nil"/>
                    <w:left w:val="nil"/>
                    <w:bottom w:val="single" w:sz="4" w:space="0" w:color="auto"/>
                    <w:right w:val="nil"/>
                  </w:tcBorders>
                  <w:shd w:val="clear" w:color="auto" w:fill="auto"/>
                  <w:hideMark/>
                </w:tcPr>
                <w:p w14:paraId="186A7A7F" w14:textId="77777777" w:rsidR="00C671DA" w:rsidRDefault="00C671DA" w:rsidP="00C36D4F">
                  <w:pPr>
                    <w:jc w:val="right"/>
                    <w:rPr>
                      <w:color w:val="000000"/>
                      <w:sz w:val="20"/>
                      <w:szCs w:val="20"/>
                    </w:rPr>
                  </w:pPr>
                  <w:r>
                    <w:rPr>
                      <w:color w:val="000000"/>
                      <w:sz w:val="20"/>
                      <w:szCs w:val="20"/>
                    </w:rPr>
                    <w:t>2.60%</w:t>
                  </w:r>
                </w:p>
              </w:tc>
              <w:tc>
                <w:tcPr>
                  <w:tcW w:w="995" w:type="dxa"/>
                  <w:tcBorders>
                    <w:top w:val="nil"/>
                    <w:left w:val="single" w:sz="4" w:space="0" w:color="auto"/>
                    <w:bottom w:val="single" w:sz="4" w:space="0" w:color="auto"/>
                    <w:right w:val="single" w:sz="4" w:space="0" w:color="auto"/>
                  </w:tcBorders>
                  <w:shd w:val="clear" w:color="auto" w:fill="auto"/>
                  <w:noWrap/>
                  <w:hideMark/>
                </w:tcPr>
                <w:p w14:paraId="47EA1F72" w14:textId="77777777" w:rsidR="00C671DA" w:rsidRDefault="00C671DA" w:rsidP="00C36D4F">
                  <w:pPr>
                    <w:jc w:val="right"/>
                    <w:rPr>
                      <w:color w:val="000000"/>
                      <w:sz w:val="20"/>
                      <w:szCs w:val="20"/>
                    </w:rPr>
                  </w:pPr>
                  <w:r>
                    <w:rPr>
                      <w:color w:val="000000"/>
                      <w:sz w:val="20"/>
                      <w:szCs w:val="20"/>
                    </w:rPr>
                    <w:t>125.28</w:t>
                  </w:r>
                </w:p>
              </w:tc>
            </w:tr>
            <w:tr w:rsidR="00C671DA" w14:paraId="7BE5E18A"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573F981F" w14:textId="77777777" w:rsidR="00C671DA" w:rsidRDefault="00C671DA" w:rsidP="00C36D4F">
                  <w:pPr>
                    <w:rPr>
                      <w:color w:val="000000"/>
                      <w:sz w:val="20"/>
                      <w:szCs w:val="20"/>
                    </w:rPr>
                  </w:pPr>
                  <w:r>
                    <w:rPr>
                      <w:color w:val="000000"/>
                      <w:sz w:val="20"/>
                      <w:szCs w:val="20"/>
                    </w:rPr>
                    <w:t>A&amp;G</w:t>
                  </w:r>
                </w:p>
              </w:tc>
              <w:tc>
                <w:tcPr>
                  <w:tcW w:w="3600" w:type="dxa"/>
                  <w:tcBorders>
                    <w:top w:val="nil"/>
                    <w:left w:val="nil"/>
                    <w:bottom w:val="single" w:sz="4" w:space="0" w:color="auto"/>
                    <w:right w:val="single" w:sz="4" w:space="0" w:color="auto"/>
                  </w:tcBorders>
                  <w:shd w:val="clear" w:color="auto" w:fill="auto"/>
                  <w:hideMark/>
                </w:tcPr>
                <w:p w14:paraId="3DBBB800" w14:textId="77777777" w:rsidR="00C671DA" w:rsidRDefault="00C671DA" w:rsidP="00C36D4F">
                  <w:pPr>
                    <w:rPr>
                      <w:color w:val="000000"/>
                      <w:sz w:val="20"/>
                      <w:szCs w:val="20"/>
                    </w:rPr>
                  </w:pPr>
                  <w:r>
                    <w:rPr>
                      <w:color w:val="000000"/>
                      <w:sz w:val="20"/>
                      <w:szCs w:val="20"/>
                    </w:rPr>
                    <w:t>Work related to Administrative and General issues</w:t>
                  </w:r>
                </w:p>
              </w:tc>
              <w:tc>
                <w:tcPr>
                  <w:tcW w:w="1135" w:type="dxa"/>
                  <w:tcBorders>
                    <w:top w:val="nil"/>
                    <w:left w:val="nil"/>
                    <w:bottom w:val="single" w:sz="4" w:space="0" w:color="auto"/>
                    <w:right w:val="nil"/>
                  </w:tcBorders>
                  <w:shd w:val="clear" w:color="auto" w:fill="auto"/>
                  <w:hideMark/>
                </w:tcPr>
                <w:p w14:paraId="658EB090" w14:textId="77777777" w:rsidR="00C671DA" w:rsidRDefault="00C671DA" w:rsidP="00C36D4F">
                  <w:pPr>
                    <w:jc w:val="right"/>
                    <w:rPr>
                      <w:color w:val="000000"/>
                      <w:sz w:val="20"/>
                      <w:szCs w:val="20"/>
                    </w:rPr>
                  </w:pPr>
                  <w:r>
                    <w:rPr>
                      <w:color w:val="000000"/>
                      <w:sz w:val="20"/>
                      <w:szCs w:val="20"/>
                    </w:rPr>
                    <w:t>1.75%</w:t>
                  </w:r>
                </w:p>
              </w:tc>
              <w:tc>
                <w:tcPr>
                  <w:tcW w:w="995" w:type="dxa"/>
                  <w:tcBorders>
                    <w:top w:val="nil"/>
                    <w:left w:val="single" w:sz="4" w:space="0" w:color="auto"/>
                    <w:bottom w:val="single" w:sz="4" w:space="0" w:color="auto"/>
                    <w:right w:val="single" w:sz="4" w:space="0" w:color="auto"/>
                  </w:tcBorders>
                  <w:shd w:val="clear" w:color="auto" w:fill="auto"/>
                  <w:noWrap/>
                  <w:hideMark/>
                </w:tcPr>
                <w:p w14:paraId="2E1878FA" w14:textId="77777777" w:rsidR="00C671DA" w:rsidRDefault="00C671DA" w:rsidP="00C36D4F">
                  <w:pPr>
                    <w:jc w:val="right"/>
                    <w:rPr>
                      <w:color w:val="000000"/>
                      <w:sz w:val="20"/>
                      <w:szCs w:val="20"/>
                    </w:rPr>
                  </w:pPr>
                  <w:r>
                    <w:rPr>
                      <w:color w:val="000000"/>
                      <w:sz w:val="20"/>
                      <w:szCs w:val="20"/>
                    </w:rPr>
                    <w:t>84.23</w:t>
                  </w:r>
                </w:p>
              </w:tc>
            </w:tr>
            <w:tr w:rsidR="00C671DA" w14:paraId="1947F18E"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3D0A595A" w14:textId="77777777" w:rsidR="00C671DA" w:rsidRDefault="00C671DA" w:rsidP="00C36D4F">
                  <w:pPr>
                    <w:rPr>
                      <w:color w:val="000000"/>
                      <w:sz w:val="20"/>
                      <w:szCs w:val="20"/>
                    </w:rPr>
                  </w:pPr>
                  <w:r>
                    <w:rPr>
                      <w:color w:val="000000"/>
                      <w:sz w:val="20"/>
                      <w:szCs w:val="20"/>
                    </w:rPr>
                    <w:t>Afford</w:t>
                  </w:r>
                </w:p>
              </w:tc>
              <w:tc>
                <w:tcPr>
                  <w:tcW w:w="3600" w:type="dxa"/>
                  <w:tcBorders>
                    <w:top w:val="nil"/>
                    <w:left w:val="nil"/>
                    <w:bottom w:val="single" w:sz="4" w:space="0" w:color="auto"/>
                    <w:right w:val="single" w:sz="4" w:space="0" w:color="auto"/>
                  </w:tcBorders>
                  <w:shd w:val="clear" w:color="auto" w:fill="auto"/>
                  <w:hideMark/>
                </w:tcPr>
                <w:p w14:paraId="5112B307" w14:textId="77777777" w:rsidR="00C671DA" w:rsidRDefault="00C671DA" w:rsidP="00C36D4F">
                  <w:pPr>
                    <w:rPr>
                      <w:color w:val="000000"/>
                      <w:sz w:val="20"/>
                      <w:szCs w:val="20"/>
                    </w:rPr>
                  </w:pPr>
                  <w:r>
                    <w:rPr>
                      <w:color w:val="000000"/>
                      <w:sz w:val="20"/>
                      <w:szCs w:val="20"/>
                    </w:rPr>
                    <w:t>Work related to affordability issues associated with PG&amp;E's request.</w:t>
                  </w:r>
                </w:p>
              </w:tc>
              <w:tc>
                <w:tcPr>
                  <w:tcW w:w="1135" w:type="dxa"/>
                  <w:tcBorders>
                    <w:top w:val="nil"/>
                    <w:left w:val="nil"/>
                    <w:bottom w:val="single" w:sz="4" w:space="0" w:color="auto"/>
                    <w:right w:val="nil"/>
                  </w:tcBorders>
                  <w:shd w:val="clear" w:color="auto" w:fill="auto"/>
                  <w:hideMark/>
                </w:tcPr>
                <w:p w14:paraId="556AEB82" w14:textId="77777777" w:rsidR="00C671DA" w:rsidRDefault="00C671DA" w:rsidP="00C36D4F">
                  <w:pPr>
                    <w:jc w:val="right"/>
                    <w:rPr>
                      <w:color w:val="000000"/>
                      <w:sz w:val="20"/>
                      <w:szCs w:val="20"/>
                    </w:rPr>
                  </w:pPr>
                  <w:r>
                    <w:rPr>
                      <w:color w:val="000000"/>
                      <w:sz w:val="20"/>
                      <w:szCs w:val="20"/>
                    </w:rPr>
                    <w:t>3.46%</w:t>
                  </w:r>
                </w:p>
              </w:tc>
              <w:tc>
                <w:tcPr>
                  <w:tcW w:w="995" w:type="dxa"/>
                  <w:tcBorders>
                    <w:top w:val="nil"/>
                    <w:left w:val="single" w:sz="4" w:space="0" w:color="auto"/>
                    <w:bottom w:val="single" w:sz="4" w:space="0" w:color="auto"/>
                    <w:right w:val="single" w:sz="4" w:space="0" w:color="auto"/>
                  </w:tcBorders>
                  <w:shd w:val="clear" w:color="auto" w:fill="auto"/>
                  <w:noWrap/>
                  <w:hideMark/>
                </w:tcPr>
                <w:p w14:paraId="01D9BD83" w14:textId="77777777" w:rsidR="00C671DA" w:rsidRDefault="00C671DA" w:rsidP="00C36D4F">
                  <w:pPr>
                    <w:jc w:val="right"/>
                    <w:rPr>
                      <w:color w:val="000000"/>
                      <w:sz w:val="20"/>
                      <w:szCs w:val="20"/>
                    </w:rPr>
                  </w:pPr>
                  <w:r>
                    <w:rPr>
                      <w:color w:val="000000"/>
                      <w:sz w:val="20"/>
                      <w:szCs w:val="20"/>
                    </w:rPr>
                    <w:t>166.50</w:t>
                  </w:r>
                </w:p>
              </w:tc>
            </w:tr>
            <w:tr w:rsidR="00C671DA" w14:paraId="4C399982" w14:textId="77777777" w:rsidTr="00C36D4F">
              <w:trPr>
                <w:trHeight w:val="780"/>
              </w:trPr>
              <w:tc>
                <w:tcPr>
                  <w:tcW w:w="1080" w:type="dxa"/>
                  <w:tcBorders>
                    <w:top w:val="nil"/>
                    <w:left w:val="single" w:sz="4" w:space="0" w:color="auto"/>
                    <w:bottom w:val="single" w:sz="4" w:space="0" w:color="auto"/>
                    <w:right w:val="single" w:sz="4" w:space="0" w:color="auto"/>
                  </w:tcBorders>
                  <w:shd w:val="clear" w:color="auto" w:fill="auto"/>
                  <w:hideMark/>
                </w:tcPr>
                <w:p w14:paraId="780A9972" w14:textId="77777777" w:rsidR="00C671DA" w:rsidRDefault="00C671DA" w:rsidP="00C36D4F">
                  <w:pPr>
                    <w:rPr>
                      <w:color w:val="000000"/>
                      <w:sz w:val="20"/>
                      <w:szCs w:val="20"/>
                    </w:rPr>
                  </w:pPr>
                  <w:r>
                    <w:rPr>
                      <w:color w:val="000000"/>
                      <w:sz w:val="20"/>
                      <w:szCs w:val="20"/>
                    </w:rPr>
                    <w:t>AL</w:t>
                  </w:r>
                </w:p>
              </w:tc>
              <w:tc>
                <w:tcPr>
                  <w:tcW w:w="3600" w:type="dxa"/>
                  <w:tcBorders>
                    <w:top w:val="nil"/>
                    <w:left w:val="nil"/>
                    <w:bottom w:val="nil"/>
                    <w:right w:val="single" w:sz="4" w:space="0" w:color="auto"/>
                  </w:tcBorders>
                  <w:shd w:val="clear" w:color="auto" w:fill="auto"/>
                  <w:hideMark/>
                </w:tcPr>
                <w:p w14:paraId="49AD987C" w14:textId="77777777" w:rsidR="00C671DA" w:rsidRDefault="00C671DA" w:rsidP="00C36D4F">
                  <w:pPr>
                    <w:rPr>
                      <w:color w:val="000000"/>
                      <w:sz w:val="20"/>
                      <w:szCs w:val="20"/>
                    </w:rPr>
                  </w:pPr>
                  <w:r>
                    <w:rPr>
                      <w:color w:val="000000"/>
                      <w:sz w:val="20"/>
                      <w:szCs w:val="20"/>
                    </w:rPr>
                    <w:t>Review of PG&amp;E's post-D.17-05-013 Advice Letter regarding the $300 budget reduction it announced in January 2017</w:t>
                  </w:r>
                </w:p>
              </w:tc>
              <w:tc>
                <w:tcPr>
                  <w:tcW w:w="1135" w:type="dxa"/>
                  <w:tcBorders>
                    <w:top w:val="nil"/>
                    <w:left w:val="nil"/>
                    <w:bottom w:val="single" w:sz="4" w:space="0" w:color="auto"/>
                    <w:right w:val="nil"/>
                  </w:tcBorders>
                  <w:shd w:val="clear" w:color="auto" w:fill="auto"/>
                  <w:hideMark/>
                </w:tcPr>
                <w:p w14:paraId="23BFA072" w14:textId="77777777" w:rsidR="00C671DA" w:rsidRDefault="00C671DA" w:rsidP="00C36D4F">
                  <w:pPr>
                    <w:jc w:val="right"/>
                    <w:rPr>
                      <w:color w:val="000000"/>
                      <w:sz w:val="20"/>
                      <w:szCs w:val="20"/>
                    </w:rPr>
                  </w:pPr>
                  <w:r>
                    <w:rPr>
                      <w:color w:val="000000"/>
                      <w:sz w:val="20"/>
                      <w:szCs w:val="20"/>
                    </w:rPr>
                    <w:t>0.04%</w:t>
                  </w:r>
                </w:p>
              </w:tc>
              <w:tc>
                <w:tcPr>
                  <w:tcW w:w="995" w:type="dxa"/>
                  <w:tcBorders>
                    <w:top w:val="nil"/>
                    <w:left w:val="single" w:sz="4" w:space="0" w:color="auto"/>
                    <w:bottom w:val="single" w:sz="4" w:space="0" w:color="auto"/>
                    <w:right w:val="single" w:sz="4" w:space="0" w:color="auto"/>
                  </w:tcBorders>
                  <w:shd w:val="clear" w:color="auto" w:fill="auto"/>
                  <w:noWrap/>
                  <w:hideMark/>
                </w:tcPr>
                <w:p w14:paraId="097AEF43" w14:textId="77777777" w:rsidR="00C671DA" w:rsidRDefault="00C671DA" w:rsidP="00C36D4F">
                  <w:pPr>
                    <w:jc w:val="right"/>
                    <w:rPr>
                      <w:color w:val="000000"/>
                      <w:sz w:val="20"/>
                      <w:szCs w:val="20"/>
                    </w:rPr>
                  </w:pPr>
                  <w:r>
                    <w:rPr>
                      <w:color w:val="000000"/>
                      <w:sz w:val="20"/>
                      <w:szCs w:val="20"/>
                    </w:rPr>
                    <w:t>2.00</w:t>
                  </w:r>
                </w:p>
              </w:tc>
            </w:tr>
            <w:tr w:rsidR="00C671DA" w14:paraId="0264D3B8"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58C2E498" w14:textId="77777777" w:rsidR="00C671DA" w:rsidRDefault="00C671DA" w:rsidP="00C36D4F">
                  <w:pPr>
                    <w:rPr>
                      <w:color w:val="000000"/>
                      <w:sz w:val="20"/>
                      <w:szCs w:val="20"/>
                    </w:rPr>
                  </w:pPr>
                  <w:r>
                    <w:rPr>
                      <w:color w:val="000000"/>
                      <w:sz w:val="20"/>
                      <w:szCs w:val="20"/>
                    </w:rPr>
                    <w:t>Coord</w:t>
                  </w:r>
                </w:p>
              </w:tc>
              <w:tc>
                <w:tcPr>
                  <w:tcW w:w="3600" w:type="dxa"/>
                  <w:tcBorders>
                    <w:top w:val="single" w:sz="4" w:space="0" w:color="auto"/>
                    <w:left w:val="nil"/>
                    <w:bottom w:val="nil"/>
                    <w:right w:val="single" w:sz="4" w:space="0" w:color="auto"/>
                  </w:tcBorders>
                  <w:shd w:val="clear" w:color="auto" w:fill="auto"/>
                  <w:hideMark/>
                </w:tcPr>
                <w:p w14:paraId="47C8894A" w14:textId="77777777" w:rsidR="00C671DA" w:rsidRDefault="00C671DA" w:rsidP="00C36D4F">
                  <w:pPr>
                    <w:rPr>
                      <w:color w:val="000000"/>
                      <w:sz w:val="20"/>
                      <w:szCs w:val="20"/>
                    </w:rPr>
                  </w:pPr>
                  <w:r>
                    <w:rPr>
                      <w:color w:val="000000"/>
                      <w:sz w:val="20"/>
                      <w:szCs w:val="20"/>
                    </w:rPr>
                    <w:t>Work related to coordinating with other intervenors</w:t>
                  </w:r>
                </w:p>
              </w:tc>
              <w:tc>
                <w:tcPr>
                  <w:tcW w:w="1135" w:type="dxa"/>
                  <w:tcBorders>
                    <w:top w:val="nil"/>
                    <w:left w:val="nil"/>
                    <w:bottom w:val="single" w:sz="4" w:space="0" w:color="auto"/>
                    <w:right w:val="nil"/>
                  </w:tcBorders>
                  <w:shd w:val="clear" w:color="auto" w:fill="auto"/>
                  <w:hideMark/>
                </w:tcPr>
                <w:p w14:paraId="7347AF33" w14:textId="77777777" w:rsidR="00C671DA" w:rsidRDefault="00C671DA" w:rsidP="00C36D4F">
                  <w:pPr>
                    <w:jc w:val="right"/>
                    <w:rPr>
                      <w:color w:val="000000"/>
                      <w:sz w:val="20"/>
                      <w:szCs w:val="20"/>
                    </w:rPr>
                  </w:pPr>
                  <w:r>
                    <w:rPr>
                      <w:color w:val="000000"/>
                      <w:sz w:val="20"/>
                      <w:szCs w:val="20"/>
                    </w:rPr>
                    <w:t>0.35%</w:t>
                  </w:r>
                </w:p>
              </w:tc>
              <w:tc>
                <w:tcPr>
                  <w:tcW w:w="995" w:type="dxa"/>
                  <w:tcBorders>
                    <w:top w:val="nil"/>
                    <w:left w:val="single" w:sz="4" w:space="0" w:color="auto"/>
                    <w:bottom w:val="single" w:sz="4" w:space="0" w:color="auto"/>
                    <w:right w:val="single" w:sz="4" w:space="0" w:color="auto"/>
                  </w:tcBorders>
                  <w:shd w:val="clear" w:color="auto" w:fill="auto"/>
                  <w:noWrap/>
                  <w:hideMark/>
                </w:tcPr>
                <w:p w14:paraId="20193722" w14:textId="77777777" w:rsidR="00C671DA" w:rsidRDefault="00C671DA" w:rsidP="00C36D4F">
                  <w:pPr>
                    <w:jc w:val="right"/>
                    <w:rPr>
                      <w:color w:val="000000"/>
                      <w:sz w:val="20"/>
                      <w:szCs w:val="20"/>
                    </w:rPr>
                  </w:pPr>
                  <w:r>
                    <w:rPr>
                      <w:color w:val="000000"/>
                      <w:sz w:val="20"/>
                      <w:szCs w:val="20"/>
                    </w:rPr>
                    <w:t>16.75</w:t>
                  </w:r>
                </w:p>
              </w:tc>
            </w:tr>
            <w:tr w:rsidR="00C671DA" w14:paraId="71E9A79C"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711AEE71" w14:textId="77777777" w:rsidR="00C671DA" w:rsidRDefault="00C671DA" w:rsidP="00C36D4F">
                  <w:pPr>
                    <w:rPr>
                      <w:color w:val="000000"/>
                      <w:sz w:val="20"/>
                      <w:szCs w:val="20"/>
                    </w:rPr>
                  </w:pPr>
                  <w:proofErr w:type="spellStart"/>
                  <w:r>
                    <w:rPr>
                      <w:color w:val="000000"/>
                      <w:sz w:val="20"/>
                      <w:szCs w:val="20"/>
                    </w:rPr>
                    <w:t>CustSvc</w:t>
                  </w:r>
                  <w:proofErr w:type="spellEnd"/>
                </w:p>
              </w:tc>
              <w:tc>
                <w:tcPr>
                  <w:tcW w:w="3600" w:type="dxa"/>
                  <w:tcBorders>
                    <w:top w:val="single" w:sz="4" w:space="0" w:color="auto"/>
                    <w:left w:val="nil"/>
                    <w:bottom w:val="nil"/>
                    <w:right w:val="single" w:sz="4" w:space="0" w:color="auto"/>
                  </w:tcBorders>
                  <w:shd w:val="clear" w:color="auto" w:fill="auto"/>
                  <w:hideMark/>
                </w:tcPr>
                <w:p w14:paraId="313A5286" w14:textId="77777777" w:rsidR="00C671DA" w:rsidRDefault="00C671DA" w:rsidP="00C36D4F">
                  <w:pPr>
                    <w:rPr>
                      <w:color w:val="000000"/>
                      <w:sz w:val="20"/>
                      <w:szCs w:val="20"/>
                    </w:rPr>
                  </w:pPr>
                  <w:r>
                    <w:rPr>
                      <w:color w:val="000000"/>
                      <w:sz w:val="20"/>
                      <w:szCs w:val="20"/>
                    </w:rPr>
                    <w:t>Work related to PG&amp;E's Customer Care requests</w:t>
                  </w:r>
                </w:p>
              </w:tc>
              <w:tc>
                <w:tcPr>
                  <w:tcW w:w="1135" w:type="dxa"/>
                  <w:tcBorders>
                    <w:top w:val="nil"/>
                    <w:left w:val="nil"/>
                    <w:bottom w:val="single" w:sz="4" w:space="0" w:color="auto"/>
                    <w:right w:val="nil"/>
                  </w:tcBorders>
                  <w:shd w:val="clear" w:color="auto" w:fill="auto"/>
                  <w:hideMark/>
                </w:tcPr>
                <w:p w14:paraId="257CB79F" w14:textId="77777777" w:rsidR="00C671DA" w:rsidRDefault="00C671DA" w:rsidP="00C36D4F">
                  <w:pPr>
                    <w:jc w:val="right"/>
                    <w:rPr>
                      <w:color w:val="000000"/>
                      <w:sz w:val="20"/>
                      <w:szCs w:val="20"/>
                    </w:rPr>
                  </w:pPr>
                  <w:r>
                    <w:rPr>
                      <w:color w:val="000000"/>
                      <w:sz w:val="20"/>
                      <w:szCs w:val="20"/>
                    </w:rPr>
                    <w:t>7.97%</w:t>
                  </w:r>
                </w:p>
              </w:tc>
              <w:tc>
                <w:tcPr>
                  <w:tcW w:w="995" w:type="dxa"/>
                  <w:tcBorders>
                    <w:top w:val="nil"/>
                    <w:left w:val="single" w:sz="4" w:space="0" w:color="auto"/>
                    <w:bottom w:val="single" w:sz="4" w:space="0" w:color="auto"/>
                    <w:right w:val="single" w:sz="4" w:space="0" w:color="auto"/>
                  </w:tcBorders>
                  <w:shd w:val="clear" w:color="auto" w:fill="auto"/>
                  <w:noWrap/>
                  <w:hideMark/>
                </w:tcPr>
                <w:p w14:paraId="3C9D198A" w14:textId="77777777" w:rsidR="00C671DA" w:rsidRDefault="00C671DA" w:rsidP="00C36D4F">
                  <w:pPr>
                    <w:jc w:val="right"/>
                    <w:rPr>
                      <w:color w:val="000000"/>
                      <w:sz w:val="20"/>
                      <w:szCs w:val="20"/>
                    </w:rPr>
                  </w:pPr>
                  <w:r>
                    <w:rPr>
                      <w:color w:val="000000"/>
                      <w:sz w:val="20"/>
                      <w:szCs w:val="20"/>
                    </w:rPr>
                    <w:t>383.75</w:t>
                  </w:r>
                </w:p>
              </w:tc>
            </w:tr>
            <w:tr w:rsidR="00C671DA" w14:paraId="74E04050"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2BCFFBC4" w14:textId="77777777" w:rsidR="00C671DA" w:rsidRDefault="00C671DA" w:rsidP="00C36D4F">
                  <w:pPr>
                    <w:rPr>
                      <w:color w:val="000000"/>
                      <w:sz w:val="20"/>
                      <w:szCs w:val="20"/>
                    </w:rPr>
                  </w:pPr>
                  <w:proofErr w:type="spellStart"/>
                  <w:r>
                    <w:rPr>
                      <w:color w:val="000000"/>
                      <w:sz w:val="20"/>
                      <w:szCs w:val="20"/>
                    </w:rPr>
                    <w:t>DefWk</w:t>
                  </w:r>
                  <w:proofErr w:type="spellEnd"/>
                </w:p>
              </w:tc>
              <w:tc>
                <w:tcPr>
                  <w:tcW w:w="3600" w:type="dxa"/>
                  <w:tcBorders>
                    <w:top w:val="single" w:sz="4" w:space="0" w:color="auto"/>
                    <w:left w:val="nil"/>
                    <w:bottom w:val="nil"/>
                    <w:right w:val="single" w:sz="4" w:space="0" w:color="auto"/>
                  </w:tcBorders>
                  <w:shd w:val="clear" w:color="auto" w:fill="auto"/>
                  <w:hideMark/>
                </w:tcPr>
                <w:p w14:paraId="64FA5DDA" w14:textId="77777777" w:rsidR="00C671DA" w:rsidRDefault="00C671DA" w:rsidP="00C36D4F">
                  <w:pPr>
                    <w:rPr>
                      <w:color w:val="000000"/>
                      <w:sz w:val="20"/>
                      <w:szCs w:val="20"/>
                    </w:rPr>
                  </w:pPr>
                  <w:r>
                    <w:rPr>
                      <w:color w:val="000000"/>
                      <w:sz w:val="20"/>
                      <w:szCs w:val="20"/>
                    </w:rPr>
                    <w:t>Work related to deferred work and reprioritization</w:t>
                  </w:r>
                </w:p>
              </w:tc>
              <w:tc>
                <w:tcPr>
                  <w:tcW w:w="1135" w:type="dxa"/>
                  <w:tcBorders>
                    <w:top w:val="nil"/>
                    <w:left w:val="nil"/>
                    <w:bottom w:val="single" w:sz="4" w:space="0" w:color="auto"/>
                    <w:right w:val="nil"/>
                  </w:tcBorders>
                  <w:shd w:val="clear" w:color="auto" w:fill="auto"/>
                  <w:hideMark/>
                </w:tcPr>
                <w:p w14:paraId="73EF5141" w14:textId="77777777" w:rsidR="00C671DA" w:rsidRDefault="00C671DA" w:rsidP="00C36D4F">
                  <w:pPr>
                    <w:jc w:val="right"/>
                    <w:rPr>
                      <w:color w:val="000000"/>
                      <w:sz w:val="20"/>
                      <w:szCs w:val="20"/>
                    </w:rPr>
                  </w:pPr>
                  <w:r>
                    <w:rPr>
                      <w:color w:val="000000"/>
                      <w:sz w:val="20"/>
                      <w:szCs w:val="20"/>
                    </w:rPr>
                    <w:t>0.42%</w:t>
                  </w:r>
                </w:p>
              </w:tc>
              <w:tc>
                <w:tcPr>
                  <w:tcW w:w="995" w:type="dxa"/>
                  <w:tcBorders>
                    <w:top w:val="nil"/>
                    <w:left w:val="single" w:sz="4" w:space="0" w:color="auto"/>
                    <w:bottom w:val="single" w:sz="4" w:space="0" w:color="auto"/>
                    <w:right w:val="single" w:sz="4" w:space="0" w:color="auto"/>
                  </w:tcBorders>
                  <w:shd w:val="clear" w:color="auto" w:fill="auto"/>
                  <w:noWrap/>
                  <w:hideMark/>
                </w:tcPr>
                <w:p w14:paraId="3F0D1B61" w14:textId="77777777" w:rsidR="00C671DA" w:rsidRDefault="00C671DA" w:rsidP="00C36D4F">
                  <w:pPr>
                    <w:jc w:val="right"/>
                    <w:rPr>
                      <w:color w:val="000000"/>
                      <w:sz w:val="20"/>
                      <w:szCs w:val="20"/>
                    </w:rPr>
                  </w:pPr>
                  <w:r>
                    <w:rPr>
                      <w:color w:val="000000"/>
                      <w:sz w:val="20"/>
                      <w:szCs w:val="20"/>
                    </w:rPr>
                    <w:t>20.36</w:t>
                  </w:r>
                </w:p>
              </w:tc>
            </w:tr>
            <w:tr w:rsidR="00C671DA" w14:paraId="0F2EA9D2"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5A10225D" w14:textId="77777777" w:rsidR="00C671DA" w:rsidRDefault="00C671DA" w:rsidP="00C36D4F">
                  <w:pPr>
                    <w:rPr>
                      <w:color w:val="000000"/>
                      <w:sz w:val="20"/>
                      <w:szCs w:val="20"/>
                    </w:rPr>
                  </w:pPr>
                  <w:r>
                    <w:rPr>
                      <w:color w:val="000000"/>
                      <w:sz w:val="20"/>
                      <w:szCs w:val="20"/>
                    </w:rPr>
                    <w:t>Dep</w:t>
                  </w:r>
                </w:p>
              </w:tc>
              <w:tc>
                <w:tcPr>
                  <w:tcW w:w="3600" w:type="dxa"/>
                  <w:tcBorders>
                    <w:top w:val="single" w:sz="4" w:space="0" w:color="auto"/>
                    <w:left w:val="nil"/>
                    <w:bottom w:val="nil"/>
                    <w:right w:val="single" w:sz="4" w:space="0" w:color="auto"/>
                  </w:tcBorders>
                  <w:shd w:val="clear" w:color="auto" w:fill="auto"/>
                  <w:hideMark/>
                </w:tcPr>
                <w:p w14:paraId="380339CE" w14:textId="77777777" w:rsidR="00C671DA" w:rsidRDefault="00C671DA" w:rsidP="00C36D4F">
                  <w:pPr>
                    <w:rPr>
                      <w:color w:val="000000"/>
                      <w:sz w:val="20"/>
                      <w:szCs w:val="20"/>
                    </w:rPr>
                  </w:pPr>
                  <w:r>
                    <w:rPr>
                      <w:color w:val="000000"/>
                      <w:sz w:val="20"/>
                      <w:szCs w:val="20"/>
                    </w:rPr>
                    <w:t>Work related to Depreciation</w:t>
                  </w:r>
                </w:p>
              </w:tc>
              <w:tc>
                <w:tcPr>
                  <w:tcW w:w="1135" w:type="dxa"/>
                  <w:tcBorders>
                    <w:top w:val="nil"/>
                    <w:left w:val="nil"/>
                    <w:bottom w:val="single" w:sz="4" w:space="0" w:color="auto"/>
                    <w:right w:val="nil"/>
                  </w:tcBorders>
                  <w:shd w:val="clear" w:color="auto" w:fill="auto"/>
                  <w:hideMark/>
                </w:tcPr>
                <w:p w14:paraId="6ECD5C84" w14:textId="77777777" w:rsidR="00C671DA" w:rsidRDefault="00C671DA" w:rsidP="00C36D4F">
                  <w:pPr>
                    <w:jc w:val="right"/>
                    <w:rPr>
                      <w:color w:val="000000"/>
                      <w:sz w:val="20"/>
                      <w:szCs w:val="20"/>
                    </w:rPr>
                  </w:pPr>
                  <w:r>
                    <w:rPr>
                      <w:color w:val="000000"/>
                      <w:sz w:val="20"/>
                      <w:szCs w:val="20"/>
                    </w:rPr>
                    <w:t>5.54%</w:t>
                  </w:r>
                </w:p>
              </w:tc>
              <w:tc>
                <w:tcPr>
                  <w:tcW w:w="995" w:type="dxa"/>
                  <w:tcBorders>
                    <w:top w:val="nil"/>
                    <w:left w:val="single" w:sz="4" w:space="0" w:color="auto"/>
                    <w:bottom w:val="single" w:sz="4" w:space="0" w:color="auto"/>
                    <w:right w:val="single" w:sz="4" w:space="0" w:color="auto"/>
                  </w:tcBorders>
                  <w:shd w:val="clear" w:color="auto" w:fill="auto"/>
                  <w:noWrap/>
                  <w:hideMark/>
                </w:tcPr>
                <w:p w14:paraId="57631522" w14:textId="77777777" w:rsidR="00C671DA" w:rsidRDefault="00C671DA" w:rsidP="00C36D4F">
                  <w:pPr>
                    <w:jc w:val="right"/>
                    <w:rPr>
                      <w:color w:val="000000"/>
                      <w:sz w:val="20"/>
                      <w:szCs w:val="20"/>
                    </w:rPr>
                  </w:pPr>
                  <w:r>
                    <w:rPr>
                      <w:color w:val="000000"/>
                      <w:sz w:val="20"/>
                      <w:szCs w:val="20"/>
                    </w:rPr>
                    <w:t>266.75</w:t>
                  </w:r>
                </w:p>
              </w:tc>
            </w:tr>
            <w:tr w:rsidR="00C671DA" w14:paraId="04833A1C"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0C35A96B" w14:textId="77777777" w:rsidR="00C671DA" w:rsidRDefault="00C671DA" w:rsidP="00C36D4F">
                  <w:pPr>
                    <w:rPr>
                      <w:color w:val="000000"/>
                      <w:sz w:val="20"/>
                      <w:szCs w:val="20"/>
                    </w:rPr>
                  </w:pPr>
                  <w:proofErr w:type="spellStart"/>
                  <w:r>
                    <w:rPr>
                      <w:color w:val="000000"/>
                      <w:sz w:val="20"/>
                      <w:szCs w:val="20"/>
                    </w:rPr>
                    <w:t>ElecDist</w:t>
                  </w:r>
                  <w:proofErr w:type="spellEnd"/>
                </w:p>
              </w:tc>
              <w:tc>
                <w:tcPr>
                  <w:tcW w:w="3600" w:type="dxa"/>
                  <w:tcBorders>
                    <w:top w:val="single" w:sz="4" w:space="0" w:color="auto"/>
                    <w:left w:val="nil"/>
                    <w:bottom w:val="nil"/>
                    <w:right w:val="single" w:sz="4" w:space="0" w:color="auto"/>
                  </w:tcBorders>
                  <w:shd w:val="clear" w:color="auto" w:fill="auto"/>
                  <w:hideMark/>
                </w:tcPr>
                <w:p w14:paraId="01B13655" w14:textId="77777777" w:rsidR="00C671DA" w:rsidRDefault="00C671DA" w:rsidP="00C36D4F">
                  <w:pPr>
                    <w:rPr>
                      <w:color w:val="000000"/>
                      <w:sz w:val="20"/>
                      <w:szCs w:val="20"/>
                    </w:rPr>
                  </w:pPr>
                  <w:r>
                    <w:rPr>
                      <w:color w:val="000000"/>
                      <w:sz w:val="20"/>
                      <w:szCs w:val="20"/>
                    </w:rPr>
                    <w:t>Work related to Electric Distribution</w:t>
                  </w:r>
                </w:p>
              </w:tc>
              <w:tc>
                <w:tcPr>
                  <w:tcW w:w="1135" w:type="dxa"/>
                  <w:tcBorders>
                    <w:top w:val="nil"/>
                    <w:left w:val="nil"/>
                    <w:bottom w:val="single" w:sz="4" w:space="0" w:color="auto"/>
                    <w:right w:val="nil"/>
                  </w:tcBorders>
                  <w:shd w:val="clear" w:color="auto" w:fill="auto"/>
                  <w:hideMark/>
                </w:tcPr>
                <w:p w14:paraId="067E00CC" w14:textId="77777777" w:rsidR="00C671DA" w:rsidRDefault="00C671DA" w:rsidP="00C36D4F">
                  <w:pPr>
                    <w:jc w:val="right"/>
                    <w:rPr>
                      <w:color w:val="000000"/>
                      <w:sz w:val="20"/>
                      <w:szCs w:val="20"/>
                    </w:rPr>
                  </w:pPr>
                  <w:r>
                    <w:rPr>
                      <w:color w:val="000000"/>
                      <w:sz w:val="20"/>
                      <w:szCs w:val="20"/>
                    </w:rPr>
                    <w:t>24.06%</w:t>
                  </w:r>
                </w:p>
              </w:tc>
              <w:tc>
                <w:tcPr>
                  <w:tcW w:w="995" w:type="dxa"/>
                  <w:tcBorders>
                    <w:top w:val="nil"/>
                    <w:left w:val="single" w:sz="4" w:space="0" w:color="auto"/>
                    <w:bottom w:val="single" w:sz="4" w:space="0" w:color="auto"/>
                    <w:right w:val="single" w:sz="4" w:space="0" w:color="auto"/>
                  </w:tcBorders>
                  <w:shd w:val="clear" w:color="auto" w:fill="auto"/>
                  <w:noWrap/>
                  <w:hideMark/>
                </w:tcPr>
                <w:p w14:paraId="2AF14224" w14:textId="77777777" w:rsidR="00C671DA" w:rsidRDefault="00C671DA" w:rsidP="00C36D4F">
                  <w:pPr>
                    <w:jc w:val="right"/>
                    <w:rPr>
                      <w:color w:val="000000"/>
                      <w:sz w:val="20"/>
                      <w:szCs w:val="20"/>
                    </w:rPr>
                  </w:pPr>
                  <w:r>
                    <w:rPr>
                      <w:color w:val="000000"/>
                      <w:sz w:val="20"/>
                      <w:szCs w:val="20"/>
                    </w:rPr>
                    <w:t>1158.42</w:t>
                  </w:r>
                </w:p>
              </w:tc>
            </w:tr>
            <w:tr w:rsidR="00C671DA" w14:paraId="4A6686AE"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39590300" w14:textId="77777777" w:rsidR="00C671DA" w:rsidRDefault="00C671DA" w:rsidP="00C36D4F">
                  <w:pPr>
                    <w:rPr>
                      <w:color w:val="000000"/>
                      <w:sz w:val="20"/>
                      <w:szCs w:val="20"/>
                    </w:rPr>
                  </w:pPr>
                  <w:proofErr w:type="spellStart"/>
                  <w:r>
                    <w:rPr>
                      <w:color w:val="000000"/>
                      <w:sz w:val="20"/>
                      <w:szCs w:val="20"/>
                    </w:rPr>
                    <w:t>GasDist</w:t>
                  </w:r>
                  <w:proofErr w:type="spellEnd"/>
                </w:p>
              </w:tc>
              <w:tc>
                <w:tcPr>
                  <w:tcW w:w="3600" w:type="dxa"/>
                  <w:tcBorders>
                    <w:top w:val="single" w:sz="4" w:space="0" w:color="auto"/>
                    <w:left w:val="nil"/>
                    <w:bottom w:val="nil"/>
                    <w:right w:val="single" w:sz="4" w:space="0" w:color="auto"/>
                  </w:tcBorders>
                  <w:shd w:val="clear" w:color="auto" w:fill="auto"/>
                  <w:hideMark/>
                </w:tcPr>
                <w:p w14:paraId="26D4E963" w14:textId="77777777" w:rsidR="00C671DA" w:rsidRDefault="00C671DA" w:rsidP="00C36D4F">
                  <w:pPr>
                    <w:rPr>
                      <w:color w:val="000000"/>
                      <w:sz w:val="20"/>
                      <w:szCs w:val="20"/>
                    </w:rPr>
                  </w:pPr>
                  <w:r>
                    <w:rPr>
                      <w:color w:val="000000"/>
                      <w:sz w:val="20"/>
                      <w:szCs w:val="20"/>
                    </w:rPr>
                    <w:t>Work related to Gas Distribution</w:t>
                  </w:r>
                </w:p>
              </w:tc>
              <w:tc>
                <w:tcPr>
                  <w:tcW w:w="1135" w:type="dxa"/>
                  <w:tcBorders>
                    <w:top w:val="nil"/>
                    <w:left w:val="nil"/>
                    <w:bottom w:val="single" w:sz="4" w:space="0" w:color="auto"/>
                    <w:right w:val="nil"/>
                  </w:tcBorders>
                  <w:shd w:val="clear" w:color="auto" w:fill="auto"/>
                  <w:hideMark/>
                </w:tcPr>
                <w:p w14:paraId="510A369B" w14:textId="77777777" w:rsidR="00C671DA" w:rsidRDefault="00C671DA" w:rsidP="00C36D4F">
                  <w:pPr>
                    <w:jc w:val="right"/>
                    <w:rPr>
                      <w:color w:val="000000"/>
                      <w:sz w:val="20"/>
                      <w:szCs w:val="20"/>
                    </w:rPr>
                  </w:pPr>
                  <w:r>
                    <w:rPr>
                      <w:color w:val="000000"/>
                      <w:sz w:val="20"/>
                      <w:szCs w:val="20"/>
                    </w:rPr>
                    <w:t>19.45%</w:t>
                  </w:r>
                </w:p>
              </w:tc>
              <w:tc>
                <w:tcPr>
                  <w:tcW w:w="995" w:type="dxa"/>
                  <w:tcBorders>
                    <w:top w:val="nil"/>
                    <w:left w:val="single" w:sz="4" w:space="0" w:color="auto"/>
                    <w:bottom w:val="single" w:sz="4" w:space="0" w:color="auto"/>
                    <w:right w:val="single" w:sz="4" w:space="0" w:color="auto"/>
                  </w:tcBorders>
                  <w:shd w:val="clear" w:color="auto" w:fill="auto"/>
                  <w:noWrap/>
                  <w:hideMark/>
                </w:tcPr>
                <w:p w14:paraId="0FDDC8A1" w14:textId="77777777" w:rsidR="00C671DA" w:rsidRDefault="00C671DA" w:rsidP="00C36D4F">
                  <w:pPr>
                    <w:jc w:val="right"/>
                    <w:rPr>
                      <w:color w:val="000000"/>
                      <w:sz w:val="20"/>
                      <w:szCs w:val="20"/>
                    </w:rPr>
                  </w:pPr>
                  <w:r>
                    <w:rPr>
                      <w:color w:val="000000"/>
                      <w:sz w:val="20"/>
                      <w:szCs w:val="20"/>
                    </w:rPr>
                    <w:t>936.58</w:t>
                  </w:r>
                </w:p>
              </w:tc>
            </w:tr>
            <w:tr w:rsidR="00C671DA" w14:paraId="6B477C71"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5A4991E8" w14:textId="77777777" w:rsidR="00C671DA" w:rsidRDefault="00C671DA" w:rsidP="00C36D4F">
                  <w:pPr>
                    <w:rPr>
                      <w:color w:val="000000"/>
                      <w:sz w:val="20"/>
                      <w:szCs w:val="20"/>
                    </w:rPr>
                  </w:pPr>
                  <w:r>
                    <w:rPr>
                      <w:color w:val="000000"/>
                      <w:sz w:val="20"/>
                      <w:szCs w:val="20"/>
                    </w:rPr>
                    <w:t>Gen</w:t>
                  </w:r>
                </w:p>
              </w:tc>
              <w:tc>
                <w:tcPr>
                  <w:tcW w:w="3600" w:type="dxa"/>
                  <w:tcBorders>
                    <w:top w:val="single" w:sz="4" w:space="0" w:color="auto"/>
                    <w:left w:val="nil"/>
                    <w:bottom w:val="nil"/>
                    <w:right w:val="single" w:sz="4" w:space="0" w:color="auto"/>
                  </w:tcBorders>
                  <w:shd w:val="clear" w:color="auto" w:fill="auto"/>
                  <w:hideMark/>
                </w:tcPr>
                <w:p w14:paraId="536F632C" w14:textId="77777777" w:rsidR="00C671DA" w:rsidRDefault="00C671DA" w:rsidP="00C36D4F">
                  <w:pPr>
                    <w:rPr>
                      <w:color w:val="000000"/>
                      <w:sz w:val="20"/>
                      <w:szCs w:val="20"/>
                    </w:rPr>
                  </w:pPr>
                  <w:r>
                    <w:rPr>
                      <w:color w:val="000000"/>
                      <w:sz w:val="20"/>
                      <w:szCs w:val="20"/>
                    </w:rPr>
                    <w:t>Work related to Energy Supply</w:t>
                  </w:r>
                </w:p>
              </w:tc>
              <w:tc>
                <w:tcPr>
                  <w:tcW w:w="1135" w:type="dxa"/>
                  <w:tcBorders>
                    <w:top w:val="nil"/>
                    <w:left w:val="nil"/>
                    <w:bottom w:val="single" w:sz="4" w:space="0" w:color="auto"/>
                    <w:right w:val="nil"/>
                  </w:tcBorders>
                  <w:shd w:val="clear" w:color="auto" w:fill="auto"/>
                  <w:hideMark/>
                </w:tcPr>
                <w:p w14:paraId="733C6C6B" w14:textId="77777777" w:rsidR="00C671DA" w:rsidRDefault="00C671DA" w:rsidP="00C36D4F">
                  <w:pPr>
                    <w:jc w:val="right"/>
                    <w:rPr>
                      <w:color w:val="000000"/>
                      <w:sz w:val="20"/>
                      <w:szCs w:val="20"/>
                    </w:rPr>
                  </w:pPr>
                  <w:r>
                    <w:rPr>
                      <w:color w:val="000000"/>
                      <w:sz w:val="20"/>
                      <w:szCs w:val="20"/>
                    </w:rPr>
                    <w:t>1.54%</w:t>
                  </w:r>
                </w:p>
              </w:tc>
              <w:tc>
                <w:tcPr>
                  <w:tcW w:w="995" w:type="dxa"/>
                  <w:tcBorders>
                    <w:top w:val="nil"/>
                    <w:left w:val="single" w:sz="4" w:space="0" w:color="auto"/>
                    <w:bottom w:val="single" w:sz="4" w:space="0" w:color="auto"/>
                    <w:right w:val="single" w:sz="4" w:space="0" w:color="auto"/>
                  </w:tcBorders>
                  <w:shd w:val="clear" w:color="auto" w:fill="auto"/>
                  <w:noWrap/>
                  <w:hideMark/>
                </w:tcPr>
                <w:p w14:paraId="7018321D" w14:textId="77777777" w:rsidR="00C671DA" w:rsidRDefault="00C671DA" w:rsidP="00C36D4F">
                  <w:pPr>
                    <w:jc w:val="right"/>
                    <w:rPr>
                      <w:color w:val="000000"/>
                      <w:sz w:val="20"/>
                      <w:szCs w:val="20"/>
                    </w:rPr>
                  </w:pPr>
                  <w:r>
                    <w:rPr>
                      <w:color w:val="000000"/>
                      <w:sz w:val="20"/>
                      <w:szCs w:val="20"/>
                    </w:rPr>
                    <w:t>74.25</w:t>
                  </w:r>
                </w:p>
              </w:tc>
            </w:tr>
            <w:tr w:rsidR="00C671DA" w14:paraId="5467FD68" w14:textId="77777777" w:rsidTr="00C36D4F">
              <w:trPr>
                <w:trHeight w:val="2080"/>
              </w:trPr>
              <w:tc>
                <w:tcPr>
                  <w:tcW w:w="1080" w:type="dxa"/>
                  <w:tcBorders>
                    <w:top w:val="nil"/>
                    <w:left w:val="single" w:sz="4" w:space="0" w:color="auto"/>
                    <w:bottom w:val="single" w:sz="4" w:space="0" w:color="auto"/>
                    <w:right w:val="single" w:sz="4" w:space="0" w:color="auto"/>
                  </w:tcBorders>
                  <w:shd w:val="clear" w:color="auto" w:fill="auto"/>
                  <w:hideMark/>
                </w:tcPr>
                <w:p w14:paraId="307DE946" w14:textId="77777777" w:rsidR="00C671DA" w:rsidRDefault="00C671DA" w:rsidP="00C36D4F">
                  <w:pPr>
                    <w:rPr>
                      <w:color w:val="000000"/>
                      <w:sz w:val="20"/>
                      <w:szCs w:val="20"/>
                    </w:rPr>
                  </w:pPr>
                  <w:r>
                    <w:rPr>
                      <w:color w:val="000000"/>
                      <w:sz w:val="20"/>
                      <w:szCs w:val="20"/>
                    </w:rPr>
                    <w:t>GP</w:t>
                  </w:r>
                </w:p>
              </w:tc>
              <w:tc>
                <w:tcPr>
                  <w:tcW w:w="3600" w:type="dxa"/>
                  <w:tcBorders>
                    <w:top w:val="single" w:sz="4" w:space="0" w:color="auto"/>
                    <w:left w:val="nil"/>
                    <w:bottom w:val="single" w:sz="4" w:space="0" w:color="auto"/>
                    <w:right w:val="single" w:sz="4" w:space="0" w:color="auto"/>
                  </w:tcBorders>
                  <w:shd w:val="clear" w:color="auto" w:fill="auto"/>
                  <w:hideMark/>
                </w:tcPr>
                <w:p w14:paraId="696ADD65" w14:textId="77777777" w:rsidR="00C671DA" w:rsidRDefault="00C671DA" w:rsidP="00C36D4F">
                  <w:pPr>
                    <w:rPr>
                      <w:color w:val="000000"/>
                      <w:sz w:val="20"/>
                      <w:szCs w:val="20"/>
                    </w:rPr>
                  </w:pPr>
                  <w:r>
                    <w:rPr>
                      <w:color w:val="000000"/>
                      <w:sz w:val="20"/>
                      <w:szCs w:val="20"/>
                    </w:rPr>
                    <w:t>The work in this category includes activities associated with general participation in this proceeding, such as the initial review of the application and testimony, preparing a protest, attending the PHC, reading ALJ procedural rulings, and reading parties' pleadings as necessary to determine whether TURN should address the issues raised.</w:t>
                  </w:r>
                </w:p>
              </w:tc>
              <w:tc>
                <w:tcPr>
                  <w:tcW w:w="1135" w:type="dxa"/>
                  <w:tcBorders>
                    <w:top w:val="nil"/>
                    <w:left w:val="nil"/>
                    <w:bottom w:val="single" w:sz="4" w:space="0" w:color="auto"/>
                    <w:right w:val="nil"/>
                  </w:tcBorders>
                  <w:shd w:val="clear" w:color="auto" w:fill="auto"/>
                  <w:hideMark/>
                </w:tcPr>
                <w:p w14:paraId="43BC6A05" w14:textId="77777777" w:rsidR="00C671DA" w:rsidRDefault="00C671DA" w:rsidP="00C36D4F">
                  <w:pPr>
                    <w:jc w:val="right"/>
                    <w:rPr>
                      <w:color w:val="000000"/>
                      <w:sz w:val="20"/>
                      <w:szCs w:val="20"/>
                    </w:rPr>
                  </w:pPr>
                  <w:r>
                    <w:rPr>
                      <w:color w:val="000000"/>
                      <w:sz w:val="20"/>
                      <w:szCs w:val="20"/>
                    </w:rPr>
                    <w:t>1.93%</w:t>
                  </w:r>
                </w:p>
              </w:tc>
              <w:tc>
                <w:tcPr>
                  <w:tcW w:w="995" w:type="dxa"/>
                  <w:tcBorders>
                    <w:top w:val="nil"/>
                    <w:left w:val="single" w:sz="4" w:space="0" w:color="auto"/>
                    <w:bottom w:val="single" w:sz="4" w:space="0" w:color="auto"/>
                    <w:right w:val="single" w:sz="4" w:space="0" w:color="auto"/>
                  </w:tcBorders>
                  <w:shd w:val="clear" w:color="auto" w:fill="auto"/>
                  <w:noWrap/>
                  <w:hideMark/>
                </w:tcPr>
                <w:p w14:paraId="2E3C2519" w14:textId="77777777" w:rsidR="00C671DA" w:rsidRDefault="00C671DA" w:rsidP="00C36D4F">
                  <w:pPr>
                    <w:jc w:val="right"/>
                    <w:rPr>
                      <w:color w:val="000000"/>
                      <w:sz w:val="20"/>
                      <w:szCs w:val="20"/>
                    </w:rPr>
                  </w:pPr>
                  <w:r>
                    <w:rPr>
                      <w:color w:val="000000"/>
                      <w:sz w:val="20"/>
                      <w:szCs w:val="20"/>
                    </w:rPr>
                    <w:t>92.83</w:t>
                  </w:r>
                </w:p>
              </w:tc>
            </w:tr>
            <w:tr w:rsidR="00C671DA" w14:paraId="58ABAEFC"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34716A01" w14:textId="77777777" w:rsidR="00C671DA" w:rsidRDefault="00C671DA" w:rsidP="00C36D4F">
                  <w:pPr>
                    <w:rPr>
                      <w:color w:val="000000"/>
                      <w:sz w:val="20"/>
                      <w:szCs w:val="20"/>
                    </w:rPr>
                  </w:pPr>
                  <w:r>
                    <w:rPr>
                      <w:color w:val="000000"/>
                      <w:sz w:val="20"/>
                      <w:szCs w:val="20"/>
                    </w:rPr>
                    <w:t>HR</w:t>
                  </w:r>
                </w:p>
              </w:tc>
              <w:tc>
                <w:tcPr>
                  <w:tcW w:w="3600" w:type="dxa"/>
                  <w:tcBorders>
                    <w:top w:val="nil"/>
                    <w:left w:val="nil"/>
                    <w:bottom w:val="nil"/>
                    <w:right w:val="single" w:sz="4" w:space="0" w:color="auto"/>
                  </w:tcBorders>
                  <w:shd w:val="clear" w:color="auto" w:fill="auto"/>
                  <w:hideMark/>
                </w:tcPr>
                <w:p w14:paraId="7DFC7F6D" w14:textId="77777777" w:rsidR="00C671DA" w:rsidRDefault="00C671DA" w:rsidP="00C36D4F">
                  <w:pPr>
                    <w:rPr>
                      <w:color w:val="000000"/>
                      <w:sz w:val="20"/>
                      <w:szCs w:val="20"/>
                    </w:rPr>
                  </w:pPr>
                  <w:r>
                    <w:rPr>
                      <w:color w:val="000000"/>
                      <w:sz w:val="20"/>
                      <w:szCs w:val="20"/>
                    </w:rPr>
                    <w:t>Work related to Human Resources issues</w:t>
                  </w:r>
                </w:p>
              </w:tc>
              <w:tc>
                <w:tcPr>
                  <w:tcW w:w="1135" w:type="dxa"/>
                  <w:tcBorders>
                    <w:top w:val="nil"/>
                    <w:left w:val="nil"/>
                    <w:bottom w:val="single" w:sz="4" w:space="0" w:color="auto"/>
                    <w:right w:val="nil"/>
                  </w:tcBorders>
                  <w:shd w:val="clear" w:color="auto" w:fill="auto"/>
                  <w:hideMark/>
                </w:tcPr>
                <w:p w14:paraId="5AB17B59" w14:textId="77777777" w:rsidR="00C671DA" w:rsidRDefault="00C671DA" w:rsidP="00C36D4F">
                  <w:pPr>
                    <w:jc w:val="right"/>
                    <w:rPr>
                      <w:color w:val="000000"/>
                      <w:sz w:val="20"/>
                      <w:szCs w:val="20"/>
                    </w:rPr>
                  </w:pPr>
                  <w:r>
                    <w:rPr>
                      <w:color w:val="000000"/>
                      <w:sz w:val="20"/>
                      <w:szCs w:val="20"/>
                    </w:rPr>
                    <w:t>3.91%</w:t>
                  </w:r>
                </w:p>
              </w:tc>
              <w:tc>
                <w:tcPr>
                  <w:tcW w:w="995" w:type="dxa"/>
                  <w:tcBorders>
                    <w:top w:val="nil"/>
                    <w:left w:val="single" w:sz="4" w:space="0" w:color="auto"/>
                    <w:bottom w:val="single" w:sz="4" w:space="0" w:color="auto"/>
                    <w:right w:val="single" w:sz="4" w:space="0" w:color="auto"/>
                  </w:tcBorders>
                  <w:shd w:val="clear" w:color="auto" w:fill="auto"/>
                  <w:noWrap/>
                  <w:hideMark/>
                </w:tcPr>
                <w:p w14:paraId="65D5DDD2" w14:textId="77777777" w:rsidR="00C671DA" w:rsidRDefault="00C671DA" w:rsidP="00C36D4F">
                  <w:pPr>
                    <w:jc w:val="right"/>
                    <w:rPr>
                      <w:color w:val="000000"/>
                      <w:sz w:val="20"/>
                      <w:szCs w:val="20"/>
                    </w:rPr>
                  </w:pPr>
                  <w:r>
                    <w:rPr>
                      <w:color w:val="000000"/>
                      <w:sz w:val="20"/>
                      <w:szCs w:val="20"/>
                    </w:rPr>
                    <w:t>188.14</w:t>
                  </w:r>
                </w:p>
              </w:tc>
            </w:tr>
            <w:tr w:rsidR="00C671DA" w14:paraId="3D7010C3"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4D64D063" w14:textId="77777777" w:rsidR="00C671DA" w:rsidRDefault="00C671DA" w:rsidP="00C36D4F">
                  <w:pPr>
                    <w:rPr>
                      <w:color w:val="000000"/>
                      <w:sz w:val="20"/>
                      <w:szCs w:val="20"/>
                    </w:rPr>
                  </w:pPr>
                  <w:r>
                    <w:rPr>
                      <w:color w:val="000000"/>
                      <w:sz w:val="20"/>
                      <w:szCs w:val="20"/>
                    </w:rPr>
                    <w:t>JCE</w:t>
                  </w:r>
                </w:p>
              </w:tc>
              <w:tc>
                <w:tcPr>
                  <w:tcW w:w="3600" w:type="dxa"/>
                  <w:tcBorders>
                    <w:top w:val="single" w:sz="4" w:space="0" w:color="auto"/>
                    <w:left w:val="nil"/>
                    <w:bottom w:val="nil"/>
                    <w:right w:val="single" w:sz="4" w:space="0" w:color="auto"/>
                  </w:tcBorders>
                  <w:shd w:val="clear" w:color="auto" w:fill="auto"/>
                  <w:hideMark/>
                </w:tcPr>
                <w:p w14:paraId="2F9B53D0" w14:textId="77777777" w:rsidR="00C671DA" w:rsidRDefault="00C671DA" w:rsidP="00C36D4F">
                  <w:pPr>
                    <w:rPr>
                      <w:color w:val="000000"/>
                      <w:sz w:val="20"/>
                      <w:szCs w:val="20"/>
                    </w:rPr>
                  </w:pPr>
                  <w:r>
                    <w:rPr>
                      <w:color w:val="000000"/>
                      <w:sz w:val="20"/>
                      <w:szCs w:val="20"/>
                    </w:rPr>
                    <w:t>Work related to preparing TURN's portion of the Joint Comparison Exhibit</w:t>
                  </w:r>
                </w:p>
              </w:tc>
              <w:tc>
                <w:tcPr>
                  <w:tcW w:w="1135" w:type="dxa"/>
                  <w:tcBorders>
                    <w:top w:val="nil"/>
                    <w:left w:val="nil"/>
                    <w:bottom w:val="single" w:sz="4" w:space="0" w:color="auto"/>
                    <w:right w:val="nil"/>
                  </w:tcBorders>
                  <w:shd w:val="clear" w:color="auto" w:fill="auto"/>
                  <w:hideMark/>
                </w:tcPr>
                <w:p w14:paraId="74EB10FA" w14:textId="77777777" w:rsidR="00C671DA" w:rsidRDefault="00C671DA" w:rsidP="00C36D4F">
                  <w:pPr>
                    <w:jc w:val="right"/>
                    <w:rPr>
                      <w:color w:val="000000"/>
                      <w:sz w:val="20"/>
                      <w:szCs w:val="20"/>
                    </w:rPr>
                  </w:pPr>
                  <w:r>
                    <w:rPr>
                      <w:color w:val="000000"/>
                      <w:sz w:val="20"/>
                      <w:szCs w:val="20"/>
                    </w:rPr>
                    <w:t>1.62%</w:t>
                  </w:r>
                </w:p>
              </w:tc>
              <w:tc>
                <w:tcPr>
                  <w:tcW w:w="995" w:type="dxa"/>
                  <w:tcBorders>
                    <w:top w:val="nil"/>
                    <w:left w:val="single" w:sz="4" w:space="0" w:color="auto"/>
                    <w:bottom w:val="single" w:sz="4" w:space="0" w:color="auto"/>
                    <w:right w:val="single" w:sz="4" w:space="0" w:color="auto"/>
                  </w:tcBorders>
                  <w:shd w:val="clear" w:color="auto" w:fill="auto"/>
                  <w:noWrap/>
                  <w:hideMark/>
                </w:tcPr>
                <w:p w14:paraId="78F72C6C" w14:textId="77777777" w:rsidR="00C671DA" w:rsidRDefault="00C671DA" w:rsidP="00C36D4F">
                  <w:pPr>
                    <w:jc w:val="right"/>
                    <w:rPr>
                      <w:color w:val="000000"/>
                      <w:sz w:val="20"/>
                      <w:szCs w:val="20"/>
                    </w:rPr>
                  </w:pPr>
                  <w:r>
                    <w:rPr>
                      <w:color w:val="000000"/>
                      <w:sz w:val="20"/>
                      <w:szCs w:val="20"/>
                    </w:rPr>
                    <w:t>78.14</w:t>
                  </w:r>
                </w:p>
              </w:tc>
            </w:tr>
            <w:tr w:rsidR="00C671DA" w14:paraId="6CA6385E" w14:textId="77777777" w:rsidTr="00C36D4F">
              <w:trPr>
                <w:trHeight w:val="1040"/>
              </w:trPr>
              <w:tc>
                <w:tcPr>
                  <w:tcW w:w="1080" w:type="dxa"/>
                  <w:tcBorders>
                    <w:top w:val="nil"/>
                    <w:left w:val="single" w:sz="4" w:space="0" w:color="auto"/>
                    <w:bottom w:val="single" w:sz="4" w:space="0" w:color="auto"/>
                    <w:right w:val="single" w:sz="4" w:space="0" w:color="auto"/>
                  </w:tcBorders>
                  <w:shd w:val="clear" w:color="auto" w:fill="auto"/>
                  <w:hideMark/>
                </w:tcPr>
                <w:p w14:paraId="0F3FE77A" w14:textId="77777777" w:rsidR="00C671DA" w:rsidRDefault="00C671DA" w:rsidP="00C36D4F">
                  <w:pPr>
                    <w:rPr>
                      <w:color w:val="000000"/>
                      <w:sz w:val="20"/>
                      <w:szCs w:val="20"/>
                    </w:rPr>
                  </w:pPr>
                  <w:r>
                    <w:rPr>
                      <w:color w:val="000000"/>
                      <w:sz w:val="20"/>
                      <w:szCs w:val="20"/>
                    </w:rPr>
                    <w:t>Non-Sett</w:t>
                  </w:r>
                </w:p>
              </w:tc>
              <w:tc>
                <w:tcPr>
                  <w:tcW w:w="3600" w:type="dxa"/>
                  <w:tcBorders>
                    <w:top w:val="single" w:sz="4" w:space="0" w:color="auto"/>
                    <w:left w:val="nil"/>
                    <w:bottom w:val="nil"/>
                    <w:right w:val="single" w:sz="4" w:space="0" w:color="auto"/>
                  </w:tcBorders>
                  <w:shd w:val="clear" w:color="auto" w:fill="auto"/>
                  <w:hideMark/>
                </w:tcPr>
                <w:p w14:paraId="219FF69C" w14:textId="77777777" w:rsidR="00C671DA" w:rsidRDefault="00C671DA" w:rsidP="00C36D4F">
                  <w:pPr>
                    <w:rPr>
                      <w:color w:val="000000"/>
                      <w:sz w:val="20"/>
                      <w:szCs w:val="20"/>
                    </w:rPr>
                  </w:pPr>
                  <w:r>
                    <w:rPr>
                      <w:color w:val="000000"/>
                      <w:sz w:val="20"/>
                      <w:szCs w:val="20"/>
                    </w:rPr>
                    <w:t>Work related to the two issues not resolved by the Settlement Agreement (the third post-test year and gas leak management balancing account)</w:t>
                  </w:r>
                </w:p>
              </w:tc>
              <w:tc>
                <w:tcPr>
                  <w:tcW w:w="1135" w:type="dxa"/>
                  <w:tcBorders>
                    <w:top w:val="nil"/>
                    <w:left w:val="nil"/>
                    <w:bottom w:val="single" w:sz="4" w:space="0" w:color="auto"/>
                    <w:right w:val="nil"/>
                  </w:tcBorders>
                  <w:shd w:val="clear" w:color="auto" w:fill="auto"/>
                  <w:hideMark/>
                </w:tcPr>
                <w:p w14:paraId="10C4767F" w14:textId="77777777" w:rsidR="00C671DA" w:rsidRDefault="00C671DA" w:rsidP="00C36D4F">
                  <w:pPr>
                    <w:jc w:val="right"/>
                    <w:rPr>
                      <w:color w:val="000000"/>
                      <w:sz w:val="20"/>
                      <w:szCs w:val="20"/>
                    </w:rPr>
                  </w:pPr>
                  <w:r>
                    <w:rPr>
                      <w:color w:val="000000"/>
                      <w:sz w:val="20"/>
                      <w:szCs w:val="20"/>
                    </w:rPr>
                    <w:t>0.77%</w:t>
                  </w:r>
                </w:p>
              </w:tc>
              <w:tc>
                <w:tcPr>
                  <w:tcW w:w="995" w:type="dxa"/>
                  <w:tcBorders>
                    <w:top w:val="nil"/>
                    <w:left w:val="single" w:sz="4" w:space="0" w:color="auto"/>
                    <w:bottom w:val="single" w:sz="4" w:space="0" w:color="auto"/>
                    <w:right w:val="single" w:sz="4" w:space="0" w:color="auto"/>
                  </w:tcBorders>
                  <w:shd w:val="clear" w:color="auto" w:fill="auto"/>
                  <w:noWrap/>
                  <w:hideMark/>
                </w:tcPr>
                <w:p w14:paraId="5C02A5F9" w14:textId="77777777" w:rsidR="00C671DA" w:rsidRDefault="00C671DA" w:rsidP="00C36D4F">
                  <w:pPr>
                    <w:jc w:val="right"/>
                    <w:rPr>
                      <w:color w:val="000000"/>
                      <w:sz w:val="20"/>
                      <w:szCs w:val="20"/>
                    </w:rPr>
                  </w:pPr>
                  <w:r>
                    <w:rPr>
                      <w:color w:val="000000"/>
                      <w:sz w:val="20"/>
                      <w:szCs w:val="20"/>
                    </w:rPr>
                    <w:t>37.25</w:t>
                  </w:r>
                </w:p>
              </w:tc>
            </w:tr>
            <w:tr w:rsidR="00C671DA" w14:paraId="0A6D1279" w14:textId="77777777" w:rsidTr="00C36D4F">
              <w:trPr>
                <w:trHeight w:val="780"/>
              </w:trPr>
              <w:tc>
                <w:tcPr>
                  <w:tcW w:w="1080" w:type="dxa"/>
                  <w:tcBorders>
                    <w:top w:val="nil"/>
                    <w:left w:val="single" w:sz="4" w:space="0" w:color="auto"/>
                    <w:bottom w:val="single" w:sz="4" w:space="0" w:color="auto"/>
                    <w:right w:val="single" w:sz="4" w:space="0" w:color="auto"/>
                  </w:tcBorders>
                  <w:shd w:val="clear" w:color="auto" w:fill="auto"/>
                  <w:hideMark/>
                </w:tcPr>
                <w:p w14:paraId="3FCD521A" w14:textId="77777777" w:rsidR="00C671DA" w:rsidRDefault="00C671DA" w:rsidP="00C36D4F">
                  <w:pPr>
                    <w:rPr>
                      <w:color w:val="000000"/>
                      <w:sz w:val="20"/>
                      <w:szCs w:val="20"/>
                    </w:rPr>
                  </w:pPr>
                  <w:r>
                    <w:rPr>
                      <w:color w:val="000000"/>
                      <w:sz w:val="20"/>
                      <w:szCs w:val="20"/>
                    </w:rPr>
                    <w:t>PD</w:t>
                  </w:r>
                </w:p>
              </w:tc>
              <w:tc>
                <w:tcPr>
                  <w:tcW w:w="3600" w:type="dxa"/>
                  <w:tcBorders>
                    <w:top w:val="single" w:sz="4" w:space="0" w:color="auto"/>
                    <w:left w:val="nil"/>
                    <w:bottom w:val="single" w:sz="4" w:space="0" w:color="auto"/>
                    <w:right w:val="single" w:sz="4" w:space="0" w:color="auto"/>
                  </w:tcBorders>
                  <w:shd w:val="clear" w:color="auto" w:fill="auto"/>
                  <w:hideMark/>
                </w:tcPr>
                <w:p w14:paraId="42D39546" w14:textId="77777777" w:rsidR="00C671DA" w:rsidRDefault="00C671DA" w:rsidP="00C36D4F">
                  <w:pPr>
                    <w:rPr>
                      <w:color w:val="000000"/>
                      <w:sz w:val="20"/>
                      <w:szCs w:val="20"/>
                    </w:rPr>
                  </w:pPr>
                  <w:r>
                    <w:rPr>
                      <w:color w:val="000000"/>
                      <w:sz w:val="20"/>
                      <w:szCs w:val="20"/>
                    </w:rPr>
                    <w:t>This work was related to the Proposed Decision and Alternate Proposed Decision which preceded D.17-05-013.</w:t>
                  </w:r>
                </w:p>
              </w:tc>
              <w:tc>
                <w:tcPr>
                  <w:tcW w:w="1135" w:type="dxa"/>
                  <w:tcBorders>
                    <w:top w:val="nil"/>
                    <w:left w:val="nil"/>
                    <w:bottom w:val="single" w:sz="4" w:space="0" w:color="auto"/>
                    <w:right w:val="nil"/>
                  </w:tcBorders>
                  <w:shd w:val="clear" w:color="auto" w:fill="auto"/>
                  <w:hideMark/>
                </w:tcPr>
                <w:p w14:paraId="4A127280" w14:textId="77777777" w:rsidR="00C671DA" w:rsidRDefault="00C671DA" w:rsidP="00C36D4F">
                  <w:pPr>
                    <w:jc w:val="right"/>
                    <w:rPr>
                      <w:color w:val="000000"/>
                      <w:sz w:val="20"/>
                      <w:szCs w:val="20"/>
                    </w:rPr>
                  </w:pPr>
                  <w:r>
                    <w:rPr>
                      <w:color w:val="000000"/>
                      <w:sz w:val="20"/>
                      <w:szCs w:val="20"/>
                    </w:rPr>
                    <w:t>1.33%</w:t>
                  </w:r>
                </w:p>
              </w:tc>
              <w:tc>
                <w:tcPr>
                  <w:tcW w:w="995" w:type="dxa"/>
                  <w:tcBorders>
                    <w:top w:val="nil"/>
                    <w:left w:val="single" w:sz="4" w:space="0" w:color="auto"/>
                    <w:bottom w:val="single" w:sz="4" w:space="0" w:color="auto"/>
                    <w:right w:val="single" w:sz="4" w:space="0" w:color="auto"/>
                  </w:tcBorders>
                  <w:shd w:val="clear" w:color="auto" w:fill="auto"/>
                  <w:noWrap/>
                  <w:hideMark/>
                </w:tcPr>
                <w:p w14:paraId="40BF6AB2" w14:textId="77777777" w:rsidR="00C671DA" w:rsidRDefault="00C671DA" w:rsidP="00C36D4F">
                  <w:pPr>
                    <w:jc w:val="right"/>
                    <w:rPr>
                      <w:color w:val="000000"/>
                      <w:sz w:val="20"/>
                      <w:szCs w:val="20"/>
                    </w:rPr>
                  </w:pPr>
                  <w:r>
                    <w:rPr>
                      <w:color w:val="000000"/>
                      <w:sz w:val="20"/>
                      <w:szCs w:val="20"/>
                    </w:rPr>
                    <w:t>64.08</w:t>
                  </w:r>
                </w:p>
              </w:tc>
            </w:tr>
            <w:tr w:rsidR="00C671DA" w14:paraId="3C5A52FD"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156A5D56" w14:textId="77777777" w:rsidR="00C671DA" w:rsidRDefault="00C671DA" w:rsidP="00C36D4F">
                  <w:pPr>
                    <w:rPr>
                      <w:color w:val="000000"/>
                      <w:sz w:val="20"/>
                      <w:szCs w:val="20"/>
                    </w:rPr>
                  </w:pPr>
                  <w:r>
                    <w:rPr>
                      <w:color w:val="000000"/>
                      <w:sz w:val="20"/>
                      <w:szCs w:val="20"/>
                    </w:rPr>
                    <w:t>PTYR</w:t>
                  </w:r>
                </w:p>
              </w:tc>
              <w:tc>
                <w:tcPr>
                  <w:tcW w:w="3600" w:type="dxa"/>
                  <w:tcBorders>
                    <w:top w:val="nil"/>
                    <w:left w:val="nil"/>
                    <w:bottom w:val="single" w:sz="4" w:space="0" w:color="auto"/>
                    <w:right w:val="single" w:sz="4" w:space="0" w:color="auto"/>
                  </w:tcBorders>
                  <w:shd w:val="clear" w:color="auto" w:fill="auto"/>
                  <w:hideMark/>
                </w:tcPr>
                <w:p w14:paraId="2C8B7A9E" w14:textId="77777777" w:rsidR="00C671DA" w:rsidRDefault="00C671DA" w:rsidP="00C36D4F">
                  <w:pPr>
                    <w:rPr>
                      <w:color w:val="000000"/>
                      <w:sz w:val="20"/>
                      <w:szCs w:val="20"/>
                    </w:rPr>
                  </w:pPr>
                  <w:r>
                    <w:rPr>
                      <w:color w:val="000000"/>
                      <w:sz w:val="20"/>
                      <w:szCs w:val="20"/>
                    </w:rPr>
                    <w:t>Work related to Post-Test Year Ratemaking</w:t>
                  </w:r>
                </w:p>
              </w:tc>
              <w:tc>
                <w:tcPr>
                  <w:tcW w:w="1135" w:type="dxa"/>
                  <w:tcBorders>
                    <w:top w:val="nil"/>
                    <w:left w:val="nil"/>
                    <w:bottom w:val="single" w:sz="4" w:space="0" w:color="auto"/>
                    <w:right w:val="nil"/>
                  </w:tcBorders>
                  <w:shd w:val="clear" w:color="auto" w:fill="auto"/>
                  <w:hideMark/>
                </w:tcPr>
                <w:p w14:paraId="7DEBD916" w14:textId="77777777" w:rsidR="00C671DA" w:rsidRDefault="00C671DA" w:rsidP="00C36D4F">
                  <w:pPr>
                    <w:jc w:val="right"/>
                    <w:rPr>
                      <w:color w:val="000000"/>
                      <w:sz w:val="20"/>
                      <w:szCs w:val="20"/>
                    </w:rPr>
                  </w:pPr>
                  <w:r>
                    <w:rPr>
                      <w:color w:val="000000"/>
                      <w:sz w:val="20"/>
                      <w:szCs w:val="20"/>
                    </w:rPr>
                    <w:t>4.95%</w:t>
                  </w:r>
                </w:p>
              </w:tc>
              <w:tc>
                <w:tcPr>
                  <w:tcW w:w="995" w:type="dxa"/>
                  <w:tcBorders>
                    <w:top w:val="nil"/>
                    <w:left w:val="single" w:sz="4" w:space="0" w:color="auto"/>
                    <w:bottom w:val="single" w:sz="4" w:space="0" w:color="auto"/>
                    <w:right w:val="single" w:sz="4" w:space="0" w:color="auto"/>
                  </w:tcBorders>
                  <w:shd w:val="clear" w:color="auto" w:fill="auto"/>
                  <w:noWrap/>
                  <w:hideMark/>
                </w:tcPr>
                <w:p w14:paraId="5BF40B17" w14:textId="77777777" w:rsidR="00C671DA" w:rsidRDefault="00C671DA" w:rsidP="00C36D4F">
                  <w:pPr>
                    <w:jc w:val="right"/>
                    <w:rPr>
                      <w:color w:val="000000"/>
                      <w:sz w:val="20"/>
                      <w:szCs w:val="20"/>
                    </w:rPr>
                  </w:pPr>
                  <w:r>
                    <w:rPr>
                      <w:color w:val="000000"/>
                      <w:sz w:val="20"/>
                      <w:szCs w:val="20"/>
                    </w:rPr>
                    <w:t>238.25</w:t>
                  </w:r>
                </w:p>
              </w:tc>
            </w:tr>
            <w:tr w:rsidR="00C671DA" w14:paraId="31F9E275" w14:textId="77777777" w:rsidTr="00C36D4F">
              <w:trPr>
                <w:trHeight w:val="780"/>
              </w:trPr>
              <w:tc>
                <w:tcPr>
                  <w:tcW w:w="1080" w:type="dxa"/>
                  <w:tcBorders>
                    <w:top w:val="nil"/>
                    <w:left w:val="single" w:sz="4" w:space="0" w:color="auto"/>
                    <w:bottom w:val="single" w:sz="4" w:space="0" w:color="auto"/>
                    <w:right w:val="single" w:sz="4" w:space="0" w:color="auto"/>
                  </w:tcBorders>
                  <w:shd w:val="clear" w:color="auto" w:fill="auto"/>
                  <w:hideMark/>
                </w:tcPr>
                <w:p w14:paraId="702E8162" w14:textId="77777777" w:rsidR="00C671DA" w:rsidRDefault="00C671DA" w:rsidP="00C36D4F">
                  <w:pPr>
                    <w:rPr>
                      <w:color w:val="000000"/>
                      <w:sz w:val="20"/>
                      <w:szCs w:val="20"/>
                    </w:rPr>
                  </w:pPr>
                  <w:r>
                    <w:rPr>
                      <w:color w:val="000000"/>
                      <w:sz w:val="20"/>
                      <w:szCs w:val="20"/>
                    </w:rPr>
                    <w:t>RBO</w:t>
                  </w:r>
                </w:p>
              </w:tc>
              <w:tc>
                <w:tcPr>
                  <w:tcW w:w="3600" w:type="dxa"/>
                  <w:tcBorders>
                    <w:top w:val="nil"/>
                    <w:left w:val="nil"/>
                    <w:bottom w:val="single" w:sz="4" w:space="0" w:color="auto"/>
                    <w:right w:val="single" w:sz="4" w:space="0" w:color="auto"/>
                  </w:tcBorders>
                  <w:shd w:val="clear" w:color="auto" w:fill="auto"/>
                  <w:hideMark/>
                </w:tcPr>
                <w:p w14:paraId="432685C3" w14:textId="77777777" w:rsidR="00C671DA" w:rsidRDefault="00C671DA" w:rsidP="00C36D4F">
                  <w:pPr>
                    <w:rPr>
                      <w:color w:val="000000"/>
                      <w:sz w:val="20"/>
                      <w:szCs w:val="20"/>
                    </w:rPr>
                  </w:pPr>
                  <w:r>
                    <w:rPr>
                      <w:color w:val="000000"/>
                      <w:sz w:val="20"/>
                      <w:szCs w:val="20"/>
                    </w:rPr>
                    <w:t>Work related to rate base issues, customer deposits, and other technical and accounting issues (</w:t>
                  </w:r>
                  <w:proofErr w:type="gramStart"/>
                  <w:r>
                    <w:rPr>
                      <w:color w:val="000000"/>
                      <w:sz w:val="20"/>
                      <w:szCs w:val="20"/>
                    </w:rPr>
                    <w:t>with the exception of</w:t>
                  </w:r>
                  <w:proofErr w:type="gramEnd"/>
                  <w:r>
                    <w:rPr>
                      <w:color w:val="000000"/>
                      <w:sz w:val="20"/>
                      <w:szCs w:val="20"/>
                    </w:rPr>
                    <w:t xml:space="preserve"> depreciation)</w:t>
                  </w:r>
                </w:p>
              </w:tc>
              <w:tc>
                <w:tcPr>
                  <w:tcW w:w="1135" w:type="dxa"/>
                  <w:tcBorders>
                    <w:top w:val="nil"/>
                    <w:left w:val="nil"/>
                    <w:bottom w:val="single" w:sz="4" w:space="0" w:color="auto"/>
                    <w:right w:val="nil"/>
                  </w:tcBorders>
                  <w:shd w:val="clear" w:color="auto" w:fill="auto"/>
                  <w:hideMark/>
                </w:tcPr>
                <w:p w14:paraId="37E658BD" w14:textId="77777777" w:rsidR="00C671DA" w:rsidRDefault="00C671DA" w:rsidP="00C36D4F">
                  <w:pPr>
                    <w:jc w:val="right"/>
                    <w:rPr>
                      <w:color w:val="000000"/>
                      <w:sz w:val="20"/>
                      <w:szCs w:val="20"/>
                    </w:rPr>
                  </w:pPr>
                  <w:r>
                    <w:rPr>
                      <w:color w:val="000000"/>
                      <w:sz w:val="20"/>
                      <w:szCs w:val="20"/>
                    </w:rPr>
                    <w:t>1.74%</w:t>
                  </w:r>
                </w:p>
              </w:tc>
              <w:tc>
                <w:tcPr>
                  <w:tcW w:w="995" w:type="dxa"/>
                  <w:tcBorders>
                    <w:top w:val="nil"/>
                    <w:left w:val="single" w:sz="4" w:space="0" w:color="auto"/>
                    <w:bottom w:val="single" w:sz="4" w:space="0" w:color="auto"/>
                    <w:right w:val="single" w:sz="4" w:space="0" w:color="auto"/>
                  </w:tcBorders>
                  <w:shd w:val="clear" w:color="auto" w:fill="auto"/>
                  <w:noWrap/>
                  <w:hideMark/>
                </w:tcPr>
                <w:p w14:paraId="1AE72EC4" w14:textId="77777777" w:rsidR="00C671DA" w:rsidRDefault="00C671DA" w:rsidP="00C36D4F">
                  <w:pPr>
                    <w:jc w:val="right"/>
                    <w:rPr>
                      <w:color w:val="000000"/>
                      <w:sz w:val="20"/>
                      <w:szCs w:val="20"/>
                    </w:rPr>
                  </w:pPr>
                  <w:r>
                    <w:rPr>
                      <w:color w:val="000000"/>
                      <w:sz w:val="20"/>
                      <w:szCs w:val="20"/>
                    </w:rPr>
                    <w:t>83.92</w:t>
                  </w:r>
                </w:p>
              </w:tc>
            </w:tr>
            <w:tr w:rsidR="00C671DA" w14:paraId="6EA86DFB" w14:textId="77777777" w:rsidTr="00C36D4F">
              <w:trPr>
                <w:trHeight w:val="520"/>
              </w:trPr>
              <w:tc>
                <w:tcPr>
                  <w:tcW w:w="1080" w:type="dxa"/>
                  <w:tcBorders>
                    <w:top w:val="nil"/>
                    <w:left w:val="single" w:sz="4" w:space="0" w:color="auto"/>
                    <w:bottom w:val="single" w:sz="4" w:space="0" w:color="auto"/>
                    <w:right w:val="single" w:sz="4" w:space="0" w:color="auto"/>
                  </w:tcBorders>
                  <w:shd w:val="clear" w:color="auto" w:fill="auto"/>
                  <w:hideMark/>
                </w:tcPr>
                <w:p w14:paraId="5A716065" w14:textId="77777777" w:rsidR="00C671DA" w:rsidRDefault="00C671DA" w:rsidP="00C36D4F">
                  <w:pPr>
                    <w:rPr>
                      <w:color w:val="000000"/>
                      <w:sz w:val="20"/>
                      <w:szCs w:val="20"/>
                    </w:rPr>
                  </w:pPr>
                  <w:r>
                    <w:rPr>
                      <w:color w:val="000000"/>
                      <w:sz w:val="20"/>
                      <w:szCs w:val="20"/>
                    </w:rPr>
                    <w:t>Risk/Plan</w:t>
                  </w:r>
                </w:p>
              </w:tc>
              <w:tc>
                <w:tcPr>
                  <w:tcW w:w="3600" w:type="dxa"/>
                  <w:tcBorders>
                    <w:top w:val="nil"/>
                    <w:left w:val="nil"/>
                    <w:bottom w:val="single" w:sz="4" w:space="0" w:color="auto"/>
                    <w:right w:val="single" w:sz="4" w:space="0" w:color="auto"/>
                  </w:tcBorders>
                  <w:shd w:val="clear" w:color="auto" w:fill="auto"/>
                  <w:hideMark/>
                </w:tcPr>
                <w:p w14:paraId="4A8BDDE1" w14:textId="77777777" w:rsidR="00C671DA" w:rsidRDefault="00C671DA" w:rsidP="00C36D4F">
                  <w:pPr>
                    <w:rPr>
                      <w:color w:val="000000"/>
                      <w:sz w:val="20"/>
                      <w:szCs w:val="20"/>
                    </w:rPr>
                  </w:pPr>
                  <w:r>
                    <w:rPr>
                      <w:color w:val="000000"/>
                      <w:sz w:val="20"/>
                      <w:szCs w:val="20"/>
                    </w:rPr>
                    <w:t>Work related to risk management and integrating planning</w:t>
                  </w:r>
                </w:p>
              </w:tc>
              <w:tc>
                <w:tcPr>
                  <w:tcW w:w="1135" w:type="dxa"/>
                  <w:tcBorders>
                    <w:top w:val="nil"/>
                    <w:left w:val="nil"/>
                    <w:bottom w:val="single" w:sz="4" w:space="0" w:color="auto"/>
                    <w:right w:val="nil"/>
                  </w:tcBorders>
                  <w:shd w:val="clear" w:color="auto" w:fill="auto"/>
                  <w:hideMark/>
                </w:tcPr>
                <w:p w14:paraId="72CBDCBF" w14:textId="77777777" w:rsidR="00C671DA" w:rsidRDefault="00C671DA" w:rsidP="00C36D4F">
                  <w:pPr>
                    <w:jc w:val="right"/>
                    <w:rPr>
                      <w:color w:val="000000"/>
                      <w:sz w:val="20"/>
                      <w:szCs w:val="20"/>
                    </w:rPr>
                  </w:pPr>
                  <w:r>
                    <w:rPr>
                      <w:color w:val="000000"/>
                      <w:sz w:val="20"/>
                      <w:szCs w:val="20"/>
                    </w:rPr>
                    <w:t>1.80%</w:t>
                  </w:r>
                </w:p>
              </w:tc>
              <w:tc>
                <w:tcPr>
                  <w:tcW w:w="995" w:type="dxa"/>
                  <w:tcBorders>
                    <w:top w:val="nil"/>
                    <w:left w:val="single" w:sz="4" w:space="0" w:color="auto"/>
                    <w:bottom w:val="single" w:sz="4" w:space="0" w:color="auto"/>
                    <w:right w:val="single" w:sz="4" w:space="0" w:color="auto"/>
                  </w:tcBorders>
                  <w:shd w:val="clear" w:color="auto" w:fill="auto"/>
                  <w:noWrap/>
                  <w:hideMark/>
                </w:tcPr>
                <w:p w14:paraId="11E08DB1" w14:textId="77777777" w:rsidR="00C671DA" w:rsidRDefault="00C671DA" w:rsidP="00C36D4F">
                  <w:pPr>
                    <w:jc w:val="right"/>
                    <w:rPr>
                      <w:color w:val="000000"/>
                      <w:sz w:val="20"/>
                      <w:szCs w:val="20"/>
                    </w:rPr>
                  </w:pPr>
                  <w:r>
                    <w:rPr>
                      <w:color w:val="000000"/>
                      <w:sz w:val="20"/>
                      <w:szCs w:val="20"/>
                    </w:rPr>
                    <w:t>86.88</w:t>
                  </w:r>
                </w:p>
              </w:tc>
            </w:tr>
            <w:tr w:rsidR="00C671DA" w14:paraId="7AE241A0"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4E90163E" w14:textId="77777777" w:rsidR="00C671DA" w:rsidRDefault="00C671DA" w:rsidP="00C36D4F">
                  <w:pPr>
                    <w:rPr>
                      <w:color w:val="000000"/>
                      <w:sz w:val="20"/>
                      <w:szCs w:val="20"/>
                    </w:rPr>
                  </w:pPr>
                  <w:r>
                    <w:rPr>
                      <w:color w:val="000000"/>
                      <w:sz w:val="20"/>
                      <w:szCs w:val="20"/>
                    </w:rPr>
                    <w:lastRenderedPageBreak/>
                    <w:t>Sett</w:t>
                  </w:r>
                </w:p>
              </w:tc>
              <w:tc>
                <w:tcPr>
                  <w:tcW w:w="3600" w:type="dxa"/>
                  <w:tcBorders>
                    <w:top w:val="nil"/>
                    <w:left w:val="nil"/>
                    <w:bottom w:val="single" w:sz="4" w:space="0" w:color="auto"/>
                    <w:right w:val="single" w:sz="4" w:space="0" w:color="auto"/>
                  </w:tcBorders>
                  <w:shd w:val="clear" w:color="auto" w:fill="auto"/>
                  <w:hideMark/>
                </w:tcPr>
                <w:p w14:paraId="08B21D45" w14:textId="77777777" w:rsidR="00C671DA" w:rsidRDefault="00C671DA" w:rsidP="00C36D4F">
                  <w:pPr>
                    <w:rPr>
                      <w:color w:val="000000"/>
                      <w:sz w:val="20"/>
                      <w:szCs w:val="20"/>
                    </w:rPr>
                  </w:pPr>
                  <w:r>
                    <w:rPr>
                      <w:color w:val="000000"/>
                      <w:sz w:val="20"/>
                      <w:szCs w:val="20"/>
                    </w:rPr>
                    <w:t>Work related to settlement negotiations</w:t>
                  </w:r>
                </w:p>
              </w:tc>
              <w:tc>
                <w:tcPr>
                  <w:tcW w:w="1135" w:type="dxa"/>
                  <w:tcBorders>
                    <w:top w:val="nil"/>
                    <w:left w:val="nil"/>
                    <w:bottom w:val="single" w:sz="4" w:space="0" w:color="auto"/>
                    <w:right w:val="nil"/>
                  </w:tcBorders>
                  <w:shd w:val="clear" w:color="auto" w:fill="auto"/>
                  <w:hideMark/>
                </w:tcPr>
                <w:p w14:paraId="3419A441" w14:textId="77777777" w:rsidR="00C671DA" w:rsidRDefault="00C671DA" w:rsidP="00C36D4F">
                  <w:pPr>
                    <w:jc w:val="right"/>
                    <w:rPr>
                      <w:color w:val="000000"/>
                      <w:sz w:val="20"/>
                      <w:szCs w:val="20"/>
                    </w:rPr>
                  </w:pPr>
                  <w:r>
                    <w:rPr>
                      <w:color w:val="000000"/>
                      <w:sz w:val="20"/>
                      <w:szCs w:val="20"/>
                    </w:rPr>
                    <w:t>8.56%</w:t>
                  </w:r>
                </w:p>
              </w:tc>
              <w:tc>
                <w:tcPr>
                  <w:tcW w:w="995" w:type="dxa"/>
                  <w:tcBorders>
                    <w:top w:val="nil"/>
                    <w:left w:val="single" w:sz="4" w:space="0" w:color="auto"/>
                    <w:bottom w:val="single" w:sz="4" w:space="0" w:color="auto"/>
                    <w:right w:val="single" w:sz="4" w:space="0" w:color="auto"/>
                  </w:tcBorders>
                  <w:shd w:val="clear" w:color="auto" w:fill="auto"/>
                  <w:noWrap/>
                  <w:hideMark/>
                </w:tcPr>
                <w:p w14:paraId="56BF1054" w14:textId="77777777" w:rsidR="00C671DA" w:rsidRDefault="00C671DA" w:rsidP="00C36D4F">
                  <w:pPr>
                    <w:jc w:val="right"/>
                    <w:rPr>
                      <w:color w:val="000000"/>
                      <w:sz w:val="20"/>
                      <w:szCs w:val="20"/>
                    </w:rPr>
                  </w:pPr>
                  <w:r>
                    <w:rPr>
                      <w:color w:val="000000"/>
                      <w:sz w:val="20"/>
                      <w:szCs w:val="20"/>
                    </w:rPr>
                    <w:t>411.94</w:t>
                  </w:r>
                </w:p>
              </w:tc>
            </w:tr>
            <w:tr w:rsidR="00C671DA" w14:paraId="730ADE9A" w14:textId="77777777" w:rsidTr="00C36D4F">
              <w:trPr>
                <w:trHeight w:val="260"/>
              </w:trPr>
              <w:tc>
                <w:tcPr>
                  <w:tcW w:w="1080" w:type="dxa"/>
                  <w:tcBorders>
                    <w:top w:val="nil"/>
                    <w:left w:val="single" w:sz="4" w:space="0" w:color="auto"/>
                    <w:bottom w:val="single" w:sz="4" w:space="0" w:color="auto"/>
                    <w:right w:val="single" w:sz="4" w:space="0" w:color="auto"/>
                  </w:tcBorders>
                  <w:shd w:val="clear" w:color="auto" w:fill="auto"/>
                  <w:hideMark/>
                </w:tcPr>
                <w:p w14:paraId="54FC9288" w14:textId="77777777" w:rsidR="00C671DA" w:rsidRDefault="00C671DA" w:rsidP="00C36D4F">
                  <w:pPr>
                    <w:rPr>
                      <w:color w:val="000000"/>
                      <w:sz w:val="20"/>
                      <w:szCs w:val="20"/>
                    </w:rPr>
                  </w:pPr>
                  <w:proofErr w:type="spellStart"/>
                  <w:r>
                    <w:rPr>
                      <w:color w:val="000000"/>
                      <w:sz w:val="20"/>
                      <w:szCs w:val="20"/>
                    </w:rPr>
                    <w:t>ShdSvc</w:t>
                  </w:r>
                  <w:proofErr w:type="spellEnd"/>
                </w:p>
              </w:tc>
              <w:tc>
                <w:tcPr>
                  <w:tcW w:w="3600" w:type="dxa"/>
                  <w:tcBorders>
                    <w:top w:val="nil"/>
                    <w:left w:val="nil"/>
                    <w:bottom w:val="single" w:sz="4" w:space="0" w:color="auto"/>
                    <w:right w:val="single" w:sz="4" w:space="0" w:color="auto"/>
                  </w:tcBorders>
                  <w:shd w:val="clear" w:color="auto" w:fill="auto"/>
                  <w:hideMark/>
                </w:tcPr>
                <w:p w14:paraId="788E4B89" w14:textId="77777777" w:rsidR="00C671DA" w:rsidRDefault="00C671DA" w:rsidP="00C36D4F">
                  <w:pPr>
                    <w:rPr>
                      <w:color w:val="000000"/>
                      <w:sz w:val="20"/>
                      <w:szCs w:val="20"/>
                    </w:rPr>
                  </w:pPr>
                  <w:r>
                    <w:rPr>
                      <w:color w:val="000000"/>
                      <w:sz w:val="20"/>
                      <w:szCs w:val="20"/>
                    </w:rPr>
                    <w:t>Work related to Shared Services</w:t>
                  </w:r>
                </w:p>
              </w:tc>
              <w:tc>
                <w:tcPr>
                  <w:tcW w:w="1135" w:type="dxa"/>
                  <w:tcBorders>
                    <w:top w:val="nil"/>
                    <w:left w:val="nil"/>
                    <w:bottom w:val="single" w:sz="4" w:space="0" w:color="auto"/>
                    <w:right w:val="nil"/>
                  </w:tcBorders>
                  <w:shd w:val="clear" w:color="auto" w:fill="auto"/>
                  <w:hideMark/>
                </w:tcPr>
                <w:p w14:paraId="05F4C8B3" w14:textId="77777777" w:rsidR="00C671DA" w:rsidRDefault="00C671DA" w:rsidP="00C36D4F">
                  <w:pPr>
                    <w:jc w:val="right"/>
                    <w:rPr>
                      <w:color w:val="000000"/>
                      <w:sz w:val="20"/>
                      <w:szCs w:val="20"/>
                    </w:rPr>
                  </w:pPr>
                  <w:r>
                    <w:rPr>
                      <w:color w:val="000000"/>
                      <w:sz w:val="20"/>
                      <w:szCs w:val="20"/>
                    </w:rPr>
                    <w:t>4.92%</w:t>
                  </w:r>
                </w:p>
              </w:tc>
              <w:tc>
                <w:tcPr>
                  <w:tcW w:w="995" w:type="dxa"/>
                  <w:tcBorders>
                    <w:top w:val="nil"/>
                    <w:left w:val="single" w:sz="4" w:space="0" w:color="auto"/>
                    <w:bottom w:val="single" w:sz="4" w:space="0" w:color="auto"/>
                    <w:right w:val="single" w:sz="4" w:space="0" w:color="auto"/>
                  </w:tcBorders>
                  <w:shd w:val="clear" w:color="auto" w:fill="auto"/>
                  <w:noWrap/>
                  <w:hideMark/>
                </w:tcPr>
                <w:p w14:paraId="1AC42D4F" w14:textId="77777777" w:rsidR="00C671DA" w:rsidRDefault="00C671DA" w:rsidP="00C36D4F">
                  <w:pPr>
                    <w:jc w:val="right"/>
                    <w:rPr>
                      <w:color w:val="000000"/>
                      <w:sz w:val="20"/>
                      <w:szCs w:val="20"/>
                    </w:rPr>
                  </w:pPr>
                  <w:r>
                    <w:rPr>
                      <w:color w:val="000000"/>
                      <w:sz w:val="20"/>
                      <w:szCs w:val="20"/>
                    </w:rPr>
                    <w:t>236.77</w:t>
                  </w:r>
                </w:p>
              </w:tc>
            </w:tr>
            <w:tr w:rsidR="00C671DA" w14:paraId="793C28DE" w14:textId="77777777" w:rsidTr="00C36D4F">
              <w:trPr>
                <w:trHeight w:val="1040"/>
              </w:trPr>
              <w:tc>
                <w:tcPr>
                  <w:tcW w:w="1080" w:type="dxa"/>
                  <w:tcBorders>
                    <w:top w:val="nil"/>
                    <w:left w:val="single" w:sz="4" w:space="0" w:color="auto"/>
                    <w:bottom w:val="single" w:sz="4" w:space="0" w:color="auto"/>
                    <w:right w:val="single" w:sz="4" w:space="0" w:color="auto"/>
                  </w:tcBorders>
                  <w:shd w:val="clear" w:color="auto" w:fill="auto"/>
                  <w:hideMark/>
                </w:tcPr>
                <w:p w14:paraId="030AAEEA" w14:textId="77777777" w:rsidR="00C671DA" w:rsidRDefault="00C671DA" w:rsidP="00C36D4F">
                  <w:pPr>
                    <w:rPr>
                      <w:color w:val="000000"/>
                      <w:sz w:val="20"/>
                      <w:szCs w:val="20"/>
                    </w:rPr>
                  </w:pPr>
                  <w:r>
                    <w:rPr>
                      <w:color w:val="000000"/>
                      <w:sz w:val="20"/>
                      <w:szCs w:val="20"/>
                    </w:rPr>
                    <w:t>WS/EH</w:t>
                  </w:r>
                </w:p>
              </w:tc>
              <w:tc>
                <w:tcPr>
                  <w:tcW w:w="3600" w:type="dxa"/>
                  <w:tcBorders>
                    <w:top w:val="nil"/>
                    <w:left w:val="nil"/>
                    <w:bottom w:val="single" w:sz="4" w:space="0" w:color="auto"/>
                    <w:right w:val="single" w:sz="4" w:space="0" w:color="auto"/>
                  </w:tcBorders>
                  <w:shd w:val="clear" w:color="auto" w:fill="auto"/>
                  <w:hideMark/>
                </w:tcPr>
                <w:p w14:paraId="4BE4E8F3" w14:textId="77777777" w:rsidR="00C671DA" w:rsidRDefault="00C671DA" w:rsidP="00C36D4F">
                  <w:pPr>
                    <w:rPr>
                      <w:color w:val="000000"/>
                      <w:sz w:val="20"/>
                      <w:szCs w:val="20"/>
                    </w:rPr>
                  </w:pPr>
                  <w:r>
                    <w:rPr>
                      <w:color w:val="000000"/>
                      <w:sz w:val="20"/>
                      <w:szCs w:val="20"/>
                    </w:rPr>
                    <w:t>The work in this category was related to participation in workshops and evidentiary hearings conducted by the Commission in this proceeding.</w:t>
                  </w:r>
                </w:p>
              </w:tc>
              <w:tc>
                <w:tcPr>
                  <w:tcW w:w="1135" w:type="dxa"/>
                  <w:tcBorders>
                    <w:top w:val="nil"/>
                    <w:left w:val="nil"/>
                    <w:bottom w:val="single" w:sz="4" w:space="0" w:color="auto"/>
                    <w:right w:val="nil"/>
                  </w:tcBorders>
                  <w:shd w:val="clear" w:color="auto" w:fill="auto"/>
                  <w:hideMark/>
                </w:tcPr>
                <w:p w14:paraId="27C996FC" w14:textId="77777777" w:rsidR="00C671DA" w:rsidRDefault="00C671DA" w:rsidP="00C36D4F">
                  <w:pPr>
                    <w:jc w:val="right"/>
                    <w:rPr>
                      <w:color w:val="000000"/>
                      <w:sz w:val="20"/>
                      <w:szCs w:val="20"/>
                    </w:rPr>
                  </w:pPr>
                  <w:r>
                    <w:rPr>
                      <w:color w:val="000000"/>
                      <w:sz w:val="20"/>
                      <w:szCs w:val="20"/>
                    </w:rPr>
                    <w:t>0.76%</w:t>
                  </w:r>
                </w:p>
              </w:tc>
              <w:tc>
                <w:tcPr>
                  <w:tcW w:w="995" w:type="dxa"/>
                  <w:tcBorders>
                    <w:top w:val="nil"/>
                    <w:left w:val="single" w:sz="4" w:space="0" w:color="auto"/>
                    <w:bottom w:val="single" w:sz="4" w:space="0" w:color="auto"/>
                    <w:right w:val="single" w:sz="4" w:space="0" w:color="auto"/>
                  </w:tcBorders>
                  <w:shd w:val="clear" w:color="auto" w:fill="auto"/>
                  <w:noWrap/>
                  <w:hideMark/>
                </w:tcPr>
                <w:p w14:paraId="7BB210D1" w14:textId="77777777" w:rsidR="00C671DA" w:rsidRDefault="00C671DA" w:rsidP="00C36D4F">
                  <w:pPr>
                    <w:jc w:val="right"/>
                    <w:rPr>
                      <w:color w:val="000000"/>
                      <w:sz w:val="20"/>
                      <w:szCs w:val="20"/>
                    </w:rPr>
                  </w:pPr>
                  <w:r>
                    <w:rPr>
                      <w:color w:val="000000"/>
                      <w:sz w:val="20"/>
                      <w:szCs w:val="20"/>
                    </w:rPr>
                    <w:t>36.75</w:t>
                  </w:r>
                </w:p>
              </w:tc>
            </w:tr>
            <w:tr w:rsidR="00C671DA" w14:paraId="546676C8" w14:textId="77777777" w:rsidTr="00C36D4F">
              <w:trPr>
                <w:trHeight w:val="540"/>
              </w:trPr>
              <w:tc>
                <w:tcPr>
                  <w:tcW w:w="1080" w:type="dxa"/>
                  <w:tcBorders>
                    <w:top w:val="nil"/>
                    <w:left w:val="single" w:sz="4" w:space="0" w:color="auto"/>
                    <w:bottom w:val="single" w:sz="4" w:space="0" w:color="auto"/>
                    <w:right w:val="single" w:sz="4" w:space="0" w:color="auto"/>
                  </w:tcBorders>
                  <w:shd w:val="clear" w:color="auto" w:fill="auto"/>
                  <w:hideMark/>
                </w:tcPr>
                <w:p w14:paraId="13F8D219" w14:textId="77777777" w:rsidR="00C671DA" w:rsidRDefault="00C671DA" w:rsidP="00C36D4F">
                  <w:pPr>
                    <w:rPr>
                      <w:color w:val="000000"/>
                      <w:sz w:val="20"/>
                      <w:szCs w:val="20"/>
                    </w:rPr>
                  </w:pPr>
                  <w:r>
                    <w:rPr>
                      <w:color w:val="000000"/>
                      <w:sz w:val="20"/>
                      <w:szCs w:val="20"/>
                    </w:rPr>
                    <w:t>Comp</w:t>
                  </w:r>
                </w:p>
              </w:tc>
              <w:tc>
                <w:tcPr>
                  <w:tcW w:w="3600" w:type="dxa"/>
                  <w:tcBorders>
                    <w:top w:val="nil"/>
                    <w:left w:val="nil"/>
                    <w:bottom w:val="single" w:sz="4" w:space="0" w:color="auto"/>
                    <w:right w:val="single" w:sz="4" w:space="0" w:color="auto"/>
                  </w:tcBorders>
                  <w:shd w:val="clear" w:color="auto" w:fill="auto"/>
                  <w:hideMark/>
                </w:tcPr>
                <w:p w14:paraId="4BA0CFE4" w14:textId="77777777" w:rsidR="00C671DA" w:rsidRDefault="00C671DA" w:rsidP="00C36D4F">
                  <w:pPr>
                    <w:rPr>
                      <w:color w:val="000000"/>
                      <w:sz w:val="20"/>
                      <w:szCs w:val="20"/>
                    </w:rPr>
                  </w:pPr>
                  <w:r>
                    <w:rPr>
                      <w:color w:val="000000"/>
                      <w:sz w:val="20"/>
                      <w:szCs w:val="20"/>
                    </w:rPr>
                    <w:t>Intervenor Compensation: work preparing TURN's NOI and Request for Compensation</w:t>
                  </w:r>
                </w:p>
              </w:tc>
              <w:tc>
                <w:tcPr>
                  <w:tcW w:w="1135" w:type="dxa"/>
                  <w:tcBorders>
                    <w:top w:val="nil"/>
                    <w:left w:val="nil"/>
                    <w:bottom w:val="single" w:sz="4" w:space="0" w:color="auto"/>
                    <w:right w:val="nil"/>
                  </w:tcBorders>
                  <w:shd w:val="clear" w:color="auto" w:fill="auto"/>
                  <w:hideMark/>
                </w:tcPr>
                <w:p w14:paraId="73542A41" w14:textId="77777777" w:rsidR="00C671DA" w:rsidRDefault="00C671DA" w:rsidP="00C36D4F">
                  <w:pPr>
                    <w:jc w:val="right"/>
                    <w:rPr>
                      <w:color w:val="000000"/>
                      <w:sz w:val="20"/>
                      <w:szCs w:val="20"/>
                    </w:rPr>
                  </w:pPr>
                  <w:r>
                    <w:rPr>
                      <w:color w:val="000000"/>
                      <w:sz w:val="20"/>
                      <w:szCs w:val="20"/>
                    </w:rPr>
                    <w:t>0.52%</w:t>
                  </w:r>
                </w:p>
              </w:tc>
              <w:tc>
                <w:tcPr>
                  <w:tcW w:w="995" w:type="dxa"/>
                  <w:tcBorders>
                    <w:top w:val="nil"/>
                    <w:left w:val="single" w:sz="4" w:space="0" w:color="auto"/>
                    <w:bottom w:val="nil"/>
                    <w:right w:val="single" w:sz="4" w:space="0" w:color="auto"/>
                  </w:tcBorders>
                  <w:shd w:val="clear" w:color="auto" w:fill="auto"/>
                  <w:noWrap/>
                  <w:hideMark/>
                </w:tcPr>
                <w:p w14:paraId="7EE5E3F0" w14:textId="77777777" w:rsidR="00C671DA" w:rsidRDefault="00C671DA" w:rsidP="00C36D4F">
                  <w:pPr>
                    <w:jc w:val="right"/>
                    <w:rPr>
                      <w:color w:val="000000"/>
                      <w:sz w:val="20"/>
                      <w:szCs w:val="20"/>
                    </w:rPr>
                  </w:pPr>
                  <w:r>
                    <w:rPr>
                      <w:color w:val="000000"/>
                      <w:sz w:val="20"/>
                      <w:szCs w:val="20"/>
                    </w:rPr>
                    <w:t>25.00</w:t>
                  </w:r>
                </w:p>
              </w:tc>
            </w:tr>
            <w:tr w:rsidR="00C671DA" w14:paraId="35248841" w14:textId="77777777" w:rsidTr="00C36D4F">
              <w:trPr>
                <w:trHeight w:val="280"/>
              </w:trPr>
              <w:tc>
                <w:tcPr>
                  <w:tcW w:w="1080" w:type="dxa"/>
                  <w:tcBorders>
                    <w:top w:val="double" w:sz="6" w:space="0" w:color="auto"/>
                    <w:left w:val="single" w:sz="4" w:space="0" w:color="auto"/>
                    <w:bottom w:val="single" w:sz="4" w:space="0" w:color="auto"/>
                    <w:right w:val="single" w:sz="4" w:space="0" w:color="auto"/>
                  </w:tcBorders>
                  <w:shd w:val="clear" w:color="auto" w:fill="auto"/>
                  <w:hideMark/>
                </w:tcPr>
                <w:p w14:paraId="79E7B596" w14:textId="77777777" w:rsidR="00C671DA" w:rsidRDefault="00C671DA" w:rsidP="00C36D4F">
                  <w:pPr>
                    <w:rPr>
                      <w:b/>
                      <w:bCs/>
                      <w:color w:val="000000"/>
                      <w:sz w:val="20"/>
                      <w:szCs w:val="20"/>
                    </w:rPr>
                  </w:pPr>
                  <w:r>
                    <w:rPr>
                      <w:b/>
                      <w:bCs/>
                      <w:color w:val="000000"/>
                      <w:sz w:val="20"/>
                      <w:szCs w:val="20"/>
                    </w:rPr>
                    <w:t>TOTAL</w:t>
                  </w:r>
                </w:p>
              </w:tc>
              <w:tc>
                <w:tcPr>
                  <w:tcW w:w="3600" w:type="dxa"/>
                  <w:tcBorders>
                    <w:top w:val="double" w:sz="6" w:space="0" w:color="auto"/>
                    <w:left w:val="nil"/>
                    <w:bottom w:val="single" w:sz="4" w:space="0" w:color="auto"/>
                    <w:right w:val="single" w:sz="4" w:space="0" w:color="auto"/>
                  </w:tcBorders>
                  <w:shd w:val="clear" w:color="auto" w:fill="auto"/>
                  <w:hideMark/>
                </w:tcPr>
                <w:p w14:paraId="492E4104" w14:textId="77777777" w:rsidR="00C671DA" w:rsidRDefault="00C671DA" w:rsidP="00C36D4F">
                  <w:pPr>
                    <w:rPr>
                      <w:b/>
                      <w:bCs/>
                      <w:color w:val="000000"/>
                      <w:sz w:val="20"/>
                      <w:szCs w:val="20"/>
                    </w:rPr>
                  </w:pPr>
                  <w:r>
                    <w:rPr>
                      <w:b/>
                      <w:bCs/>
                      <w:color w:val="000000"/>
                      <w:sz w:val="20"/>
                      <w:szCs w:val="20"/>
                    </w:rPr>
                    <w:t> </w:t>
                  </w:r>
                </w:p>
              </w:tc>
              <w:tc>
                <w:tcPr>
                  <w:tcW w:w="1135" w:type="dxa"/>
                  <w:tcBorders>
                    <w:top w:val="double" w:sz="6" w:space="0" w:color="auto"/>
                    <w:left w:val="nil"/>
                    <w:bottom w:val="single" w:sz="4" w:space="0" w:color="auto"/>
                    <w:right w:val="single" w:sz="4" w:space="0" w:color="auto"/>
                  </w:tcBorders>
                  <w:shd w:val="clear" w:color="auto" w:fill="auto"/>
                  <w:hideMark/>
                </w:tcPr>
                <w:p w14:paraId="0E81044F" w14:textId="77777777" w:rsidR="00C671DA" w:rsidRDefault="00C671DA" w:rsidP="00C36D4F">
                  <w:pPr>
                    <w:jc w:val="right"/>
                    <w:rPr>
                      <w:b/>
                      <w:bCs/>
                      <w:color w:val="000000"/>
                      <w:sz w:val="20"/>
                      <w:szCs w:val="20"/>
                    </w:rPr>
                  </w:pPr>
                  <w:r>
                    <w:rPr>
                      <w:b/>
                      <w:bCs/>
                      <w:color w:val="000000"/>
                      <w:sz w:val="20"/>
                      <w:szCs w:val="20"/>
                    </w:rPr>
                    <w:t>100.00%</w:t>
                  </w:r>
                </w:p>
              </w:tc>
              <w:tc>
                <w:tcPr>
                  <w:tcW w:w="995" w:type="dxa"/>
                  <w:tcBorders>
                    <w:top w:val="double" w:sz="6" w:space="0" w:color="auto"/>
                    <w:left w:val="nil"/>
                    <w:bottom w:val="single" w:sz="4" w:space="0" w:color="auto"/>
                    <w:right w:val="single" w:sz="4" w:space="0" w:color="auto"/>
                  </w:tcBorders>
                  <w:shd w:val="clear" w:color="auto" w:fill="auto"/>
                  <w:noWrap/>
                  <w:hideMark/>
                </w:tcPr>
                <w:p w14:paraId="068EF39D" w14:textId="77777777" w:rsidR="00C671DA" w:rsidRDefault="00C671DA" w:rsidP="00C36D4F">
                  <w:pPr>
                    <w:jc w:val="right"/>
                    <w:rPr>
                      <w:b/>
                      <w:bCs/>
                      <w:color w:val="000000"/>
                      <w:sz w:val="20"/>
                      <w:szCs w:val="20"/>
                    </w:rPr>
                  </w:pPr>
                  <w:r>
                    <w:rPr>
                      <w:b/>
                      <w:bCs/>
                      <w:color w:val="000000"/>
                      <w:sz w:val="20"/>
                      <w:szCs w:val="20"/>
                    </w:rPr>
                    <w:t>4814.82</w:t>
                  </w:r>
                </w:p>
              </w:tc>
            </w:tr>
          </w:tbl>
          <w:p w14:paraId="558C049F" w14:textId="77777777" w:rsidR="00C671DA" w:rsidRDefault="00C671DA" w:rsidP="00C36D4F">
            <w:pPr>
              <w:rPr>
                <w:b/>
                <w:color w:val="000000"/>
              </w:rPr>
            </w:pPr>
          </w:p>
          <w:p w14:paraId="779A2DE3" w14:textId="77777777" w:rsidR="00C671DA" w:rsidRPr="005632E1" w:rsidRDefault="00C671DA" w:rsidP="00C36D4F">
            <w:pPr>
              <w:rPr>
                <w:rFonts w:ascii="Arial" w:hAnsi="Arial" w:cs="Arial"/>
                <w:b/>
                <w:color w:val="000000"/>
                <w:sz w:val="22"/>
                <w:szCs w:val="22"/>
              </w:rPr>
            </w:pPr>
            <w:r w:rsidRPr="005632E1">
              <w:rPr>
                <w:color w:val="000000"/>
                <w:sz w:val="22"/>
                <w:szCs w:val="22"/>
              </w:rPr>
              <w:t>If the Commission believes that a different approach to issue-specific allocation is warranted here, TURN requests the opportunity to supplement this section of the request.</w:t>
            </w:r>
          </w:p>
          <w:p w14:paraId="70DF4D68" w14:textId="77777777" w:rsidR="00C671DA" w:rsidRPr="007F620E" w:rsidRDefault="00C671DA" w:rsidP="00C36D4F">
            <w:pPr>
              <w:rPr>
                <w:b/>
                <w:color w:val="000000"/>
              </w:rPr>
            </w:pPr>
          </w:p>
        </w:tc>
        <w:tc>
          <w:tcPr>
            <w:tcW w:w="2250" w:type="dxa"/>
            <w:shd w:val="clear" w:color="auto" w:fill="auto"/>
          </w:tcPr>
          <w:p w14:paraId="41A97702" w14:textId="77777777" w:rsidR="00C671DA" w:rsidRPr="007F620E" w:rsidRDefault="00C671DA" w:rsidP="00C36D4F">
            <w:pPr>
              <w:spacing w:before="120"/>
              <w:rPr>
                <w:color w:val="000000"/>
              </w:rPr>
            </w:pPr>
            <w:r>
              <w:rPr>
                <w:color w:val="000000"/>
                <w:sz w:val="22"/>
                <w:szCs w:val="22"/>
              </w:rPr>
              <w:lastRenderedPageBreak/>
              <w:t>Noted</w:t>
            </w:r>
          </w:p>
        </w:tc>
      </w:tr>
    </w:tbl>
    <w:p w14:paraId="54885F97" w14:textId="77777777" w:rsidR="00C671DA" w:rsidRPr="007F620E" w:rsidRDefault="00C671DA" w:rsidP="00C671DA">
      <w:pPr>
        <w:keepNext/>
        <w:keepLines/>
        <w:numPr>
          <w:ilvl w:val="0"/>
          <w:numId w:val="2"/>
        </w:numPr>
        <w:tabs>
          <w:tab w:val="clear" w:pos="900"/>
          <w:tab w:val="num" w:pos="360"/>
        </w:tabs>
        <w:spacing w:after="240"/>
        <w:ind w:left="360"/>
        <w:rPr>
          <w:b/>
          <w:color w:val="000000"/>
        </w:rPr>
      </w:pPr>
      <w:r w:rsidRPr="007F620E">
        <w:rPr>
          <w:b/>
          <w:color w:val="000000"/>
        </w:rPr>
        <w:lastRenderedPageBreak/>
        <w:t xml:space="preserve">Specific </w:t>
      </w:r>
      <w:proofErr w:type="gramStart"/>
      <w:r w:rsidRPr="007F620E">
        <w:rPr>
          <w:b/>
          <w:color w:val="000000"/>
        </w:rPr>
        <w:t>Claim:*</w:t>
      </w:r>
      <w:proofErr w:type="gramEnd"/>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3"/>
        <w:gridCol w:w="697"/>
        <w:gridCol w:w="403"/>
        <w:gridCol w:w="407"/>
        <w:gridCol w:w="810"/>
        <w:gridCol w:w="673"/>
        <w:gridCol w:w="317"/>
        <w:gridCol w:w="990"/>
        <w:gridCol w:w="693"/>
        <w:gridCol w:w="747"/>
        <w:gridCol w:w="900"/>
        <w:gridCol w:w="1170"/>
      </w:tblGrid>
      <w:tr w:rsidR="00C671DA" w:rsidRPr="007F620E" w14:paraId="5E6B999C" w14:textId="77777777" w:rsidTr="00C36D4F">
        <w:tc>
          <w:tcPr>
            <w:tcW w:w="5755" w:type="dxa"/>
            <w:gridSpan w:val="10"/>
            <w:tcBorders>
              <w:bottom w:val="single" w:sz="4" w:space="0" w:color="auto"/>
              <w:right w:val="single" w:sz="24" w:space="0" w:color="auto"/>
            </w:tcBorders>
            <w:shd w:val="clear" w:color="auto" w:fill="auto"/>
          </w:tcPr>
          <w:p w14:paraId="0EC80F88" w14:textId="77777777" w:rsidR="00C671DA" w:rsidRPr="007F620E" w:rsidRDefault="00C671DA" w:rsidP="00C36D4F">
            <w:pPr>
              <w:keepNext/>
              <w:keepLines/>
              <w:spacing w:before="60" w:after="60"/>
              <w:jc w:val="center"/>
              <w:rPr>
                <w:b/>
                <w:smallCaps/>
                <w:color w:val="000000"/>
              </w:rPr>
            </w:pPr>
            <w:r w:rsidRPr="007F620E">
              <w:rPr>
                <w:b/>
                <w:smallCaps/>
                <w:color w:val="000000"/>
              </w:rPr>
              <w:t>Claimed</w:t>
            </w:r>
          </w:p>
        </w:tc>
        <w:tc>
          <w:tcPr>
            <w:tcW w:w="3510" w:type="dxa"/>
            <w:gridSpan w:val="4"/>
            <w:tcBorders>
              <w:left w:val="single" w:sz="24" w:space="0" w:color="auto"/>
              <w:bottom w:val="single" w:sz="4" w:space="0" w:color="auto"/>
            </w:tcBorders>
            <w:shd w:val="clear" w:color="auto" w:fill="auto"/>
          </w:tcPr>
          <w:p w14:paraId="2C08888F" w14:textId="77777777" w:rsidR="00C671DA" w:rsidRPr="007F620E" w:rsidRDefault="00C671DA" w:rsidP="00C36D4F">
            <w:pPr>
              <w:keepNext/>
              <w:keepLines/>
              <w:spacing w:before="60" w:after="60"/>
              <w:jc w:val="center"/>
              <w:rPr>
                <w:b/>
                <w:smallCaps/>
                <w:color w:val="000000"/>
              </w:rPr>
            </w:pPr>
            <w:r w:rsidRPr="007F620E">
              <w:rPr>
                <w:b/>
                <w:smallCaps/>
                <w:color w:val="000000"/>
              </w:rPr>
              <w:t>CPUC Award</w:t>
            </w:r>
          </w:p>
        </w:tc>
      </w:tr>
      <w:tr w:rsidR="00C671DA" w:rsidRPr="007F620E" w14:paraId="117544D8" w14:textId="77777777" w:rsidTr="00C36D4F">
        <w:tc>
          <w:tcPr>
            <w:tcW w:w="9265" w:type="dxa"/>
            <w:gridSpan w:val="14"/>
            <w:tcBorders>
              <w:top w:val="single" w:sz="4" w:space="0" w:color="auto"/>
              <w:left w:val="single" w:sz="4" w:space="0" w:color="auto"/>
              <w:bottom w:val="single" w:sz="4" w:space="0" w:color="auto"/>
              <w:right w:val="single" w:sz="4" w:space="0" w:color="auto"/>
            </w:tcBorders>
            <w:shd w:val="clear" w:color="auto" w:fill="E6E6E6"/>
          </w:tcPr>
          <w:p w14:paraId="60F0D055" w14:textId="77777777" w:rsidR="00C671DA" w:rsidRPr="007F620E" w:rsidRDefault="00C671DA" w:rsidP="00C36D4F">
            <w:pPr>
              <w:keepNext/>
              <w:keepLines/>
              <w:spacing w:before="60" w:after="60"/>
              <w:jc w:val="center"/>
              <w:rPr>
                <w:b/>
              </w:rPr>
            </w:pPr>
            <w:r w:rsidRPr="007F620E">
              <w:rPr>
                <w:b/>
              </w:rPr>
              <w:t>ATTORNEY, EXPERT, AND ADVOCATE FEES</w:t>
            </w:r>
          </w:p>
        </w:tc>
      </w:tr>
      <w:tr w:rsidR="00C671DA" w:rsidRPr="00260518" w14:paraId="15B8DBAF" w14:textId="77777777" w:rsidTr="00C36D4F">
        <w:tc>
          <w:tcPr>
            <w:tcW w:w="1458" w:type="dxa"/>
            <w:gridSpan w:val="3"/>
            <w:tcBorders>
              <w:top w:val="single" w:sz="4" w:space="0" w:color="auto"/>
              <w:bottom w:val="single" w:sz="4" w:space="0" w:color="auto"/>
            </w:tcBorders>
            <w:shd w:val="clear" w:color="auto" w:fill="auto"/>
            <w:vAlign w:val="bottom"/>
          </w:tcPr>
          <w:p w14:paraId="5ADEBE86"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Item</w:t>
            </w:r>
          </w:p>
        </w:tc>
        <w:tc>
          <w:tcPr>
            <w:tcW w:w="697" w:type="dxa"/>
            <w:tcBorders>
              <w:top w:val="single" w:sz="4" w:space="0" w:color="auto"/>
              <w:bottom w:val="single" w:sz="4" w:space="0" w:color="auto"/>
            </w:tcBorders>
            <w:shd w:val="clear" w:color="auto" w:fill="auto"/>
            <w:vAlign w:val="bottom"/>
          </w:tcPr>
          <w:p w14:paraId="2E401364"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Year</w:t>
            </w:r>
          </w:p>
        </w:tc>
        <w:tc>
          <w:tcPr>
            <w:tcW w:w="810" w:type="dxa"/>
            <w:gridSpan w:val="2"/>
            <w:tcBorders>
              <w:top w:val="single" w:sz="4" w:space="0" w:color="auto"/>
              <w:bottom w:val="single" w:sz="4" w:space="0" w:color="auto"/>
            </w:tcBorders>
            <w:shd w:val="clear" w:color="auto" w:fill="auto"/>
            <w:vAlign w:val="bottom"/>
          </w:tcPr>
          <w:p w14:paraId="6B34AEB4" w14:textId="77777777" w:rsidR="00C671DA" w:rsidRPr="00B416C4" w:rsidRDefault="00C671DA" w:rsidP="00C36D4F">
            <w:pPr>
              <w:keepNext/>
              <w:keepLines/>
              <w:spacing w:before="60" w:after="60"/>
              <w:jc w:val="center"/>
              <w:rPr>
                <w:b/>
                <w:color w:val="000000"/>
                <w:sz w:val="18"/>
                <w:szCs w:val="18"/>
              </w:rPr>
            </w:pPr>
            <w:r w:rsidRPr="00B416C4">
              <w:rPr>
                <w:b/>
                <w:color w:val="000000"/>
                <w:sz w:val="18"/>
                <w:szCs w:val="18"/>
              </w:rPr>
              <w:t>Hours</w:t>
            </w:r>
          </w:p>
        </w:tc>
        <w:tc>
          <w:tcPr>
            <w:tcW w:w="810" w:type="dxa"/>
            <w:tcBorders>
              <w:top w:val="single" w:sz="4" w:space="0" w:color="auto"/>
              <w:bottom w:val="single" w:sz="4" w:space="0" w:color="auto"/>
            </w:tcBorders>
            <w:shd w:val="clear" w:color="auto" w:fill="auto"/>
            <w:vAlign w:val="bottom"/>
          </w:tcPr>
          <w:p w14:paraId="5F1F2540"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Rate $</w:t>
            </w:r>
          </w:p>
        </w:tc>
        <w:tc>
          <w:tcPr>
            <w:tcW w:w="990" w:type="dxa"/>
            <w:gridSpan w:val="2"/>
            <w:tcBorders>
              <w:top w:val="single" w:sz="4" w:space="0" w:color="auto"/>
              <w:bottom w:val="single" w:sz="4" w:space="0" w:color="auto"/>
              <w:right w:val="single" w:sz="4" w:space="0" w:color="auto"/>
            </w:tcBorders>
            <w:shd w:val="clear" w:color="auto" w:fill="auto"/>
            <w:vAlign w:val="bottom"/>
          </w:tcPr>
          <w:p w14:paraId="48E4FDD0"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Basis for Rate*</w:t>
            </w:r>
          </w:p>
        </w:tc>
        <w:tc>
          <w:tcPr>
            <w:tcW w:w="990" w:type="dxa"/>
            <w:tcBorders>
              <w:top w:val="single" w:sz="4" w:space="0" w:color="auto"/>
              <w:left w:val="single" w:sz="4" w:space="0" w:color="auto"/>
              <w:bottom w:val="single" w:sz="4" w:space="0" w:color="auto"/>
              <w:right w:val="single" w:sz="24" w:space="0" w:color="auto"/>
            </w:tcBorders>
            <w:shd w:val="clear" w:color="auto" w:fill="auto"/>
            <w:vAlign w:val="bottom"/>
          </w:tcPr>
          <w:p w14:paraId="13E9EE2E"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Total $</w:t>
            </w:r>
          </w:p>
        </w:tc>
        <w:tc>
          <w:tcPr>
            <w:tcW w:w="1440" w:type="dxa"/>
            <w:gridSpan w:val="2"/>
            <w:tcBorders>
              <w:top w:val="single" w:sz="4" w:space="0" w:color="auto"/>
              <w:left w:val="single" w:sz="4" w:space="0" w:color="auto"/>
            </w:tcBorders>
            <w:shd w:val="clear" w:color="auto" w:fill="auto"/>
            <w:vAlign w:val="bottom"/>
          </w:tcPr>
          <w:p w14:paraId="1063177B"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Hours</w:t>
            </w:r>
          </w:p>
        </w:tc>
        <w:tc>
          <w:tcPr>
            <w:tcW w:w="900" w:type="dxa"/>
            <w:tcBorders>
              <w:top w:val="single" w:sz="4" w:space="0" w:color="auto"/>
            </w:tcBorders>
            <w:shd w:val="clear" w:color="auto" w:fill="auto"/>
            <w:vAlign w:val="bottom"/>
          </w:tcPr>
          <w:p w14:paraId="44888913"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Rate $</w:t>
            </w:r>
          </w:p>
        </w:tc>
        <w:tc>
          <w:tcPr>
            <w:tcW w:w="1170" w:type="dxa"/>
            <w:tcBorders>
              <w:top w:val="single" w:sz="4" w:space="0" w:color="auto"/>
            </w:tcBorders>
            <w:shd w:val="clear" w:color="auto" w:fill="auto"/>
            <w:vAlign w:val="bottom"/>
          </w:tcPr>
          <w:p w14:paraId="44FF6B01" w14:textId="77777777" w:rsidR="00C671DA" w:rsidRPr="00260518" w:rsidRDefault="00C671DA" w:rsidP="00C36D4F">
            <w:pPr>
              <w:keepNext/>
              <w:keepLines/>
              <w:spacing w:before="60" w:after="60"/>
              <w:jc w:val="center"/>
              <w:rPr>
                <w:b/>
                <w:color w:val="000000"/>
                <w:sz w:val="22"/>
                <w:szCs w:val="22"/>
              </w:rPr>
            </w:pPr>
            <w:r w:rsidRPr="00260518">
              <w:rPr>
                <w:b/>
                <w:color w:val="000000"/>
                <w:sz w:val="22"/>
                <w:szCs w:val="22"/>
              </w:rPr>
              <w:t>Total $</w:t>
            </w:r>
          </w:p>
        </w:tc>
      </w:tr>
      <w:tr w:rsidR="00C671DA" w:rsidRPr="00BA2B9B" w14:paraId="68B3BB88" w14:textId="77777777" w:rsidTr="00C36D4F">
        <w:tc>
          <w:tcPr>
            <w:tcW w:w="1458" w:type="dxa"/>
            <w:gridSpan w:val="3"/>
            <w:shd w:val="clear" w:color="auto" w:fill="auto"/>
          </w:tcPr>
          <w:p w14:paraId="6FD085A3" w14:textId="77777777" w:rsidR="00C671DA" w:rsidRPr="00BA2B9B" w:rsidRDefault="00C671DA" w:rsidP="00C36D4F">
            <w:pPr>
              <w:spacing w:before="60" w:after="60"/>
              <w:rPr>
                <w:color w:val="000000"/>
                <w:sz w:val="20"/>
                <w:szCs w:val="20"/>
              </w:rPr>
            </w:pPr>
            <w:r w:rsidRPr="00BA2B9B">
              <w:rPr>
                <w:sz w:val="20"/>
                <w:szCs w:val="20"/>
              </w:rPr>
              <w:t>Hayley Goodson, TURN Attorney</w:t>
            </w:r>
          </w:p>
        </w:tc>
        <w:tc>
          <w:tcPr>
            <w:tcW w:w="697" w:type="dxa"/>
            <w:shd w:val="clear" w:color="auto" w:fill="auto"/>
          </w:tcPr>
          <w:p w14:paraId="2DA3BFD8"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7E037E3B" w14:textId="77777777" w:rsidR="00C671DA" w:rsidRPr="00B416C4" w:rsidRDefault="00C671DA" w:rsidP="00C36D4F">
            <w:pPr>
              <w:spacing w:before="60" w:after="60"/>
              <w:jc w:val="right"/>
              <w:rPr>
                <w:color w:val="000000"/>
                <w:sz w:val="18"/>
                <w:szCs w:val="18"/>
              </w:rPr>
            </w:pPr>
            <w:r w:rsidRPr="00B416C4">
              <w:rPr>
                <w:sz w:val="18"/>
                <w:szCs w:val="18"/>
              </w:rPr>
              <w:t>74.50</w:t>
            </w:r>
          </w:p>
        </w:tc>
        <w:tc>
          <w:tcPr>
            <w:tcW w:w="810" w:type="dxa"/>
            <w:shd w:val="clear" w:color="auto" w:fill="auto"/>
          </w:tcPr>
          <w:p w14:paraId="670EA98C" w14:textId="77777777" w:rsidR="00C671DA" w:rsidRPr="00BA2B9B" w:rsidRDefault="00C671DA" w:rsidP="00C36D4F">
            <w:pPr>
              <w:spacing w:before="60" w:after="60"/>
              <w:jc w:val="center"/>
              <w:rPr>
                <w:color w:val="000000"/>
                <w:sz w:val="20"/>
                <w:szCs w:val="20"/>
              </w:rPr>
            </w:pPr>
            <w:r w:rsidRPr="00BA2B9B">
              <w:rPr>
                <w:sz w:val="20"/>
                <w:szCs w:val="20"/>
              </w:rPr>
              <w:t>$355</w:t>
            </w:r>
          </w:p>
        </w:tc>
        <w:tc>
          <w:tcPr>
            <w:tcW w:w="990" w:type="dxa"/>
            <w:gridSpan w:val="2"/>
            <w:tcBorders>
              <w:right w:val="single" w:sz="4" w:space="0" w:color="auto"/>
            </w:tcBorders>
            <w:shd w:val="clear" w:color="auto" w:fill="auto"/>
          </w:tcPr>
          <w:p w14:paraId="388B5379" w14:textId="77777777" w:rsidR="00C671DA" w:rsidRPr="008865E7" w:rsidRDefault="00C671DA" w:rsidP="00C36D4F">
            <w:pPr>
              <w:spacing w:before="60" w:after="60"/>
              <w:ind w:hanging="110"/>
              <w:jc w:val="right"/>
              <w:rPr>
                <w:color w:val="000000"/>
                <w:sz w:val="17"/>
                <w:szCs w:val="17"/>
              </w:rPr>
            </w:pPr>
            <w:r w:rsidRPr="008865E7">
              <w:rPr>
                <w:sz w:val="17"/>
                <w:szCs w:val="17"/>
              </w:rPr>
              <w:t>D.16-10-036</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40E2D36" w14:textId="77777777" w:rsidR="00C671DA" w:rsidRPr="008865E7" w:rsidRDefault="00C671DA" w:rsidP="00C36D4F">
            <w:pPr>
              <w:spacing w:before="60" w:after="60"/>
              <w:jc w:val="right"/>
              <w:rPr>
                <w:color w:val="000000"/>
                <w:sz w:val="17"/>
                <w:szCs w:val="17"/>
              </w:rPr>
            </w:pPr>
            <w:r w:rsidRPr="008865E7">
              <w:rPr>
                <w:sz w:val="17"/>
                <w:szCs w:val="17"/>
              </w:rPr>
              <w:t>$26,447.50</w:t>
            </w:r>
          </w:p>
        </w:tc>
        <w:tc>
          <w:tcPr>
            <w:tcW w:w="1440" w:type="dxa"/>
            <w:gridSpan w:val="2"/>
            <w:tcBorders>
              <w:left w:val="single" w:sz="4" w:space="0" w:color="auto"/>
            </w:tcBorders>
            <w:shd w:val="clear" w:color="auto" w:fill="auto"/>
          </w:tcPr>
          <w:p w14:paraId="3EE94BCE" w14:textId="77777777" w:rsidR="00C671DA" w:rsidRPr="00BA2B9B" w:rsidRDefault="00C671DA" w:rsidP="00C36D4F">
            <w:pPr>
              <w:spacing w:before="60" w:after="60"/>
              <w:jc w:val="right"/>
              <w:rPr>
                <w:color w:val="000000"/>
                <w:sz w:val="20"/>
                <w:szCs w:val="20"/>
              </w:rPr>
            </w:pPr>
            <w:r>
              <w:rPr>
                <w:color w:val="000000"/>
                <w:sz w:val="20"/>
                <w:szCs w:val="20"/>
              </w:rPr>
              <w:t xml:space="preserve">74.15 </w:t>
            </w:r>
            <w:r w:rsidRPr="001507ED">
              <w:rPr>
                <w:color w:val="000000"/>
                <w:sz w:val="20"/>
                <w:szCs w:val="20"/>
                <w:vertAlign w:val="superscript"/>
              </w:rPr>
              <w:t>[1,3]</w:t>
            </w:r>
          </w:p>
        </w:tc>
        <w:tc>
          <w:tcPr>
            <w:tcW w:w="900" w:type="dxa"/>
            <w:shd w:val="clear" w:color="auto" w:fill="auto"/>
          </w:tcPr>
          <w:p w14:paraId="170DF9DA" w14:textId="77777777" w:rsidR="00C671DA" w:rsidRPr="00BA2B9B" w:rsidRDefault="00C671DA" w:rsidP="00C36D4F">
            <w:pPr>
              <w:spacing w:before="60" w:after="60"/>
              <w:jc w:val="center"/>
              <w:rPr>
                <w:color w:val="000000"/>
                <w:sz w:val="20"/>
                <w:szCs w:val="20"/>
              </w:rPr>
            </w:pPr>
            <w:r>
              <w:rPr>
                <w:color w:val="000000"/>
                <w:sz w:val="20"/>
                <w:szCs w:val="20"/>
              </w:rPr>
              <w:t>$355</w:t>
            </w:r>
          </w:p>
        </w:tc>
        <w:tc>
          <w:tcPr>
            <w:tcW w:w="1170" w:type="dxa"/>
            <w:shd w:val="clear" w:color="auto" w:fill="auto"/>
          </w:tcPr>
          <w:p w14:paraId="0E36D5C6" w14:textId="77777777" w:rsidR="00C671DA" w:rsidRPr="00BA2B9B" w:rsidRDefault="00C671DA" w:rsidP="00C36D4F">
            <w:pPr>
              <w:jc w:val="right"/>
              <w:rPr>
                <w:color w:val="000000"/>
                <w:sz w:val="20"/>
                <w:szCs w:val="20"/>
              </w:rPr>
            </w:pPr>
            <w:r>
              <w:rPr>
                <w:color w:val="000000"/>
                <w:sz w:val="20"/>
                <w:szCs w:val="20"/>
              </w:rPr>
              <w:t>$26,323.25</w:t>
            </w:r>
          </w:p>
        </w:tc>
      </w:tr>
      <w:tr w:rsidR="00C671DA" w:rsidRPr="00BA2B9B" w14:paraId="2082D9E9" w14:textId="77777777" w:rsidTr="00C36D4F">
        <w:tc>
          <w:tcPr>
            <w:tcW w:w="1458" w:type="dxa"/>
            <w:gridSpan w:val="3"/>
            <w:shd w:val="clear" w:color="auto" w:fill="auto"/>
          </w:tcPr>
          <w:p w14:paraId="522E4FDC" w14:textId="77777777" w:rsidR="00C671DA" w:rsidRPr="00BA2B9B" w:rsidRDefault="00C671DA" w:rsidP="00C36D4F">
            <w:pPr>
              <w:spacing w:before="60" w:after="60"/>
              <w:rPr>
                <w:color w:val="000000"/>
                <w:sz w:val="20"/>
                <w:szCs w:val="20"/>
              </w:rPr>
            </w:pPr>
            <w:r w:rsidRPr="00BA2B9B">
              <w:rPr>
                <w:sz w:val="20"/>
                <w:szCs w:val="20"/>
              </w:rPr>
              <w:t>Hayley Goodson, TURN Attorney</w:t>
            </w:r>
          </w:p>
        </w:tc>
        <w:tc>
          <w:tcPr>
            <w:tcW w:w="697" w:type="dxa"/>
            <w:shd w:val="clear" w:color="auto" w:fill="auto"/>
          </w:tcPr>
          <w:p w14:paraId="55BA83A3"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6F58E073" w14:textId="77777777" w:rsidR="00C671DA" w:rsidRPr="00B416C4" w:rsidRDefault="00C671DA" w:rsidP="00C36D4F">
            <w:pPr>
              <w:spacing w:before="60" w:after="60"/>
              <w:jc w:val="right"/>
              <w:rPr>
                <w:color w:val="000000"/>
                <w:sz w:val="18"/>
                <w:szCs w:val="18"/>
              </w:rPr>
            </w:pPr>
            <w:r w:rsidRPr="00B416C4">
              <w:rPr>
                <w:sz w:val="18"/>
                <w:szCs w:val="18"/>
              </w:rPr>
              <w:t>393.75</w:t>
            </w:r>
          </w:p>
        </w:tc>
        <w:tc>
          <w:tcPr>
            <w:tcW w:w="810" w:type="dxa"/>
            <w:shd w:val="clear" w:color="auto" w:fill="auto"/>
          </w:tcPr>
          <w:p w14:paraId="3FA78C9F" w14:textId="77777777" w:rsidR="00C671DA" w:rsidRPr="00BA2B9B" w:rsidRDefault="00C671DA" w:rsidP="00C36D4F">
            <w:pPr>
              <w:spacing w:before="60" w:after="60"/>
              <w:jc w:val="center"/>
              <w:rPr>
                <w:color w:val="000000"/>
                <w:sz w:val="20"/>
                <w:szCs w:val="20"/>
              </w:rPr>
            </w:pPr>
            <w:r w:rsidRPr="00BA2B9B">
              <w:rPr>
                <w:sz w:val="20"/>
                <w:szCs w:val="20"/>
              </w:rPr>
              <w:t>$380</w:t>
            </w:r>
          </w:p>
        </w:tc>
        <w:tc>
          <w:tcPr>
            <w:tcW w:w="990" w:type="dxa"/>
            <w:gridSpan w:val="2"/>
            <w:tcBorders>
              <w:right w:val="single" w:sz="4" w:space="0" w:color="auto"/>
            </w:tcBorders>
            <w:shd w:val="clear" w:color="auto" w:fill="auto"/>
          </w:tcPr>
          <w:p w14:paraId="19CA7885" w14:textId="77777777" w:rsidR="00C671DA" w:rsidRPr="008865E7" w:rsidRDefault="00C671DA" w:rsidP="00C36D4F">
            <w:pPr>
              <w:spacing w:before="60" w:after="60"/>
              <w:ind w:hanging="110"/>
              <w:jc w:val="right"/>
              <w:rPr>
                <w:color w:val="000000"/>
                <w:sz w:val="17"/>
                <w:szCs w:val="17"/>
              </w:rPr>
            </w:pPr>
            <w:r w:rsidRPr="008865E7">
              <w:rPr>
                <w:sz w:val="17"/>
                <w:szCs w:val="17"/>
              </w:rPr>
              <w:t>D.17-03-022</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77E481B" w14:textId="77777777" w:rsidR="00C671DA" w:rsidRPr="008865E7" w:rsidRDefault="00C671DA" w:rsidP="00C36D4F">
            <w:pPr>
              <w:spacing w:before="60" w:after="60"/>
              <w:ind w:hanging="110"/>
              <w:jc w:val="right"/>
              <w:rPr>
                <w:color w:val="000000"/>
                <w:sz w:val="17"/>
                <w:szCs w:val="17"/>
              </w:rPr>
            </w:pPr>
            <w:r w:rsidRPr="008865E7">
              <w:rPr>
                <w:sz w:val="17"/>
                <w:szCs w:val="17"/>
              </w:rPr>
              <w:t>$149,625.00</w:t>
            </w:r>
          </w:p>
        </w:tc>
        <w:tc>
          <w:tcPr>
            <w:tcW w:w="1440" w:type="dxa"/>
            <w:gridSpan w:val="2"/>
            <w:tcBorders>
              <w:left w:val="single" w:sz="4" w:space="0" w:color="auto"/>
            </w:tcBorders>
            <w:shd w:val="clear" w:color="auto" w:fill="auto"/>
          </w:tcPr>
          <w:p w14:paraId="12A0F9B8" w14:textId="77777777" w:rsidR="00C671DA" w:rsidRPr="00BA2B9B" w:rsidRDefault="00C671DA" w:rsidP="00C36D4F">
            <w:pPr>
              <w:spacing w:before="60" w:after="60"/>
              <w:jc w:val="right"/>
              <w:rPr>
                <w:color w:val="000000"/>
                <w:sz w:val="20"/>
                <w:szCs w:val="20"/>
              </w:rPr>
            </w:pPr>
            <w:r>
              <w:rPr>
                <w:color w:val="000000"/>
                <w:sz w:val="20"/>
                <w:szCs w:val="20"/>
              </w:rPr>
              <w:t>390.85</w:t>
            </w:r>
            <w:r w:rsidRPr="001507ED">
              <w:rPr>
                <w:color w:val="000000"/>
                <w:sz w:val="20"/>
                <w:szCs w:val="20"/>
                <w:vertAlign w:val="superscript"/>
              </w:rPr>
              <w:t>[1,3,4]</w:t>
            </w:r>
          </w:p>
        </w:tc>
        <w:tc>
          <w:tcPr>
            <w:tcW w:w="900" w:type="dxa"/>
            <w:shd w:val="clear" w:color="auto" w:fill="auto"/>
          </w:tcPr>
          <w:p w14:paraId="4498CD61" w14:textId="77777777" w:rsidR="00C671DA" w:rsidRPr="00BA2B9B" w:rsidRDefault="00C671DA" w:rsidP="00C36D4F">
            <w:pPr>
              <w:spacing w:before="60" w:after="60"/>
              <w:jc w:val="center"/>
              <w:rPr>
                <w:color w:val="000000"/>
                <w:sz w:val="20"/>
                <w:szCs w:val="20"/>
              </w:rPr>
            </w:pPr>
            <w:r>
              <w:rPr>
                <w:color w:val="000000"/>
                <w:sz w:val="20"/>
                <w:szCs w:val="20"/>
              </w:rPr>
              <w:t>$380</w:t>
            </w:r>
          </w:p>
        </w:tc>
        <w:tc>
          <w:tcPr>
            <w:tcW w:w="1170" w:type="dxa"/>
            <w:shd w:val="clear" w:color="auto" w:fill="auto"/>
          </w:tcPr>
          <w:p w14:paraId="350BCB4B" w14:textId="77777777" w:rsidR="00C671DA" w:rsidRPr="00BA2B9B" w:rsidRDefault="00C671DA" w:rsidP="00C36D4F">
            <w:pPr>
              <w:spacing w:before="60" w:after="60"/>
              <w:ind w:hanging="110"/>
              <w:jc w:val="right"/>
              <w:rPr>
                <w:color w:val="000000"/>
                <w:sz w:val="20"/>
                <w:szCs w:val="20"/>
              </w:rPr>
            </w:pPr>
            <w:r>
              <w:rPr>
                <w:color w:val="000000"/>
                <w:sz w:val="20"/>
                <w:szCs w:val="20"/>
              </w:rPr>
              <w:t>$148,523.00</w:t>
            </w:r>
          </w:p>
        </w:tc>
      </w:tr>
      <w:tr w:rsidR="00C671DA" w:rsidRPr="00BA2B9B" w14:paraId="106F8E8C" w14:textId="77777777" w:rsidTr="00C36D4F">
        <w:tc>
          <w:tcPr>
            <w:tcW w:w="1458" w:type="dxa"/>
            <w:gridSpan w:val="3"/>
            <w:shd w:val="clear" w:color="auto" w:fill="auto"/>
          </w:tcPr>
          <w:p w14:paraId="56EE7511" w14:textId="77777777" w:rsidR="00C671DA" w:rsidRPr="00BA2B9B" w:rsidRDefault="00C671DA" w:rsidP="00C36D4F">
            <w:pPr>
              <w:spacing w:before="60" w:after="60"/>
              <w:rPr>
                <w:color w:val="000000"/>
                <w:sz w:val="20"/>
                <w:szCs w:val="20"/>
              </w:rPr>
            </w:pPr>
            <w:r w:rsidRPr="00BA2B9B">
              <w:rPr>
                <w:sz w:val="20"/>
                <w:szCs w:val="20"/>
              </w:rPr>
              <w:t>Hayley Goodson, TURN Attorney</w:t>
            </w:r>
          </w:p>
        </w:tc>
        <w:tc>
          <w:tcPr>
            <w:tcW w:w="697" w:type="dxa"/>
            <w:shd w:val="clear" w:color="auto" w:fill="auto"/>
          </w:tcPr>
          <w:p w14:paraId="150DFA93"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5452945F" w14:textId="77777777" w:rsidR="00C671DA" w:rsidRPr="00B416C4" w:rsidRDefault="00C671DA" w:rsidP="00C36D4F">
            <w:pPr>
              <w:spacing w:before="60" w:after="60"/>
              <w:jc w:val="right"/>
              <w:rPr>
                <w:color w:val="000000"/>
                <w:sz w:val="18"/>
                <w:szCs w:val="18"/>
              </w:rPr>
            </w:pPr>
            <w:r w:rsidRPr="00B416C4">
              <w:rPr>
                <w:sz w:val="18"/>
                <w:szCs w:val="18"/>
              </w:rPr>
              <w:t>36.50</w:t>
            </w:r>
          </w:p>
        </w:tc>
        <w:tc>
          <w:tcPr>
            <w:tcW w:w="810" w:type="dxa"/>
            <w:shd w:val="clear" w:color="auto" w:fill="auto"/>
          </w:tcPr>
          <w:p w14:paraId="7F12D879" w14:textId="77777777" w:rsidR="00C671DA" w:rsidRPr="00BA2B9B" w:rsidRDefault="00C671DA" w:rsidP="00C36D4F">
            <w:pPr>
              <w:spacing w:before="60" w:after="60"/>
              <w:jc w:val="center"/>
              <w:rPr>
                <w:color w:val="000000"/>
                <w:sz w:val="20"/>
                <w:szCs w:val="20"/>
              </w:rPr>
            </w:pPr>
            <w:r w:rsidRPr="00BA2B9B">
              <w:rPr>
                <w:sz w:val="20"/>
                <w:szCs w:val="20"/>
              </w:rPr>
              <w:t>$405</w:t>
            </w:r>
          </w:p>
        </w:tc>
        <w:tc>
          <w:tcPr>
            <w:tcW w:w="990" w:type="dxa"/>
            <w:gridSpan w:val="2"/>
            <w:tcBorders>
              <w:right w:val="single" w:sz="4" w:space="0" w:color="auto"/>
            </w:tcBorders>
            <w:shd w:val="clear" w:color="auto" w:fill="auto"/>
          </w:tcPr>
          <w:p w14:paraId="1107A39A" w14:textId="77777777" w:rsidR="00C671DA" w:rsidRPr="008865E7" w:rsidRDefault="00C671DA" w:rsidP="00C36D4F">
            <w:pPr>
              <w:spacing w:before="60" w:after="60"/>
              <w:jc w:val="right"/>
              <w:rPr>
                <w:color w:val="000000"/>
                <w:sz w:val="17"/>
                <w:szCs w:val="17"/>
              </w:rPr>
            </w:pPr>
            <w:r w:rsidRPr="008865E7">
              <w:rPr>
                <w:sz w:val="17"/>
                <w:szCs w:val="17"/>
              </w:rPr>
              <w:t>Res. ALJ-345 (2.14% COLA, plus first 5% step increase in the 13+ year experience tier, rounded to nearest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D1C1858" w14:textId="77777777" w:rsidR="00C671DA" w:rsidRPr="008865E7" w:rsidRDefault="00C671DA" w:rsidP="00C36D4F">
            <w:pPr>
              <w:spacing w:before="60" w:after="60"/>
              <w:jc w:val="right"/>
              <w:rPr>
                <w:color w:val="000000"/>
                <w:sz w:val="17"/>
                <w:szCs w:val="17"/>
              </w:rPr>
            </w:pPr>
            <w:r w:rsidRPr="008865E7">
              <w:rPr>
                <w:sz w:val="17"/>
                <w:szCs w:val="17"/>
              </w:rPr>
              <w:t>$14,782.50</w:t>
            </w:r>
          </w:p>
        </w:tc>
        <w:tc>
          <w:tcPr>
            <w:tcW w:w="1440" w:type="dxa"/>
            <w:gridSpan w:val="2"/>
            <w:tcBorders>
              <w:left w:val="single" w:sz="4" w:space="0" w:color="auto"/>
            </w:tcBorders>
            <w:shd w:val="clear" w:color="auto" w:fill="auto"/>
          </w:tcPr>
          <w:p w14:paraId="69DEDA28" w14:textId="77777777" w:rsidR="00C671DA" w:rsidRPr="00BA2B9B" w:rsidRDefault="00C671DA" w:rsidP="00C36D4F">
            <w:pPr>
              <w:spacing w:before="60" w:after="60"/>
              <w:jc w:val="right"/>
              <w:rPr>
                <w:color w:val="000000"/>
                <w:sz w:val="20"/>
                <w:szCs w:val="20"/>
              </w:rPr>
            </w:pPr>
            <w:r>
              <w:rPr>
                <w:color w:val="000000"/>
                <w:sz w:val="20"/>
                <w:szCs w:val="20"/>
              </w:rPr>
              <w:t>35</w:t>
            </w:r>
            <w:r w:rsidRPr="001507ED">
              <w:rPr>
                <w:color w:val="000000"/>
                <w:sz w:val="20"/>
                <w:szCs w:val="20"/>
                <w:vertAlign w:val="superscript"/>
              </w:rPr>
              <w:t>[4]</w:t>
            </w:r>
          </w:p>
        </w:tc>
        <w:tc>
          <w:tcPr>
            <w:tcW w:w="900" w:type="dxa"/>
            <w:shd w:val="clear" w:color="auto" w:fill="auto"/>
          </w:tcPr>
          <w:p w14:paraId="256429D8" w14:textId="77777777" w:rsidR="00C671DA" w:rsidRPr="00BA2B9B" w:rsidRDefault="00C671DA" w:rsidP="00C36D4F">
            <w:pPr>
              <w:spacing w:before="60" w:after="60"/>
              <w:jc w:val="center"/>
              <w:rPr>
                <w:color w:val="000000"/>
                <w:sz w:val="20"/>
                <w:szCs w:val="20"/>
              </w:rPr>
            </w:pPr>
            <w:r>
              <w:rPr>
                <w:color w:val="000000"/>
                <w:sz w:val="20"/>
                <w:szCs w:val="20"/>
              </w:rPr>
              <w:t>$405</w:t>
            </w:r>
            <w:r>
              <w:rPr>
                <w:rStyle w:val="FootnoteReference"/>
                <w:color w:val="000000"/>
                <w:sz w:val="20"/>
                <w:szCs w:val="20"/>
              </w:rPr>
              <w:footnoteReference w:id="5"/>
            </w:r>
          </w:p>
        </w:tc>
        <w:tc>
          <w:tcPr>
            <w:tcW w:w="1170" w:type="dxa"/>
            <w:shd w:val="clear" w:color="auto" w:fill="auto"/>
          </w:tcPr>
          <w:p w14:paraId="0EA5F9DF" w14:textId="77777777" w:rsidR="00C671DA" w:rsidRPr="00BA2B9B" w:rsidRDefault="00C671DA" w:rsidP="00C36D4F">
            <w:pPr>
              <w:spacing w:before="60" w:after="60"/>
              <w:jc w:val="right"/>
              <w:rPr>
                <w:color w:val="000000"/>
                <w:sz w:val="20"/>
                <w:szCs w:val="20"/>
              </w:rPr>
            </w:pPr>
            <w:r>
              <w:rPr>
                <w:color w:val="000000"/>
                <w:sz w:val="20"/>
                <w:szCs w:val="20"/>
              </w:rPr>
              <w:t>$14,175.00</w:t>
            </w:r>
          </w:p>
        </w:tc>
      </w:tr>
      <w:tr w:rsidR="00C671DA" w:rsidRPr="00BA2B9B" w14:paraId="31EE517C" w14:textId="77777777" w:rsidTr="00C36D4F">
        <w:tc>
          <w:tcPr>
            <w:tcW w:w="1458" w:type="dxa"/>
            <w:gridSpan w:val="3"/>
            <w:shd w:val="clear" w:color="auto" w:fill="auto"/>
          </w:tcPr>
          <w:p w14:paraId="22BC3C9F" w14:textId="77777777" w:rsidR="00C671DA" w:rsidRPr="00BA2B9B" w:rsidRDefault="00C671DA" w:rsidP="00C36D4F">
            <w:pPr>
              <w:spacing w:before="60" w:after="60"/>
              <w:rPr>
                <w:color w:val="000000"/>
                <w:sz w:val="20"/>
                <w:szCs w:val="20"/>
              </w:rPr>
            </w:pPr>
            <w:r w:rsidRPr="00BA2B9B">
              <w:rPr>
                <w:sz w:val="20"/>
                <w:szCs w:val="20"/>
              </w:rPr>
              <w:t>Robert Finkelstein, TURN General Counsel</w:t>
            </w:r>
          </w:p>
        </w:tc>
        <w:tc>
          <w:tcPr>
            <w:tcW w:w="697" w:type="dxa"/>
            <w:shd w:val="clear" w:color="auto" w:fill="auto"/>
          </w:tcPr>
          <w:p w14:paraId="2A6E563C"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65EF17A8" w14:textId="77777777" w:rsidR="00C671DA" w:rsidRPr="00B416C4" w:rsidRDefault="00C671DA" w:rsidP="00C36D4F">
            <w:pPr>
              <w:spacing w:before="60" w:after="60"/>
              <w:jc w:val="right"/>
              <w:rPr>
                <w:color w:val="000000"/>
                <w:sz w:val="18"/>
                <w:szCs w:val="18"/>
              </w:rPr>
            </w:pPr>
            <w:r w:rsidRPr="00B416C4">
              <w:rPr>
                <w:sz w:val="18"/>
                <w:szCs w:val="18"/>
              </w:rPr>
              <w:t>5.00</w:t>
            </w:r>
          </w:p>
        </w:tc>
        <w:tc>
          <w:tcPr>
            <w:tcW w:w="810" w:type="dxa"/>
            <w:shd w:val="clear" w:color="auto" w:fill="auto"/>
          </w:tcPr>
          <w:p w14:paraId="206B7C66" w14:textId="77777777" w:rsidR="00C671DA" w:rsidRPr="00BA2B9B" w:rsidRDefault="00C671DA" w:rsidP="00C36D4F">
            <w:pPr>
              <w:spacing w:before="60" w:after="60"/>
              <w:jc w:val="center"/>
              <w:rPr>
                <w:color w:val="000000"/>
                <w:sz w:val="20"/>
                <w:szCs w:val="20"/>
              </w:rPr>
            </w:pPr>
            <w:r w:rsidRPr="00BA2B9B">
              <w:rPr>
                <w:sz w:val="20"/>
                <w:szCs w:val="20"/>
              </w:rPr>
              <w:t>$505</w:t>
            </w:r>
          </w:p>
        </w:tc>
        <w:tc>
          <w:tcPr>
            <w:tcW w:w="990" w:type="dxa"/>
            <w:gridSpan w:val="2"/>
            <w:tcBorders>
              <w:right w:val="single" w:sz="4" w:space="0" w:color="auto"/>
            </w:tcBorders>
            <w:shd w:val="clear" w:color="auto" w:fill="auto"/>
          </w:tcPr>
          <w:p w14:paraId="56900BE7" w14:textId="77777777" w:rsidR="00C671DA" w:rsidRPr="008865E7" w:rsidRDefault="00C671DA" w:rsidP="00C36D4F">
            <w:pPr>
              <w:spacing w:before="60" w:after="60"/>
              <w:ind w:hanging="110"/>
              <w:jc w:val="right"/>
              <w:rPr>
                <w:color w:val="000000"/>
                <w:sz w:val="17"/>
                <w:szCs w:val="17"/>
              </w:rPr>
            </w:pPr>
            <w:r w:rsidRPr="008865E7">
              <w:rPr>
                <w:sz w:val="17"/>
                <w:szCs w:val="17"/>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F257542" w14:textId="77777777" w:rsidR="00C671DA" w:rsidRPr="008865E7" w:rsidRDefault="00C671DA" w:rsidP="00C36D4F">
            <w:pPr>
              <w:spacing w:before="60" w:after="60"/>
              <w:jc w:val="right"/>
              <w:rPr>
                <w:color w:val="000000"/>
                <w:sz w:val="17"/>
                <w:szCs w:val="17"/>
              </w:rPr>
            </w:pPr>
            <w:r w:rsidRPr="008865E7">
              <w:rPr>
                <w:sz w:val="17"/>
                <w:szCs w:val="17"/>
              </w:rPr>
              <w:t>$2,525.00</w:t>
            </w:r>
          </w:p>
        </w:tc>
        <w:tc>
          <w:tcPr>
            <w:tcW w:w="1440" w:type="dxa"/>
            <w:gridSpan w:val="2"/>
            <w:tcBorders>
              <w:left w:val="single" w:sz="4" w:space="0" w:color="auto"/>
            </w:tcBorders>
            <w:shd w:val="clear" w:color="auto" w:fill="auto"/>
          </w:tcPr>
          <w:p w14:paraId="0B1044BD" w14:textId="77777777" w:rsidR="00C671DA" w:rsidRPr="00BA2B9B" w:rsidRDefault="00C671DA" w:rsidP="00C36D4F">
            <w:pPr>
              <w:spacing w:before="60" w:after="60"/>
              <w:jc w:val="right"/>
              <w:rPr>
                <w:color w:val="000000"/>
                <w:sz w:val="20"/>
                <w:szCs w:val="20"/>
              </w:rPr>
            </w:pPr>
            <w:r>
              <w:rPr>
                <w:color w:val="000000"/>
                <w:sz w:val="20"/>
                <w:szCs w:val="20"/>
              </w:rPr>
              <w:t>4.8</w:t>
            </w:r>
            <w:r w:rsidRPr="001507ED">
              <w:rPr>
                <w:color w:val="000000"/>
                <w:sz w:val="20"/>
                <w:szCs w:val="20"/>
                <w:vertAlign w:val="superscript"/>
              </w:rPr>
              <w:t>[1,3]</w:t>
            </w:r>
          </w:p>
        </w:tc>
        <w:tc>
          <w:tcPr>
            <w:tcW w:w="900" w:type="dxa"/>
            <w:shd w:val="clear" w:color="auto" w:fill="auto"/>
          </w:tcPr>
          <w:p w14:paraId="0A29BF89" w14:textId="77777777" w:rsidR="00C671DA" w:rsidRPr="00BA2B9B" w:rsidRDefault="00C671DA" w:rsidP="00C36D4F">
            <w:pPr>
              <w:spacing w:before="60" w:after="60"/>
              <w:jc w:val="center"/>
              <w:rPr>
                <w:color w:val="000000"/>
                <w:sz w:val="20"/>
                <w:szCs w:val="20"/>
              </w:rPr>
            </w:pPr>
            <w:r>
              <w:rPr>
                <w:color w:val="000000"/>
                <w:sz w:val="20"/>
                <w:szCs w:val="20"/>
              </w:rPr>
              <w:t>$505</w:t>
            </w:r>
          </w:p>
        </w:tc>
        <w:tc>
          <w:tcPr>
            <w:tcW w:w="1170" w:type="dxa"/>
            <w:shd w:val="clear" w:color="auto" w:fill="auto"/>
          </w:tcPr>
          <w:p w14:paraId="7EA59912" w14:textId="77777777" w:rsidR="00C671DA" w:rsidRPr="00BA2B9B" w:rsidRDefault="00C671DA" w:rsidP="00C36D4F">
            <w:pPr>
              <w:spacing w:before="60" w:after="60"/>
              <w:jc w:val="right"/>
              <w:rPr>
                <w:color w:val="000000"/>
                <w:sz w:val="20"/>
                <w:szCs w:val="20"/>
              </w:rPr>
            </w:pPr>
            <w:r>
              <w:rPr>
                <w:color w:val="000000"/>
                <w:sz w:val="20"/>
                <w:szCs w:val="20"/>
              </w:rPr>
              <w:t>$2,424.00</w:t>
            </w:r>
          </w:p>
        </w:tc>
      </w:tr>
      <w:tr w:rsidR="00C671DA" w:rsidRPr="00BA2B9B" w14:paraId="7C37111D" w14:textId="77777777" w:rsidTr="00C36D4F">
        <w:tc>
          <w:tcPr>
            <w:tcW w:w="1458" w:type="dxa"/>
            <w:gridSpan w:val="3"/>
            <w:shd w:val="clear" w:color="auto" w:fill="auto"/>
          </w:tcPr>
          <w:p w14:paraId="1EB8C4F6" w14:textId="77777777" w:rsidR="00C671DA" w:rsidRPr="00BA2B9B" w:rsidRDefault="00C671DA" w:rsidP="00C36D4F">
            <w:pPr>
              <w:spacing w:before="60" w:after="60"/>
              <w:rPr>
                <w:color w:val="000000"/>
                <w:sz w:val="20"/>
                <w:szCs w:val="20"/>
              </w:rPr>
            </w:pPr>
            <w:r w:rsidRPr="00BA2B9B">
              <w:rPr>
                <w:sz w:val="20"/>
                <w:szCs w:val="20"/>
              </w:rPr>
              <w:lastRenderedPageBreak/>
              <w:t>Robert Finkelstein, TURN General Counsel</w:t>
            </w:r>
          </w:p>
        </w:tc>
        <w:tc>
          <w:tcPr>
            <w:tcW w:w="697" w:type="dxa"/>
            <w:shd w:val="clear" w:color="auto" w:fill="auto"/>
          </w:tcPr>
          <w:p w14:paraId="3168CCB6"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1C823690" w14:textId="77777777" w:rsidR="00C671DA" w:rsidRPr="00B416C4" w:rsidRDefault="00C671DA" w:rsidP="00C36D4F">
            <w:pPr>
              <w:spacing w:before="60" w:after="60"/>
              <w:jc w:val="right"/>
              <w:rPr>
                <w:color w:val="000000"/>
                <w:sz w:val="18"/>
                <w:szCs w:val="18"/>
              </w:rPr>
            </w:pPr>
            <w:r w:rsidRPr="00B416C4">
              <w:rPr>
                <w:sz w:val="18"/>
                <w:szCs w:val="18"/>
              </w:rPr>
              <w:t>264.75</w:t>
            </w:r>
          </w:p>
        </w:tc>
        <w:tc>
          <w:tcPr>
            <w:tcW w:w="810" w:type="dxa"/>
            <w:shd w:val="clear" w:color="auto" w:fill="auto"/>
          </w:tcPr>
          <w:p w14:paraId="4A7400FD" w14:textId="77777777" w:rsidR="00C671DA" w:rsidRPr="00BA2B9B" w:rsidRDefault="00C671DA" w:rsidP="00C36D4F">
            <w:pPr>
              <w:spacing w:before="60" w:after="60"/>
              <w:jc w:val="center"/>
              <w:rPr>
                <w:color w:val="000000"/>
                <w:sz w:val="20"/>
                <w:szCs w:val="20"/>
              </w:rPr>
            </w:pPr>
            <w:r w:rsidRPr="00BA2B9B">
              <w:rPr>
                <w:sz w:val="20"/>
                <w:szCs w:val="20"/>
              </w:rPr>
              <w:t>$510</w:t>
            </w:r>
          </w:p>
        </w:tc>
        <w:tc>
          <w:tcPr>
            <w:tcW w:w="990" w:type="dxa"/>
            <w:gridSpan w:val="2"/>
            <w:tcBorders>
              <w:right w:val="single" w:sz="4" w:space="0" w:color="auto"/>
            </w:tcBorders>
            <w:shd w:val="clear" w:color="auto" w:fill="auto"/>
          </w:tcPr>
          <w:p w14:paraId="5F56B91C" w14:textId="77777777" w:rsidR="00C671DA" w:rsidRPr="008865E7" w:rsidRDefault="00C671DA" w:rsidP="00C36D4F">
            <w:pPr>
              <w:spacing w:before="60" w:after="60"/>
              <w:ind w:hanging="110"/>
              <w:jc w:val="right"/>
              <w:rPr>
                <w:color w:val="000000"/>
                <w:sz w:val="17"/>
                <w:szCs w:val="17"/>
              </w:rPr>
            </w:pPr>
            <w:r w:rsidRPr="008865E7">
              <w:rPr>
                <w:sz w:val="17"/>
                <w:szCs w:val="17"/>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1D0840CA" w14:textId="77777777" w:rsidR="00C671DA" w:rsidRPr="008865E7" w:rsidRDefault="00C671DA" w:rsidP="00C36D4F">
            <w:pPr>
              <w:spacing w:before="60" w:after="60"/>
              <w:ind w:hanging="110"/>
              <w:jc w:val="right"/>
              <w:rPr>
                <w:color w:val="000000"/>
                <w:sz w:val="17"/>
                <w:szCs w:val="17"/>
              </w:rPr>
            </w:pPr>
            <w:r w:rsidRPr="008865E7">
              <w:rPr>
                <w:sz w:val="17"/>
                <w:szCs w:val="17"/>
              </w:rPr>
              <w:t>$135,022.50</w:t>
            </w:r>
          </w:p>
        </w:tc>
        <w:tc>
          <w:tcPr>
            <w:tcW w:w="1440" w:type="dxa"/>
            <w:gridSpan w:val="2"/>
            <w:tcBorders>
              <w:left w:val="single" w:sz="4" w:space="0" w:color="auto"/>
            </w:tcBorders>
            <w:shd w:val="clear" w:color="auto" w:fill="auto"/>
          </w:tcPr>
          <w:p w14:paraId="60AA4226" w14:textId="77777777" w:rsidR="00C671DA" w:rsidRPr="00BA2B9B" w:rsidRDefault="00C671DA" w:rsidP="00C36D4F">
            <w:pPr>
              <w:spacing w:before="60" w:after="60"/>
              <w:jc w:val="right"/>
              <w:rPr>
                <w:color w:val="000000"/>
                <w:sz w:val="20"/>
                <w:szCs w:val="20"/>
              </w:rPr>
            </w:pPr>
            <w:r>
              <w:rPr>
                <w:color w:val="000000"/>
                <w:sz w:val="20"/>
                <w:szCs w:val="20"/>
              </w:rPr>
              <w:t>257.05</w:t>
            </w:r>
            <w:r w:rsidRPr="001507ED">
              <w:rPr>
                <w:color w:val="000000"/>
                <w:sz w:val="20"/>
                <w:szCs w:val="20"/>
                <w:vertAlign w:val="superscript"/>
              </w:rPr>
              <w:t>[1,3,4]</w:t>
            </w:r>
          </w:p>
        </w:tc>
        <w:tc>
          <w:tcPr>
            <w:tcW w:w="900" w:type="dxa"/>
            <w:shd w:val="clear" w:color="auto" w:fill="auto"/>
          </w:tcPr>
          <w:p w14:paraId="7EB8918E" w14:textId="77777777" w:rsidR="00C671DA" w:rsidRPr="00BA2B9B" w:rsidRDefault="00C671DA" w:rsidP="00C36D4F">
            <w:pPr>
              <w:spacing w:before="60" w:after="60"/>
              <w:jc w:val="center"/>
              <w:rPr>
                <w:color w:val="000000"/>
                <w:sz w:val="20"/>
                <w:szCs w:val="20"/>
              </w:rPr>
            </w:pPr>
            <w:r>
              <w:rPr>
                <w:color w:val="000000"/>
                <w:sz w:val="20"/>
                <w:szCs w:val="20"/>
              </w:rPr>
              <w:t>$510</w:t>
            </w:r>
          </w:p>
        </w:tc>
        <w:tc>
          <w:tcPr>
            <w:tcW w:w="1170" w:type="dxa"/>
            <w:shd w:val="clear" w:color="auto" w:fill="auto"/>
          </w:tcPr>
          <w:p w14:paraId="09B4E80E" w14:textId="77777777" w:rsidR="00C671DA" w:rsidRPr="00BA2B9B" w:rsidRDefault="00C671DA" w:rsidP="00C36D4F">
            <w:pPr>
              <w:spacing w:before="60" w:after="60"/>
              <w:ind w:hanging="110"/>
              <w:jc w:val="right"/>
              <w:rPr>
                <w:color w:val="000000"/>
                <w:sz w:val="20"/>
                <w:szCs w:val="20"/>
              </w:rPr>
            </w:pPr>
            <w:r>
              <w:rPr>
                <w:color w:val="000000"/>
                <w:sz w:val="20"/>
                <w:szCs w:val="20"/>
              </w:rPr>
              <w:t>$131,095.50</w:t>
            </w:r>
          </w:p>
        </w:tc>
      </w:tr>
      <w:tr w:rsidR="00C671DA" w:rsidRPr="00BA2B9B" w14:paraId="32056B9E" w14:textId="77777777" w:rsidTr="00C36D4F">
        <w:tc>
          <w:tcPr>
            <w:tcW w:w="1458" w:type="dxa"/>
            <w:gridSpan w:val="3"/>
            <w:shd w:val="clear" w:color="auto" w:fill="auto"/>
          </w:tcPr>
          <w:p w14:paraId="67986FEE" w14:textId="77777777" w:rsidR="00C671DA" w:rsidRPr="00BA2B9B" w:rsidRDefault="00C671DA" w:rsidP="00C36D4F">
            <w:pPr>
              <w:spacing w:before="60" w:after="60"/>
              <w:rPr>
                <w:color w:val="000000"/>
                <w:sz w:val="20"/>
                <w:szCs w:val="20"/>
              </w:rPr>
            </w:pPr>
            <w:r w:rsidRPr="00BA2B9B">
              <w:rPr>
                <w:sz w:val="20"/>
                <w:szCs w:val="20"/>
              </w:rPr>
              <w:t>Robert Finkelstein, TURN General Counsel</w:t>
            </w:r>
          </w:p>
        </w:tc>
        <w:tc>
          <w:tcPr>
            <w:tcW w:w="697" w:type="dxa"/>
            <w:shd w:val="clear" w:color="auto" w:fill="auto"/>
          </w:tcPr>
          <w:p w14:paraId="5E0AFAF7"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664AB915" w14:textId="77777777" w:rsidR="00C671DA" w:rsidRPr="00B416C4" w:rsidRDefault="00C671DA" w:rsidP="00C36D4F">
            <w:pPr>
              <w:spacing w:before="60" w:after="60"/>
              <w:jc w:val="right"/>
              <w:rPr>
                <w:color w:val="000000"/>
                <w:sz w:val="18"/>
                <w:szCs w:val="18"/>
              </w:rPr>
            </w:pPr>
            <w:r w:rsidRPr="00B416C4">
              <w:rPr>
                <w:sz w:val="18"/>
                <w:szCs w:val="18"/>
              </w:rPr>
              <w:t>18.50</w:t>
            </w:r>
          </w:p>
        </w:tc>
        <w:tc>
          <w:tcPr>
            <w:tcW w:w="810" w:type="dxa"/>
            <w:shd w:val="clear" w:color="auto" w:fill="auto"/>
          </w:tcPr>
          <w:p w14:paraId="5BAB5549" w14:textId="77777777" w:rsidR="00C671DA" w:rsidRPr="00BA2B9B" w:rsidRDefault="00C671DA" w:rsidP="00C36D4F">
            <w:pPr>
              <w:spacing w:before="60" w:after="60"/>
              <w:jc w:val="center"/>
              <w:rPr>
                <w:color w:val="000000"/>
                <w:sz w:val="20"/>
                <w:szCs w:val="20"/>
              </w:rPr>
            </w:pPr>
            <w:r w:rsidRPr="00BA2B9B">
              <w:rPr>
                <w:sz w:val="20"/>
                <w:szCs w:val="20"/>
              </w:rPr>
              <w:t>$520</w:t>
            </w:r>
          </w:p>
        </w:tc>
        <w:tc>
          <w:tcPr>
            <w:tcW w:w="990" w:type="dxa"/>
            <w:gridSpan w:val="2"/>
            <w:tcBorders>
              <w:right w:val="single" w:sz="4" w:space="0" w:color="auto"/>
            </w:tcBorders>
            <w:shd w:val="clear" w:color="auto" w:fill="auto"/>
          </w:tcPr>
          <w:p w14:paraId="56F3B89F" w14:textId="77777777" w:rsidR="00C671DA" w:rsidRPr="008865E7" w:rsidRDefault="00C671DA" w:rsidP="00C36D4F">
            <w:pPr>
              <w:spacing w:before="60" w:after="60"/>
              <w:jc w:val="right"/>
              <w:rPr>
                <w:color w:val="000000"/>
                <w:sz w:val="17"/>
                <w:szCs w:val="17"/>
              </w:rPr>
            </w:pPr>
            <w:r w:rsidRPr="008865E7">
              <w:rPr>
                <w:sz w:val="17"/>
                <w:szCs w:val="17"/>
              </w:rPr>
              <w:t>Res. ALJ-345 (2.14% COLA rounded to nearest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EFE8334" w14:textId="77777777" w:rsidR="00C671DA" w:rsidRPr="008865E7" w:rsidRDefault="00C671DA" w:rsidP="00C36D4F">
            <w:pPr>
              <w:spacing w:before="60" w:after="60"/>
              <w:jc w:val="right"/>
              <w:rPr>
                <w:color w:val="000000"/>
                <w:sz w:val="17"/>
                <w:szCs w:val="17"/>
              </w:rPr>
            </w:pPr>
            <w:r w:rsidRPr="008865E7">
              <w:rPr>
                <w:sz w:val="17"/>
                <w:szCs w:val="17"/>
              </w:rPr>
              <w:t>$9,620.00</w:t>
            </w:r>
          </w:p>
        </w:tc>
        <w:tc>
          <w:tcPr>
            <w:tcW w:w="1440" w:type="dxa"/>
            <w:gridSpan w:val="2"/>
            <w:tcBorders>
              <w:left w:val="single" w:sz="4" w:space="0" w:color="auto"/>
            </w:tcBorders>
            <w:shd w:val="clear" w:color="auto" w:fill="auto"/>
          </w:tcPr>
          <w:p w14:paraId="64FC3AC1" w14:textId="77777777" w:rsidR="00C671DA" w:rsidRPr="00BA2B9B" w:rsidRDefault="00C671DA" w:rsidP="00C36D4F">
            <w:pPr>
              <w:spacing w:before="60" w:after="60"/>
              <w:jc w:val="right"/>
              <w:rPr>
                <w:color w:val="000000"/>
                <w:sz w:val="20"/>
                <w:szCs w:val="20"/>
              </w:rPr>
            </w:pPr>
            <w:r>
              <w:rPr>
                <w:color w:val="000000"/>
                <w:sz w:val="20"/>
                <w:szCs w:val="20"/>
              </w:rPr>
              <w:t>15.25</w:t>
            </w:r>
            <w:r w:rsidRPr="001507ED">
              <w:rPr>
                <w:color w:val="000000"/>
                <w:sz w:val="20"/>
                <w:szCs w:val="20"/>
                <w:vertAlign w:val="superscript"/>
              </w:rPr>
              <w:t>[4]</w:t>
            </w:r>
          </w:p>
        </w:tc>
        <w:tc>
          <w:tcPr>
            <w:tcW w:w="900" w:type="dxa"/>
            <w:shd w:val="clear" w:color="auto" w:fill="auto"/>
          </w:tcPr>
          <w:p w14:paraId="3B66E84A" w14:textId="77777777" w:rsidR="00C671DA" w:rsidRPr="00BA2B9B" w:rsidRDefault="00C671DA" w:rsidP="00C36D4F">
            <w:pPr>
              <w:spacing w:before="60" w:after="60"/>
              <w:jc w:val="center"/>
              <w:rPr>
                <w:color w:val="000000"/>
                <w:sz w:val="20"/>
                <w:szCs w:val="20"/>
              </w:rPr>
            </w:pPr>
            <w:r>
              <w:rPr>
                <w:color w:val="000000"/>
                <w:sz w:val="20"/>
                <w:szCs w:val="20"/>
              </w:rPr>
              <w:t>$520</w:t>
            </w:r>
            <w:r>
              <w:rPr>
                <w:rStyle w:val="FootnoteReference"/>
                <w:color w:val="000000"/>
                <w:sz w:val="20"/>
                <w:szCs w:val="20"/>
              </w:rPr>
              <w:footnoteReference w:id="6"/>
            </w:r>
          </w:p>
        </w:tc>
        <w:tc>
          <w:tcPr>
            <w:tcW w:w="1170" w:type="dxa"/>
            <w:shd w:val="clear" w:color="auto" w:fill="auto"/>
          </w:tcPr>
          <w:p w14:paraId="75EA211E" w14:textId="77777777" w:rsidR="00C671DA" w:rsidRPr="00BA2B9B" w:rsidRDefault="00C671DA" w:rsidP="00C36D4F">
            <w:pPr>
              <w:spacing w:before="60" w:after="60"/>
              <w:jc w:val="right"/>
              <w:rPr>
                <w:color w:val="000000"/>
                <w:sz w:val="20"/>
                <w:szCs w:val="20"/>
              </w:rPr>
            </w:pPr>
            <w:r>
              <w:rPr>
                <w:color w:val="000000"/>
                <w:sz w:val="20"/>
                <w:szCs w:val="20"/>
              </w:rPr>
              <w:t>$7,930.00</w:t>
            </w:r>
          </w:p>
        </w:tc>
      </w:tr>
      <w:tr w:rsidR="00C671DA" w:rsidRPr="00BA2B9B" w14:paraId="4D3C3EFB" w14:textId="77777777" w:rsidTr="00C36D4F">
        <w:tc>
          <w:tcPr>
            <w:tcW w:w="1458" w:type="dxa"/>
            <w:gridSpan w:val="3"/>
            <w:shd w:val="clear" w:color="auto" w:fill="auto"/>
          </w:tcPr>
          <w:p w14:paraId="14FE5FA6" w14:textId="77777777" w:rsidR="00C671DA" w:rsidRPr="00BA2B9B" w:rsidRDefault="00C671DA" w:rsidP="00C36D4F">
            <w:pPr>
              <w:spacing w:before="60" w:after="60"/>
              <w:rPr>
                <w:color w:val="000000"/>
                <w:sz w:val="20"/>
                <w:szCs w:val="20"/>
              </w:rPr>
            </w:pPr>
            <w:r w:rsidRPr="00BA2B9B">
              <w:rPr>
                <w:sz w:val="20"/>
                <w:szCs w:val="20"/>
              </w:rPr>
              <w:t>Matthew Freedman, TURN Attorney</w:t>
            </w:r>
          </w:p>
        </w:tc>
        <w:tc>
          <w:tcPr>
            <w:tcW w:w="697" w:type="dxa"/>
            <w:shd w:val="clear" w:color="auto" w:fill="auto"/>
          </w:tcPr>
          <w:p w14:paraId="7DA80F36"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335C7564" w14:textId="77777777" w:rsidR="00C671DA" w:rsidRPr="00B416C4" w:rsidRDefault="00C671DA" w:rsidP="00C36D4F">
            <w:pPr>
              <w:spacing w:before="60" w:after="60"/>
              <w:jc w:val="right"/>
              <w:rPr>
                <w:color w:val="000000"/>
                <w:sz w:val="18"/>
                <w:szCs w:val="18"/>
              </w:rPr>
            </w:pPr>
            <w:r w:rsidRPr="00B416C4">
              <w:rPr>
                <w:sz w:val="18"/>
                <w:szCs w:val="18"/>
              </w:rPr>
              <w:t>8.75</w:t>
            </w:r>
          </w:p>
        </w:tc>
        <w:tc>
          <w:tcPr>
            <w:tcW w:w="810" w:type="dxa"/>
            <w:shd w:val="clear" w:color="auto" w:fill="auto"/>
          </w:tcPr>
          <w:p w14:paraId="7D105105" w14:textId="77777777" w:rsidR="00C671DA" w:rsidRPr="00BA2B9B" w:rsidRDefault="00C671DA" w:rsidP="00C36D4F">
            <w:pPr>
              <w:spacing w:before="60" w:after="60"/>
              <w:jc w:val="center"/>
              <w:rPr>
                <w:color w:val="000000"/>
                <w:sz w:val="20"/>
                <w:szCs w:val="20"/>
              </w:rPr>
            </w:pPr>
            <w:r w:rsidRPr="00BA2B9B">
              <w:rPr>
                <w:sz w:val="20"/>
                <w:szCs w:val="20"/>
              </w:rPr>
              <w:t>$410</w:t>
            </w:r>
          </w:p>
        </w:tc>
        <w:tc>
          <w:tcPr>
            <w:tcW w:w="990" w:type="dxa"/>
            <w:gridSpan w:val="2"/>
            <w:tcBorders>
              <w:right w:val="single" w:sz="4" w:space="0" w:color="auto"/>
            </w:tcBorders>
            <w:shd w:val="clear" w:color="auto" w:fill="auto"/>
          </w:tcPr>
          <w:p w14:paraId="760128E5" w14:textId="77777777" w:rsidR="00C671DA" w:rsidRPr="008865E7" w:rsidRDefault="00C671DA" w:rsidP="00C36D4F">
            <w:pPr>
              <w:spacing w:before="60" w:after="60"/>
              <w:ind w:hanging="110"/>
              <w:jc w:val="right"/>
              <w:rPr>
                <w:color w:val="000000"/>
                <w:sz w:val="17"/>
                <w:szCs w:val="17"/>
              </w:rPr>
            </w:pPr>
            <w:r w:rsidRPr="008865E7">
              <w:rPr>
                <w:sz w:val="17"/>
                <w:szCs w:val="17"/>
              </w:rPr>
              <w:t>D.16-06-024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58AD19A" w14:textId="77777777" w:rsidR="00C671DA" w:rsidRPr="008865E7" w:rsidRDefault="00C671DA" w:rsidP="00C36D4F">
            <w:pPr>
              <w:spacing w:before="60" w:after="60"/>
              <w:jc w:val="right"/>
              <w:rPr>
                <w:color w:val="000000"/>
                <w:sz w:val="17"/>
                <w:szCs w:val="17"/>
              </w:rPr>
            </w:pPr>
            <w:r w:rsidRPr="008865E7">
              <w:rPr>
                <w:sz w:val="17"/>
                <w:szCs w:val="17"/>
              </w:rPr>
              <w:t>$3,587.50</w:t>
            </w:r>
          </w:p>
        </w:tc>
        <w:tc>
          <w:tcPr>
            <w:tcW w:w="1440" w:type="dxa"/>
            <w:gridSpan w:val="2"/>
            <w:tcBorders>
              <w:left w:val="single" w:sz="4" w:space="0" w:color="auto"/>
            </w:tcBorders>
            <w:shd w:val="clear" w:color="auto" w:fill="auto"/>
          </w:tcPr>
          <w:p w14:paraId="5997D6E3" w14:textId="77777777" w:rsidR="00C671DA" w:rsidRPr="00BA2B9B" w:rsidRDefault="00C671DA" w:rsidP="00C36D4F">
            <w:pPr>
              <w:spacing w:before="60" w:after="60"/>
              <w:jc w:val="right"/>
              <w:rPr>
                <w:color w:val="000000"/>
                <w:sz w:val="20"/>
                <w:szCs w:val="20"/>
              </w:rPr>
            </w:pPr>
            <w:r>
              <w:rPr>
                <w:color w:val="000000"/>
                <w:sz w:val="20"/>
                <w:szCs w:val="20"/>
              </w:rPr>
              <w:t>4.63</w:t>
            </w:r>
            <w:r w:rsidRPr="001507ED">
              <w:rPr>
                <w:color w:val="000000"/>
                <w:sz w:val="20"/>
                <w:szCs w:val="20"/>
                <w:vertAlign w:val="superscript"/>
              </w:rPr>
              <w:t>[2]</w:t>
            </w:r>
          </w:p>
        </w:tc>
        <w:tc>
          <w:tcPr>
            <w:tcW w:w="900" w:type="dxa"/>
            <w:shd w:val="clear" w:color="auto" w:fill="auto"/>
          </w:tcPr>
          <w:p w14:paraId="311BA96B" w14:textId="77777777" w:rsidR="00C671DA" w:rsidRPr="00BA2B9B" w:rsidRDefault="00C671DA" w:rsidP="00C36D4F">
            <w:pPr>
              <w:spacing w:before="60" w:after="60"/>
              <w:jc w:val="center"/>
              <w:rPr>
                <w:color w:val="000000"/>
                <w:sz w:val="20"/>
                <w:szCs w:val="20"/>
              </w:rPr>
            </w:pPr>
            <w:r>
              <w:rPr>
                <w:color w:val="000000"/>
                <w:sz w:val="20"/>
                <w:szCs w:val="20"/>
              </w:rPr>
              <w:t>$410</w:t>
            </w:r>
          </w:p>
        </w:tc>
        <w:tc>
          <w:tcPr>
            <w:tcW w:w="1170" w:type="dxa"/>
            <w:shd w:val="clear" w:color="auto" w:fill="auto"/>
          </w:tcPr>
          <w:p w14:paraId="0D3F3761" w14:textId="77777777" w:rsidR="00C671DA" w:rsidRPr="00BA2B9B" w:rsidRDefault="00C671DA" w:rsidP="00C36D4F">
            <w:pPr>
              <w:spacing w:before="60" w:after="60"/>
              <w:jc w:val="right"/>
              <w:rPr>
                <w:color w:val="000000"/>
                <w:sz w:val="20"/>
                <w:szCs w:val="20"/>
              </w:rPr>
            </w:pPr>
            <w:r>
              <w:rPr>
                <w:color w:val="000000"/>
                <w:sz w:val="20"/>
                <w:szCs w:val="20"/>
              </w:rPr>
              <w:t>$1,898.30</w:t>
            </w:r>
          </w:p>
        </w:tc>
      </w:tr>
      <w:tr w:rsidR="00C671DA" w:rsidRPr="00BA2B9B" w14:paraId="7355937D" w14:textId="77777777" w:rsidTr="00C36D4F">
        <w:tc>
          <w:tcPr>
            <w:tcW w:w="1458" w:type="dxa"/>
            <w:gridSpan w:val="3"/>
            <w:shd w:val="clear" w:color="auto" w:fill="auto"/>
          </w:tcPr>
          <w:p w14:paraId="1B490C9C" w14:textId="77777777" w:rsidR="00C671DA" w:rsidRPr="00BA2B9B" w:rsidRDefault="00C671DA" w:rsidP="00C36D4F">
            <w:pPr>
              <w:spacing w:before="60" w:after="60"/>
              <w:rPr>
                <w:color w:val="000000"/>
                <w:sz w:val="20"/>
                <w:szCs w:val="20"/>
              </w:rPr>
            </w:pPr>
            <w:r w:rsidRPr="00BA2B9B">
              <w:rPr>
                <w:sz w:val="20"/>
                <w:szCs w:val="20"/>
              </w:rPr>
              <w:t>Matthew Freedman, TURN Attorney</w:t>
            </w:r>
          </w:p>
        </w:tc>
        <w:tc>
          <w:tcPr>
            <w:tcW w:w="697" w:type="dxa"/>
            <w:shd w:val="clear" w:color="auto" w:fill="auto"/>
          </w:tcPr>
          <w:p w14:paraId="5C7585F3"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23A0ADD8" w14:textId="77777777" w:rsidR="00C671DA" w:rsidRPr="00B416C4" w:rsidRDefault="00C671DA" w:rsidP="00C36D4F">
            <w:pPr>
              <w:spacing w:before="60" w:after="60"/>
              <w:jc w:val="right"/>
              <w:rPr>
                <w:color w:val="000000"/>
                <w:sz w:val="18"/>
                <w:szCs w:val="18"/>
              </w:rPr>
            </w:pPr>
            <w:r w:rsidRPr="00B416C4">
              <w:rPr>
                <w:sz w:val="18"/>
                <w:szCs w:val="18"/>
              </w:rPr>
              <w:t>24.25</w:t>
            </w:r>
          </w:p>
        </w:tc>
        <w:tc>
          <w:tcPr>
            <w:tcW w:w="810" w:type="dxa"/>
            <w:shd w:val="clear" w:color="auto" w:fill="auto"/>
          </w:tcPr>
          <w:p w14:paraId="663A06E4" w14:textId="77777777" w:rsidR="00C671DA" w:rsidRPr="00BA2B9B" w:rsidRDefault="00C671DA" w:rsidP="00C36D4F">
            <w:pPr>
              <w:spacing w:before="60" w:after="60"/>
              <w:jc w:val="center"/>
              <w:rPr>
                <w:color w:val="000000"/>
                <w:sz w:val="20"/>
                <w:szCs w:val="20"/>
              </w:rPr>
            </w:pPr>
            <w:r w:rsidRPr="00BA2B9B">
              <w:rPr>
                <w:sz w:val="20"/>
                <w:szCs w:val="20"/>
              </w:rPr>
              <w:t>$415</w:t>
            </w:r>
          </w:p>
        </w:tc>
        <w:tc>
          <w:tcPr>
            <w:tcW w:w="990" w:type="dxa"/>
            <w:gridSpan w:val="2"/>
            <w:tcBorders>
              <w:right w:val="single" w:sz="4" w:space="0" w:color="auto"/>
            </w:tcBorders>
            <w:shd w:val="clear" w:color="auto" w:fill="auto"/>
          </w:tcPr>
          <w:p w14:paraId="5B274759" w14:textId="77777777" w:rsidR="00C671DA" w:rsidRPr="008865E7" w:rsidRDefault="00C671DA" w:rsidP="00C36D4F">
            <w:pPr>
              <w:spacing w:before="60" w:after="60"/>
              <w:ind w:hanging="110"/>
              <w:jc w:val="right"/>
              <w:rPr>
                <w:color w:val="000000"/>
                <w:sz w:val="17"/>
                <w:szCs w:val="17"/>
              </w:rPr>
            </w:pPr>
            <w:r w:rsidRPr="008865E7">
              <w:rPr>
                <w:sz w:val="17"/>
                <w:szCs w:val="17"/>
              </w:rPr>
              <w:t>D.16-06-024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CE8F81A" w14:textId="77777777" w:rsidR="00C671DA" w:rsidRPr="008865E7" w:rsidRDefault="00C671DA" w:rsidP="00C36D4F">
            <w:pPr>
              <w:spacing w:before="60" w:after="60"/>
              <w:jc w:val="right"/>
              <w:rPr>
                <w:color w:val="000000"/>
                <w:sz w:val="17"/>
                <w:szCs w:val="17"/>
              </w:rPr>
            </w:pPr>
            <w:r w:rsidRPr="008865E7">
              <w:rPr>
                <w:sz w:val="17"/>
                <w:szCs w:val="17"/>
              </w:rPr>
              <w:t>$10,063.75</w:t>
            </w:r>
          </w:p>
        </w:tc>
        <w:tc>
          <w:tcPr>
            <w:tcW w:w="1440" w:type="dxa"/>
            <w:gridSpan w:val="2"/>
            <w:tcBorders>
              <w:left w:val="single" w:sz="4" w:space="0" w:color="auto"/>
            </w:tcBorders>
            <w:shd w:val="clear" w:color="auto" w:fill="auto"/>
          </w:tcPr>
          <w:p w14:paraId="6082BDF5" w14:textId="77777777" w:rsidR="00C671DA" w:rsidRPr="00BA2B9B" w:rsidRDefault="00C671DA" w:rsidP="00C36D4F">
            <w:pPr>
              <w:spacing w:before="60" w:after="60"/>
              <w:jc w:val="right"/>
              <w:rPr>
                <w:color w:val="000000"/>
                <w:sz w:val="20"/>
                <w:szCs w:val="20"/>
              </w:rPr>
            </w:pPr>
            <w:r>
              <w:rPr>
                <w:color w:val="000000"/>
                <w:sz w:val="20"/>
                <w:szCs w:val="20"/>
              </w:rPr>
              <w:t>16.75</w:t>
            </w:r>
            <w:r w:rsidRPr="001507ED">
              <w:rPr>
                <w:color w:val="000000"/>
                <w:sz w:val="20"/>
                <w:szCs w:val="20"/>
                <w:vertAlign w:val="superscript"/>
              </w:rPr>
              <w:t>[2]</w:t>
            </w:r>
          </w:p>
        </w:tc>
        <w:tc>
          <w:tcPr>
            <w:tcW w:w="900" w:type="dxa"/>
            <w:shd w:val="clear" w:color="auto" w:fill="auto"/>
          </w:tcPr>
          <w:p w14:paraId="12BE48E8" w14:textId="77777777" w:rsidR="00C671DA" w:rsidRPr="00BA2B9B" w:rsidRDefault="00C671DA" w:rsidP="00C36D4F">
            <w:pPr>
              <w:spacing w:before="60" w:after="60"/>
              <w:jc w:val="center"/>
              <w:rPr>
                <w:color w:val="000000"/>
                <w:sz w:val="20"/>
                <w:szCs w:val="20"/>
              </w:rPr>
            </w:pPr>
            <w:r>
              <w:rPr>
                <w:color w:val="000000"/>
                <w:sz w:val="20"/>
                <w:szCs w:val="20"/>
              </w:rPr>
              <w:t>$415</w:t>
            </w:r>
          </w:p>
        </w:tc>
        <w:tc>
          <w:tcPr>
            <w:tcW w:w="1170" w:type="dxa"/>
            <w:shd w:val="clear" w:color="auto" w:fill="auto"/>
          </w:tcPr>
          <w:p w14:paraId="28FFAB26" w14:textId="77777777" w:rsidR="00C671DA" w:rsidRPr="00BA2B9B" w:rsidRDefault="00C671DA" w:rsidP="00C36D4F">
            <w:pPr>
              <w:spacing w:before="60" w:after="60"/>
              <w:jc w:val="right"/>
              <w:rPr>
                <w:color w:val="000000"/>
                <w:sz w:val="20"/>
                <w:szCs w:val="20"/>
              </w:rPr>
            </w:pPr>
            <w:r>
              <w:rPr>
                <w:color w:val="000000"/>
                <w:sz w:val="20"/>
                <w:szCs w:val="20"/>
              </w:rPr>
              <w:t>$6,951.25</w:t>
            </w:r>
          </w:p>
        </w:tc>
      </w:tr>
      <w:tr w:rsidR="00C671DA" w:rsidRPr="00BA2B9B" w14:paraId="5081A151" w14:textId="77777777" w:rsidTr="00C36D4F">
        <w:tc>
          <w:tcPr>
            <w:tcW w:w="1458" w:type="dxa"/>
            <w:gridSpan w:val="3"/>
            <w:shd w:val="clear" w:color="auto" w:fill="auto"/>
          </w:tcPr>
          <w:p w14:paraId="35081593" w14:textId="77777777" w:rsidR="00C671DA" w:rsidRPr="00BA2B9B" w:rsidRDefault="00C671DA" w:rsidP="00C36D4F">
            <w:pPr>
              <w:spacing w:before="60" w:after="60"/>
              <w:rPr>
                <w:color w:val="000000"/>
                <w:sz w:val="20"/>
                <w:szCs w:val="20"/>
              </w:rPr>
            </w:pPr>
            <w:r w:rsidRPr="00BA2B9B">
              <w:rPr>
                <w:sz w:val="20"/>
                <w:szCs w:val="20"/>
              </w:rPr>
              <w:t xml:space="preserve">Marcel </w:t>
            </w:r>
            <w:proofErr w:type="spellStart"/>
            <w:r w:rsidRPr="00BA2B9B">
              <w:rPr>
                <w:sz w:val="20"/>
                <w:szCs w:val="20"/>
              </w:rPr>
              <w:t>Hawiger</w:t>
            </w:r>
            <w:proofErr w:type="spellEnd"/>
            <w:r w:rsidRPr="00BA2B9B">
              <w:rPr>
                <w:sz w:val="20"/>
                <w:szCs w:val="20"/>
              </w:rPr>
              <w:t>, TURN Attorney</w:t>
            </w:r>
          </w:p>
        </w:tc>
        <w:tc>
          <w:tcPr>
            <w:tcW w:w="697" w:type="dxa"/>
            <w:shd w:val="clear" w:color="auto" w:fill="auto"/>
          </w:tcPr>
          <w:p w14:paraId="1230894A"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6B0F8A09" w14:textId="77777777" w:rsidR="00C671DA" w:rsidRPr="00B416C4" w:rsidRDefault="00C671DA" w:rsidP="00C36D4F">
            <w:pPr>
              <w:spacing w:before="60" w:after="60"/>
              <w:jc w:val="right"/>
              <w:rPr>
                <w:color w:val="000000"/>
                <w:sz w:val="18"/>
                <w:szCs w:val="18"/>
              </w:rPr>
            </w:pPr>
            <w:r w:rsidRPr="00B416C4">
              <w:rPr>
                <w:sz w:val="18"/>
                <w:szCs w:val="18"/>
              </w:rPr>
              <w:t>33.50</w:t>
            </w:r>
          </w:p>
        </w:tc>
        <w:tc>
          <w:tcPr>
            <w:tcW w:w="810" w:type="dxa"/>
            <w:shd w:val="clear" w:color="auto" w:fill="auto"/>
          </w:tcPr>
          <w:p w14:paraId="4E2F7746" w14:textId="77777777" w:rsidR="00C671DA" w:rsidRPr="00BA2B9B" w:rsidRDefault="00C671DA" w:rsidP="00C36D4F">
            <w:pPr>
              <w:spacing w:before="60" w:after="60"/>
              <w:jc w:val="center"/>
              <w:rPr>
                <w:color w:val="000000"/>
                <w:sz w:val="20"/>
                <w:szCs w:val="20"/>
              </w:rPr>
            </w:pPr>
            <w:r w:rsidRPr="00BA2B9B">
              <w:rPr>
                <w:sz w:val="20"/>
                <w:szCs w:val="20"/>
              </w:rPr>
              <w:t>$410</w:t>
            </w:r>
          </w:p>
        </w:tc>
        <w:tc>
          <w:tcPr>
            <w:tcW w:w="990" w:type="dxa"/>
            <w:gridSpan w:val="2"/>
            <w:tcBorders>
              <w:right w:val="single" w:sz="4" w:space="0" w:color="auto"/>
            </w:tcBorders>
            <w:shd w:val="clear" w:color="auto" w:fill="auto"/>
          </w:tcPr>
          <w:p w14:paraId="0DFFA9F3" w14:textId="77777777" w:rsidR="00C671DA" w:rsidRPr="008865E7" w:rsidRDefault="00C671DA" w:rsidP="00C36D4F">
            <w:pPr>
              <w:spacing w:before="60" w:after="60"/>
              <w:ind w:hanging="110"/>
              <w:jc w:val="right"/>
              <w:rPr>
                <w:color w:val="000000"/>
                <w:sz w:val="17"/>
                <w:szCs w:val="17"/>
              </w:rPr>
            </w:pPr>
            <w:r w:rsidRPr="008865E7">
              <w:rPr>
                <w:sz w:val="17"/>
                <w:szCs w:val="17"/>
              </w:rPr>
              <w:t>D.16-11-016</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42789E0" w14:textId="77777777" w:rsidR="00C671DA" w:rsidRPr="008865E7" w:rsidRDefault="00C671DA" w:rsidP="00C36D4F">
            <w:pPr>
              <w:spacing w:before="60" w:after="60"/>
              <w:jc w:val="right"/>
              <w:rPr>
                <w:color w:val="000000"/>
                <w:sz w:val="17"/>
                <w:szCs w:val="17"/>
              </w:rPr>
            </w:pPr>
            <w:r w:rsidRPr="008865E7">
              <w:rPr>
                <w:sz w:val="17"/>
                <w:szCs w:val="17"/>
              </w:rPr>
              <w:t>$13,735.00</w:t>
            </w:r>
          </w:p>
        </w:tc>
        <w:tc>
          <w:tcPr>
            <w:tcW w:w="1440" w:type="dxa"/>
            <w:gridSpan w:val="2"/>
            <w:tcBorders>
              <w:left w:val="single" w:sz="4" w:space="0" w:color="auto"/>
            </w:tcBorders>
            <w:shd w:val="clear" w:color="auto" w:fill="auto"/>
          </w:tcPr>
          <w:p w14:paraId="1BE10B80" w14:textId="77777777" w:rsidR="00C671DA" w:rsidRPr="00BA2B9B" w:rsidRDefault="00C671DA" w:rsidP="00C36D4F">
            <w:pPr>
              <w:spacing w:before="60" w:after="60"/>
              <w:jc w:val="right"/>
              <w:rPr>
                <w:color w:val="000000"/>
                <w:sz w:val="20"/>
                <w:szCs w:val="20"/>
              </w:rPr>
            </w:pPr>
            <w:r>
              <w:rPr>
                <w:color w:val="000000"/>
                <w:sz w:val="20"/>
                <w:szCs w:val="20"/>
              </w:rPr>
              <w:t>33.5</w:t>
            </w:r>
          </w:p>
        </w:tc>
        <w:tc>
          <w:tcPr>
            <w:tcW w:w="900" w:type="dxa"/>
            <w:shd w:val="clear" w:color="auto" w:fill="auto"/>
          </w:tcPr>
          <w:p w14:paraId="2382FF06" w14:textId="77777777" w:rsidR="00C671DA" w:rsidRPr="00BA2B9B" w:rsidRDefault="00C671DA" w:rsidP="00C36D4F">
            <w:pPr>
              <w:spacing w:before="60" w:after="60"/>
              <w:jc w:val="center"/>
              <w:rPr>
                <w:color w:val="000000"/>
                <w:sz w:val="20"/>
                <w:szCs w:val="20"/>
              </w:rPr>
            </w:pPr>
            <w:r>
              <w:rPr>
                <w:color w:val="000000"/>
                <w:sz w:val="20"/>
                <w:szCs w:val="20"/>
              </w:rPr>
              <w:t>$410</w:t>
            </w:r>
          </w:p>
        </w:tc>
        <w:tc>
          <w:tcPr>
            <w:tcW w:w="1170" w:type="dxa"/>
            <w:shd w:val="clear" w:color="auto" w:fill="auto"/>
          </w:tcPr>
          <w:p w14:paraId="737E54A1" w14:textId="77777777" w:rsidR="00C671DA" w:rsidRPr="00BA2B9B" w:rsidRDefault="00C671DA" w:rsidP="00C36D4F">
            <w:pPr>
              <w:spacing w:before="60" w:after="60"/>
              <w:jc w:val="right"/>
              <w:rPr>
                <w:color w:val="000000"/>
                <w:sz w:val="20"/>
                <w:szCs w:val="20"/>
              </w:rPr>
            </w:pPr>
            <w:r>
              <w:rPr>
                <w:color w:val="000000"/>
                <w:sz w:val="20"/>
                <w:szCs w:val="20"/>
              </w:rPr>
              <w:t>$13,735.00</w:t>
            </w:r>
          </w:p>
        </w:tc>
      </w:tr>
      <w:tr w:rsidR="00C671DA" w:rsidRPr="00BA2B9B" w14:paraId="24ECCE2F" w14:textId="77777777" w:rsidTr="00C36D4F">
        <w:tc>
          <w:tcPr>
            <w:tcW w:w="1458" w:type="dxa"/>
            <w:gridSpan w:val="3"/>
            <w:shd w:val="clear" w:color="auto" w:fill="auto"/>
          </w:tcPr>
          <w:p w14:paraId="181691F2" w14:textId="77777777" w:rsidR="00C671DA" w:rsidRPr="00BA2B9B" w:rsidRDefault="00C671DA" w:rsidP="00C36D4F">
            <w:pPr>
              <w:spacing w:before="60" w:after="60"/>
              <w:rPr>
                <w:color w:val="000000"/>
                <w:sz w:val="20"/>
                <w:szCs w:val="20"/>
              </w:rPr>
            </w:pPr>
            <w:r w:rsidRPr="00BA2B9B">
              <w:rPr>
                <w:sz w:val="20"/>
                <w:szCs w:val="20"/>
              </w:rPr>
              <w:t xml:space="preserve">Marcel </w:t>
            </w:r>
            <w:proofErr w:type="spellStart"/>
            <w:r w:rsidRPr="00BA2B9B">
              <w:rPr>
                <w:sz w:val="20"/>
                <w:szCs w:val="20"/>
              </w:rPr>
              <w:t>Hawiger</w:t>
            </w:r>
            <w:proofErr w:type="spellEnd"/>
            <w:r w:rsidRPr="00BA2B9B">
              <w:rPr>
                <w:sz w:val="20"/>
                <w:szCs w:val="20"/>
              </w:rPr>
              <w:t>, TURN Attorney</w:t>
            </w:r>
          </w:p>
        </w:tc>
        <w:tc>
          <w:tcPr>
            <w:tcW w:w="697" w:type="dxa"/>
            <w:shd w:val="clear" w:color="auto" w:fill="auto"/>
          </w:tcPr>
          <w:p w14:paraId="34E9AB8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036575B8" w14:textId="77777777" w:rsidR="00C671DA" w:rsidRPr="00B416C4" w:rsidRDefault="00C671DA" w:rsidP="00C36D4F">
            <w:pPr>
              <w:spacing w:before="60" w:after="60"/>
              <w:jc w:val="right"/>
              <w:rPr>
                <w:color w:val="000000"/>
                <w:sz w:val="18"/>
                <w:szCs w:val="18"/>
              </w:rPr>
            </w:pPr>
            <w:r w:rsidRPr="00B416C4">
              <w:rPr>
                <w:sz w:val="18"/>
                <w:szCs w:val="18"/>
              </w:rPr>
              <w:t>136.25</w:t>
            </w:r>
          </w:p>
        </w:tc>
        <w:tc>
          <w:tcPr>
            <w:tcW w:w="810" w:type="dxa"/>
            <w:shd w:val="clear" w:color="auto" w:fill="auto"/>
          </w:tcPr>
          <w:p w14:paraId="6661BF00" w14:textId="77777777" w:rsidR="00C671DA" w:rsidRPr="00BA2B9B" w:rsidRDefault="00C671DA" w:rsidP="00C36D4F">
            <w:pPr>
              <w:spacing w:before="60" w:after="60"/>
              <w:jc w:val="center"/>
              <w:rPr>
                <w:color w:val="000000"/>
                <w:sz w:val="20"/>
                <w:szCs w:val="20"/>
              </w:rPr>
            </w:pPr>
            <w:r w:rsidRPr="00BA2B9B">
              <w:rPr>
                <w:sz w:val="20"/>
                <w:szCs w:val="20"/>
              </w:rPr>
              <w:t>$415</w:t>
            </w:r>
          </w:p>
        </w:tc>
        <w:tc>
          <w:tcPr>
            <w:tcW w:w="990" w:type="dxa"/>
            <w:gridSpan w:val="2"/>
            <w:tcBorders>
              <w:right w:val="single" w:sz="4" w:space="0" w:color="auto"/>
            </w:tcBorders>
            <w:shd w:val="clear" w:color="auto" w:fill="auto"/>
          </w:tcPr>
          <w:p w14:paraId="4EE954D1" w14:textId="77777777" w:rsidR="00C671DA" w:rsidRPr="008865E7" w:rsidRDefault="00C671DA" w:rsidP="00C36D4F">
            <w:pPr>
              <w:spacing w:before="60" w:after="60"/>
              <w:ind w:hanging="110"/>
              <w:jc w:val="right"/>
              <w:rPr>
                <w:color w:val="000000"/>
                <w:sz w:val="17"/>
                <w:szCs w:val="17"/>
              </w:rPr>
            </w:pPr>
            <w:r w:rsidRPr="008865E7">
              <w:rPr>
                <w:sz w:val="17"/>
                <w:szCs w:val="17"/>
              </w:rPr>
              <w:t>D.16-06-024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867AC64" w14:textId="77777777" w:rsidR="00C671DA" w:rsidRPr="008865E7" w:rsidRDefault="00C671DA" w:rsidP="00C36D4F">
            <w:pPr>
              <w:spacing w:before="60" w:after="60"/>
              <w:jc w:val="right"/>
              <w:rPr>
                <w:color w:val="000000"/>
                <w:sz w:val="17"/>
                <w:szCs w:val="17"/>
              </w:rPr>
            </w:pPr>
            <w:r w:rsidRPr="008865E7">
              <w:rPr>
                <w:sz w:val="17"/>
                <w:szCs w:val="17"/>
              </w:rPr>
              <w:t>$56,543.75</w:t>
            </w:r>
          </w:p>
        </w:tc>
        <w:tc>
          <w:tcPr>
            <w:tcW w:w="1440" w:type="dxa"/>
            <w:gridSpan w:val="2"/>
            <w:tcBorders>
              <w:left w:val="single" w:sz="4" w:space="0" w:color="auto"/>
            </w:tcBorders>
            <w:shd w:val="clear" w:color="auto" w:fill="auto"/>
          </w:tcPr>
          <w:p w14:paraId="6C4D69B1" w14:textId="77777777" w:rsidR="00C671DA" w:rsidRPr="00BA2B9B" w:rsidRDefault="00C671DA" w:rsidP="00C36D4F">
            <w:pPr>
              <w:spacing w:before="60" w:after="60"/>
              <w:jc w:val="right"/>
              <w:rPr>
                <w:color w:val="000000"/>
                <w:sz w:val="20"/>
                <w:szCs w:val="20"/>
              </w:rPr>
            </w:pPr>
            <w:r>
              <w:rPr>
                <w:color w:val="000000"/>
                <w:sz w:val="20"/>
                <w:szCs w:val="20"/>
              </w:rPr>
              <w:t>134.93</w:t>
            </w:r>
            <w:r w:rsidRPr="001507ED">
              <w:rPr>
                <w:color w:val="000000"/>
                <w:sz w:val="20"/>
                <w:szCs w:val="20"/>
                <w:vertAlign w:val="superscript"/>
              </w:rPr>
              <w:t>[3,4]</w:t>
            </w:r>
          </w:p>
        </w:tc>
        <w:tc>
          <w:tcPr>
            <w:tcW w:w="900" w:type="dxa"/>
            <w:shd w:val="clear" w:color="auto" w:fill="auto"/>
          </w:tcPr>
          <w:p w14:paraId="70DCA4AF" w14:textId="77777777" w:rsidR="00C671DA" w:rsidRPr="00BA2B9B" w:rsidRDefault="00C671DA" w:rsidP="00C36D4F">
            <w:pPr>
              <w:spacing w:before="60" w:after="60"/>
              <w:jc w:val="center"/>
              <w:rPr>
                <w:color w:val="000000"/>
                <w:sz w:val="20"/>
                <w:szCs w:val="20"/>
              </w:rPr>
            </w:pPr>
            <w:r>
              <w:rPr>
                <w:color w:val="000000"/>
                <w:sz w:val="20"/>
                <w:szCs w:val="20"/>
              </w:rPr>
              <w:t>$415</w:t>
            </w:r>
          </w:p>
        </w:tc>
        <w:tc>
          <w:tcPr>
            <w:tcW w:w="1170" w:type="dxa"/>
            <w:shd w:val="clear" w:color="auto" w:fill="auto"/>
          </w:tcPr>
          <w:p w14:paraId="5BA6B14D" w14:textId="77777777" w:rsidR="00C671DA" w:rsidRPr="00BA2B9B" w:rsidRDefault="00C671DA" w:rsidP="00C36D4F">
            <w:pPr>
              <w:spacing w:before="60" w:after="60"/>
              <w:jc w:val="right"/>
              <w:rPr>
                <w:color w:val="000000"/>
                <w:sz w:val="20"/>
                <w:szCs w:val="20"/>
              </w:rPr>
            </w:pPr>
            <w:r>
              <w:rPr>
                <w:color w:val="000000"/>
                <w:sz w:val="20"/>
                <w:szCs w:val="20"/>
              </w:rPr>
              <w:t>$55,995.95</w:t>
            </w:r>
          </w:p>
        </w:tc>
      </w:tr>
      <w:tr w:rsidR="00C671DA" w:rsidRPr="00BA2B9B" w14:paraId="1AC4D5F4" w14:textId="77777777" w:rsidTr="00C36D4F">
        <w:tc>
          <w:tcPr>
            <w:tcW w:w="1458" w:type="dxa"/>
            <w:gridSpan w:val="3"/>
            <w:shd w:val="clear" w:color="auto" w:fill="auto"/>
          </w:tcPr>
          <w:p w14:paraId="2BAEBA8A" w14:textId="77777777" w:rsidR="00C671DA" w:rsidRPr="00BA2B9B" w:rsidRDefault="00C671DA" w:rsidP="00C36D4F">
            <w:pPr>
              <w:spacing w:before="60" w:after="60"/>
              <w:rPr>
                <w:color w:val="000000"/>
                <w:sz w:val="20"/>
                <w:szCs w:val="20"/>
              </w:rPr>
            </w:pPr>
            <w:r w:rsidRPr="00BA2B9B">
              <w:rPr>
                <w:sz w:val="20"/>
                <w:szCs w:val="20"/>
              </w:rPr>
              <w:t xml:space="preserve">Marcel </w:t>
            </w:r>
            <w:proofErr w:type="spellStart"/>
            <w:r w:rsidRPr="00BA2B9B">
              <w:rPr>
                <w:sz w:val="20"/>
                <w:szCs w:val="20"/>
              </w:rPr>
              <w:t>Hawiger</w:t>
            </w:r>
            <w:proofErr w:type="spellEnd"/>
            <w:r w:rsidRPr="00BA2B9B">
              <w:rPr>
                <w:sz w:val="20"/>
                <w:szCs w:val="20"/>
              </w:rPr>
              <w:t>, TURN Attorney</w:t>
            </w:r>
          </w:p>
        </w:tc>
        <w:tc>
          <w:tcPr>
            <w:tcW w:w="697" w:type="dxa"/>
            <w:shd w:val="clear" w:color="auto" w:fill="auto"/>
          </w:tcPr>
          <w:p w14:paraId="69371553"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0139FF27" w14:textId="77777777" w:rsidR="00C671DA" w:rsidRPr="00B416C4" w:rsidRDefault="00C671DA" w:rsidP="00C36D4F">
            <w:pPr>
              <w:spacing w:before="60" w:after="60"/>
              <w:jc w:val="right"/>
              <w:rPr>
                <w:color w:val="000000"/>
                <w:sz w:val="18"/>
                <w:szCs w:val="18"/>
              </w:rPr>
            </w:pPr>
            <w:r w:rsidRPr="00B416C4">
              <w:rPr>
                <w:sz w:val="18"/>
                <w:szCs w:val="18"/>
              </w:rPr>
              <w:t>2.50</w:t>
            </w:r>
          </w:p>
        </w:tc>
        <w:tc>
          <w:tcPr>
            <w:tcW w:w="810" w:type="dxa"/>
            <w:shd w:val="clear" w:color="auto" w:fill="auto"/>
          </w:tcPr>
          <w:p w14:paraId="28FE2129" w14:textId="77777777" w:rsidR="00C671DA" w:rsidRPr="00BA2B9B" w:rsidRDefault="00C671DA" w:rsidP="00C36D4F">
            <w:pPr>
              <w:spacing w:before="60" w:after="60"/>
              <w:jc w:val="center"/>
              <w:rPr>
                <w:color w:val="000000"/>
                <w:sz w:val="20"/>
                <w:szCs w:val="20"/>
              </w:rPr>
            </w:pPr>
            <w:r w:rsidRPr="00BA2B9B">
              <w:rPr>
                <w:sz w:val="20"/>
                <w:szCs w:val="20"/>
              </w:rPr>
              <w:t>$425</w:t>
            </w:r>
          </w:p>
        </w:tc>
        <w:tc>
          <w:tcPr>
            <w:tcW w:w="990" w:type="dxa"/>
            <w:gridSpan w:val="2"/>
            <w:tcBorders>
              <w:right w:val="single" w:sz="4" w:space="0" w:color="auto"/>
            </w:tcBorders>
            <w:shd w:val="clear" w:color="auto" w:fill="auto"/>
          </w:tcPr>
          <w:p w14:paraId="384AD8E5" w14:textId="77777777" w:rsidR="00C671DA" w:rsidRPr="008865E7" w:rsidRDefault="00C671DA" w:rsidP="00C36D4F">
            <w:pPr>
              <w:spacing w:before="60" w:after="60"/>
              <w:jc w:val="right"/>
              <w:rPr>
                <w:color w:val="000000"/>
                <w:sz w:val="17"/>
                <w:szCs w:val="17"/>
              </w:rPr>
            </w:pPr>
            <w:r w:rsidRPr="008865E7">
              <w:rPr>
                <w:sz w:val="17"/>
                <w:szCs w:val="17"/>
              </w:rPr>
              <w:t>Res. ALJ-345 (2.14% COLA rounded to nearest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A6F949C" w14:textId="77777777" w:rsidR="00C671DA" w:rsidRPr="008865E7" w:rsidRDefault="00C671DA" w:rsidP="00C36D4F">
            <w:pPr>
              <w:spacing w:before="60" w:after="60"/>
              <w:jc w:val="right"/>
              <w:rPr>
                <w:color w:val="000000"/>
                <w:sz w:val="17"/>
                <w:szCs w:val="17"/>
              </w:rPr>
            </w:pPr>
            <w:r w:rsidRPr="008865E7">
              <w:rPr>
                <w:sz w:val="17"/>
                <w:szCs w:val="17"/>
              </w:rPr>
              <w:t>$1,062.50</w:t>
            </w:r>
          </w:p>
        </w:tc>
        <w:tc>
          <w:tcPr>
            <w:tcW w:w="1440" w:type="dxa"/>
            <w:gridSpan w:val="2"/>
            <w:tcBorders>
              <w:left w:val="single" w:sz="4" w:space="0" w:color="auto"/>
            </w:tcBorders>
            <w:shd w:val="clear" w:color="auto" w:fill="auto"/>
          </w:tcPr>
          <w:p w14:paraId="15A4E484" w14:textId="77777777" w:rsidR="00C671DA" w:rsidRPr="00BA2B9B" w:rsidRDefault="00C671DA" w:rsidP="00C36D4F">
            <w:pPr>
              <w:spacing w:before="60" w:after="60"/>
              <w:jc w:val="right"/>
              <w:rPr>
                <w:color w:val="000000"/>
                <w:sz w:val="20"/>
                <w:szCs w:val="20"/>
              </w:rPr>
            </w:pPr>
            <w:r>
              <w:rPr>
                <w:color w:val="000000"/>
                <w:sz w:val="20"/>
                <w:szCs w:val="20"/>
              </w:rPr>
              <w:t>2.5</w:t>
            </w:r>
          </w:p>
        </w:tc>
        <w:tc>
          <w:tcPr>
            <w:tcW w:w="900" w:type="dxa"/>
            <w:shd w:val="clear" w:color="auto" w:fill="auto"/>
          </w:tcPr>
          <w:p w14:paraId="71DF4623" w14:textId="77777777" w:rsidR="00C671DA" w:rsidRPr="00BA2B9B" w:rsidRDefault="00C671DA" w:rsidP="00C36D4F">
            <w:pPr>
              <w:spacing w:before="60" w:after="60"/>
              <w:jc w:val="center"/>
              <w:rPr>
                <w:color w:val="000000"/>
                <w:sz w:val="20"/>
                <w:szCs w:val="20"/>
              </w:rPr>
            </w:pPr>
            <w:r>
              <w:rPr>
                <w:color w:val="000000"/>
                <w:sz w:val="20"/>
                <w:szCs w:val="20"/>
              </w:rPr>
              <w:t>$425</w:t>
            </w:r>
            <w:r>
              <w:rPr>
                <w:rStyle w:val="FootnoteReference"/>
                <w:color w:val="000000"/>
                <w:sz w:val="20"/>
                <w:szCs w:val="20"/>
              </w:rPr>
              <w:footnoteReference w:id="7"/>
            </w:r>
          </w:p>
        </w:tc>
        <w:tc>
          <w:tcPr>
            <w:tcW w:w="1170" w:type="dxa"/>
            <w:shd w:val="clear" w:color="auto" w:fill="auto"/>
          </w:tcPr>
          <w:p w14:paraId="1D9290AC" w14:textId="77777777" w:rsidR="00C671DA" w:rsidRPr="00BA2B9B" w:rsidRDefault="00C671DA" w:rsidP="00C36D4F">
            <w:pPr>
              <w:spacing w:before="60" w:after="60"/>
              <w:jc w:val="right"/>
              <w:rPr>
                <w:color w:val="000000"/>
                <w:sz w:val="20"/>
                <w:szCs w:val="20"/>
              </w:rPr>
            </w:pPr>
            <w:r>
              <w:rPr>
                <w:color w:val="000000"/>
                <w:sz w:val="20"/>
                <w:szCs w:val="20"/>
              </w:rPr>
              <w:t>$1,062.50</w:t>
            </w:r>
          </w:p>
        </w:tc>
      </w:tr>
      <w:tr w:rsidR="00C671DA" w:rsidRPr="00BA2B9B" w14:paraId="673643B7" w14:textId="77777777" w:rsidTr="00C36D4F">
        <w:tc>
          <w:tcPr>
            <w:tcW w:w="1458" w:type="dxa"/>
            <w:gridSpan w:val="3"/>
            <w:shd w:val="clear" w:color="auto" w:fill="auto"/>
          </w:tcPr>
          <w:p w14:paraId="0C509F5A" w14:textId="77777777" w:rsidR="00C671DA" w:rsidRPr="00BA2B9B" w:rsidRDefault="00C671DA" w:rsidP="00C36D4F">
            <w:pPr>
              <w:spacing w:before="60" w:after="60"/>
              <w:rPr>
                <w:color w:val="000000"/>
                <w:sz w:val="20"/>
                <w:szCs w:val="20"/>
              </w:rPr>
            </w:pPr>
            <w:r w:rsidRPr="00BA2B9B">
              <w:rPr>
                <w:sz w:val="20"/>
                <w:szCs w:val="20"/>
              </w:rPr>
              <w:t>Thomas J. Long, TURN Legal Director</w:t>
            </w:r>
          </w:p>
        </w:tc>
        <w:tc>
          <w:tcPr>
            <w:tcW w:w="697" w:type="dxa"/>
            <w:shd w:val="clear" w:color="auto" w:fill="auto"/>
          </w:tcPr>
          <w:p w14:paraId="0BFDEB88"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27417DD9" w14:textId="77777777" w:rsidR="00C671DA" w:rsidRPr="00B416C4" w:rsidRDefault="00C671DA" w:rsidP="00C36D4F">
            <w:pPr>
              <w:spacing w:before="60" w:after="60"/>
              <w:jc w:val="right"/>
              <w:rPr>
                <w:color w:val="000000"/>
                <w:sz w:val="18"/>
                <w:szCs w:val="18"/>
              </w:rPr>
            </w:pPr>
            <w:r w:rsidRPr="00B416C4">
              <w:rPr>
                <w:sz w:val="18"/>
                <w:szCs w:val="18"/>
              </w:rPr>
              <w:t>86.50</w:t>
            </w:r>
          </w:p>
        </w:tc>
        <w:tc>
          <w:tcPr>
            <w:tcW w:w="810" w:type="dxa"/>
            <w:shd w:val="clear" w:color="auto" w:fill="auto"/>
          </w:tcPr>
          <w:p w14:paraId="1685C593" w14:textId="77777777" w:rsidR="00C671DA" w:rsidRPr="00BA2B9B" w:rsidRDefault="00C671DA" w:rsidP="00C36D4F">
            <w:pPr>
              <w:spacing w:before="60" w:after="60"/>
              <w:jc w:val="center"/>
              <w:rPr>
                <w:color w:val="000000"/>
                <w:sz w:val="20"/>
                <w:szCs w:val="20"/>
              </w:rPr>
            </w:pPr>
            <w:r w:rsidRPr="00BA2B9B">
              <w:rPr>
                <w:sz w:val="20"/>
                <w:szCs w:val="20"/>
              </w:rPr>
              <w:t>$570</w:t>
            </w:r>
          </w:p>
        </w:tc>
        <w:tc>
          <w:tcPr>
            <w:tcW w:w="990" w:type="dxa"/>
            <w:gridSpan w:val="2"/>
            <w:tcBorders>
              <w:right w:val="single" w:sz="4" w:space="0" w:color="auto"/>
            </w:tcBorders>
            <w:shd w:val="clear" w:color="auto" w:fill="auto"/>
          </w:tcPr>
          <w:p w14:paraId="24F966C8" w14:textId="77777777" w:rsidR="00C671DA" w:rsidRPr="008865E7" w:rsidRDefault="00C671DA" w:rsidP="00C36D4F">
            <w:pPr>
              <w:spacing w:before="60" w:after="60"/>
              <w:ind w:hanging="110"/>
              <w:jc w:val="right"/>
              <w:rPr>
                <w:color w:val="000000"/>
                <w:sz w:val="17"/>
                <w:szCs w:val="17"/>
              </w:rPr>
            </w:pPr>
            <w:r w:rsidRPr="008865E7">
              <w:rPr>
                <w:sz w:val="17"/>
                <w:szCs w:val="17"/>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EE8B9FC" w14:textId="77777777" w:rsidR="00C671DA" w:rsidRPr="008865E7" w:rsidRDefault="00C671DA" w:rsidP="00C36D4F">
            <w:pPr>
              <w:spacing w:before="60" w:after="60"/>
              <w:jc w:val="right"/>
              <w:rPr>
                <w:color w:val="000000"/>
                <w:sz w:val="17"/>
                <w:szCs w:val="17"/>
              </w:rPr>
            </w:pPr>
            <w:r w:rsidRPr="008865E7">
              <w:rPr>
                <w:sz w:val="17"/>
                <w:szCs w:val="17"/>
              </w:rPr>
              <w:t>$49,305.00</w:t>
            </w:r>
          </w:p>
        </w:tc>
        <w:tc>
          <w:tcPr>
            <w:tcW w:w="1440" w:type="dxa"/>
            <w:gridSpan w:val="2"/>
            <w:tcBorders>
              <w:left w:val="single" w:sz="4" w:space="0" w:color="auto"/>
            </w:tcBorders>
            <w:shd w:val="clear" w:color="auto" w:fill="auto"/>
          </w:tcPr>
          <w:p w14:paraId="1133BC49" w14:textId="77777777" w:rsidR="00C671DA" w:rsidRPr="00BA2B9B" w:rsidRDefault="00C671DA" w:rsidP="00C36D4F">
            <w:pPr>
              <w:spacing w:before="60" w:after="60"/>
              <w:jc w:val="right"/>
              <w:rPr>
                <w:color w:val="000000"/>
                <w:sz w:val="20"/>
                <w:szCs w:val="20"/>
              </w:rPr>
            </w:pPr>
            <w:r>
              <w:rPr>
                <w:color w:val="000000"/>
                <w:sz w:val="20"/>
                <w:szCs w:val="20"/>
              </w:rPr>
              <w:t>86.35</w:t>
            </w:r>
            <w:r w:rsidRPr="001507ED">
              <w:rPr>
                <w:color w:val="000000"/>
                <w:sz w:val="20"/>
                <w:szCs w:val="20"/>
                <w:vertAlign w:val="superscript"/>
              </w:rPr>
              <w:t>[1,3]</w:t>
            </w:r>
          </w:p>
        </w:tc>
        <w:tc>
          <w:tcPr>
            <w:tcW w:w="900" w:type="dxa"/>
            <w:shd w:val="clear" w:color="auto" w:fill="auto"/>
          </w:tcPr>
          <w:p w14:paraId="08CAF7CB" w14:textId="77777777" w:rsidR="00C671DA" w:rsidRPr="00BA2B9B" w:rsidRDefault="00C671DA" w:rsidP="00C36D4F">
            <w:pPr>
              <w:spacing w:before="60" w:after="60"/>
              <w:jc w:val="center"/>
              <w:rPr>
                <w:color w:val="000000"/>
                <w:sz w:val="20"/>
                <w:szCs w:val="20"/>
              </w:rPr>
            </w:pPr>
            <w:r>
              <w:rPr>
                <w:color w:val="000000"/>
                <w:sz w:val="20"/>
                <w:szCs w:val="20"/>
              </w:rPr>
              <w:t>$570</w:t>
            </w:r>
          </w:p>
        </w:tc>
        <w:tc>
          <w:tcPr>
            <w:tcW w:w="1170" w:type="dxa"/>
            <w:shd w:val="clear" w:color="auto" w:fill="auto"/>
          </w:tcPr>
          <w:p w14:paraId="6D90CDDB" w14:textId="77777777" w:rsidR="00C671DA" w:rsidRPr="00BA2B9B" w:rsidRDefault="00C671DA" w:rsidP="00C36D4F">
            <w:pPr>
              <w:spacing w:before="60" w:after="60"/>
              <w:jc w:val="right"/>
              <w:rPr>
                <w:color w:val="000000"/>
                <w:sz w:val="20"/>
                <w:szCs w:val="20"/>
              </w:rPr>
            </w:pPr>
            <w:r>
              <w:rPr>
                <w:color w:val="000000"/>
                <w:sz w:val="20"/>
                <w:szCs w:val="20"/>
              </w:rPr>
              <w:t>$49,219.50</w:t>
            </w:r>
          </w:p>
        </w:tc>
      </w:tr>
      <w:tr w:rsidR="00C671DA" w:rsidRPr="00BA2B9B" w14:paraId="42A82BB7" w14:textId="77777777" w:rsidTr="00C36D4F">
        <w:tc>
          <w:tcPr>
            <w:tcW w:w="1458" w:type="dxa"/>
            <w:gridSpan w:val="3"/>
            <w:shd w:val="clear" w:color="auto" w:fill="auto"/>
          </w:tcPr>
          <w:p w14:paraId="27D0B8BF" w14:textId="77777777" w:rsidR="00C671DA" w:rsidRPr="00BA2B9B" w:rsidRDefault="00C671DA" w:rsidP="00C36D4F">
            <w:pPr>
              <w:spacing w:before="60" w:after="60"/>
              <w:rPr>
                <w:color w:val="000000"/>
                <w:sz w:val="20"/>
                <w:szCs w:val="20"/>
              </w:rPr>
            </w:pPr>
            <w:r w:rsidRPr="00BA2B9B">
              <w:rPr>
                <w:sz w:val="20"/>
                <w:szCs w:val="20"/>
              </w:rPr>
              <w:t>Thomas J. Long, TURN Legal Director</w:t>
            </w:r>
          </w:p>
        </w:tc>
        <w:tc>
          <w:tcPr>
            <w:tcW w:w="697" w:type="dxa"/>
            <w:shd w:val="clear" w:color="auto" w:fill="auto"/>
          </w:tcPr>
          <w:p w14:paraId="0D4C352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3F9F003D" w14:textId="77777777" w:rsidR="00C671DA" w:rsidRPr="00B416C4" w:rsidRDefault="00C671DA" w:rsidP="00C36D4F">
            <w:pPr>
              <w:spacing w:before="60" w:after="60"/>
              <w:jc w:val="right"/>
              <w:rPr>
                <w:color w:val="000000"/>
                <w:sz w:val="18"/>
                <w:szCs w:val="18"/>
              </w:rPr>
            </w:pPr>
            <w:r w:rsidRPr="00B416C4">
              <w:rPr>
                <w:sz w:val="18"/>
                <w:szCs w:val="18"/>
              </w:rPr>
              <w:t>326.25</w:t>
            </w:r>
          </w:p>
        </w:tc>
        <w:tc>
          <w:tcPr>
            <w:tcW w:w="810" w:type="dxa"/>
            <w:shd w:val="clear" w:color="auto" w:fill="auto"/>
          </w:tcPr>
          <w:p w14:paraId="51D9086A" w14:textId="77777777" w:rsidR="00C671DA" w:rsidRPr="00BA2B9B" w:rsidRDefault="00C671DA" w:rsidP="00C36D4F">
            <w:pPr>
              <w:spacing w:before="60" w:after="60"/>
              <w:jc w:val="center"/>
              <w:rPr>
                <w:color w:val="000000"/>
                <w:sz w:val="20"/>
                <w:szCs w:val="20"/>
              </w:rPr>
            </w:pPr>
            <w:r w:rsidRPr="00BA2B9B">
              <w:rPr>
                <w:sz w:val="20"/>
                <w:szCs w:val="20"/>
              </w:rPr>
              <w:t>$575</w:t>
            </w:r>
          </w:p>
        </w:tc>
        <w:tc>
          <w:tcPr>
            <w:tcW w:w="990" w:type="dxa"/>
            <w:gridSpan w:val="2"/>
            <w:tcBorders>
              <w:right w:val="single" w:sz="4" w:space="0" w:color="auto"/>
            </w:tcBorders>
            <w:shd w:val="clear" w:color="auto" w:fill="auto"/>
          </w:tcPr>
          <w:p w14:paraId="0E24A5B3" w14:textId="77777777" w:rsidR="00C671DA" w:rsidRPr="008865E7" w:rsidRDefault="00C671DA" w:rsidP="00C36D4F">
            <w:pPr>
              <w:spacing w:before="60" w:after="60"/>
              <w:ind w:hanging="110"/>
              <w:jc w:val="right"/>
              <w:rPr>
                <w:color w:val="000000"/>
                <w:sz w:val="17"/>
                <w:szCs w:val="17"/>
              </w:rPr>
            </w:pPr>
            <w:r w:rsidRPr="008865E7">
              <w:rPr>
                <w:sz w:val="17"/>
                <w:szCs w:val="17"/>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EF579AD" w14:textId="77777777" w:rsidR="00C671DA" w:rsidRPr="008865E7" w:rsidRDefault="00C671DA" w:rsidP="00C36D4F">
            <w:pPr>
              <w:spacing w:before="60" w:after="60"/>
              <w:ind w:hanging="110"/>
              <w:jc w:val="right"/>
              <w:rPr>
                <w:color w:val="000000"/>
                <w:sz w:val="17"/>
                <w:szCs w:val="17"/>
              </w:rPr>
            </w:pPr>
            <w:r w:rsidRPr="008865E7">
              <w:rPr>
                <w:sz w:val="17"/>
                <w:szCs w:val="17"/>
              </w:rPr>
              <w:t>$187,593.75</w:t>
            </w:r>
          </w:p>
        </w:tc>
        <w:tc>
          <w:tcPr>
            <w:tcW w:w="1440" w:type="dxa"/>
            <w:gridSpan w:val="2"/>
            <w:tcBorders>
              <w:left w:val="single" w:sz="4" w:space="0" w:color="auto"/>
            </w:tcBorders>
            <w:shd w:val="clear" w:color="auto" w:fill="auto"/>
          </w:tcPr>
          <w:p w14:paraId="1A49BDCA" w14:textId="77777777" w:rsidR="00C671DA" w:rsidRPr="00BA2B9B" w:rsidRDefault="00C671DA" w:rsidP="00C36D4F">
            <w:pPr>
              <w:spacing w:before="60" w:after="60"/>
              <w:jc w:val="right"/>
              <w:rPr>
                <w:color w:val="000000"/>
                <w:sz w:val="20"/>
                <w:szCs w:val="20"/>
              </w:rPr>
            </w:pPr>
            <w:r>
              <w:rPr>
                <w:color w:val="000000"/>
                <w:sz w:val="20"/>
                <w:szCs w:val="20"/>
              </w:rPr>
              <w:t>321.98</w:t>
            </w:r>
            <w:r w:rsidRPr="001507ED">
              <w:rPr>
                <w:color w:val="000000"/>
                <w:sz w:val="20"/>
                <w:szCs w:val="20"/>
                <w:vertAlign w:val="superscript"/>
              </w:rPr>
              <w:t>[1,4]</w:t>
            </w:r>
          </w:p>
        </w:tc>
        <w:tc>
          <w:tcPr>
            <w:tcW w:w="900" w:type="dxa"/>
            <w:shd w:val="clear" w:color="auto" w:fill="auto"/>
          </w:tcPr>
          <w:p w14:paraId="1A029CFE" w14:textId="77777777" w:rsidR="00C671DA" w:rsidRPr="00BA2B9B" w:rsidRDefault="00C671DA" w:rsidP="00C36D4F">
            <w:pPr>
              <w:spacing w:before="60" w:after="60"/>
              <w:jc w:val="center"/>
              <w:rPr>
                <w:color w:val="000000"/>
                <w:sz w:val="20"/>
                <w:szCs w:val="20"/>
              </w:rPr>
            </w:pPr>
            <w:r>
              <w:rPr>
                <w:color w:val="000000"/>
                <w:sz w:val="20"/>
                <w:szCs w:val="20"/>
              </w:rPr>
              <w:t>$575</w:t>
            </w:r>
          </w:p>
        </w:tc>
        <w:tc>
          <w:tcPr>
            <w:tcW w:w="1170" w:type="dxa"/>
            <w:shd w:val="clear" w:color="auto" w:fill="auto"/>
          </w:tcPr>
          <w:p w14:paraId="714D6EFF" w14:textId="77777777" w:rsidR="00C671DA" w:rsidRPr="00BA2B9B" w:rsidRDefault="00C671DA" w:rsidP="00C36D4F">
            <w:pPr>
              <w:spacing w:before="60" w:after="60"/>
              <w:ind w:hanging="110"/>
              <w:jc w:val="right"/>
              <w:rPr>
                <w:color w:val="000000"/>
                <w:sz w:val="20"/>
                <w:szCs w:val="20"/>
              </w:rPr>
            </w:pPr>
            <w:r>
              <w:rPr>
                <w:color w:val="000000"/>
                <w:sz w:val="20"/>
                <w:szCs w:val="20"/>
              </w:rPr>
              <w:t>$185,138.50</w:t>
            </w:r>
          </w:p>
        </w:tc>
      </w:tr>
      <w:tr w:rsidR="00C671DA" w:rsidRPr="00BA2B9B" w14:paraId="536F7BF3" w14:textId="77777777" w:rsidTr="00C36D4F">
        <w:tc>
          <w:tcPr>
            <w:tcW w:w="1458" w:type="dxa"/>
            <w:gridSpan w:val="3"/>
            <w:shd w:val="clear" w:color="auto" w:fill="auto"/>
          </w:tcPr>
          <w:p w14:paraId="48A1E7B8" w14:textId="77777777" w:rsidR="00C671DA" w:rsidRPr="00BA2B9B" w:rsidRDefault="00C671DA" w:rsidP="00C36D4F">
            <w:pPr>
              <w:spacing w:before="60" w:after="60"/>
              <w:rPr>
                <w:color w:val="000000"/>
                <w:sz w:val="20"/>
                <w:szCs w:val="20"/>
              </w:rPr>
            </w:pPr>
            <w:r w:rsidRPr="00BA2B9B">
              <w:rPr>
                <w:sz w:val="20"/>
                <w:szCs w:val="20"/>
              </w:rPr>
              <w:t>Thomas J. Long, TURN Legal Director</w:t>
            </w:r>
          </w:p>
        </w:tc>
        <w:tc>
          <w:tcPr>
            <w:tcW w:w="697" w:type="dxa"/>
            <w:shd w:val="clear" w:color="auto" w:fill="auto"/>
          </w:tcPr>
          <w:p w14:paraId="06434854"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5E3A60C2" w14:textId="77777777" w:rsidR="00C671DA" w:rsidRPr="00B416C4" w:rsidRDefault="00C671DA" w:rsidP="00C36D4F">
            <w:pPr>
              <w:spacing w:before="60" w:after="60"/>
              <w:jc w:val="right"/>
              <w:rPr>
                <w:color w:val="000000"/>
                <w:sz w:val="18"/>
                <w:szCs w:val="18"/>
              </w:rPr>
            </w:pPr>
            <w:r w:rsidRPr="00B416C4">
              <w:rPr>
                <w:sz w:val="18"/>
                <w:szCs w:val="18"/>
              </w:rPr>
              <w:t>8.25</w:t>
            </w:r>
          </w:p>
        </w:tc>
        <w:tc>
          <w:tcPr>
            <w:tcW w:w="810" w:type="dxa"/>
            <w:shd w:val="clear" w:color="auto" w:fill="auto"/>
          </w:tcPr>
          <w:p w14:paraId="009ECCB2" w14:textId="77777777" w:rsidR="00C671DA" w:rsidRPr="00BA2B9B" w:rsidRDefault="00C671DA" w:rsidP="00C36D4F">
            <w:pPr>
              <w:spacing w:before="60" w:after="60"/>
              <w:jc w:val="center"/>
              <w:rPr>
                <w:color w:val="000000"/>
                <w:sz w:val="20"/>
                <w:szCs w:val="20"/>
              </w:rPr>
            </w:pPr>
            <w:r w:rsidRPr="00BA2B9B">
              <w:rPr>
                <w:sz w:val="20"/>
                <w:szCs w:val="20"/>
              </w:rPr>
              <w:t>$585</w:t>
            </w:r>
          </w:p>
        </w:tc>
        <w:tc>
          <w:tcPr>
            <w:tcW w:w="990" w:type="dxa"/>
            <w:gridSpan w:val="2"/>
            <w:tcBorders>
              <w:right w:val="single" w:sz="4" w:space="0" w:color="auto"/>
            </w:tcBorders>
            <w:shd w:val="clear" w:color="auto" w:fill="auto"/>
          </w:tcPr>
          <w:p w14:paraId="671F7073" w14:textId="77777777" w:rsidR="00C671DA" w:rsidRPr="008865E7" w:rsidRDefault="00C671DA" w:rsidP="00C36D4F">
            <w:pPr>
              <w:spacing w:before="60" w:after="60"/>
              <w:jc w:val="right"/>
              <w:rPr>
                <w:color w:val="000000"/>
                <w:sz w:val="17"/>
                <w:szCs w:val="17"/>
              </w:rPr>
            </w:pPr>
            <w:r w:rsidRPr="008865E7">
              <w:rPr>
                <w:sz w:val="17"/>
                <w:szCs w:val="17"/>
              </w:rPr>
              <w:t xml:space="preserve">Res. ALJ-345 (2.14% COLA rounded to nearest $5, and consistent with the </w:t>
            </w:r>
            <w:r w:rsidRPr="008865E7">
              <w:rPr>
                <w:sz w:val="17"/>
                <w:szCs w:val="17"/>
              </w:rPr>
              <w:lastRenderedPageBreak/>
              <w:t>range for attorneys within the 13+ year experience tier)</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C29D6ED" w14:textId="77777777" w:rsidR="00C671DA" w:rsidRPr="008865E7" w:rsidRDefault="00C671DA" w:rsidP="00C36D4F">
            <w:pPr>
              <w:spacing w:before="60" w:after="60"/>
              <w:jc w:val="right"/>
              <w:rPr>
                <w:color w:val="000000"/>
                <w:sz w:val="17"/>
                <w:szCs w:val="17"/>
              </w:rPr>
            </w:pPr>
            <w:r w:rsidRPr="008865E7">
              <w:rPr>
                <w:sz w:val="17"/>
                <w:szCs w:val="17"/>
              </w:rPr>
              <w:lastRenderedPageBreak/>
              <w:t>$4,826.25</w:t>
            </w:r>
          </w:p>
        </w:tc>
        <w:tc>
          <w:tcPr>
            <w:tcW w:w="1440" w:type="dxa"/>
            <w:gridSpan w:val="2"/>
            <w:tcBorders>
              <w:left w:val="single" w:sz="4" w:space="0" w:color="auto"/>
            </w:tcBorders>
            <w:shd w:val="clear" w:color="auto" w:fill="auto"/>
          </w:tcPr>
          <w:p w14:paraId="2C271DA9" w14:textId="77777777" w:rsidR="00C671DA" w:rsidRPr="00BA2B9B" w:rsidRDefault="00C671DA" w:rsidP="00C36D4F">
            <w:pPr>
              <w:spacing w:before="60" w:after="60"/>
              <w:jc w:val="right"/>
              <w:rPr>
                <w:color w:val="000000"/>
                <w:sz w:val="20"/>
                <w:szCs w:val="20"/>
              </w:rPr>
            </w:pPr>
            <w:r>
              <w:rPr>
                <w:color w:val="000000"/>
                <w:sz w:val="20"/>
                <w:szCs w:val="20"/>
              </w:rPr>
              <w:t>8.25</w:t>
            </w:r>
          </w:p>
        </w:tc>
        <w:tc>
          <w:tcPr>
            <w:tcW w:w="900" w:type="dxa"/>
            <w:shd w:val="clear" w:color="auto" w:fill="auto"/>
          </w:tcPr>
          <w:p w14:paraId="73A9B4E2" w14:textId="77777777" w:rsidR="00C671DA" w:rsidRPr="00BA2B9B" w:rsidRDefault="00C671DA" w:rsidP="00C36D4F">
            <w:pPr>
              <w:spacing w:before="60" w:after="60"/>
              <w:jc w:val="center"/>
              <w:rPr>
                <w:color w:val="000000"/>
                <w:sz w:val="20"/>
                <w:szCs w:val="20"/>
              </w:rPr>
            </w:pPr>
            <w:r>
              <w:rPr>
                <w:color w:val="000000"/>
                <w:sz w:val="20"/>
                <w:szCs w:val="20"/>
              </w:rPr>
              <w:t>$585</w:t>
            </w:r>
            <w:r>
              <w:rPr>
                <w:rStyle w:val="FootnoteReference"/>
                <w:color w:val="000000"/>
                <w:sz w:val="20"/>
                <w:szCs w:val="20"/>
              </w:rPr>
              <w:footnoteReference w:id="8"/>
            </w:r>
          </w:p>
        </w:tc>
        <w:tc>
          <w:tcPr>
            <w:tcW w:w="1170" w:type="dxa"/>
            <w:shd w:val="clear" w:color="auto" w:fill="auto"/>
          </w:tcPr>
          <w:p w14:paraId="508D2FCC" w14:textId="77777777" w:rsidR="00C671DA" w:rsidRPr="00BA2B9B" w:rsidRDefault="00C671DA" w:rsidP="00C36D4F">
            <w:pPr>
              <w:spacing w:before="60" w:after="60"/>
              <w:jc w:val="right"/>
              <w:rPr>
                <w:color w:val="000000"/>
                <w:sz w:val="20"/>
                <w:szCs w:val="20"/>
              </w:rPr>
            </w:pPr>
            <w:r>
              <w:rPr>
                <w:color w:val="000000"/>
                <w:sz w:val="20"/>
                <w:szCs w:val="20"/>
              </w:rPr>
              <w:t>$4,826.25</w:t>
            </w:r>
          </w:p>
        </w:tc>
      </w:tr>
      <w:tr w:rsidR="00C671DA" w:rsidRPr="00BA2B9B" w14:paraId="2B30CA2F" w14:textId="77777777" w:rsidTr="00C36D4F">
        <w:tc>
          <w:tcPr>
            <w:tcW w:w="1458" w:type="dxa"/>
            <w:gridSpan w:val="3"/>
            <w:shd w:val="clear" w:color="auto" w:fill="auto"/>
          </w:tcPr>
          <w:p w14:paraId="76F3071F" w14:textId="77777777" w:rsidR="00C671DA" w:rsidRPr="00BA2B9B" w:rsidRDefault="00C671DA" w:rsidP="00C36D4F">
            <w:pPr>
              <w:spacing w:before="60" w:after="60"/>
              <w:rPr>
                <w:color w:val="000000"/>
                <w:sz w:val="20"/>
                <w:szCs w:val="20"/>
              </w:rPr>
            </w:pPr>
            <w:r w:rsidRPr="00BA2B9B">
              <w:rPr>
                <w:sz w:val="20"/>
                <w:szCs w:val="20"/>
              </w:rPr>
              <w:t xml:space="preserve">Nina </w:t>
            </w:r>
            <w:proofErr w:type="spellStart"/>
            <w:r w:rsidRPr="00BA2B9B">
              <w:rPr>
                <w:sz w:val="20"/>
                <w:szCs w:val="20"/>
              </w:rPr>
              <w:t>Suetake</w:t>
            </w:r>
            <w:proofErr w:type="spellEnd"/>
            <w:r w:rsidRPr="00BA2B9B">
              <w:rPr>
                <w:sz w:val="20"/>
                <w:szCs w:val="20"/>
              </w:rPr>
              <w:t>, TURN Attorney</w:t>
            </w:r>
          </w:p>
        </w:tc>
        <w:tc>
          <w:tcPr>
            <w:tcW w:w="697" w:type="dxa"/>
            <w:shd w:val="clear" w:color="auto" w:fill="auto"/>
          </w:tcPr>
          <w:p w14:paraId="6465150A"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14E50650" w14:textId="77777777" w:rsidR="00C671DA" w:rsidRPr="00B416C4" w:rsidRDefault="00C671DA" w:rsidP="00C36D4F">
            <w:pPr>
              <w:spacing w:before="60" w:after="60"/>
              <w:jc w:val="right"/>
              <w:rPr>
                <w:color w:val="000000"/>
                <w:sz w:val="18"/>
                <w:szCs w:val="18"/>
              </w:rPr>
            </w:pPr>
            <w:r w:rsidRPr="00B416C4">
              <w:rPr>
                <w:sz w:val="18"/>
                <w:szCs w:val="18"/>
              </w:rPr>
              <w:t>69.75</w:t>
            </w:r>
          </w:p>
        </w:tc>
        <w:tc>
          <w:tcPr>
            <w:tcW w:w="810" w:type="dxa"/>
            <w:shd w:val="clear" w:color="auto" w:fill="auto"/>
          </w:tcPr>
          <w:p w14:paraId="312FF132" w14:textId="77777777" w:rsidR="00C671DA" w:rsidRPr="00BA2B9B" w:rsidRDefault="00C671DA" w:rsidP="00C36D4F">
            <w:pPr>
              <w:spacing w:before="60" w:after="60"/>
              <w:jc w:val="center"/>
              <w:rPr>
                <w:color w:val="000000"/>
                <w:sz w:val="20"/>
                <w:szCs w:val="20"/>
              </w:rPr>
            </w:pPr>
            <w:r w:rsidRPr="00BA2B9B">
              <w:rPr>
                <w:sz w:val="20"/>
                <w:szCs w:val="20"/>
              </w:rPr>
              <w:t>$350</w:t>
            </w:r>
          </w:p>
        </w:tc>
        <w:tc>
          <w:tcPr>
            <w:tcW w:w="990" w:type="dxa"/>
            <w:gridSpan w:val="2"/>
            <w:tcBorders>
              <w:right w:val="single" w:sz="4" w:space="0" w:color="auto"/>
            </w:tcBorders>
            <w:shd w:val="clear" w:color="auto" w:fill="auto"/>
          </w:tcPr>
          <w:p w14:paraId="1744E59B" w14:textId="77777777" w:rsidR="00C671DA" w:rsidRPr="008865E7" w:rsidRDefault="00C671DA" w:rsidP="00C36D4F">
            <w:pPr>
              <w:spacing w:before="60" w:after="60"/>
              <w:jc w:val="right"/>
              <w:rPr>
                <w:color w:val="000000"/>
                <w:sz w:val="17"/>
                <w:szCs w:val="17"/>
              </w:rPr>
            </w:pPr>
            <w:r w:rsidRPr="008865E7">
              <w:rPr>
                <w:i/>
                <w:sz w:val="17"/>
                <w:szCs w:val="17"/>
              </w:rPr>
              <w:t>See</w:t>
            </w:r>
            <w:r w:rsidRPr="008865E7">
              <w:rPr>
                <w:sz w:val="17"/>
                <w:szCs w:val="17"/>
              </w:rPr>
              <w:t xml:space="preserve"> Comment #2</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49292800" w14:textId="77777777" w:rsidR="00C671DA" w:rsidRPr="008865E7" w:rsidRDefault="00C671DA" w:rsidP="00C36D4F">
            <w:pPr>
              <w:spacing w:before="60" w:after="60"/>
              <w:jc w:val="right"/>
              <w:rPr>
                <w:color w:val="000000"/>
                <w:sz w:val="17"/>
                <w:szCs w:val="17"/>
              </w:rPr>
            </w:pPr>
            <w:r w:rsidRPr="008865E7">
              <w:rPr>
                <w:sz w:val="17"/>
                <w:szCs w:val="17"/>
              </w:rPr>
              <w:t>$24,412.50</w:t>
            </w:r>
          </w:p>
        </w:tc>
        <w:tc>
          <w:tcPr>
            <w:tcW w:w="1440" w:type="dxa"/>
            <w:gridSpan w:val="2"/>
            <w:tcBorders>
              <w:left w:val="single" w:sz="4" w:space="0" w:color="auto"/>
            </w:tcBorders>
            <w:shd w:val="clear" w:color="auto" w:fill="auto"/>
          </w:tcPr>
          <w:p w14:paraId="4AF066C9" w14:textId="77777777" w:rsidR="00C671DA" w:rsidRPr="00BA2B9B" w:rsidRDefault="00C671DA" w:rsidP="00C36D4F">
            <w:pPr>
              <w:spacing w:before="60" w:after="60"/>
              <w:jc w:val="right"/>
              <w:rPr>
                <w:color w:val="000000"/>
                <w:sz w:val="20"/>
                <w:szCs w:val="20"/>
              </w:rPr>
            </w:pPr>
            <w:r>
              <w:rPr>
                <w:color w:val="000000"/>
                <w:sz w:val="20"/>
                <w:szCs w:val="20"/>
              </w:rPr>
              <w:t>69.75</w:t>
            </w:r>
          </w:p>
        </w:tc>
        <w:tc>
          <w:tcPr>
            <w:tcW w:w="900" w:type="dxa"/>
            <w:shd w:val="clear" w:color="auto" w:fill="auto"/>
          </w:tcPr>
          <w:p w14:paraId="03A3FE3F" w14:textId="77777777" w:rsidR="00C671DA" w:rsidRPr="00BA2B9B" w:rsidRDefault="00C671DA" w:rsidP="00C36D4F">
            <w:pPr>
              <w:spacing w:before="60" w:after="60"/>
              <w:jc w:val="center"/>
              <w:rPr>
                <w:color w:val="000000"/>
                <w:sz w:val="20"/>
                <w:szCs w:val="20"/>
              </w:rPr>
            </w:pPr>
            <w:r>
              <w:rPr>
                <w:color w:val="000000"/>
                <w:sz w:val="20"/>
                <w:szCs w:val="20"/>
              </w:rPr>
              <w:t>$350</w:t>
            </w:r>
            <w:r>
              <w:rPr>
                <w:rStyle w:val="FootnoteReference"/>
                <w:color w:val="000000"/>
                <w:sz w:val="20"/>
                <w:szCs w:val="20"/>
              </w:rPr>
              <w:footnoteReference w:id="9"/>
            </w:r>
          </w:p>
        </w:tc>
        <w:tc>
          <w:tcPr>
            <w:tcW w:w="1170" w:type="dxa"/>
            <w:shd w:val="clear" w:color="auto" w:fill="auto"/>
          </w:tcPr>
          <w:p w14:paraId="455D6677" w14:textId="77777777" w:rsidR="00C671DA" w:rsidRPr="00BA2B9B" w:rsidRDefault="00C671DA" w:rsidP="00C36D4F">
            <w:pPr>
              <w:spacing w:before="60" w:after="60"/>
              <w:jc w:val="right"/>
              <w:rPr>
                <w:color w:val="000000"/>
                <w:sz w:val="20"/>
                <w:szCs w:val="20"/>
              </w:rPr>
            </w:pPr>
            <w:r>
              <w:rPr>
                <w:color w:val="000000"/>
                <w:sz w:val="20"/>
                <w:szCs w:val="20"/>
              </w:rPr>
              <w:t>$24,412.50</w:t>
            </w:r>
          </w:p>
        </w:tc>
      </w:tr>
      <w:tr w:rsidR="00C671DA" w:rsidRPr="00BA2B9B" w14:paraId="43E2C54B" w14:textId="77777777" w:rsidTr="00C36D4F">
        <w:tc>
          <w:tcPr>
            <w:tcW w:w="1458" w:type="dxa"/>
            <w:gridSpan w:val="3"/>
            <w:shd w:val="clear" w:color="auto" w:fill="auto"/>
          </w:tcPr>
          <w:p w14:paraId="09C93695" w14:textId="77777777" w:rsidR="00C671DA" w:rsidRPr="00BA2B9B" w:rsidRDefault="00C671DA" w:rsidP="00C36D4F">
            <w:pPr>
              <w:spacing w:before="60" w:after="60"/>
              <w:rPr>
                <w:color w:val="000000"/>
                <w:sz w:val="20"/>
                <w:szCs w:val="20"/>
              </w:rPr>
            </w:pPr>
            <w:r w:rsidRPr="00BA2B9B">
              <w:rPr>
                <w:sz w:val="20"/>
                <w:szCs w:val="20"/>
              </w:rPr>
              <w:t>Elise Torres, TURN Attorney</w:t>
            </w:r>
          </w:p>
        </w:tc>
        <w:tc>
          <w:tcPr>
            <w:tcW w:w="697" w:type="dxa"/>
            <w:shd w:val="clear" w:color="auto" w:fill="auto"/>
          </w:tcPr>
          <w:p w14:paraId="073FACE0"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30D7D070" w14:textId="77777777" w:rsidR="00C671DA" w:rsidRPr="00B416C4" w:rsidRDefault="00C671DA" w:rsidP="00C36D4F">
            <w:pPr>
              <w:spacing w:before="60" w:after="60"/>
              <w:jc w:val="right"/>
              <w:rPr>
                <w:color w:val="000000"/>
                <w:sz w:val="18"/>
                <w:szCs w:val="18"/>
              </w:rPr>
            </w:pPr>
            <w:r w:rsidRPr="00B416C4">
              <w:rPr>
                <w:sz w:val="18"/>
                <w:szCs w:val="18"/>
              </w:rPr>
              <w:t>13.50</w:t>
            </w:r>
          </w:p>
        </w:tc>
        <w:tc>
          <w:tcPr>
            <w:tcW w:w="810" w:type="dxa"/>
            <w:shd w:val="clear" w:color="auto" w:fill="auto"/>
          </w:tcPr>
          <w:p w14:paraId="626421F7" w14:textId="77777777" w:rsidR="00C671DA" w:rsidRPr="00BA2B9B" w:rsidRDefault="00C671DA" w:rsidP="00C36D4F">
            <w:pPr>
              <w:spacing w:before="60" w:after="60"/>
              <w:jc w:val="center"/>
              <w:rPr>
                <w:color w:val="000000"/>
                <w:sz w:val="20"/>
                <w:szCs w:val="20"/>
              </w:rPr>
            </w:pPr>
            <w:r w:rsidRPr="00BA2B9B">
              <w:rPr>
                <w:sz w:val="20"/>
                <w:szCs w:val="20"/>
              </w:rPr>
              <w:t>$215</w:t>
            </w:r>
          </w:p>
        </w:tc>
        <w:tc>
          <w:tcPr>
            <w:tcW w:w="990" w:type="dxa"/>
            <w:gridSpan w:val="2"/>
            <w:tcBorders>
              <w:right w:val="single" w:sz="4" w:space="0" w:color="auto"/>
            </w:tcBorders>
            <w:shd w:val="clear" w:color="auto" w:fill="auto"/>
          </w:tcPr>
          <w:p w14:paraId="3677F34C" w14:textId="77777777" w:rsidR="00C671DA" w:rsidRPr="008865E7" w:rsidRDefault="00C671DA" w:rsidP="00C36D4F">
            <w:pPr>
              <w:spacing w:before="60" w:after="60"/>
              <w:ind w:hanging="200"/>
              <w:jc w:val="right"/>
              <w:rPr>
                <w:color w:val="000000"/>
                <w:sz w:val="17"/>
                <w:szCs w:val="17"/>
              </w:rPr>
            </w:pPr>
            <w:r w:rsidRPr="008865E7">
              <w:rPr>
                <w:sz w:val="17"/>
                <w:szCs w:val="17"/>
              </w:rPr>
              <w:t>D.16-04-037</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2BD7A09" w14:textId="77777777" w:rsidR="00C671DA" w:rsidRPr="008865E7" w:rsidRDefault="00C671DA" w:rsidP="00C36D4F">
            <w:pPr>
              <w:spacing w:before="60" w:after="60"/>
              <w:jc w:val="right"/>
              <w:rPr>
                <w:color w:val="000000"/>
                <w:sz w:val="17"/>
                <w:szCs w:val="17"/>
              </w:rPr>
            </w:pPr>
            <w:r w:rsidRPr="008865E7">
              <w:rPr>
                <w:sz w:val="17"/>
                <w:szCs w:val="17"/>
              </w:rPr>
              <w:t>$2,902.50</w:t>
            </w:r>
          </w:p>
        </w:tc>
        <w:tc>
          <w:tcPr>
            <w:tcW w:w="1440" w:type="dxa"/>
            <w:gridSpan w:val="2"/>
            <w:tcBorders>
              <w:left w:val="single" w:sz="4" w:space="0" w:color="auto"/>
            </w:tcBorders>
            <w:shd w:val="clear" w:color="auto" w:fill="auto"/>
          </w:tcPr>
          <w:p w14:paraId="29FF736D" w14:textId="77777777" w:rsidR="00C671DA" w:rsidRPr="00BA2B9B" w:rsidRDefault="00C671DA" w:rsidP="00C36D4F">
            <w:pPr>
              <w:spacing w:before="60" w:after="60"/>
              <w:jc w:val="right"/>
              <w:rPr>
                <w:color w:val="000000"/>
                <w:sz w:val="20"/>
                <w:szCs w:val="20"/>
              </w:rPr>
            </w:pPr>
            <w:r>
              <w:rPr>
                <w:color w:val="000000"/>
                <w:sz w:val="20"/>
                <w:szCs w:val="20"/>
              </w:rPr>
              <w:t>13.5</w:t>
            </w:r>
          </w:p>
        </w:tc>
        <w:tc>
          <w:tcPr>
            <w:tcW w:w="900" w:type="dxa"/>
            <w:shd w:val="clear" w:color="auto" w:fill="auto"/>
          </w:tcPr>
          <w:p w14:paraId="47FBF35D" w14:textId="77777777" w:rsidR="00C671DA" w:rsidRPr="00BA2B9B" w:rsidRDefault="00C671DA" w:rsidP="00C36D4F">
            <w:pPr>
              <w:spacing w:before="60" w:after="60"/>
              <w:jc w:val="center"/>
              <w:rPr>
                <w:color w:val="000000"/>
                <w:sz w:val="20"/>
                <w:szCs w:val="20"/>
              </w:rPr>
            </w:pPr>
            <w:r>
              <w:rPr>
                <w:color w:val="000000"/>
                <w:sz w:val="20"/>
                <w:szCs w:val="20"/>
              </w:rPr>
              <w:t>$215</w:t>
            </w:r>
          </w:p>
        </w:tc>
        <w:tc>
          <w:tcPr>
            <w:tcW w:w="1170" w:type="dxa"/>
            <w:shd w:val="clear" w:color="auto" w:fill="auto"/>
          </w:tcPr>
          <w:p w14:paraId="27B41DAA" w14:textId="77777777" w:rsidR="00C671DA" w:rsidRPr="00BA2B9B" w:rsidRDefault="00C671DA" w:rsidP="00C36D4F">
            <w:pPr>
              <w:spacing w:before="60" w:after="60"/>
              <w:jc w:val="right"/>
              <w:rPr>
                <w:color w:val="000000"/>
                <w:sz w:val="20"/>
                <w:szCs w:val="20"/>
              </w:rPr>
            </w:pPr>
            <w:r>
              <w:rPr>
                <w:color w:val="000000"/>
                <w:sz w:val="20"/>
                <w:szCs w:val="20"/>
              </w:rPr>
              <w:t>$2,902.50</w:t>
            </w:r>
          </w:p>
        </w:tc>
      </w:tr>
      <w:tr w:rsidR="00C671DA" w:rsidRPr="00BA2B9B" w14:paraId="21BD0D55" w14:textId="77777777" w:rsidTr="00C36D4F">
        <w:tc>
          <w:tcPr>
            <w:tcW w:w="1458" w:type="dxa"/>
            <w:gridSpan w:val="3"/>
            <w:shd w:val="clear" w:color="auto" w:fill="auto"/>
          </w:tcPr>
          <w:p w14:paraId="6DB7B379" w14:textId="77777777" w:rsidR="00C671DA" w:rsidRPr="00BA2B9B" w:rsidRDefault="00C671DA" w:rsidP="00C36D4F">
            <w:pPr>
              <w:spacing w:before="60" w:after="60"/>
              <w:rPr>
                <w:color w:val="000000"/>
                <w:sz w:val="20"/>
                <w:szCs w:val="20"/>
              </w:rPr>
            </w:pPr>
            <w:r w:rsidRPr="00BA2B9B">
              <w:rPr>
                <w:sz w:val="20"/>
                <w:szCs w:val="20"/>
              </w:rPr>
              <w:t>Elise Torres, TURN Attorney</w:t>
            </w:r>
          </w:p>
        </w:tc>
        <w:tc>
          <w:tcPr>
            <w:tcW w:w="697" w:type="dxa"/>
            <w:shd w:val="clear" w:color="auto" w:fill="auto"/>
          </w:tcPr>
          <w:p w14:paraId="3B6D120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6258A3AD" w14:textId="77777777" w:rsidR="00C671DA" w:rsidRPr="00B416C4" w:rsidRDefault="00C671DA" w:rsidP="00C36D4F">
            <w:pPr>
              <w:spacing w:before="60" w:after="60"/>
              <w:jc w:val="right"/>
              <w:rPr>
                <w:color w:val="000000"/>
                <w:sz w:val="18"/>
                <w:szCs w:val="18"/>
              </w:rPr>
            </w:pPr>
            <w:r w:rsidRPr="00B416C4">
              <w:rPr>
                <w:sz w:val="18"/>
                <w:szCs w:val="18"/>
              </w:rPr>
              <w:t>55.50</w:t>
            </w:r>
          </w:p>
        </w:tc>
        <w:tc>
          <w:tcPr>
            <w:tcW w:w="810" w:type="dxa"/>
            <w:shd w:val="clear" w:color="auto" w:fill="auto"/>
          </w:tcPr>
          <w:p w14:paraId="7D8C1297" w14:textId="77777777" w:rsidR="00C671DA" w:rsidRPr="00BA2B9B" w:rsidRDefault="00C671DA" w:rsidP="00C36D4F">
            <w:pPr>
              <w:spacing w:before="60" w:after="60"/>
              <w:jc w:val="center"/>
              <w:rPr>
                <w:color w:val="000000"/>
                <w:sz w:val="20"/>
                <w:szCs w:val="20"/>
              </w:rPr>
            </w:pPr>
            <w:r w:rsidRPr="00BA2B9B">
              <w:rPr>
                <w:sz w:val="20"/>
                <w:szCs w:val="20"/>
              </w:rPr>
              <w:t>$230</w:t>
            </w:r>
          </w:p>
        </w:tc>
        <w:tc>
          <w:tcPr>
            <w:tcW w:w="990" w:type="dxa"/>
            <w:gridSpan w:val="2"/>
            <w:tcBorders>
              <w:right w:val="single" w:sz="4" w:space="0" w:color="auto"/>
            </w:tcBorders>
            <w:shd w:val="clear" w:color="auto" w:fill="auto"/>
          </w:tcPr>
          <w:p w14:paraId="01B21688" w14:textId="77777777" w:rsidR="00C671DA" w:rsidRPr="008865E7" w:rsidRDefault="00C671DA" w:rsidP="00C36D4F">
            <w:pPr>
              <w:spacing w:before="60" w:after="60"/>
              <w:ind w:hanging="200"/>
              <w:jc w:val="right"/>
              <w:rPr>
                <w:color w:val="000000"/>
                <w:sz w:val="17"/>
                <w:szCs w:val="17"/>
              </w:rPr>
            </w:pPr>
            <w:r w:rsidRPr="008865E7">
              <w:rPr>
                <w:sz w:val="17"/>
                <w:szCs w:val="17"/>
              </w:rPr>
              <w:t>D.16-08-015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81713A2" w14:textId="77777777" w:rsidR="00C671DA" w:rsidRPr="008865E7" w:rsidRDefault="00C671DA" w:rsidP="00C36D4F">
            <w:pPr>
              <w:spacing w:before="60" w:after="60"/>
              <w:jc w:val="right"/>
              <w:rPr>
                <w:color w:val="000000"/>
                <w:sz w:val="17"/>
                <w:szCs w:val="17"/>
              </w:rPr>
            </w:pPr>
            <w:r w:rsidRPr="008865E7">
              <w:rPr>
                <w:sz w:val="17"/>
                <w:szCs w:val="17"/>
              </w:rPr>
              <w:t>$12,765.00</w:t>
            </w:r>
          </w:p>
        </w:tc>
        <w:tc>
          <w:tcPr>
            <w:tcW w:w="1440" w:type="dxa"/>
            <w:gridSpan w:val="2"/>
            <w:tcBorders>
              <w:left w:val="single" w:sz="4" w:space="0" w:color="auto"/>
            </w:tcBorders>
            <w:shd w:val="clear" w:color="auto" w:fill="auto"/>
          </w:tcPr>
          <w:p w14:paraId="1858F87C" w14:textId="77777777" w:rsidR="00C671DA" w:rsidRPr="00BA2B9B" w:rsidRDefault="00C671DA" w:rsidP="00C36D4F">
            <w:pPr>
              <w:spacing w:before="60" w:after="60"/>
              <w:jc w:val="right"/>
              <w:rPr>
                <w:color w:val="000000"/>
                <w:sz w:val="20"/>
                <w:szCs w:val="20"/>
              </w:rPr>
            </w:pPr>
            <w:r>
              <w:rPr>
                <w:color w:val="000000"/>
                <w:sz w:val="20"/>
                <w:szCs w:val="20"/>
              </w:rPr>
              <w:t>55.5</w:t>
            </w:r>
          </w:p>
        </w:tc>
        <w:tc>
          <w:tcPr>
            <w:tcW w:w="900" w:type="dxa"/>
            <w:shd w:val="clear" w:color="auto" w:fill="auto"/>
          </w:tcPr>
          <w:p w14:paraId="2841743B" w14:textId="77777777" w:rsidR="00C671DA" w:rsidRPr="00BA2B9B" w:rsidRDefault="00C671DA" w:rsidP="00C36D4F">
            <w:pPr>
              <w:spacing w:before="60" w:after="60"/>
              <w:jc w:val="center"/>
              <w:rPr>
                <w:color w:val="000000"/>
                <w:sz w:val="20"/>
                <w:szCs w:val="20"/>
              </w:rPr>
            </w:pPr>
            <w:r>
              <w:rPr>
                <w:color w:val="000000"/>
                <w:sz w:val="20"/>
                <w:szCs w:val="20"/>
              </w:rPr>
              <w:t>$230</w:t>
            </w:r>
          </w:p>
        </w:tc>
        <w:tc>
          <w:tcPr>
            <w:tcW w:w="1170" w:type="dxa"/>
            <w:shd w:val="clear" w:color="auto" w:fill="auto"/>
          </w:tcPr>
          <w:p w14:paraId="7214C456" w14:textId="77777777" w:rsidR="00C671DA" w:rsidRPr="00BA2B9B" w:rsidRDefault="00C671DA" w:rsidP="00C36D4F">
            <w:pPr>
              <w:spacing w:before="60" w:after="60"/>
              <w:jc w:val="right"/>
              <w:rPr>
                <w:color w:val="000000"/>
                <w:sz w:val="20"/>
                <w:szCs w:val="20"/>
              </w:rPr>
            </w:pPr>
            <w:r>
              <w:rPr>
                <w:color w:val="000000"/>
                <w:sz w:val="20"/>
                <w:szCs w:val="20"/>
              </w:rPr>
              <w:t>$12,765.00</w:t>
            </w:r>
          </w:p>
        </w:tc>
      </w:tr>
      <w:tr w:rsidR="00C671DA" w:rsidRPr="00BA2B9B" w14:paraId="7F4628A2" w14:textId="77777777" w:rsidTr="00C36D4F">
        <w:tc>
          <w:tcPr>
            <w:tcW w:w="1458" w:type="dxa"/>
            <w:gridSpan w:val="3"/>
            <w:shd w:val="clear" w:color="auto" w:fill="auto"/>
          </w:tcPr>
          <w:p w14:paraId="6CB5338B" w14:textId="77777777" w:rsidR="00C671DA" w:rsidRPr="00BA2B9B" w:rsidRDefault="00C671DA" w:rsidP="00C36D4F">
            <w:pPr>
              <w:spacing w:before="60" w:after="60"/>
              <w:rPr>
                <w:color w:val="000000"/>
                <w:sz w:val="20"/>
                <w:szCs w:val="20"/>
              </w:rPr>
            </w:pPr>
            <w:r w:rsidRPr="00BA2B9B">
              <w:rPr>
                <w:sz w:val="20"/>
                <w:szCs w:val="20"/>
              </w:rPr>
              <w:t>Elise Torres, TURN Attorney</w:t>
            </w:r>
          </w:p>
        </w:tc>
        <w:tc>
          <w:tcPr>
            <w:tcW w:w="697" w:type="dxa"/>
            <w:shd w:val="clear" w:color="auto" w:fill="auto"/>
          </w:tcPr>
          <w:p w14:paraId="7E874823"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26E7759B" w14:textId="77777777" w:rsidR="00C671DA" w:rsidRPr="00B416C4" w:rsidRDefault="00C671DA" w:rsidP="00C36D4F">
            <w:pPr>
              <w:spacing w:before="60" w:after="60"/>
              <w:jc w:val="right"/>
              <w:rPr>
                <w:color w:val="000000"/>
                <w:sz w:val="18"/>
                <w:szCs w:val="18"/>
              </w:rPr>
            </w:pPr>
            <w:r w:rsidRPr="00B416C4">
              <w:rPr>
                <w:sz w:val="18"/>
                <w:szCs w:val="18"/>
              </w:rPr>
              <w:t>1.50</w:t>
            </w:r>
          </w:p>
        </w:tc>
        <w:tc>
          <w:tcPr>
            <w:tcW w:w="810" w:type="dxa"/>
            <w:shd w:val="clear" w:color="auto" w:fill="auto"/>
          </w:tcPr>
          <w:p w14:paraId="18977DC6" w14:textId="77777777" w:rsidR="00C671DA" w:rsidRPr="00BA2B9B" w:rsidRDefault="00C671DA" w:rsidP="00C36D4F">
            <w:pPr>
              <w:spacing w:before="60" w:after="60"/>
              <w:jc w:val="center"/>
              <w:rPr>
                <w:color w:val="000000"/>
                <w:sz w:val="20"/>
                <w:szCs w:val="20"/>
              </w:rPr>
            </w:pPr>
            <w:r w:rsidRPr="00BA2B9B">
              <w:rPr>
                <w:sz w:val="20"/>
                <w:szCs w:val="20"/>
              </w:rPr>
              <w:t>$245</w:t>
            </w:r>
          </w:p>
        </w:tc>
        <w:tc>
          <w:tcPr>
            <w:tcW w:w="990" w:type="dxa"/>
            <w:gridSpan w:val="2"/>
            <w:tcBorders>
              <w:right w:val="single" w:sz="4" w:space="0" w:color="auto"/>
            </w:tcBorders>
            <w:shd w:val="clear" w:color="auto" w:fill="auto"/>
          </w:tcPr>
          <w:p w14:paraId="06C0CCD4" w14:textId="77777777" w:rsidR="00C671DA" w:rsidRPr="008865E7" w:rsidRDefault="00C671DA" w:rsidP="00C36D4F">
            <w:pPr>
              <w:spacing w:before="60" w:after="60"/>
              <w:jc w:val="right"/>
              <w:rPr>
                <w:color w:val="000000"/>
                <w:sz w:val="17"/>
                <w:szCs w:val="17"/>
              </w:rPr>
            </w:pPr>
            <w:r w:rsidRPr="008865E7">
              <w:rPr>
                <w:sz w:val="17"/>
                <w:szCs w:val="17"/>
              </w:rPr>
              <w:t xml:space="preserve">Res. ALJ-345 (2.14% COLA, plus second 5% step increase in the </w:t>
            </w:r>
            <w:proofErr w:type="gramStart"/>
            <w:r w:rsidRPr="008865E7">
              <w:rPr>
                <w:sz w:val="17"/>
                <w:szCs w:val="17"/>
              </w:rPr>
              <w:t>3-4 year</w:t>
            </w:r>
            <w:proofErr w:type="gramEnd"/>
            <w:r w:rsidRPr="008865E7">
              <w:rPr>
                <w:sz w:val="17"/>
                <w:szCs w:val="17"/>
              </w:rPr>
              <w:t xml:space="preserve"> experience tier, rounded to nearest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D7EA7D3" w14:textId="77777777" w:rsidR="00C671DA" w:rsidRPr="00BA2B9B" w:rsidRDefault="00C671DA" w:rsidP="00C36D4F">
            <w:pPr>
              <w:spacing w:before="60" w:after="60"/>
              <w:jc w:val="right"/>
              <w:rPr>
                <w:color w:val="000000"/>
                <w:sz w:val="20"/>
                <w:szCs w:val="20"/>
              </w:rPr>
            </w:pPr>
            <w:r w:rsidRPr="00BA2B9B">
              <w:rPr>
                <w:sz w:val="20"/>
                <w:szCs w:val="20"/>
              </w:rPr>
              <w:t>$367.50</w:t>
            </w:r>
          </w:p>
        </w:tc>
        <w:tc>
          <w:tcPr>
            <w:tcW w:w="1440" w:type="dxa"/>
            <w:gridSpan w:val="2"/>
            <w:tcBorders>
              <w:left w:val="single" w:sz="4" w:space="0" w:color="auto"/>
            </w:tcBorders>
            <w:shd w:val="clear" w:color="auto" w:fill="auto"/>
          </w:tcPr>
          <w:p w14:paraId="6EF91614" w14:textId="77777777" w:rsidR="00C671DA" w:rsidRPr="00BA2B9B" w:rsidRDefault="00C671DA" w:rsidP="00C36D4F">
            <w:pPr>
              <w:spacing w:before="60" w:after="60"/>
              <w:jc w:val="right"/>
              <w:rPr>
                <w:color w:val="000000"/>
                <w:sz w:val="20"/>
                <w:szCs w:val="20"/>
              </w:rPr>
            </w:pPr>
            <w:r>
              <w:rPr>
                <w:color w:val="000000"/>
                <w:sz w:val="20"/>
                <w:szCs w:val="20"/>
              </w:rPr>
              <w:t>1.5</w:t>
            </w:r>
          </w:p>
        </w:tc>
        <w:tc>
          <w:tcPr>
            <w:tcW w:w="900" w:type="dxa"/>
            <w:shd w:val="clear" w:color="auto" w:fill="auto"/>
          </w:tcPr>
          <w:p w14:paraId="64D0E198" w14:textId="77777777" w:rsidR="00C671DA" w:rsidRPr="00BA2B9B" w:rsidRDefault="00C671DA" w:rsidP="00C36D4F">
            <w:pPr>
              <w:spacing w:before="60" w:after="60"/>
              <w:jc w:val="center"/>
              <w:rPr>
                <w:color w:val="000000"/>
                <w:sz w:val="20"/>
                <w:szCs w:val="20"/>
              </w:rPr>
            </w:pPr>
            <w:r>
              <w:rPr>
                <w:color w:val="000000"/>
                <w:sz w:val="20"/>
                <w:szCs w:val="20"/>
              </w:rPr>
              <w:t>$245</w:t>
            </w:r>
            <w:r>
              <w:rPr>
                <w:rStyle w:val="FootnoteReference"/>
                <w:color w:val="000000"/>
                <w:sz w:val="20"/>
                <w:szCs w:val="20"/>
              </w:rPr>
              <w:footnoteReference w:id="10"/>
            </w:r>
          </w:p>
        </w:tc>
        <w:tc>
          <w:tcPr>
            <w:tcW w:w="1170" w:type="dxa"/>
            <w:shd w:val="clear" w:color="auto" w:fill="auto"/>
          </w:tcPr>
          <w:p w14:paraId="3C6B6673" w14:textId="77777777" w:rsidR="00C671DA" w:rsidRPr="00BA2B9B" w:rsidRDefault="00C671DA" w:rsidP="00C36D4F">
            <w:pPr>
              <w:spacing w:before="60" w:after="60"/>
              <w:jc w:val="right"/>
              <w:rPr>
                <w:color w:val="000000"/>
                <w:sz w:val="20"/>
                <w:szCs w:val="20"/>
              </w:rPr>
            </w:pPr>
            <w:r>
              <w:rPr>
                <w:color w:val="000000"/>
                <w:sz w:val="20"/>
                <w:szCs w:val="20"/>
              </w:rPr>
              <w:t>$367.50</w:t>
            </w:r>
          </w:p>
        </w:tc>
      </w:tr>
      <w:tr w:rsidR="00C671DA" w:rsidRPr="00BA2B9B" w14:paraId="2767D089" w14:textId="77777777" w:rsidTr="00C36D4F">
        <w:tc>
          <w:tcPr>
            <w:tcW w:w="1458" w:type="dxa"/>
            <w:gridSpan w:val="3"/>
            <w:shd w:val="clear" w:color="auto" w:fill="auto"/>
          </w:tcPr>
          <w:p w14:paraId="4191CD68" w14:textId="77777777" w:rsidR="00C671DA" w:rsidRPr="00BA2B9B" w:rsidRDefault="00C671DA" w:rsidP="00C36D4F">
            <w:pPr>
              <w:spacing w:before="60" w:after="60"/>
              <w:rPr>
                <w:color w:val="000000"/>
                <w:sz w:val="20"/>
                <w:szCs w:val="20"/>
              </w:rPr>
            </w:pPr>
            <w:r w:rsidRPr="00BA2B9B">
              <w:rPr>
                <w:sz w:val="20"/>
                <w:szCs w:val="20"/>
              </w:rPr>
              <w:t>Eric Borden, TURN Expert</w:t>
            </w:r>
          </w:p>
        </w:tc>
        <w:tc>
          <w:tcPr>
            <w:tcW w:w="697" w:type="dxa"/>
            <w:shd w:val="clear" w:color="auto" w:fill="auto"/>
          </w:tcPr>
          <w:p w14:paraId="1181E0AE"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3E953B24" w14:textId="77777777" w:rsidR="00C671DA" w:rsidRPr="00B416C4" w:rsidRDefault="00C671DA" w:rsidP="00C36D4F">
            <w:pPr>
              <w:spacing w:before="60" w:after="60"/>
              <w:jc w:val="right"/>
              <w:rPr>
                <w:color w:val="000000"/>
                <w:sz w:val="18"/>
                <w:szCs w:val="18"/>
              </w:rPr>
            </w:pPr>
            <w:r w:rsidRPr="00B416C4">
              <w:rPr>
                <w:sz w:val="18"/>
                <w:szCs w:val="18"/>
              </w:rPr>
              <w:t>28.50</w:t>
            </w:r>
          </w:p>
        </w:tc>
        <w:tc>
          <w:tcPr>
            <w:tcW w:w="810" w:type="dxa"/>
            <w:shd w:val="clear" w:color="auto" w:fill="auto"/>
          </w:tcPr>
          <w:p w14:paraId="7E0ABC4D" w14:textId="77777777" w:rsidR="00C671DA" w:rsidRPr="00BA2B9B" w:rsidRDefault="00C671DA" w:rsidP="00C36D4F">
            <w:pPr>
              <w:spacing w:before="60" w:after="60"/>
              <w:jc w:val="center"/>
              <w:rPr>
                <w:color w:val="000000"/>
                <w:sz w:val="20"/>
                <w:szCs w:val="20"/>
              </w:rPr>
            </w:pPr>
            <w:r w:rsidRPr="00BA2B9B">
              <w:rPr>
                <w:sz w:val="20"/>
                <w:szCs w:val="20"/>
              </w:rPr>
              <w:t>$180</w:t>
            </w:r>
          </w:p>
        </w:tc>
        <w:tc>
          <w:tcPr>
            <w:tcW w:w="990" w:type="dxa"/>
            <w:gridSpan w:val="2"/>
            <w:tcBorders>
              <w:right w:val="single" w:sz="4" w:space="0" w:color="auto"/>
            </w:tcBorders>
            <w:shd w:val="clear" w:color="auto" w:fill="auto"/>
          </w:tcPr>
          <w:p w14:paraId="7CE6C936" w14:textId="77777777" w:rsidR="00C671DA" w:rsidRPr="008865E7" w:rsidRDefault="00C671DA" w:rsidP="00C36D4F">
            <w:pPr>
              <w:spacing w:before="60" w:after="60"/>
              <w:ind w:hanging="110"/>
              <w:jc w:val="right"/>
              <w:rPr>
                <w:color w:val="000000"/>
                <w:sz w:val="17"/>
                <w:szCs w:val="17"/>
              </w:rPr>
            </w:pPr>
            <w:r w:rsidRPr="008865E7">
              <w:rPr>
                <w:sz w:val="17"/>
                <w:szCs w:val="17"/>
              </w:rPr>
              <w:t>D.16-05-015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CC2048B" w14:textId="77777777" w:rsidR="00C671DA" w:rsidRPr="008865E7" w:rsidRDefault="00C671DA" w:rsidP="00C36D4F">
            <w:pPr>
              <w:spacing w:before="60" w:after="60"/>
              <w:jc w:val="right"/>
              <w:rPr>
                <w:color w:val="000000"/>
                <w:sz w:val="17"/>
                <w:szCs w:val="17"/>
              </w:rPr>
            </w:pPr>
            <w:r w:rsidRPr="008865E7">
              <w:rPr>
                <w:sz w:val="17"/>
                <w:szCs w:val="17"/>
              </w:rPr>
              <w:t>$5,130.00</w:t>
            </w:r>
          </w:p>
        </w:tc>
        <w:tc>
          <w:tcPr>
            <w:tcW w:w="1440" w:type="dxa"/>
            <w:gridSpan w:val="2"/>
            <w:tcBorders>
              <w:left w:val="single" w:sz="4" w:space="0" w:color="auto"/>
            </w:tcBorders>
            <w:shd w:val="clear" w:color="auto" w:fill="auto"/>
          </w:tcPr>
          <w:p w14:paraId="7A351FEF" w14:textId="77777777" w:rsidR="00C671DA" w:rsidRPr="00BA2B9B" w:rsidRDefault="00C671DA" w:rsidP="00C36D4F">
            <w:pPr>
              <w:spacing w:before="60" w:after="60"/>
              <w:jc w:val="right"/>
              <w:rPr>
                <w:color w:val="000000"/>
                <w:sz w:val="20"/>
                <w:szCs w:val="20"/>
              </w:rPr>
            </w:pPr>
            <w:r>
              <w:rPr>
                <w:color w:val="000000"/>
                <w:sz w:val="20"/>
                <w:szCs w:val="20"/>
              </w:rPr>
              <w:t>28.5</w:t>
            </w:r>
          </w:p>
        </w:tc>
        <w:tc>
          <w:tcPr>
            <w:tcW w:w="900" w:type="dxa"/>
            <w:shd w:val="clear" w:color="auto" w:fill="auto"/>
          </w:tcPr>
          <w:p w14:paraId="6317130D" w14:textId="77777777" w:rsidR="00C671DA" w:rsidRPr="00BA2B9B" w:rsidRDefault="00C671DA" w:rsidP="00C36D4F">
            <w:pPr>
              <w:spacing w:before="60" w:after="60"/>
              <w:jc w:val="center"/>
              <w:rPr>
                <w:color w:val="000000"/>
                <w:sz w:val="20"/>
                <w:szCs w:val="20"/>
              </w:rPr>
            </w:pPr>
            <w:r>
              <w:rPr>
                <w:color w:val="000000"/>
                <w:sz w:val="20"/>
                <w:szCs w:val="20"/>
              </w:rPr>
              <w:t>$180</w:t>
            </w:r>
          </w:p>
        </w:tc>
        <w:tc>
          <w:tcPr>
            <w:tcW w:w="1170" w:type="dxa"/>
            <w:shd w:val="clear" w:color="auto" w:fill="auto"/>
          </w:tcPr>
          <w:p w14:paraId="0742C40D" w14:textId="77777777" w:rsidR="00C671DA" w:rsidRPr="00BA2B9B" w:rsidRDefault="00C671DA" w:rsidP="00C36D4F">
            <w:pPr>
              <w:spacing w:before="60" w:after="60"/>
              <w:jc w:val="right"/>
              <w:rPr>
                <w:color w:val="000000"/>
                <w:sz w:val="20"/>
                <w:szCs w:val="20"/>
              </w:rPr>
            </w:pPr>
            <w:r>
              <w:rPr>
                <w:color w:val="000000"/>
                <w:sz w:val="20"/>
                <w:szCs w:val="20"/>
              </w:rPr>
              <w:t>$5,130.00</w:t>
            </w:r>
          </w:p>
        </w:tc>
      </w:tr>
      <w:tr w:rsidR="00C671DA" w:rsidRPr="00BA2B9B" w14:paraId="5CC258F6" w14:textId="77777777" w:rsidTr="00C36D4F">
        <w:tc>
          <w:tcPr>
            <w:tcW w:w="1458" w:type="dxa"/>
            <w:gridSpan w:val="3"/>
            <w:shd w:val="clear" w:color="auto" w:fill="auto"/>
          </w:tcPr>
          <w:p w14:paraId="54B7D8E2" w14:textId="77777777" w:rsidR="00C671DA" w:rsidRPr="00BA2B9B" w:rsidRDefault="00C671DA" w:rsidP="00C36D4F">
            <w:pPr>
              <w:spacing w:before="60" w:after="60"/>
              <w:rPr>
                <w:color w:val="000000"/>
                <w:sz w:val="20"/>
                <w:szCs w:val="20"/>
              </w:rPr>
            </w:pPr>
            <w:r w:rsidRPr="00BA2B9B">
              <w:rPr>
                <w:sz w:val="20"/>
                <w:szCs w:val="20"/>
              </w:rPr>
              <w:t>Eric Borden, TURN Expert</w:t>
            </w:r>
          </w:p>
        </w:tc>
        <w:tc>
          <w:tcPr>
            <w:tcW w:w="697" w:type="dxa"/>
            <w:shd w:val="clear" w:color="auto" w:fill="auto"/>
          </w:tcPr>
          <w:p w14:paraId="2C082A06"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5040EC70" w14:textId="77777777" w:rsidR="00C671DA" w:rsidRPr="00B416C4" w:rsidRDefault="00C671DA" w:rsidP="00C36D4F">
            <w:pPr>
              <w:spacing w:before="60" w:after="60"/>
              <w:jc w:val="right"/>
              <w:rPr>
                <w:color w:val="000000"/>
                <w:sz w:val="18"/>
                <w:szCs w:val="18"/>
              </w:rPr>
            </w:pPr>
            <w:r w:rsidRPr="00B416C4">
              <w:rPr>
                <w:sz w:val="18"/>
                <w:szCs w:val="18"/>
              </w:rPr>
              <w:t>203.50</w:t>
            </w:r>
          </w:p>
        </w:tc>
        <w:tc>
          <w:tcPr>
            <w:tcW w:w="810" w:type="dxa"/>
            <w:shd w:val="clear" w:color="auto" w:fill="auto"/>
          </w:tcPr>
          <w:p w14:paraId="65BB70BB" w14:textId="77777777" w:rsidR="00C671DA" w:rsidRPr="00BA2B9B" w:rsidRDefault="00C671DA" w:rsidP="00C36D4F">
            <w:pPr>
              <w:spacing w:before="60" w:after="60"/>
              <w:jc w:val="center"/>
              <w:rPr>
                <w:color w:val="000000"/>
                <w:sz w:val="20"/>
                <w:szCs w:val="20"/>
              </w:rPr>
            </w:pPr>
            <w:r w:rsidRPr="00BA2B9B">
              <w:rPr>
                <w:sz w:val="20"/>
                <w:szCs w:val="20"/>
              </w:rPr>
              <w:t>$190</w:t>
            </w:r>
          </w:p>
        </w:tc>
        <w:tc>
          <w:tcPr>
            <w:tcW w:w="990" w:type="dxa"/>
            <w:gridSpan w:val="2"/>
            <w:tcBorders>
              <w:right w:val="single" w:sz="4" w:space="0" w:color="auto"/>
            </w:tcBorders>
            <w:shd w:val="clear" w:color="auto" w:fill="auto"/>
          </w:tcPr>
          <w:p w14:paraId="62E0B349" w14:textId="77777777" w:rsidR="00C671DA" w:rsidRPr="008865E7" w:rsidRDefault="00C671DA" w:rsidP="00C36D4F">
            <w:pPr>
              <w:spacing w:before="60" w:after="60"/>
              <w:ind w:hanging="110"/>
              <w:jc w:val="right"/>
              <w:rPr>
                <w:color w:val="000000"/>
                <w:sz w:val="17"/>
                <w:szCs w:val="17"/>
              </w:rPr>
            </w:pPr>
            <w:r w:rsidRPr="008865E7">
              <w:rPr>
                <w:sz w:val="17"/>
                <w:szCs w:val="17"/>
              </w:rPr>
              <w:t>D.17-04-032</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14AF34D" w14:textId="77777777" w:rsidR="00C671DA" w:rsidRPr="008865E7" w:rsidRDefault="00C671DA" w:rsidP="00C36D4F">
            <w:pPr>
              <w:spacing w:before="60" w:after="60"/>
              <w:jc w:val="right"/>
              <w:rPr>
                <w:color w:val="000000"/>
                <w:sz w:val="17"/>
                <w:szCs w:val="17"/>
              </w:rPr>
            </w:pPr>
            <w:r w:rsidRPr="008865E7">
              <w:rPr>
                <w:sz w:val="17"/>
                <w:szCs w:val="17"/>
              </w:rPr>
              <w:t>$38,665.00</w:t>
            </w:r>
          </w:p>
        </w:tc>
        <w:tc>
          <w:tcPr>
            <w:tcW w:w="1440" w:type="dxa"/>
            <w:gridSpan w:val="2"/>
            <w:tcBorders>
              <w:left w:val="single" w:sz="4" w:space="0" w:color="auto"/>
            </w:tcBorders>
            <w:shd w:val="clear" w:color="auto" w:fill="auto"/>
          </w:tcPr>
          <w:p w14:paraId="1364AD83" w14:textId="77777777" w:rsidR="00C671DA" w:rsidRPr="00BA2B9B" w:rsidRDefault="00C671DA" w:rsidP="00C36D4F">
            <w:pPr>
              <w:spacing w:before="60" w:after="60"/>
              <w:jc w:val="right"/>
              <w:rPr>
                <w:color w:val="000000"/>
                <w:sz w:val="20"/>
                <w:szCs w:val="20"/>
              </w:rPr>
            </w:pPr>
            <w:r>
              <w:rPr>
                <w:color w:val="000000"/>
                <w:sz w:val="20"/>
                <w:szCs w:val="20"/>
              </w:rPr>
              <w:t>203.5</w:t>
            </w:r>
          </w:p>
        </w:tc>
        <w:tc>
          <w:tcPr>
            <w:tcW w:w="900" w:type="dxa"/>
            <w:shd w:val="clear" w:color="auto" w:fill="auto"/>
          </w:tcPr>
          <w:p w14:paraId="18613A95" w14:textId="77777777" w:rsidR="00C671DA" w:rsidRPr="00BA2B9B" w:rsidRDefault="00C671DA" w:rsidP="00C36D4F">
            <w:pPr>
              <w:spacing w:before="60" w:after="60"/>
              <w:jc w:val="center"/>
              <w:rPr>
                <w:color w:val="000000"/>
                <w:sz w:val="20"/>
                <w:szCs w:val="20"/>
              </w:rPr>
            </w:pPr>
            <w:r>
              <w:rPr>
                <w:color w:val="000000"/>
                <w:sz w:val="20"/>
                <w:szCs w:val="20"/>
              </w:rPr>
              <w:t>$190</w:t>
            </w:r>
          </w:p>
        </w:tc>
        <w:tc>
          <w:tcPr>
            <w:tcW w:w="1170" w:type="dxa"/>
            <w:shd w:val="clear" w:color="auto" w:fill="auto"/>
          </w:tcPr>
          <w:p w14:paraId="65111E40" w14:textId="77777777" w:rsidR="00C671DA" w:rsidRPr="00BA2B9B" w:rsidRDefault="00C671DA" w:rsidP="00C36D4F">
            <w:pPr>
              <w:spacing w:before="60" w:after="60"/>
              <w:jc w:val="right"/>
              <w:rPr>
                <w:color w:val="000000"/>
                <w:sz w:val="20"/>
                <w:szCs w:val="20"/>
              </w:rPr>
            </w:pPr>
            <w:r>
              <w:rPr>
                <w:color w:val="000000"/>
                <w:sz w:val="20"/>
                <w:szCs w:val="20"/>
              </w:rPr>
              <w:t>$38,665.00</w:t>
            </w:r>
          </w:p>
        </w:tc>
      </w:tr>
      <w:tr w:rsidR="00C671DA" w:rsidRPr="00BA2B9B" w14:paraId="5BAF896C" w14:textId="77777777" w:rsidTr="00C36D4F">
        <w:tc>
          <w:tcPr>
            <w:tcW w:w="1458" w:type="dxa"/>
            <w:gridSpan w:val="3"/>
            <w:shd w:val="clear" w:color="auto" w:fill="auto"/>
          </w:tcPr>
          <w:p w14:paraId="26DBBBCC" w14:textId="77777777" w:rsidR="00C671DA" w:rsidRPr="00BA2B9B" w:rsidRDefault="00C671DA" w:rsidP="00C36D4F">
            <w:pPr>
              <w:spacing w:before="60" w:after="60"/>
              <w:rPr>
                <w:color w:val="000000"/>
                <w:sz w:val="20"/>
                <w:szCs w:val="20"/>
              </w:rPr>
            </w:pPr>
            <w:r w:rsidRPr="00BA2B9B">
              <w:rPr>
                <w:sz w:val="20"/>
                <w:szCs w:val="20"/>
              </w:rPr>
              <w:t>Paul Alvarez</w:t>
            </w:r>
          </w:p>
        </w:tc>
        <w:tc>
          <w:tcPr>
            <w:tcW w:w="697" w:type="dxa"/>
            <w:shd w:val="clear" w:color="auto" w:fill="auto"/>
          </w:tcPr>
          <w:p w14:paraId="56C04033"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286BBC1F" w14:textId="77777777" w:rsidR="00C671DA" w:rsidRPr="00B416C4" w:rsidRDefault="00C671DA" w:rsidP="00C36D4F">
            <w:pPr>
              <w:spacing w:before="60" w:after="60"/>
              <w:jc w:val="right"/>
              <w:rPr>
                <w:color w:val="000000"/>
                <w:sz w:val="18"/>
                <w:szCs w:val="18"/>
              </w:rPr>
            </w:pPr>
            <w:r w:rsidRPr="00B416C4">
              <w:rPr>
                <w:sz w:val="18"/>
                <w:szCs w:val="18"/>
              </w:rPr>
              <w:t>160.75</w:t>
            </w:r>
          </w:p>
        </w:tc>
        <w:tc>
          <w:tcPr>
            <w:tcW w:w="810" w:type="dxa"/>
            <w:shd w:val="clear" w:color="auto" w:fill="auto"/>
          </w:tcPr>
          <w:p w14:paraId="481CB1B3" w14:textId="77777777" w:rsidR="00C671DA" w:rsidRPr="00BA2B9B" w:rsidRDefault="00C671DA" w:rsidP="00C36D4F">
            <w:pPr>
              <w:spacing w:before="60" w:after="60"/>
              <w:jc w:val="center"/>
              <w:rPr>
                <w:color w:val="000000"/>
                <w:sz w:val="20"/>
                <w:szCs w:val="20"/>
              </w:rPr>
            </w:pPr>
            <w:r w:rsidRPr="00BA2B9B">
              <w:rPr>
                <w:sz w:val="20"/>
                <w:szCs w:val="20"/>
              </w:rPr>
              <w:t>$275</w:t>
            </w:r>
          </w:p>
        </w:tc>
        <w:tc>
          <w:tcPr>
            <w:tcW w:w="990" w:type="dxa"/>
            <w:gridSpan w:val="2"/>
            <w:tcBorders>
              <w:right w:val="single" w:sz="4" w:space="0" w:color="auto"/>
            </w:tcBorders>
            <w:shd w:val="clear" w:color="auto" w:fill="auto"/>
          </w:tcPr>
          <w:p w14:paraId="0FDA01F6" w14:textId="77777777" w:rsidR="00C671DA" w:rsidRPr="008865E7" w:rsidRDefault="00C671DA" w:rsidP="00C36D4F">
            <w:pPr>
              <w:spacing w:before="60" w:after="60"/>
              <w:jc w:val="right"/>
              <w:rPr>
                <w:color w:val="000000"/>
                <w:sz w:val="17"/>
                <w:szCs w:val="17"/>
              </w:rPr>
            </w:pPr>
            <w:r w:rsidRPr="008865E7">
              <w:rPr>
                <w:sz w:val="17"/>
                <w:szCs w:val="17"/>
              </w:rPr>
              <w:t>See Comment #4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989FD5B" w14:textId="77777777" w:rsidR="00C671DA" w:rsidRPr="008865E7" w:rsidRDefault="00C671DA" w:rsidP="00C36D4F">
            <w:pPr>
              <w:spacing w:before="60" w:after="60"/>
              <w:jc w:val="right"/>
              <w:rPr>
                <w:color w:val="000000"/>
                <w:sz w:val="17"/>
                <w:szCs w:val="17"/>
              </w:rPr>
            </w:pPr>
            <w:r w:rsidRPr="008865E7">
              <w:rPr>
                <w:sz w:val="17"/>
                <w:szCs w:val="17"/>
              </w:rPr>
              <w:t>$44,206.25</w:t>
            </w:r>
          </w:p>
        </w:tc>
        <w:tc>
          <w:tcPr>
            <w:tcW w:w="1440" w:type="dxa"/>
            <w:gridSpan w:val="2"/>
            <w:tcBorders>
              <w:left w:val="single" w:sz="4" w:space="0" w:color="auto"/>
            </w:tcBorders>
            <w:shd w:val="clear" w:color="auto" w:fill="auto"/>
          </w:tcPr>
          <w:p w14:paraId="7DC94E5E" w14:textId="77777777" w:rsidR="00C671DA" w:rsidRPr="00BA2B9B" w:rsidRDefault="00C671DA" w:rsidP="00C36D4F">
            <w:pPr>
              <w:spacing w:before="60" w:after="60"/>
              <w:jc w:val="right"/>
              <w:rPr>
                <w:color w:val="000000"/>
                <w:sz w:val="20"/>
                <w:szCs w:val="20"/>
              </w:rPr>
            </w:pPr>
            <w:r>
              <w:rPr>
                <w:color w:val="000000"/>
                <w:sz w:val="20"/>
                <w:szCs w:val="20"/>
              </w:rPr>
              <w:t>160.75</w:t>
            </w:r>
          </w:p>
        </w:tc>
        <w:tc>
          <w:tcPr>
            <w:tcW w:w="900" w:type="dxa"/>
            <w:shd w:val="clear" w:color="auto" w:fill="auto"/>
          </w:tcPr>
          <w:p w14:paraId="2ED062D6" w14:textId="77777777" w:rsidR="00C671DA" w:rsidRPr="00BA2B9B" w:rsidRDefault="00C671DA" w:rsidP="00C36D4F">
            <w:pPr>
              <w:spacing w:before="60" w:after="60"/>
              <w:jc w:val="center"/>
              <w:rPr>
                <w:color w:val="000000"/>
                <w:sz w:val="20"/>
                <w:szCs w:val="20"/>
              </w:rPr>
            </w:pPr>
            <w:r>
              <w:rPr>
                <w:color w:val="000000"/>
                <w:sz w:val="20"/>
                <w:szCs w:val="20"/>
              </w:rPr>
              <w:t>$275</w:t>
            </w:r>
          </w:p>
        </w:tc>
        <w:tc>
          <w:tcPr>
            <w:tcW w:w="1170" w:type="dxa"/>
            <w:shd w:val="clear" w:color="auto" w:fill="auto"/>
          </w:tcPr>
          <w:p w14:paraId="0B6C7ACC" w14:textId="77777777" w:rsidR="00C671DA" w:rsidRPr="00BA2B9B" w:rsidRDefault="00C671DA" w:rsidP="00C36D4F">
            <w:pPr>
              <w:spacing w:before="60" w:after="60"/>
              <w:jc w:val="right"/>
              <w:rPr>
                <w:color w:val="000000"/>
                <w:sz w:val="20"/>
                <w:szCs w:val="20"/>
              </w:rPr>
            </w:pPr>
            <w:r>
              <w:rPr>
                <w:color w:val="000000"/>
                <w:sz w:val="20"/>
                <w:szCs w:val="20"/>
              </w:rPr>
              <w:t>$44,206.25</w:t>
            </w:r>
          </w:p>
        </w:tc>
      </w:tr>
      <w:tr w:rsidR="00C671DA" w:rsidRPr="00BA2B9B" w14:paraId="6EB8E2F0" w14:textId="77777777" w:rsidTr="00C36D4F">
        <w:tc>
          <w:tcPr>
            <w:tcW w:w="1458" w:type="dxa"/>
            <w:gridSpan w:val="3"/>
            <w:shd w:val="clear" w:color="auto" w:fill="auto"/>
          </w:tcPr>
          <w:p w14:paraId="7837DF9A" w14:textId="77777777" w:rsidR="00C671DA" w:rsidRPr="00BA2B9B" w:rsidRDefault="00C671DA" w:rsidP="00C36D4F">
            <w:pPr>
              <w:spacing w:before="60" w:after="60"/>
              <w:rPr>
                <w:color w:val="000000"/>
                <w:sz w:val="20"/>
                <w:szCs w:val="20"/>
              </w:rPr>
            </w:pPr>
            <w:r w:rsidRPr="00BA2B9B">
              <w:rPr>
                <w:sz w:val="20"/>
                <w:szCs w:val="20"/>
              </w:rPr>
              <w:t>Thomas Carter</w:t>
            </w:r>
          </w:p>
        </w:tc>
        <w:tc>
          <w:tcPr>
            <w:tcW w:w="697" w:type="dxa"/>
            <w:shd w:val="clear" w:color="auto" w:fill="auto"/>
          </w:tcPr>
          <w:p w14:paraId="128A2251"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58532B35" w14:textId="77777777" w:rsidR="00C671DA" w:rsidRPr="00B416C4" w:rsidRDefault="00C671DA" w:rsidP="00C36D4F">
            <w:pPr>
              <w:spacing w:before="60" w:after="60"/>
              <w:jc w:val="right"/>
              <w:rPr>
                <w:color w:val="000000"/>
                <w:sz w:val="18"/>
                <w:szCs w:val="18"/>
              </w:rPr>
            </w:pPr>
            <w:r w:rsidRPr="00B416C4">
              <w:rPr>
                <w:sz w:val="18"/>
                <w:szCs w:val="18"/>
              </w:rPr>
              <w:t>10.00</w:t>
            </w:r>
          </w:p>
        </w:tc>
        <w:tc>
          <w:tcPr>
            <w:tcW w:w="810" w:type="dxa"/>
            <w:shd w:val="clear" w:color="auto" w:fill="auto"/>
          </w:tcPr>
          <w:p w14:paraId="09AD696C" w14:textId="77777777" w:rsidR="00C671DA" w:rsidRPr="00BA2B9B" w:rsidRDefault="00C671DA" w:rsidP="00C36D4F">
            <w:pPr>
              <w:spacing w:before="60" w:after="60"/>
              <w:jc w:val="center"/>
              <w:rPr>
                <w:color w:val="000000"/>
                <w:sz w:val="20"/>
                <w:szCs w:val="20"/>
              </w:rPr>
            </w:pPr>
            <w:r w:rsidRPr="00BA2B9B">
              <w:rPr>
                <w:sz w:val="20"/>
                <w:szCs w:val="20"/>
              </w:rPr>
              <w:t>$225</w:t>
            </w:r>
          </w:p>
        </w:tc>
        <w:tc>
          <w:tcPr>
            <w:tcW w:w="990" w:type="dxa"/>
            <w:gridSpan w:val="2"/>
            <w:tcBorders>
              <w:right w:val="single" w:sz="4" w:space="0" w:color="auto"/>
            </w:tcBorders>
            <w:shd w:val="clear" w:color="auto" w:fill="auto"/>
          </w:tcPr>
          <w:p w14:paraId="5CB20D8E" w14:textId="77777777" w:rsidR="00C671DA" w:rsidRPr="008865E7" w:rsidRDefault="00C671DA" w:rsidP="00C36D4F">
            <w:pPr>
              <w:spacing w:before="60" w:after="60"/>
              <w:jc w:val="right"/>
              <w:rPr>
                <w:color w:val="000000"/>
                <w:sz w:val="18"/>
                <w:szCs w:val="18"/>
              </w:rPr>
            </w:pPr>
            <w:r w:rsidRPr="008865E7">
              <w:rPr>
                <w:sz w:val="18"/>
                <w:szCs w:val="18"/>
              </w:rPr>
              <w:t>See Comment #4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5BED8B4" w14:textId="77777777" w:rsidR="00C671DA" w:rsidRPr="008865E7" w:rsidRDefault="00C671DA" w:rsidP="00C36D4F">
            <w:pPr>
              <w:spacing w:before="60" w:after="60"/>
              <w:jc w:val="right"/>
              <w:rPr>
                <w:color w:val="000000"/>
                <w:sz w:val="17"/>
                <w:szCs w:val="17"/>
              </w:rPr>
            </w:pPr>
            <w:r w:rsidRPr="008865E7">
              <w:rPr>
                <w:sz w:val="17"/>
                <w:szCs w:val="17"/>
              </w:rPr>
              <w:t>$2,250.00</w:t>
            </w:r>
          </w:p>
        </w:tc>
        <w:tc>
          <w:tcPr>
            <w:tcW w:w="1440" w:type="dxa"/>
            <w:gridSpan w:val="2"/>
            <w:tcBorders>
              <w:left w:val="single" w:sz="4" w:space="0" w:color="auto"/>
            </w:tcBorders>
            <w:shd w:val="clear" w:color="auto" w:fill="auto"/>
          </w:tcPr>
          <w:p w14:paraId="758C3C3E" w14:textId="77777777" w:rsidR="00C671DA" w:rsidRPr="00BA2B9B" w:rsidRDefault="00C671DA" w:rsidP="00C36D4F">
            <w:pPr>
              <w:spacing w:before="60" w:after="60"/>
              <w:jc w:val="right"/>
              <w:rPr>
                <w:color w:val="000000"/>
                <w:sz w:val="20"/>
                <w:szCs w:val="20"/>
              </w:rPr>
            </w:pPr>
            <w:r>
              <w:rPr>
                <w:color w:val="000000"/>
                <w:sz w:val="20"/>
                <w:szCs w:val="20"/>
              </w:rPr>
              <w:t>10</w:t>
            </w:r>
          </w:p>
        </w:tc>
        <w:tc>
          <w:tcPr>
            <w:tcW w:w="900" w:type="dxa"/>
            <w:shd w:val="clear" w:color="auto" w:fill="auto"/>
          </w:tcPr>
          <w:p w14:paraId="1FF001F9" w14:textId="77777777" w:rsidR="00C671DA" w:rsidRPr="00BA2B9B" w:rsidRDefault="00C671DA" w:rsidP="00C36D4F">
            <w:pPr>
              <w:spacing w:before="60" w:after="60"/>
              <w:jc w:val="center"/>
              <w:rPr>
                <w:color w:val="000000"/>
                <w:sz w:val="20"/>
                <w:szCs w:val="20"/>
              </w:rPr>
            </w:pPr>
            <w:r>
              <w:rPr>
                <w:color w:val="000000"/>
                <w:sz w:val="20"/>
                <w:szCs w:val="20"/>
              </w:rPr>
              <w:t>$225</w:t>
            </w:r>
          </w:p>
        </w:tc>
        <w:tc>
          <w:tcPr>
            <w:tcW w:w="1170" w:type="dxa"/>
            <w:shd w:val="clear" w:color="auto" w:fill="auto"/>
          </w:tcPr>
          <w:p w14:paraId="55887337" w14:textId="77777777" w:rsidR="00C671DA" w:rsidRPr="00BA2B9B" w:rsidRDefault="00C671DA" w:rsidP="00C36D4F">
            <w:pPr>
              <w:spacing w:before="60" w:after="60"/>
              <w:jc w:val="right"/>
              <w:rPr>
                <w:color w:val="000000"/>
                <w:sz w:val="20"/>
                <w:szCs w:val="20"/>
              </w:rPr>
            </w:pPr>
            <w:r>
              <w:rPr>
                <w:color w:val="000000"/>
                <w:sz w:val="20"/>
                <w:szCs w:val="20"/>
              </w:rPr>
              <w:t>$2,250.00</w:t>
            </w:r>
          </w:p>
        </w:tc>
      </w:tr>
      <w:tr w:rsidR="00C671DA" w:rsidRPr="00BA2B9B" w14:paraId="34595A4F" w14:textId="77777777" w:rsidTr="00C36D4F">
        <w:tc>
          <w:tcPr>
            <w:tcW w:w="1458" w:type="dxa"/>
            <w:gridSpan w:val="3"/>
            <w:shd w:val="clear" w:color="auto" w:fill="auto"/>
          </w:tcPr>
          <w:p w14:paraId="45E708D9" w14:textId="77777777" w:rsidR="00C671DA" w:rsidRPr="00BA2B9B" w:rsidRDefault="00C671DA" w:rsidP="00C36D4F">
            <w:pPr>
              <w:spacing w:before="60" w:after="60"/>
              <w:rPr>
                <w:color w:val="000000"/>
                <w:sz w:val="20"/>
                <w:szCs w:val="20"/>
              </w:rPr>
            </w:pPr>
            <w:r w:rsidRPr="00BA2B9B">
              <w:rPr>
                <w:sz w:val="20"/>
                <w:szCs w:val="20"/>
              </w:rPr>
              <w:t>Roger Colton</w:t>
            </w:r>
          </w:p>
        </w:tc>
        <w:tc>
          <w:tcPr>
            <w:tcW w:w="697" w:type="dxa"/>
            <w:shd w:val="clear" w:color="auto" w:fill="auto"/>
          </w:tcPr>
          <w:p w14:paraId="4B4B49D1"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225BC0BA" w14:textId="77777777" w:rsidR="00C671DA" w:rsidRPr="00B416C4" w:rsidRDefault="00C671DA" w:rsidP="00C36D4F">
            <w:pPr>
              <w:spacing w:before="60" w:after="60"/>
              <w:jc w:val="right"/>
              <w:rPr>
                <w:color w:val="000000"/>
                <w:sz w:val="18"/>
                <w:szCs w:val="18"/>
              </w:rPr>
            </w:pPr>
            <w:r w:rsidRPr="00B416C4">
              <w:rPr>
                <w:sz w:val="18"/>
                <w:szCs w:val="18"/>
              </w:rPr>
              <w:t>23.00</w:t>
            </w:r>
          </w:p>
        </w:tc>
        <w:tc>
          <w:tcPr>
            <w:tcW w:w="810" w:type="dxa"/>
            <w:shd w:val="clear" w:color="auto" w:fill="auto"/>
          </w:tcPr>
          <w:p w14:paraId="34FD6554" w14:textId="77777777" w:rsidR="00C671DA" w:rsidRPr="00BA2B9B" w:rsidRDefault="00C671DA" w:rsidP="00C36D4F">
            <w:pPr>
              <w:spacing w:before="60" w:after="60"/>
              <w:jc w:val="center"/>
              <w:rPr>
                <w:color w:val="000000"/>
                <w:sz w:val="20"/>
                <w:szCs w:val="20"/>
              </w:rPr>
            </w:pPr>
            <w:r w:rsidRPr="00BA2B9B">
              <w:rPr>
                <w:sz w:val="20"/>
                <w:szCs w:val="20"/>
              </w:rPr>
              <w:t>$250</w:t>
            </w:r>
          </w:p>
        </w:tc>
        <w:tc>
          <w:tcPr>
            <w:tcW w:w="990" w:type="dxa"/>
            <w:gridSpan w:val="2"/>
            <w:tcBorders>
              <w:right w:val="single" w:sz="4" w:space="0" w:color="auto"/>
            </w:tcBorders>
            <w:shd w:val="clear" w:color="auto" w:fill="auto"/>
          </w:tcPr>
          <w:p w14:paraId="78252579" w14:textId="77777777" w:rsidR="00C671DA" w:rsidRPr="008865E7" w:rsidRDefault="00C671DA" w:rsidP="00C36D4F">
            <w:pPr>
              <w:spacing w:before="60" w:after="60"/>
              <w:jc w:val="right"/>
              <w:rPr>
                <w:color w:val="000000"/>
                <w:sz w:val="18"/>
                <w:szCs w:val="18"/>
              </w:rPr>
            </w:pPr>
            <w:r w:rsidRPr="008865E7">
              <w:rPr>
                <w:sz w:val="18"/>
                <w:szCs w:val="18"/>
              </w:rPr>
              <w:t>See Comment #3</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441B8A9E" w14:textId="77777777" w:rsidR="00C671DA" w:rsidRPr="008865E7" w:rsidRDefault="00C671DA" w:rsidP="00C36D4F">
            <w:pPr>
              <w:spacing w:before="60" w:after="60"/>
              <w:jc w:val="right"/>
              <w:rPr>
                <w:color w:val="000000"/>
                <w:sz w:val="17"/>
                <w:szCs w:val="17"/>
              </w:rPr>
            </w:pPr>
            <w:r w:rsidRPr="008865E7">
              <w:rPr>
                <w:sz w:val="17"/>
                <w:szCs w:val="17"/>
              </w:rPr>
              <w:t>$5,750.00</w:t>
            </w:r>
          </w:p>
        </w:tc>
        <w:tc>
          <w:tcPr>
            <w:tcW w:w="1440" w:type="dxa"/>
            <w:gridSpan w:val="2"/>
            <w:tcBorders>
              <w:left w:val="single" w:sz="4" w:space="0" w:color="auto"/>
            </w:tcBorders>
            <w:shd w:val="clear" w:color="auto" w:fill="auto"/>
          </w:tcPr>
          <w:p w14:paraId="6FA1AC62" w14:textId="77777777" w:rsidR="00C671DA" w:rsidRPr="00BA2B9B" w:rsidRDefault="00C671DA" w:rsidP="00C36D4F">
            <w:pPr>
              <w:spacing w:before="60" w:after="60"/>
              <w:jc w:val="right"/>
              <w:rPr>
                <w:color w:val="000000"/>
                <w:sz w:val="20"/>
                <w:szCs w:val="20"/>
              </w:rPr>
            </w:pPr>
            <w:r>
              <w:rPr>
                <w:color w:val="000000"/>
                <w:sz w:val="20"/>
                <w:szCs w:val="20"/>
              </w:rPr>
              <w:t>23</w:t>
            </w:r>
          </w:p>
        </w:tc>
        <w:tc>
          <w:tcPr>
            <w:tcW w:w="900" w:type="dxa"/>
            <w:shd w:val="clear" w:color="auto" w:fill="auto"/>
          </w:tcPr>
          <w:p w14:paraId="285F1567" w14:textId="77777777" w:rsidR="00C671DA" w:rsidRPr="00BA2B9B" w:rsidRDefault="00C671DA" w:rsidP="00C36D4F">
            <w:pPr>
              <w:spacing w:before="60" w:after="60"/>
              <w:jc w:val="center"/>
              <w:rPr>
                <w:color w:val="000000"/>
                <w:sz w:val="20"/>
                <w:szCs w:val="20"/>
              </w:rPr>
            </w:pPr>
            <w:r>
              <w:rPr>
                <w:color w:val="000000"/>
                <w:sz w:val="20"/>
                <w:szCs w:val="20"/>
              </w:rPr>
              <w:t>$250</w:t>
            </w:r>
          </w:p>
        </w:tc>
        <w:tc>
          <w:tcPr>
            <w:tcW w:w="1170" w:type="dxa"/>
            <w:shd w:val="clear" w:color="auto" w:fill="auto"/>
          </w:tcPr>
          <w:p w14:paraId="62C4D62D" w14:textId="77777777" w:rsidR="00C671DA" w:rsidRPr="00BA2B9B" w:rsidRDefault="00C671DA" w:rsidP="00C36D4F">
            <w:pPr>
              <w:spacing w:before="60" w:after="60"/>
              <w:jc w:val="right"/>
              <w:rPr>
                <w:color w:val="000000"/>
                <w:sz w:val="20"/>
                <w:szCs w:val="20"/>
              </w:rPr>
            </w:pPr>
            <w:r>
              <w:rPr>
                <w:color w:val="000000"/>
                <w:sz w:val="20"/>
                <w:szCs w:val="20"/>
              </w:rPr>
              <w:t>$5,750.00</w:t>
            </w:r>
          </w:p>
        </w:tc>
      </w:tr>
      <w:tr w:rsidR="00C671DA" w:rsidRPr="00BA2B9B" w14:paraId="0A9F53DE" w14:textId="77777777" w:rsidTr="00C36D4F">
        <w:tc>
          <w:tcPr>
            <w:tcW w:w="1458" w:type="dxa"/>
            <w:gridSpan w:val="3"/>
            <w:shd w:val="clear" w:color="auto" w:fill="auto"/>
          </w:tcPr>
          <w:p w14:paraId="62EA59FF" w14:textId="77777777" w:rsidR="00C671DA" w:rsidRPr="00BA2B9B" w:rsidRDefault="00C671DA" w:rsidP="00C36D4F">
            <w:pPr>
              <w:spacing w:before="60" w:after="60"/>
              <w:rPr>
                <w:color w:val="000000"/>
                <w:sz w:val="20"/>
                <w:szCs w:val="20"/>
              </w:rPr>
            </w:pPr>
            <w:r w:rsidRPr="00BA2B9B">
              <w:rPr>
                <w:sz w:val="20"/>
                <w:szCs w:val="20"/>
              </w:rPr>
              <w:t>Roger Colton</w:t>
            </w:r>
          </w:p>
        </w:tc>
        <w:tc>
          <w:tcPr>
            <w:tcW w:w="697" w:type="dxa"/>
            <w:shd w:val="clear" w:color="auto" w:fill="auto"/>
          </w:tcPr>
          <w:p w14:paraId="538B688C"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2636A5B1" w14:textId="77777777" w:rsidR="00C671DA" w:rsidRPr="00B416C4" w:rsidRDefault="00C671DA" w:rsidP="00C36D4F">
            <w:pPr>
              <w:spacing w:before="60" w:after="60"/>
              <w:jc w:val="right"/>
              <w:rPr>
                <w:color w:val="000000"/>
                <w:sz w:val="18"/>
                <w:szCs w:val="18"/>
              </w:rPr>
            </w:pPr>
            <w:r w:rsidRPr="00B416C4">
              <w:rPr>
                <w:sz w:val="18"/>
                <w:szCs w:val="18"/>
              </w:rPr>
              <w:t>116.00</w:t>
            </w:r>
          </w:p>
        </w:tc>
        <w:tc>
          <w:tcPr>
            <w:tcW w:w="810" w:type="dxa"/>
            <w:shd w:val="clear" w:color="auto" w:fill="auto"/>
          </w:tcPr>
          <w:p w14:paraId="197F412F" w14:textId="77777777" w:rsidR="00C671DA" w:rsidRPr="00BA2B9B" w:rsidRDefault="00C671DA" w:rsidP="00C36D4F">
            <w:pPr>
              <w:spacing w:before="60" w:after="60"/>
              <w:jc w:val="center"/>
              <w:rPr>
                <w:color w:val="000000"/>
                <w:sz w:val="20"/>
                <w:szCs w:val="20"/>
              </w:rPr>
            </w:pPr>
            <w:r w:rsidRPr="00BA2B9B">
              <w:rPr>
                <w:sz w:val="20"/>
                <w:szCs w:val="20"/>
              </w:rPr>
              <w:t>$250</w:t>
            </w:r>
          </w:p>
        </w:tc>
        <w:tc>
          <w:tcPr>
            <w:tcW w:w="990" w:type="dxa"/>
            <w:gridSpan w:val="2"/>
            <w:tcBorders>
              <w:right w:val="single" w:sz="4" w:space="0" w:color="auto"/>
            </w:tcBorders>
            <w:shd w:val="clear" w:color="auto" w:fill="auto"/>
          </w:tcPr>
          <w:p w14:paraId="41F45F4C" w14:textId="77777777" w:rsidR="00C671DA" w:rsidRPr="008865E7" w:rsidRDefault="00C671DA" w:rsidP="00C36D4F">
            <w:pPr>
              <w:spacing w:before="60" w:after="60"/>
              <w:jc w:val="right"/>
              <w:rPr>
                <w:color w:val="000000"/>
                <w:sz w:val="18"/>
                <w:szCs w:val="18"/>
              </w:rPr>
            </w:pPr>
            <w:r w:rsidRPr="008865E7">
              <w:rPr>
                <w:sz w:val="18"/>
                <w:szCs w:val="18"/>
              </w:rPr>
              <w:t>See Comment #3</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6F8BB6D" w14:textId="77777777" w:rsidR="00C671DA" w:rsidRPr="008865E7" w:rsidRDefault="00C671DA" w:rsidP="00C36D4F">
            <w:pPr>
              <w:spacing w:before="60" w:after="60"/>
              <w:jc w:val="right"/>
              <w:rPr>
                <w:color w:val="000000"/>
                <w:sz w:val="17"/>
                <w:szCs w:val="17"/>
              </w:rPr>
            </w:pPr>
            <w:r w:rsidRPr="008865E7">
              <w:rPr>
                <w:sz w:val="17"/>
                <w:szCs w:val="17"/>
              </w:rPr>
              <w:t>$29,000.00</w:t>
            </w:r>
          </w:p>
        </w:tc>
        <w:tc>
          <w:tcPr>
            <w:tcW w:w="1440" w:type="dxa"/>
            <w:gridSpan w:val="2"/>
            <w:tcBorders>
              <w:left w:val="single" w:sz="4" w:space="0" w:color="auto"/>
            </w:tcBorders>
            <w:shd w:val="clear" w:color="auto" w:fill="auto"/>
          </w:tcPr>
          <w:p w14:paraId="1F3B361E" w14:textId="77777777" w:rsidR="00C671DA" w:rsidRPr="00BA2B9B" w:rsidRDefault="00C671DA" w:rsidP="00C36D4F">
            <w:pPr>
              <w:spacing w:before="60" w:after="60"/>
              <w:jc w:val="right"/>
              <w:rPr>
                <w:color w:val="000000"/>
                <w:sz w:val="20"/>
                <w:szCs w:val="20"/>
              </w:rPr>
            </w:pPr>
            <w:r>
              <w:rPr>
                <w:color w:val="000000"/>
                <w:sz w:val="20"/>
                <w:szCs w:val="20"/>
              </w:rPr>
              <w:t>116</w:t>
            </w:r>
          </w:p>
        </w:tc>
        <w:tc>
          <w:tcPr>
            <w:tcW w:w="900" w:type="dxa"/>
            <w:shd w:val="clear" w:color="auto" w:fill="auto"/>
          </w:tcPr>
          <w:p w14:paraId="3D97D77E" w14:textId="77777777" w:rsidR="00C671DA" w:rsidRPr="00BA2B9B" w:rsidRDefault="00C671DA" w:rsidP="00C36D4F">
            <w:pPr>
              <w:spacing w:before="60" w:after="60"/>
              <w:jc w:val="center"/>
              <w:rPr>
                <w:color w:val="000000"/>
                <w:sz w:val="20"/>
                <w:szCs w:val="20"/>
              </w:rPr>
            </w:pPr>
            <w:r>
              <w:rPr>
                <w:color w:val="000000"/>
                <w:sz w:val="20"/>
                <w:szCs w:val="20"/>
              </w:rPr>
              <w:t>$250</w:t>
            </w:r>
          </w:p>
        </w:tc>
        <w:tc>
          <w:tcPr>
            <w:tcW w:w="1170" w:type="dxa"/>
            <w:shd w:val="clear" w:color="auto" w:fill="auto"/>
          </w:tcPr>
          <w:p w14:paraId="0532D844" w14:textId="77777777" w:rsidR="00C671DA" w:rsidRPr="00BA2B9B" w:rsidRDefault="00C671DA" w:rsidP="00C36D4F">
            <w:pPr>
              <w:spacing w:before="60" w:after="60"/>
              <w:jc w:val="right"/>
              <w:rPr>
                <w:color w:val="000000"/>
                <w:sz w:val="20"/>
                <w:szCs w:val="20"/>
              </w:rPr>
            </w:pPr>
            <w:r>
              <w:rPr>
                <w:color w:val="000000"/>
                <w:sz w:val="20"/>
                <w:szCs w:val="20"/>
              </w:rPr>
              <w:t>$29,000.00</w:t>
            </w:r>
          </w:p>
        </w:tc>
      </w:tr>
      <w:tr w:rsidR="00C671DA" w:rsidRPr="00BA2B9B" w14:paraId="212D0365" w14:textId="77777777" w:rsidTr="00C36D4F">
        <w:tc>
          <w:tcPr>
            <w:tcW w:w="1458" w:type="dxa"/>
            <w:gridSpan w:val="3"/>
            <w:shd w:val="clear" w:color="auto" w:fill="auto"/>
          </w:tcPr>
          <w:p w14:paraId="1D6110BE" w14:textId="77777777" w:rsidR="00C671DA" w:rsidRPr="00BA2B9B" w:rsidRDefault="00C671DA" w:rsidP="00C36D4F">
            <w:pPr>
              <w:spacing w:before="60" w:after="60"/>
              <w:rPr>
                <w:color w:val="000000"/>
                <w:sz w:val="20"/>
                <w:szCs w:val="20"/>
              </w:rPr>
            </w:pPr>
            <w:r w:rsidRPr="00BA2B9B">
              <w:rPr>
                <w:sz w:val="20"/>
                <w:szCs w:val="20"/>
              </w:rPr>
              <w:t xml:space="preserve">James </w:t>
            </w:r>
            <w:proofErr w:type="spellStart"/>
            <w:r w:rsidRPr="00BA2B9B">
              <w:rPr>
                <w:sz w:val="20"/>
                <w:szCs w:val="20"/>
              </w:rPr>
              <w:t>Garren</w:t>
            </w:r>
            <w:proofErr w:type="spellEnd"/>
          </w:p>
        </w:tc>
        <w:tc>
          <w:tcPr>
            <w:tcW w:w="697" w:type="dxa"/>
            <w:shd w:val="clear" w:color="auto" w:fill="auto"/>
          </w:tcPr>
          <w:p w14:paraId="2FCBF921"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3F2131FE" w14:textId="77777777" w:rsidR="00C671DA" w:rsidRPr="00B416C4" w:rsidRDefault="00C671DA" w:rsidP="00C36D4F">
            <w:pPr>
              <w:spacing w:before="60" w:after="60"/>
              <w:jc w:val="right"/>
              <w:rPr>
                <w:color w:val="000000"/>
                <w:sz w:val="18"/>
                <w:szCs w:val="18"/>
              </w:rPr>
            </w:pPr>
            <w:r w:rsidRPr="00B416C4">
              <w:rPr>
                <w:sz w:val="18"/>
                <w:szCs w:val="18"/>
              </w:rPr>
              <w:t>172.00</w:t>
            </w:r>
          </w:p>
        </w:tc>
        <w:tc>
          <w:tcPr>
            <w:tcW w:w="810" w:type="dxa"/>
            <w:shd w:val="clear" w:color="auto" w:fill="auto"/>
          </w:tcPr>
          <w:p w14:paraId="7787B04A" w14:textId="77777777" w:rsidR="00C671DA" w:rsidRPr="00BA2B9B" w:rsidRDefault="00C671DA" w:rsidP="00C36D4F">
            <w:pPr>
              <w:spacing w:before="60" w:after="60"/>
              <w:jc w:val="center"/>
              <w:rPr>
                <w:color w:val="000000"/>
                <w:sz w:val="20"/>
                <w:szCs w:val="20"/>
              </w:rPr>
            </w:pPr>
            <w:r w:rsidRPr="00BA2B9B">
              <w:rPr>
                <w:sz w:val="20"/>
                <w:szCs w:val="20"/>
              </w:rPr>
              <w:t>$145</w:t>
            </w:r>
          </w:p>
        </w:tc>
        <w:tc>
          <w:tcPr>
            <w:tcW w:w="990" w:type="dxa"/>
            <w:gridSpan w:val="2"/>
            <w:tcBorders>
              <w:right w:val="single" w:sz="4" w:space="0" w:color="auto"/>
            </w:tcBorders>
            <w:shd w:val="clear" w:color="auto" w:fill="auto"/>
          </w:tcPr>
          <w:p w14:paraId="2B8310FA" w14:textId="77777777" w:rsidR="00C671DA" w:rsidRPr="008865E7" w:rsidRDefault="00C671DA" w:rsidP="00C36D4F">
            <w:pPr>
              <w:spacing w:before="60" w:after="60"/>
              <w:jc w:val="right"/>
              <w:rPr>
                <w:color w:val="000000"/>
                <w:sz w:val="18"/>
                <w:szCs w:val="18"/>
              </w:rPr>
            </w:pPr>
            <w:r w:rsidRPr="008865E7">
              <w:rPr>
                <w:sz w:val="18"/>
                <w:szCs w:val="18"/>
              </w:rPr>
              <w:t>See Comment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E2F17AB" w14:textId="77777777" w:rsidR="00C671DA" w:rsidRPr="008865E7" w:rsidRDefault="00C671DA" w:rsidP="00C36D4F">
            <w:pPr>
              <w:spacing w:before="60" w:after="60"/>
              <w:jc w:val="right"/>
              <w:rPr>
                <w:color w:val="000000"/>
                <w:sz w:val="17"/>
                <w:szCs w:val="17"/>
              </w:rPr>
            </w:pPr>
            <w:r w:rsidRPr="008865E7">
              <w:rPr>
                <w:sz w:val="17"/>
                <w:szCs w:val="17"/>
              </w:rPr>
              <w:t>$24,940.00</w:t>
            </w:r>
          </w:p>
        </w:tc>
        <w:tc>
          <w:tcPr>
            <w:tcW w:w="1440" w:type="dxa"/>
            <w:gridSpan w:val="2"/>
            <w:tcBorders>
              <w:left w:val="single" w:sz="4" w:space="0" w:color="auto"/>
            </w:tcBorders>
            <w:shd w:val="clear" w:color="auto" w:fill="auto"/>
          </w:tcPr>
          <w:p w14:paraId="4FABD496" w14:textId="77777777" w:rsidR="00C671DA" w:rsidRPr="00BA2B9B" w:rsidRDefault="00C671DA" w:rsidP="00C36D4F">
            <w:pPr>
              <w:spacing w:before="60" w:after="60"/>
              <w:jc w:val="right"/>
              <w:rPr>
                <w:color w:val="000000"/>
                <w:sz w:val="20"/>
                <w:szCs w:val="20"/>
              </w:rPr>
            </w:pPr>
            <w:r>
              <w:rPr>
                <w:color w:val="000000"/>
                <w:sz w:val="20"/>
                <w:szCs w:val="20"/>
              </w:rPr>
              <w:t>172</w:t>
            </w:r>
          </w:p>
        </w:tc>
        <w:tc>
          <w:tcPr>
            <w:tcW w:w="900" w:type="dxa"/>
            <w:shd w:val="clear" w:color="auto" w:fill="auto"/>
          </w:tcPr>
          <w:p w14:paraId="0E0753B0" w14:textId="77777777" w:rsidR="00C671DA" w:rsidRPr="00BA2B9B" w:rsidRDefault="00C671DA" w:rsidP="00C36D4F">
            <w:pPr>
              <w:spacing w:before="60" w:after="60"/>
              <w:jc w:val="center"/>
              <w:rPr>
                <w:color w:val="000000"/>
                <w:sz w:val="20"/>
                <w:szCs w:val="20"/>
              </w:rPr>
            </w:pPr>
            <w:r>
              <w:rPr>
                <w:color w:val="000000"/>
                <w:sz w:val="20"/>
                <w:szCs w:val="20"/>
              </w:rPr>
              <w:t>$145</w:t>
            </w:r>
          </w:p>
        </w:tc>
        <w:tc>
          <w:tcPr>
            <w:tcW w:w="1170" w:type="dxa"/>
            <w:shd w:val="clear" w:color="auto" w:fill="auto"/>
          </w:tcPr>
          <w:p w14:paraId="4A224E92" w14:textId="77777777" w:rsidR="00C671DA" w:rsidRPr="00BA2B9B" w:rsidRDefault="00C671DA" w:rsidP="00C36D4F">
            <w:pPr>
              <w:spacing w:before="60" w:after="60"/>
              <w:jc w:val="right"/>
              <w:rPr>
                <w:color w:val="000000"/>
                <w:sz w:val="20"/>
                <w:szCs w:val="20"/>
              </w:rPr>
            </w:pPr>
            <w:r>
              <w:rPr>
                <w:color w:val="000000"/>
                <w:sz w:val="20"/>
                <w:szCs w:val="20"/>
              </w:rPr>
              <w:t>$24,940.00</w:t>
            </w:r>
          </w:p>
        </w:tc>
      </w:tr>
      <w:tr w:rsidR="00C671DA" w:rsidRPr="00BA2B9B" w14:paraId="0BA23505" w14:textId="77777777" w:rsidTr="00C36D4F">
        <w:tc>
          <w:tcPr>
            <w:tcW w:w="1458" w:type="dxa"/>
            <w:gridSpan w:val="3"/>
            <w:shd w:val="clear" w:color="auto" w:fill="auto"/>
          </w:tcPr>
          <w:p w14:paraId="56E7F0B0" w14:textId="77777777" w:rsidR="00C671DA" w:rsidRPr="00BA2B9B" w:rsidRDefault="00C671DA" w:rsidP="00C36D4F">
            <w:pPr>
              <w:spacing w:before="60" w:after="60"/>
              <w:rPr>
                <w:color w:val="000000"/>
                <w:sz w:val="20"/>
                <w:szCs w:val="20"/>
              </w:rPr>
            </w:pPr>
            <w:r w:rsidRPr="00BA2B9B">
              <w:rPr>
                <w:sz w:val="20"/>
                <w:szCs w:val="20"/>
              </w:rPr>
              <w:lastRenderedPageBreak/>
              <w:t>Garrick Jones</w:t>
            </w:r>
          </w:p>
        </w:tc>
        <w:tc>
          <w:tcPr>
            <w:tcW w:w="697" w:type="dxa"/>
            <w:shd w:val="clear" w:color="auto" w:fill="auto"/>
          </w:tcPr>
          <w:p w14:paraId="1B097638"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5508F37F" w14:textId="77777777" w:rsidR="00C671DA" w:rsidRPr="00B416C4" w:rsidRDefault="00C671DA" w:rsidP="00C36D4F">
            <w:pPr>
              <w:spacing w:before="60" w:after="60"/>
              <w:jc w:val="right"/>
              <w:rPr>
                <w:color w:val="000000"/>
                <w:sz w:val="18"/>
                <w:szCs w:val="18"/>
              </w:rPr>
            </w:pPr>
            <w:r w:rsidRPr="00B416C4">
              <w:rPr>
                <w:sz w:val="18"/>
                <w:szCs w:val="18"/>
              </w:rPr>
              <w:t>200.10</w:t>
            </w:r>
          </w:p>
        </w:tc>
        <w:tc>
          <w:tcPr>
            <w:tcW w:w="810" w:type="dxa"/>
            <w:shd w:val="clear" w:color="auto" w:fill="auto"/>
          </w:tcPr>
          <w:p w14:paraId="53722EF8" w14:textId="77777777" w:rsidR="00C671DA" w:rsidRPr="00BA2B9B" w:rsidRDefault="00C671DA" w:rsidP="00C36D4F">
            <w:pPr>
              <w:spacing w:before="60" w:after="60"/>
              <w:jc w:val="center"/>
              <w:rPr>
                <w:color w:val="000000"/>
                <w:sz w:val="20"/>
                <w:szCs w:val="20"/>
              </w:rPr>
            </w:pPr>
            <w:r w:rsidRPr="00BA2B9B">
              <w:rPr>
                <w:sz w:val="20"/>
                <w:szCs w:val="20"/>
              </w:rPr>
              <w:t>$180</w:t>
            </w:r>
          </w:p>
        </w:tc>
        <w:tc>
          <w:tcPr>
            <w:tcW w:w="990" w:type="dxa"/>
            <w:gridSpan w:val="2"/>
            <w:tcBorders>
              <w:right w:val="single" w:sz="4" w:space="0" w:color="auto"/>
            </w:tcBorders>
            <w:shd w:val="clear" w:color="auto" w:fill="auto"/>
          </w:tcPr>
          <w:p w14:paraId="5E80C625" w14:textId="77777777" w:rsidR="00C671DA" w:rsidRPr="008865E7" w:rsidRDefault="00C671DA" w:rsidP="00C36D4F">
            <w:pPr>
              <w:spacing w:before="60" w:after="60"/>
              <w:jc w:val="right"/>
              <w:rPr>
                <w:color w:val="000000"/>
                <w:sz w:val="18"/>
                <w:szCs w:val="18"/>
              </w:rPr>
            </w:pPr>
            <w:r w:rsidRPr="008865E7">
              <w:rPr>
                <w:sz w:val="18"/>
                <w:szCs w:val="18"/>
              </w:rPr>
              <w:t>See Comment #7</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D3E626B" w14:textId="77777777" w:rsidR="00C671DA" w:rsidRPr="008865E7" w:rsidRDefault="00C671DA" w:rsidP="00C36D4F">
            <w:pPr>
              <w:spacing w:before="60" w:after="60"/>
              <w:jc w:val="right"/>
              <w:rPr>
                <w:color w:val="000000"/>
                <w:sz w:val="17"/>
                <w:szCs w:val="17"/>
              </w:rPr>
            </w:pPr>
            <w:r w:rsidRPr="008865E7">
              <w:rPr>
                <w:sz w:val="17"/>
                <w:szCs w:val="17"/>
              </w:rPr>
              <w:t>$36,018.00</w:t>
            </w:r>
          </w:p>
        </w:tc>
        <w:tc>
          <w:tcPr>
            <w:tcW w:w="1440" w:type="dxa"/>
            <w:gridSpan w:val="2"/>
            <w:tcBorders>
              <w:left w:val="single" w:sz="4" w:space="0" w:color="auto"/>
            </w:tcBorders>
            <w:shd w:val="clear" w:color="auto" w:fill="auto"/>
          </w:tcPr>
          <w:p w14:paraId="2D5268B5" w14:textId="77777777" w:rsidR="00C671DA" w:rsidRPr="00BA2B9B" w:rsidRDefault="00C671DA" w:rsidP="00C36D4F">
            <w:pPr>
              <w:spacing w:before="60" w:after="60"/>
              <w:jc w:val="right"/>
              <w:rPr>
                <w:color w:val="000000"/>
                <w:sz w:val="20"/>
                <w:szCs w:val="20"/>
              </w:rPr>
            </w:pPr>
            <w:r>
              <w:rPr>
                <w:color w:val="000000"/>
                <w:sz w:val="20"/>
                <w:szCs w:val="20"/>
              </w:rPr>
              <w:t>200.10</w:t>
            </w:r>
          </w:p>
        </w:tc>
        <w:tc>
          <w:tcPr>
            <w:tcW w:w="900" w:type="dxa"/>
            <w:shd w:val="clear" w:color="auto" w:fill="auto"/>
          </w:tcPr>
          <w:p w14:paraId="4D87A652" w14:textId="77777777" w:rsidR="00C671DA" w:rsidRPr="00BA2B9B" w:rsidRDefault="00C671DA" w:rsidP="00C36D4F">
            <w:pPr>
              <w:spacing w:before="60" w:after="60"/>
              <w:jc w:val="center"/>
              <w:rPr>
                <w:color w:val="000000"/>
                <w:sz w:val="20"/>
                <w:szCs w:val="20"/>
              </w:rPr>
            </w:pPr>
            <w:r>
              <w:rPr>
                <w:color w:val="000000"/>
                <w:sz w:val="20"/>
                <w:szCs w:val="20"/>
              </w:rPr>
              <w:t>$180</w:t>
            </w:r>
          </w:p>
        </w:tc>
        <w:tc>
          <w:tcPr>
            <w:tcW w:w="1170" w:type="dxa"/>
            <w:shd w:val="clear" w:color="auto" w:fill="auto"/>
          </w:tcPr>
          <w:p w14:paraId="680464F7" w14:textId="77777777" w:rsidR="00C671DA" w:rsidRPr="00BA2B9B" w:rsidRDefault="00C671DA" w:rsidP="00C36D4F">
            <w:pPr>
              <w:spacing w:before="60" w:after="60"/>
              <w:jc w:val="right"/>
              <w:rPr>
                <w:color w:val="000000"/>
                <w:sz w:val="20"/>
                <w:szCs w:val="20"/>
              </w:rPr>
            </w:pPr>
            <w:r>
              <w:rPr>
                <w:color w:val="000000"/>
                <w:sz w:val="20"/>
                <w:szCs w:val="20"/>
              </w:rPr>
              <w:t>$36,018.00</w:t>
            </w:r>
          </w:p>
        </w:tc>
      </w:tr>
      <w:tr w:rsidR="00C671DA" w:rsidRPr="00BA2B9B" w14:paraId="6F213400" w14:textId="77777777" w:rsidTr="00C36D4F">
        <w:tc>
          <w:tcPr>
            <w:tcW w:w="1458" w:type="dxa"/>
            <w:gridSpan w:val="3"/>
            <w:shd w:val="clear" w:color="auto" w:fill="auto"/>
          </w:tcPr>
          <w:p w14:paraId="68D8B9C2" w14:textId="77777777" w:rsidR="00C671DA" w:rsidRPr="00BA2B9B" w:rsidRDefault="00C671DA" w:rsidP="00C36D4F">
            <w:pPr>
              <w:spacing w:before="60" w:after="60"/>
              <w:rPr>
                <w:color w:val="000000"/>
                <w:sz w:val="20"/>
                <w:szCs w:val="20"/>
              </w:rPr>
            </w:pPr>
            <w:r w:rsidRPr="00BA2B9B">
              <w:rPr>
                <w:sz w:val="20"/>
                <w:szCs w:val="20"/>
              </w:rPr>
              <w:t>Garrick Jones</w:t>
            </w:r>
          </w:p>
        </w:tc>
        <w:tc>
          <w:tcPr>
            <w:tcW w:w="697" w:type="dxa"/>
            <w:shd w:val="clear" w:color="auto" w:fill="auto"/>
          </w:tcPr>
          <w:p w14:paraId="5D5B497A"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121EACC8" w14:textId="77777777" w:rsidR="00C671DA" w:rsidRPr="00B416C4" w:rsidRDefault="00C671DA" w:rsidP="00C36D4F">
            <w:pPr>
              <w:spacing w:before="60" w:after="60"/>
              <w:jc w:val="right"/>
              <w:rPr>
                <w:color w:val="000000"/>
                <w:sz w:val="18"/>
                <w:szCs w:val="18"/>
              </w:rPr>
            </w:pPr>
            <w:r w:rsidRPr="00B416C4">
              <w:rPr>
                <w:sz w:val="18"/>
                <w:szCs w:val="18"/>
              </w:rPr>
              <w:t>445.15</w:t>
            </w:r>
          </w:p>
        </w:tc>
        <w:tc>
          <w:tcPr>
            <w:tcW w:w="810" w:type="dxa"/>
            <w:shd w:val="clear" w:color="auto" w:fill="auto"/>
          </w:tcPr>
          <w:p w14:paraId="3DD737DE" w14:textId="77777777" w:rsidR="00C671DA" w:rsidRPr="00BA2B9B" w:rsidRDefault="00C671DA" w:rsidP="00C36D4F">
            <w:pPr>
              <w:spacing w:before="60" w:after="60"/>
              <w:jc w:val="center"/>
              <w:rPr>
                <w:color w:val="000000"/>
                <w:sz w:val="20"/>
                <w:szCs w:val="20"/>
              </w:rPr>
            </w:pPr>
            <w:r w:rsidRPr="00BA2B9B">
              <w:rPr>
                <w:sz w:val="20"/>
                <w:szCs w:val="20"/>
              </w:rPr>
              <w:t>$190</w:t>
            </w:r>
          </w:p>
        </w:tc>
        <w:tc>
          <w:tcPr>
            <w:tcW w:w="990" w:type="dxa"/>
            <w:gridSpan w:val="2"/>
            <w:tcBorders>
              <w:right w:val="single" w:sz="4" w:space="0" w:color="auto"/>
            </w:tcBorders>
            <w:shd w:val="clear" w:color="auto" w:fill="auto"/>
          </w:tcPr>
          <w:p w14:paraId="048716DE" w14:textId="77777777" w:rsidR="00C671DA" w:rsidRPr="008865E7" w:rsidRDefault="00C671DA" w:rsidP="00C36D4F">
            <w:pPr>
              <w:spacing w:before="60" w:after="60"/>
              <w:jc w:val="right"/>
              <w:rPr>
                <w:color w:val="000000"/>
                <w:sz w:val="18"/>
                <w:szCs w:val="18"/>
              </w:rPr>
            </w:pPr>
            <w:r w:rsidRPr="008865E7">
              <w:rPr>
                <w:sz w:val="18"/>
                <w:szCs w:val="18"/>
              </w:rPr>
              <w:t>See Comment #7</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4D85069C" w14:textId="77777777" w:rsidR="00C671DA" w:rsidRPr="008865E7" w:rsidRDefault="00C671DA" w:rsidP="00C36D4F">
            <w:pPr>
              <w:spacing w:before="60" w:after="60"/>
              <w:jc w:val="right"/>
              <w:rPr>
                <w:color w:val="000000"/>
                <w:sz w:val="17"/>
                <w:szCs w:val="17"/>
              </w:rPr>
            </w:pPr>
            <w:r w:rsidRPr="008865E7">
              <w:rPr>
                <w:sz w:val="17"/>
                <w:szCs w:val="17"/>
              </w:rPr>
              <w:t>$84,578.50</w:t>
            </w:r>
          </w:p>
        </w:tc>
        <w:tc>
          <w:tcPr>
            <w:tcW w:w="1440" w:type="dxa"/>
            <w:gridSpan w:val="2"/>
            <w:tcBorders>
              <w:left w:val="single" w:sz="4" w:space="0" w:color="auto"/>
            </w:tcBorders>
            <w:shd w:val="clear" w:color="auto" w:fill="auto"/>
          </w:tcPr>
          <w:p w14:paraId="035B5ED9" w14:textId="77777777" w:rsidR="00C671DA" w:rsidRPr="00BA2B9B" w:rsidRDefault="00C671DA" w:rsidP="00C36D4F">
            <w:pPr>
              <w:spacing w:before="60" w:after="60"/>
              <w:jc w:val="right"/>
              <w:rPr>
                <w:color w:val="000000"/>
                <w:sz w:val="20"/>
                <w:szCs w:val="20"/>
              </w:rPr>
            </w:pPr>
            <w:r>
              <w:rPr>
                <w:color w:val="000000"/>
                <w:sz w:val="20"/>
                <w:szCs w:val="20"/>
              </w:rPr>
              <w:t>443.85</w:t>
            </w:r>
            <w:r w:rsidRPr="001507ED">
              <w:rPr>
                <w:color w:val="000000"/>
                <w:sz w:val="20"/>
                <w:szCs w:val="20"/>
                <w:vertAlign w:val="superscript"/>
              </w:rPr>
              <w:t>[3]</w:t>
            </w:r>
          </w:p>
        </w:tc>
        <w:tc>
          <w:tcPr>
            <w:tcW w:w="900" w:type="dxa"/>
            <w:shd w:val="clear" w:color="auto" w:fill="auto"/>
          </w:tcPr>
          <w:p w14:paraId="63526BF1" w14:textId="77777777" w:rsidR="00C671DA" w:rsidRPr="00BA2B9B" w:rsidRDefault="00C671DA" w:rsidP="00C36D4F">
            <w:pPr>
              <w:spacing w:before="60" w:after="60"/>
              <w:jc w:val="center"/>
              <w:rPr>
                <w:color w:val="000000"/>
                <w:sz w:val="20"/>
                <w:szCs w:val="20"/>
              </w:rPr>
            </w:pPr>
            <w:r>
              <w:rPr>
                <w:color w:val="000000"/>
                <w:sz w:val="20"/>
                <w:szCs w:val="20"/>
              </w:rPr>
              <w:t>$190</w:t>
            </w:r>
          </w:p>
        </w:tc>
        <w:tc>
          <w:tcPr>
            <w:tcW w:w="1170" w:type="dxa"/>
            <w:shd w:val="clear" w:color="auto" w:fill="auto"/>
          </w:tcPr>
          <w:p w14:paraId="6C03F6D5" w14:textId="77777777" w:rsidR="00C671DA" w:rsidRPr="00BA2B9B" w:rsidRDefault="00C671DA" w:rsidP="00C36D4F">
            <w:pPr>
              <w:spacing w:before="60" w:after="60"/>
              <w:jc w:val="right"/>
              <w:rPr>
                <w:color w:val="000000"/>
                <w:sz w:val="20"/>
                <w:szCs w:val="20"/>
              </w:rPr>
            </w:pPr>
            <w:r>
              <w:rPr>
                <w:color w:val="000000"/>
                <w:sz w:val="20"/>
                <w:szCs w:val="20"/>
              </w:rPr>
              <w:t>$84,331.50</w:t>
            </w:r>
          </w:p>
        </w:tc>
      </w:tr>
      <w:tr w:rsidR="00C671DA" w:rsidRPr="00BA2B9B" w14:paraId="600F7874" w14:textId="77777777" w:rsidTr="00C36D4F">
        <w:tc>
          <w:tcPr>
            <w:tcW w:w="1458" w:type="dxa"/>
            <w:gridSpan w:val="3"/>
            <w:shd w:val="clear" w:color="auto" w:fill="auto"/>
          </w:tcPr>
          <w:p w14:paraId="67D4D01F" w14:textId="77777777" w:rsidR="00C671DA" w:rsidRPr="00BA2B9B" w:rsidRDefault="00C671DA" w:rsidP="00C36D4F">
            <w:pPr>
              <w:spacing w:before="60" w:after="60"/>
              <w:rPr>
                <w:color w:val="000000"/>
                <w:sz w:val="20"/>
                <w:szCs w:val="20"/>
              </w:rPr>
            </w:pPr>
            <w:r w:rsidRPr="00BA2B9B">
              <w:rPr>
                <w:sz w:val="20"/>
                <w:szCs w:val="20"/>
              </w:rPr>
              <w:t xml:space="preserve">Michael </w:t>
            </w:r>
            <w:proofErr w:type="spellStart"/>
            <w:r w:rsidRPr="00BA2B9B">
              <w:rPr>
                <w:sz w:val="20"/>
                <w:szCs w:val="20"/>
              </w:rPr>
              <w:t>Majoros</w:t>
            </w:r>
            <w:proofErr w:type="spellEnd"/>
          </w:p>
        </w:tc>
        <w:tc>
          <w:tcPr>
            <w:tcW w:w="697" w:type="dxa"/>
            <w:shd w:val="clear" w:color="auto" w:fill="auto"/>
          </w:tcPr>
          <w:p w14:paraId="6A41134B"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5D8E22E0" w14:textId="77777777" w:rsidR="00C671DA" w:rsidRPr="00B416C4" w:rsidRDefault="00C671DA" w:rsidP="00C36D4F">
            <w:pPr>
              <w:spacing w:before="60" w:after="60"/>
              <w:jc w:val="right"/>
              <w:rPr>
                <w:color w:val="000000"/>
                <w:sz w:val="18"/>
                <w:szCs w:val="18"/>
              </w:rPr>
            </w:pPr>
            <w:r w:rsidRPr="00B416C4">
              <w:rPr>
                <w:sz w:val="18"/>
                <w:szCs w:val="18"/>
              </w:rPr>
              <w:t>51.00</w:t>
            </w:r>
          </w:p>
        </w:tc>
        <w:tc>
          <w:tcPr>
            <w:tcW w:w="810" w:type="dxa"/>
            <w:shd w:val="clear" w:color="auto" w:fill="auto"/>
          </w:tcPr>
          <w:p w14:paraId="30DCC42B" w14:textId="77777777" w:rsidR="00C671DA" w:rsidRPr="00BA2B9B" w:rsidRDefault="00C671DA" w:rsidP="00C36D4F">
            <w:pPr>
              <w:spacing w:before="60" w:after="60"/>
              <w:jc w:val="center"/>
              <w:rPr>
                <w:color w:val="000000"/>
                <w:sz w:val="20"/>
                <w:szCs w:val="20"/>
              </w:rPr>
            </w:pPr>
            <w:r w:rsidRPr="00BA2B9B">
              <w:rPr>
                <w:sz w:val="20"/>
                <w:szCs w:val="20"/>
              </w:rPr>
              <w:t>$220</w:t>
            </w:r>
          </w:p>
        </w:tc>
        <w:tc>
          <w:tcPr>
            <w:tcW w:w="990" w:type="dxa"/>
            <w:gridSpan w:val="2"/>
            <w:tcBorders>
              <w:right w:val="single" w:sz="4" w:space="0" w:color="auto"/>
            </w:tcBorders>
            <w:shd w:val="clear" w:color="auto" w:fill="auto"/>
          </w:tcPr>
          <w:p w14:paraId="205E6277" w14:textId="77777777" w:rsidR="00C671DA" w:rsidRPr="008865E7" w:rsidRDefault="00C671DA" w:rsidP="00C36D4F">
            <w:pPr>
              <w:spacing w:before="60" w:after="60"/>
              <w:jc w:val="right"/>
              <w:rPr>
                <w:color w:val="000000"/>
                <w:sz w:val="14"/>
                <w:szCs w:val="14"/>
              </w:rPr>
            </w:pPr>
            <w:r w:rsidRPr="008865E7">
              <w:rPr>
                <w:sz w:val="14"/>
                <w:szCs w:val="14"/>
              </w:rPr>
              <w:t>See Comment #5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FF43596" w14:textId="77777777" w:rsidR="00C671DA" w:rsidRPr="008865E7" w:rsidRDefault="00C671DA" w:rsidP="00C36D4F">
            <w:pPr>
              <w:spacing w:before="60" w:after="60"/>
              <w:jc w:val="right"/>
              <w:rPr>
                <w:color w:val="000000"/>
                <w:sz w:val="17"/>
                <w:szCs w:val="17"/>
              </w:rPr>
            </w:pPr>
            <w:r w:rsidRPr="008865E7">
              <w:rPr>
                <w:sz w:val="17"/>
                <w:szCs w:val="17"/>
              </w:rPr>
              <w:t>$11,220.00</w:t>
            </w:r>
          </w:p>
        </w:tc>
        <w:tc>
          <w:tcPr>
            <w:tcW w:w="1440" w:type="dxa"/>
            <w:gridSpan w:val="2"/>
            <w:tcBorders>
              <w:left w:val="single" w:sz="4" w:space="0" w:color="auto"/>
            </w:tcBorders>
            <w:shd w:val="clear" w:color="auto" w:fill="auto"/>
          </w:tcPr>
          <w:p w14:paraId="36B8AAD6" w14:textId="77777777" w:rsidR="00C671DA" w:rsidRPr="00BA2B9B" w:rsidRDefault="00C671DA" w:rsidP="00C36D4F">
            <w:pPr>
              <w:spacing w:before="60" w:after="60"/>
              <w:jc w:val="right"/>
              <w:rPr>
                <w:color w:val="000000"/>
                <w:sz w:val="20"/>
                <w:szCs w:val="20"/>
              </w:rPr>
            </w:pPr>
            <w:r>
              <w:rPr>
                <w:color w:val="000000"/>
                <w:sz w:val="20"/>
                <w:szCs w:val="20"/>
              </w:rPr>
              <w:t>51</w:t>
            </w:r>
          </w:p>
        </w:tc>
        <w:tc>
          <w:tcPr>
            <w:tcW w:w="900" w:type="dxa"/>
            <w:shd w:val="clear" w:color="auto" w:fill="auto"/>
          </w:tcPr>
          <w:p w14:paraId="657EAA6F" w14:textId="77777777" w:rsidR="00C671DA" w:rsidRPr="00BA2B9B" w:rsidRDefault="00C671DA" w:rsidP="00C36D4F">
            <w:pPr>
              <w:spacing w:before="60" w:after="60"/>
              <w:jc w:val="center"/>
              <w:rPr>
                <w:color w:val="000000"/>
                <w:sz w:val="20"/>
                <w:szCs w:val="20"/>
              </w:rPr>
            </w:pPr>
            <w:r>
              <w:rPr>
                <w:color w:val="000000"/>
                <w:sz w:val="20"/>
                <w:szCs w:val="20"/>
              </w:rPr>
              <w:t>$220</w:t>
            </w:r>
          </w:p>
        </w:tc>
        <w:tc>
          <w:tcPr>
            <w:tcW w:w="1170" w:type="dxa"/>
            <w:shd w:val="clear" w:color="auto" w:fill="auto"/>
          </w:tcPr>
          <w:p w14:paraId="475D443B" w14:textId="77777777" w:rsidR="00C671DA" w:rsidRPr="00BA2B9B" w:rsidRDefault="00C671DA" w:rsidP="00C36D4F">
            <w:pPr>
              <w:spacing w:before="60" w:after="60"/>
              <w:jc w:val="right"/>
              <w:rPr>
                <w:color w:val="000000"/>
                <w:sz w:val="20"/>
                <w:szCs w:val="20"/>
              </w:rPr>
            </w:pPr>
            <w:r>
              <w:rPr>
                <w:color w:val="000000"/>
                <w:sz w:val="20"/>
                <w:szCs w:val="20"/>
              </w:rPr>
              <w:t>$11,220.00</w:t>
            </w:r>
          </w:p>
        </w:tc>
      </w:tr>
      <w:tr w:rsidR="00C671DA" w:rsidRPr="00BA2B9B" w14:paraId="3EFE481F" w14:textId="77777777" w:rsidTr="00C36D4F">
        <w:tc>
          <w:tcPr>
            <w:tcW w:w="1458" w:type="dxa"/>
            <w:gridSpan w:val="3"/>
            <w:shd w:val="clear" w:color="auto" w:fill="auto"/>
          </w:tcPr>
          <w:p w14:paraId="4C8CDEFE" w14:textId="77777777" w:rsidR="00C671DA" w:rsidRPr="00BA2B9B" w:rsidRDefault="00C671DA" w:rsidP="00C36D4F">
            <w:pPr>
              <w:spacing w:before="60" w:after="60"/>
              <w:rPr>
                <w:color w:val="000000"/>
                <w:sz w:val="20"/>
                <w:szCs w:val="20"/>
              </w:rPr>
            </w:pPr>
            <w:r w:rsidRPr="00BA2B9B">
              <w:rPr>
                <w:sz w:val="20"/>
                <w:szCs w:val="20"/>
              </w:rPr>
              <w:t xml:space="preserve">William </w:t>
            </w:r>
            <w:proofErr w:type="spellStart"/>
            <w:r w:rsidRPr="00BA2B9B">
              <w:rPr>
                <w:sz w:val="20"/>
                <w:szCs w:val="20"/>
              </w:rPr>
              <w:t>Perea</w:t>
            </w:r>
            <w:proofErr w:type="spellEnd"/>
            <w:r w:rsidRPr="00BA2B9B">
              <w:rPr>
                <w:sz w:val="20"/>
                <w:szCs w:val="20"/>
              </w:rPr>
              <w:t xml:space="preserve"> Marcus</w:t>
            </w:r>
          </w:p>
        </w:tc>
        <w:tc>
          <w:tcPr>
            <w:tcW w:w="697" w:type="dxa"/>
            <w:shd w:val="clear" w:color="auto" w:fill="auto"/>
          </w:tcPr>
          <w:p w14:paraId="5353A2D8"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4A9B19E0" w14:textId="77777777" w:rsidR="00C671DA" w:rsidRPr="00B416C4" w:rsidRDefault="00C671DA" w:rsidP="00C36D4F">
            <w:pPr>
              <w:spacing w:before="60" w:after="60"/>
              <w:jc w:val="right"/>
              <w:rPr>
                <w:color w:val="000000"/>
                <w:sz w:val="18"/>
                <w:szCs w:val="18"/>
              </w:rPr>
            </w:pPr>
            <w:r w:rsidRPr="00B416C4">
              <w:rPr>
                <w:sz w:val="18"/>
                <w:szCs w:val="18"/>
              </w:rPr>
              <w:t>9.83</w:t>
            </w:r>
          </w:p>
        </w:tc>
        <w:tc>
          <w:tcPr>
            <w:tcW w:w="810" w:type="dxa"/>
            <w:shd w:val="clear" w:color="auto" w:fill="auto"/>
          </w:tcPr>
          <w:p w14:paraId="3B3C854F" w14:textId="77777777" w:rsidR="00C671DA" w:rsidRPr="00BA2B9B" w:rsidRDefault="00C671DA" w:rsidP="00C36D4F">
            <w:pPr>
              <w:spacing w:before="60" w:after="60"/>
              <w:jc w:val="center"/>
              <w:rPr>
                <w:color w:val="000000"/>
                <w:sz w:val="20"/>
                <w:szCs w:val="20"/>
              </w:rPr>
            </w:pPr>
            <w:r w:rsidRPr="00BA2B9B">
              <w:rPr>
                <w:sz w:val="20"/>
                <w:szCs w:val="20"/>
              </w:rPr>
              <w:t>$280</w:t>
            </w:r>
          </w:p>
        </w:tc>
        <w:tc>
          <w:tcPr>
            <w:tcW w:w="990" w:type="dxa"/>
            <w:gridSpan w:val="2"/>
            <w:tcBorders>
              <w:right w:val="single" w:sz="4" w:space="0" w:color="auto"/>
            </w:tcBorders>
            <w:shd w:val="clear" w:color="auto" w:fill="auto"/>
          </w:tcPr>
          <w:p w14:paraId="1BD306DC" w14:textId="77777777" w:rsidR="00C671DA" w:rsidRPr="008865E7" w:rsidRDefault="00C671DA" w:rsidP="00C36D4F">
            <w:pPr>
              <w:spacing w:before="60" w:after="60"/>
              <w:ind w:hanging="200"/>
              <w:jc w:val="right"/>
              <w:rPr>
                <w:color w:val="000000"/>
                <w:sz w:val="17"/>
                <w:szCs w:val="17"/>
              </w:rPr>
            </w:pPr>
            <w:r w:rsidRPr="008865E7">
              <w:rPr>
                <w:sz w:val="17"/>
                <w:szCs w:val="17"/>
              </w:rPr>
              <w:t>D.16-07-012</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9BAF3A0" w14:textId="77777777" w:rsidR="00C671DA" w:rsidRPr="008865E7" w:rsidRDefault="00C671DA" w:rsidP="00C36D4F">
            <w:pPr>
              <w:spacing w:before="60" w:after="60"/>
              <w:jc w:val="right"/>
              <w:rPr>
                <w:color w:val="000000"/>
                <w:sz w:val="17"/>
                <w:szCs w:val="17"/>
              </w:rPr>
            </w:pPr>
            <w:r w:rsidRPr="008865E7">
              <w:rPr>
                <w:sz w:val="17"/>
                <w:szCs w:val="17"/>
              </w:rPr>
              <w:t>$2,752.40</w:t>
            </w:r>
          </w:p>
        </w:tc>
        <w:tc>
          <w:tcPr>
            <w:tcW w:w="1440" w:type="dxa"/>
            <w:gridSpan w:val="2"/>
            <w:tcBorders>
              <w:left w:val="single" w:sz="4" w:space="0" w:color="auto"/>
            </w:tcBorders>
            <w:shd w:val="clear" w:color="auto" w:fill="auto"/>
          </w:tcPr>
          <w:p w14:paraId="64210276" w14:textId="77777777" w:rsidR="00C671DA" w:rsidRPr="00BA2B9B" w:rsidRDefault="00C671DA" w:rsidP="00C36D4F">
            <w:pPr>
              <w:spacing w:before="60" w:after="60"/>
              <w:jc w:val="right"/>
              <w:rPr>
                <w:color w:val="000000"/>
                <w:sz w:val="20"/>
                <w:szCs w:val="20"/>
              </w:rPr>
            </w:pPr>
            <w:r>
              <w:rPr>
                <w:color w:val="000000"/>
                <w:sz w:val="20"/>
                <w:szCs w:val="20"/>
              </w:rPr>
              <w:t>7.71</w:t>
            </w:r>
            <w:r w:rsidRPr="001507ED">
              <w:rPr>
                <w:color w:val="000000"/>
                <w:sz w:val="20"/>
                <w:szCs w:val="20"/>
                <w:vertAlign w:val="superscript"/>
              </w:rPr>
              <w:t>[2]</w:t>
            </w:r>
          </w:p>
        </w:tc>
        <w:tc>
          <w:tcPr>
            <w:tcW w:w="900" w:type="dxa"/>
            <w:shd w:val="clear" w:color="auto" w:fill="auto"/>
          </w:tcPr>
          <w:p w14:paraId="616851B1" w14:textId="77777777" w:rsidR="00C671DA" w:rsidRPr="00BA2B9B" w:rsidRDefault="00C671DA" w:rsidP="00C36D4F">
            <w:pPr>
              <w:spacing w:before="60" w:after="60"/>
              <w:jc w:val="center"/>
              <w:rPr>
                <w:color w:val="000000"/>
                <w:sz w:val="20"/>
                <w:szCs w:val="20"/>
              </w:rPr>
            </w:pPr>
            <w:r>
              <w:rPr>
                <w:color w:val="000000"/>
                <w:sz w:val="20"/>
                <w:szCs w:val="20"/>
              </w:rPr>
              <w:t>$280</w:t>
            </w:r>
          </w:p>
        </w:tc>
        <w:tc>
          <w:tcPr>
            <w:tcW w:w="1170" w:type="dxa"/>
            <w:shd w:val="clear" w:color="auto" w:fill="auto"/>
          </w:tcPr>
          <w:p w14:paraId="7A12D18F" w14:textId="77777777" w:rsidR="00C671DA" w:rsidRPr="00BA2B9B" w:rsidRDefault="00C671DA" w:rsidP="00C36D4F">
            <w:pPr>
              <w:spacing w:before="60" w:after="60"/>
              <w:jc w:val="right"/>
              <w:rPr>
                <w:color w:val="000000"/>
                <w:sz w:val="20"/>
                <w:szCs w:val="20"/>
              </w:rPr>
            </w:pPr>
            <w:r>
              <w:rPr>
                <w:color w:val="000000"/>
                <w:sz w:val="20"/>
                <w:szCs w:val="20"/>
              </w:rPr>
              <w:t>$2,158.80</w:t>
            </w:r>
          </w:p>
        </w:tc>
      </w:tr>
      <w:tr w:rsidR="00C671DA" w:rsidRPr="00BA2B9B" w14:paraId="6AE49EA3" w14:textId="77777777" w:rsidTr="00C36D4F">
        <w:tc>
          <w:tcPr>
            <w:tcW w:w="1458" w:type="dxa"/>
            <w:gridSpan w:val="3"/>
            <w:shd w:val="clear" w:color="auto" w:fill="auto"/>
          </w:tcPr>
          <w:p w14:paraId="3C2199C4" w14:textId="77777777" w:rsidR="00C671DA" w:rsidRPr="00BA2B9B" w:rsidRDefault="00C671DA" w:rsidP="00C36D4F">
            <w:pPr>
              <w:spacing w:before="60" w:after="60"/>
              <w:rPr>
                <w:color w:val="000000"/>
                <w:sz w:val="20"/>
                <w:szCs w:val="20"/>
              </w:rPr>
            </w:pPr>
            <w:r w:rsidRPr="00BA2B9B">
              <w:rPr>
                <w:sz w:val="20"/>
                <w:szCs w:val="20"/>
              </w:rPr>
              <w:t xml:space="preserve">William </w:t>
            </w:r>
            <w:proofErr w:type="spellStart"/>
            <w:r w:rsidRPr="00BA2B9B">
              <w:rPr>
                <w:sz w:val="20"/>
                <w:szCs w:val="20"/>
              </w:rPr>
              <w:t>Perea</w:t>
            </w:r>
            <w:proofErr w:type="spellEnd"/>
            <w:r w:rsidRPr="00BA2B9B">
              <w:rPr>
                <w:sz w:val="20"/>
                <w:szCs w:val="20"/>
              </w:rPr>
              <w:t xml:space="preserve"> Marcus</w:t>
            </w:r>
          </w:p>
        </w:tc>
        <w:tc>
          <w:tcPr>
            <w:tcW w:w="697" w:type="dxa"/>
            <w:shd w:val="clear" w:color="auto" w:fill="auto"/>
          </w:tcPr>
          <w:p w14:paraId="7014B92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660F51BF" w14:textId="77777777" w:rsidR="00C671DA" w:rsidRPr="00B416C4" w:rsidRDefault="00C671DA" w:rsidP="00C36D4F">
            <w:pPr>
              <w:spacing w:before="60" w:after="60"/>
              <w:jc w:val="right"/>
              <w:rPr>
                <w:color w:val="000000"/>
                <w:sz w:val="18"/>
                <w:szCs w:val="18"/>
              </w:rPr>
            </w:pPr>
            <w:r w:rsidRPr="00B416C4">
              <w:rPr>
                <w:sz w:val="18"/>
                <w:szCs w:val="18"/>
              </w:rPr>
              <w:t>140.16</w:t>
            </w:r>
          </w:p>
        </w:tc>
        <w:tc>
          <w:tcPr>
            <w:tcW w:w="810" w:type="dxa"/>
            <w:shd w:val="clear" w:color="auto" w:fill="auto"/>
          </w:tcPr>
          <w:p w14:paraId="74C00B16" w14:textId="77777777" w:rsidR="00C671DA" w:rsidRPr="00BA2B9B" w:rsidRDefault="00C671DA" w:rsidP="00C36D4F">
            <w:pPr>
              <w:spacing w:before="60" w:after="60"/>
              <w:jc w:val="center"/>
              <w:rPr>
                <w:color w:val="000000"/>
                <w:sz w:val="20"/>
                <w:szCs w:val="20"/>
              </w:rPr>
            </w:pPr>
            <w:r w:rsidRPr="00BA2B9B">
              <w:rPr>
                <w:sz w:val="20"/>
                <w:szCs w:val="20"/>
              </w:rPr>
              <w:t>$280</w:t>
            </w:r>
          </w:p>
        </w:tc>
        <w:tc>
          <w:tcPr>
            <w:tcW w:w="990" w:type="dxa"/>
            <w:gridSpan w:val="2"/>
            <w:tcBorders>
              <w:right w:val="single" w:sz="4" w:space="0" w:color="auto"/>
            </w:tcBorders>
            <w:shd w:val="clear" w:color="auto" w:fill="auto"/>
          </w:tcPr>
          <w:p w14:paraId="0676511E" w14:textId="77777777" w:rsidR="00C671DA" w:rsidRPr="008865E7" w:rsidRDefault="00C671DA" w:rsidP="00C36D4F">
            <w:pPr>
              <w:spacing w:before="60" w:after="60"/>
              <w:ind w:hanging="200"/>
              <w:jc w:val="right"/>
              <w:rPr>
                <w:color w:val="000000"/>
                <w:sz w:val="17"/>
                <w:szCs w:val="17"/>
              </w:rPr>
            </w:pPr>
            <w:r w:rsidRPr="008865E7">
              <w:rPr>
                <w:sz w:val="17"/>
                <w:szCs w:val="17"/>
              </w:rPr>
              <w:t>D.16-06-024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412A4C6" w14:textId="77777777" w:rsidR="00C671DA" w:rsidRPr="008865E7" w:rsidRDefault="00C671DA" w:rsidP="00C36D4F">
            <w:pPr>
              <w:spacing w:before="60" w:after="60"/>
              <w:jc w:val="right"/>
              <w:rPr>
                <w:color w:val="000000"/>
                <w:sz w:val="17"/>
                <w:szCs w:val="17"/>
              </w:rPr>
            </w:pPr>
            <w:r w:rsidRPr="008865E7">
              <w:rPr>
                <w:sz w:val="17"/>
                <w:szCs w:val="17"/>
              </w:rPr>
              <w:t>$39,244.80</w:t>
            </w:r>
          </w:p>
        </w:tc>
        <w:tc>
          <w:tcPr>
            <w:tcW w:w="1440" w:type="dxa"/>
            <w:gridSpan w:val="2"/>
            <w:tcBorders>
              <w:left w:val="single" w:sz="4" w:space="0" w:color="auto"/>
            </w:tcBorders>
            <w:shd w:val="clear" w:color="auto" w:fill="auto"/>
          </w:tcPr>
          <w:p w14:paraId="5A47EE3C" w14:textId="77777777" w:rsidR="00C671DA" w:rsidRPr="00BA2B9B" w:rsidRDefault="00C671DA" w:rsidP="00C36D4F">
            <w:pPr>
              <w:spacing w:before="60" w:after="60"/>
              <w:jc w:val="right"/>
              <w:rPr>
                <w:color w:val="000000"/>
                <w:sz w:val="20"/>
                <w:szCs w:val="20"/>
              </w:rPr>
            </w:pPr>
            <w:r>
              <w:rPr>
                <w:color w:val="000000"/>
                <w:sz w:val="20"/>
                <w:szCs w:val="20"/>
              </w:rPr>
              <w:t>137.08</w:t>
            </w:r>
            <w:r w:rsidRPr="001507ED">
              <w:rPr>
                <w:color w:val="000000"/>
                <w:sz w:val="20"/>
                <w:szCs w:val="20"/>
                <w:vertAlign w:val="superscript"/>
              </w:rPr>
              <w:t>[2,4]</w:t>
            </w:r>
          </w:p>
        </w:tc>
        <w:tc>
          <w:tcPr>
            <w:tcW w:w="900" w:type="dxa"/>
            <w:shd w:val="clear" w:color="auto" w:fill="auto"/>
          </w:tcPr>
          <w:p w14:paraId="148B5761" w14:textId="77777777" w:rsidR="00C671DA" w:rsidRPr="00BA2B9B" w:rsidRDefault="00C671DA" w:rsidP="00C36D4F">
            <w:pPr>
              <w:spacing w:before="60" w:after="60"/>
              <w:jc w:val="center"/>
              <w:rPr>
                <w:color w:val="000000"/>
                <w:sz w:val="20"/>
                <w:szCs w:val="20"/>
              </w:rPr>
            </w:pPr>
            <w:r>
              <w:rPr>
                <w:color w:val="000000"/>
                <w:sz w:val="20"/>
                <w:szCs w:val="20"/>
              </w:rPr>
              <w:t>$280</w:t>
            </w:r>
          </w:p>
        </w:tc>
        <w:tc>
          <w:tcPr>
            <w:tcW w:w="1170" w:type="dxa"/>
            <w:shd w:val="clear" w:color="auto" w:fill="auto"/>
          </w:tcPr>
          <w:p w14:paraId="40A3E713" w14:textId="77777777" w:rsidR="00C671DA" w:rsidRPr="00BA2B9B" w:rsidRDefault="00C671DA" w:rsidP="00C36D4F">
            <w:pPr>
              <w:spacing w:before="60" w:after="60"/>
              <w:jc w:val="right"/>
              <w:rPr>
                <w:color w:val="000000"/>
                <w:sz w:val="20"/>
                <w:szCs w:val="20"/>
              </w:rPr>
            </w:pPr>
            <w:r>
              <w:rPr>
                <w:color w:val="000000"/>
                <w:sz w:val="20"/>
                <w:szCs w:val="20"/>
              </w:rPr>
              <w:t>$38,382.40</w:t>
            </w:r>
          </w:p>
        </w:tc>
      </w:tr>
      <w:tr w:rsidR="00C671DA" w:rsidRPr="00BA2B9B" w14:paraId="38154F70" w14:textId="77777777" w:rsidTr="00C36D4F">
        <w:tc>
          <w:tcPr>
            <w:tcW w:w="1458" w:type="dxa"/>
            <w:gridSpan w:val="3"/>
            <w:shd w:val="clear" w:color="auto" w:fill="auto"/>
          </w:tcPr>
          <w:p w14:paraId="5FA6D224" w14:textId="77777777" w:rsidR="00C671DA" w:rsidRPr="00BA2B9B" w:rsidRDefault="00C671DA" w:rsidP="00C36D4F">
            <w:pPr>
              <w:spacing w:before="60" w:after="60"/>
              <w:rPr>
                <w:color w:val="000000"/>
                <w:sz w:val="20"/>
                <w:szCs w:val="20"/>
              </w:rPr>
            </w:pPr>
            <w:r w:rsidRPr="00BA2B9B">
              <w:rPr>
                <w:sz w:val="20"/>
                <w:szCs w:val="20"/>
              </w:rPr>
              <w:t xml:space="preserve">William </w:t>
            </w:r>
            <w:proofErr w:type="spellStart"/>
            <w:r w:rsidRPr="00BA2B9B">
              <w:rPr>
                <w:sz w:val="20"/>
                <w:szCs w:val="20"/>
              </w:rPr>
              <w:t>Perea</w:t>
            </w:r>
            <w:proofErr w:type="spellEnd"/>
            <w:r w:rsidRPr="00BA2B9B">
              <w:rPr>
                <w:sz w:val="20"/>
                <w:szCs w:val="20"/>
              </w:rPr>
              <w:t xml:space="preserve"> Marcus</w:t>
            </w:r>
          </w:p>
        </w:tc>
        <w:tc>
          <w:tcPr>
            <w:tcW w:w="697" w:type="dxa"/>
            <w:shd w:val="clear" w:color="auto" w:fill="auto"/>
          </w:tcPr>
          <w:p w14:paraId="1DD8A3E5" w14:textId="77777777" w:rsidR="00C671DA" w:rsidRPr="00BA2B9B" w:rsidRDefault="00C671DA" w:rsidP="00C36D4F">
            <w:pPr>
              <w:spacing w:before="60" w:after="60"/>
              <w:jc w:val="center"/>
              <w:rPr>
                <w:color w:val="000000"/>
                <w:sz w:val="20"/>
                <w:szCs w:val="20"/>
              </w:rPr>
            </w:pPr>
            <w:r w:rsidRPr="00BA2B9B">
              <w:rPr>
                <w:sz w:val="20"/>
                <w:szCs w:val="20"/>
              </w:rPr>
              <w:t>2017</w:t>
            </w:r>
          </w:p>
        </w:tc>
        <w:tc>
          <w:tcPr>
            <w:tcW w:w="810" w:type="dxa"/>
            <w:gridSpan w:val="2"/>
            <w:shd w:val="clear" w:color="auto" w:fill="auto"/>
          </w:tcPr>
          <w:p w14:paraId="1B14427D" w14:textId="77777777" w:rsidR="00C671DA" w:rsidRPr="00B416C4" w:rsidRDefault="00C671DA" w:rsidP="00C36D4F">
            <w:pPr>
              <w:spacing w:before="60" w:after="60"/>
              <w:jc w:val="right"/>
              <w:rPr>
                <w:color w:val="000000"/>
                <w:sz w:val="18"/>
                <w:szCs w:val="18"/>
              </w:rPr>
            </w:pPr>
            <w:r w:rsidRPr="00B416C4">
              <w:rPr>
                <w:sz w:val="18"/>
                <w:szCs w:val="18"/>
              </w:rPr>
              <w:t>1.33</w:t>
            </w:r>
          </w:p>
        </w:tc>
        <w:tc>
          <w:tcPr>
            <w:tcW w:w="810" w:type="dxa"/>
            <w:shd w:val="clear" w:color="auto" w:fill="auto"/>
          </w:tcPr>
          <w:p w14:paraId="73477505" w14:textId="77777777" w:rsidR="00C671DA" w:rsidRPr="00BA2B9B" w:rsidRDefault="00C671DA" w:rsidP="00C36D4F">
            <w:pPr>
              <w:spacing w:before="60" w:after="60"/>
              <w:jc w:val="center"/>
              <w:rPr>
                <w:color w:val="000000"/>
                <w:sz w:val="20"/>
                <w:szCs w:val="20"/>
              </w:rPr>
            </w:pPr>
            <w:r w:rsidRPr="00BA2B9B">
              <w:rPr>
                <w:sz w:val="20"/>
                <w:szCs w:val="20"/>
              </w:rPr>
              <w:t>$280</w:t>
            </w:r>
          </w:p>
        </w:tc>
        <w:tc>
          <w:tcPr>
            <w:tcW w:w="990" w:type="dxa"/>
            <w:gridSpan w:val="2"/>
            <w:tcBorders>
              <w:right w:val="single" w:sz="4" w:space="0" w:color="auto"/>
            </w:tcBorders>
            <w:shd w:val="clear" w:color="auto" w:fill="auto"/>
          </w:tcPr>
          <w:p w14:paraId="17614930" w14:textId="77777777" w:rsidR="00C671DA" w:rsidRPr="00BA2B9B" w:rsidRDefault="00C671DA" w:rsidP="00C36D4F">
            <w:pPr>
              <w:spacing w:before="60" w:after="60"/>
              <w:jc w:val="right"/>
              <w:rPr>
                <w:color w:val="000000"/>
                <w:sz w:val="20"/>
                <w:szCs w:val="20"/>
              </w:rPr>
            </w:pPr>
            <w:r w:rsidRPr="00BA2B9B">
              <w:rPr>
                <w:sz w:val="20"/>
                <w:szCs w:val="20"/>
              </w:rPr>
              <w:t>2016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A418065" w14:textId="77777777" w:rsidR="00C671DA" w:rsidRPr="00BA2B9B" w:rsidRDefault="00C671DA" w:rsidP="00C36D4F">
            <w:pPr>
              <w:spacing w:before="60" w:after="60"/>
              <w:jc w:val="right"/>
              <w:rPr>
                <w:color w:val="000000"/>
                <w:sz w:val="20"/>
                <w:szCs w:val="20"/>
              </w:rPr>
            </w:pPr>
            <w:r w:rsidRPr="00BA2B9B">
              <w:rPr>
                <w:sz w:val="20"/>
                <w:szCs w:val="20"/>
              </w:rPr>
              <w:t>$372.40</w:t>
            </w:r>
          </w:p>
        </w:tc>
        <w:tc>
          <w:tcPr>
            <w:tcW w:w="1440" w:type="dxa"/>
            <w:gridSpan w:val="2"/>
            <w:tcBorders>
              <w:left w:val="single" w:sz="4" w:space="0" w:color="auto"/>
            </w:tcBorders>
            <w:shd w:val="clear" w:color="auto" w:fill="auto"/>
          </w:tcPr>
          <w:p w14:paraId="0DE760E3" w14:textId="77777777" w:rsidR="00C671DA" w:rsidRPr="00BA2B9B" w:rsidRDefault="00C671DA" w:rsidP="00C36D4F">
            <w:pPr>
              <w:spacing w:before="60" w:after="60"/>
              <w:jc w:val="right"/>
              <w:rPr>
                <w:color w:val="000000"/>
                <w:sz w:val="20"/>
                <w:szCs w:val="20"/>
              </w:rPr>
            </w:pPr>
            <w:r>
              <w:rPr>
                <w:color w:val="000000"/>
                <w:sz w:val="20"/>
                <w:szCs w:val="20"/>
              </w:rPr>
              <w:t>1.33</w:t>
            </w:r>
          </w:p>
        </w:tc>
        <w:tc>
          <w:tcPr>
            <w:tcW w:w="900" w:type="dxa"/>
            <w:shd w:val="clear" w:color="auto" w:fill="auto"/>
          </w:tcPr>
          <w:p w14:paraId="007C8ECE" w14:textId="77777777" w:rsidR="00C671DA" w:rsidRPr="00BA2B9B" w:rsidRDefault="00C671DA" w:rsidP="00C36D4F">
            <w:pPr>
              <w:spacing w:before="60" w:after="60"/>
              <w:jc w:val="center"/>
              <w:rPr>
                <w:color w:val="000000"/>
                <w:sz w:val="20"/>
                <w:szCs w:val="20"/>
              </w:rPr>
            </w:pPr>
            <w:r>
              <w:rPr>
                <w:color w:val="000000"/>
                <w:sz w:val="20"/>
                <w:szCs w:val="20"/>
              </w:rPr>
              <w:t>$280</w:t>
            </w:r>
          </w:p>
        </w:tc>
        <w:tc>
          <w:tcPr>
            <w:tcW w:w="1170" w:type="dxa"/>
            <w:shd w:val="clear" w:color="auto" w:fill="auto"/>
          </w:tcPr>
          <w:p w14:paraId="457F1A00" w14:textId="77777777" w:rsidR="00C671DA" w:rsidRPr="00BA2B9B" w:rsidRDefault="00C671DA" w:rsidP="00C36D4F">
            <w:pPr>
              <w:spacing w:before="60" w:after="60"/>
              <w:jc w:val="right"/>
              <w:rPr>
                <w:color w:val="000000"/>
                <w:sz w:val="20"/>
                <w:szCs w:val="20"/>
              </w:rPr>
            </w:pPr>
            <w:r>
              <w:rPr>
                <w:color w:val="000000"/>
                <w:sz w:val="20"/>
                <w:szCs w:val="20"/>
              </w:rPr>
              <w:t>$372.40</w:t>
            </w:r>
          </w:p>
        </w:tc>
      </w:tr>
      <w:tr w:rsidR="00C671DA" w:rsidRPr="00BA2B9B" w14:paraId="1502770F" w14:textId="77777777" w:rsidTr="00C36D4F">
        <w:tc>
          <w:tcPr>
            <w:tcW w:w="1458" w:type="dxa"/>
            <w:gridSpan w:val="3"/>
            <w:shd w:val="clear" w:color="auto" w:fill="auto"/>
          </w:tcPr>
          <w:p w14:paraId="24954E09" w14:textId="77777777" w:rsidR="00C671DA" w:rsidRPr="00BA2B9B" w:rsidRDefault="00C671DA" w:rsidP="00C36D4F">
            <w:pPr>
              <w:spacing w:before="60" w:after="60"/>
              <w:rPr>
                <w:color w:val="000000"/>
                <w:sz w:val="20"/>
                <w:szCs w:val="20"/>
              </w:rPr>
            </w:pPr>
            <w:r w:rsidRPr="00BA2B9B">
              <w:rPr>
                <w:sz w:val="20"/>
                <w:szCs w:val="20"/>
              </w:rPr>
              <w:t xml:space="preserve">Jeffrey A. </w:t>
            </w:r>
            <w:proofErr w:type="spellStart"/>
            <w:r w:rsidRPr="00BA2B9B">
              <w:rPr>
                <w:sz w:val="20"/>
                <w:szCs w:val="20"/>
              </w:rPr>
              <w:t>Nahigian</w:t>
            </w:r>
            <w:proofErr w:type="spellEnd"/>
          </w:p>
        </w:tc>
        <w:tc>
          <w:tcPr>
            <w:tcW w:w="697" w:type="dxa"/>
            <w:shd w:val="clear" w:color="auto" w:fill="auto"/>
          </w:tcPr>
          <w:p w14:paraId="0EDF7AA7"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2E7101CE" w14:textId="77777777" w:rsidR="00C671DA" w:rsidRPr="00B416C4" w:rsidRDefault="00C671DA" w:rsidP="00C36D4F">
            <w:pPr>
              <w:spacing w:before="60" w:after="60"/>
              <w:jc w:val="right"/>
              <w:rPr>
                <w:color w:val="000000"/>
                <w:sz w:val="18"/>
                <w:szCs w:val="18"/>
              </w:rPr>
            </w:pPr>
            <w:r w:rsidRPr="00B416C4">
              <w:rPr>
                <w:sz w:val="18"/>
                <w:szCs w:val="18"/>
              </w:rPr>
              <w:t>65.00</w:t>
            </w:r>
          </w:p>
        </w:tc>
        <w:tc>
          <w:tcPr>
            <w:tcW w:w="810" w:type="dxa"/>
            <w:shd w:val="clear" w:color="auto" w:fill="auto"/>
          </w:tcPr>
          <w:p w14:paraId="405F0AF6" w14:textId="77777777" w:rsidR="00C671DA" w:rsidRPr="00BA2B9B" w:rsidRDefault="00C671DA" w:rsidP="00C36D4F">
            <w:pPr>
              <w:spacing w:before="60" w:after="60"/>
              <w:jc w:val="center"/>
              <w:rPr>
                <w:color w:val="000000"/>
                <w:sz w:val="20"/>
                <w:szCs w:val="20"/>
              </w:rPr>
            </w:pPr>
            <w:r w:rsidRPr="00BA2B9B">
              <w:rPr>
                <w:sz w:val="20"/>
                <w:szCs w:val="20"/>
              </w:rPr>
              <w:t>$215</w:t>
            </w:r>
          </w:p>
        </w:tc>
        <w:tc>
          <w:tcPr>
            <w:tcW w:w="990" w:type="dxa"/>
            <w:gridSpan w:val="2"/>
            <w:tcBorders>
              <w:right w:val="single" w:sz="4" w:space="0" w:color="auto"/>
            </w:tcBorders>
            <w:shd w:val="clear" w:color="auto" w:fill="auto"/>
          </w:tcPr>
          <w:p w14:paraId="19345204" w14:textId="77777777" w:rsidR="00C671DA" w:rsidRPr="00B416C4" w:rsidRDefault="00C671DA" w:rsidP="00C36D4F">
            <w:pPr>
              <w:spacing w:before="60" w:after="60"/>
              <w:jc w:val="right"/>
              <w:rPr>
                <w:color w:val="000000"/>
                <w:sz w:val="18"/>
                <w:szCs w:val="18"/>
              </w:rPr>
            </w:pPr>
            <w:r w:rsidRPr="00B416C4">
              <w:rPr>
                <w:sz w:val="18"/>
                <w:szCs w:val="18"/>
              </w:rPr>
              <w:t>See Comment #6</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73B2458" w14:textId="77777777" w:rsidR="00C671DA" w:rsidRPr="008865E7" w:rsidRDefault="00C671DA" w:rsidP="00C36D4F">
            <w:pPr>
              <w:spacing w:before="60" w:after="60"/>
              <w:ind w:left="-20" w:right="-110"/>
              <w:jc w:val="right"/>
              <w:rPr>
                <w:color w:val="000000"/>
                <w:sz w:val="17"/>
                <w:szCs w:val="17"/>
              </w:rPr>
            </w:pPr>
            <w:r w:rsidRPr="008865E7">
              <w:rPr>
                <w:sz w:val="17"/>
                <w:szCs w:val="17"/>
              </w:rPr>
              <w:t>$13,975.00</w:t>
            </w:r>
          </w:p>
        </w:tc>
        <w:tc>
          <w:tcPr>
            <w:tcW w:w="1440" w:type="dxa"/>
            <w:gridSpan w:val="2"/>
            <w:tcBorders>
              <w:left w:val="single" w:sz="4" w:space="0" w:color="auto"/>
            </w:tcBorders>
            <w:shd w:val="clear" w:color="auto" w:fill="auto"/>
          </w:tcPr>
          <w:p w14:paraId="02EE02FD" w14:textId="77777777" w:rsidR="00C671DA" w:rsidRPr="00BA2B9B" w:rsidRDefault="00C671DA" w:rsidP="00C36D4F">
            <w:pPr>
              <w:spacing w:before="60" w:after="60"/>
              <w:jc w:val="right"/>
              <w:rPr>
                <w:color w:val="000000"/>
                <w:sz w:val="20"/>
                <w:szCs w:val="20"/>
              </w:rPr>
            </w:pPr>
            <w:r>
              <w:rPr>
                <w:color w:val="000000"/>
                <w:sz w:val="20"/>
                <w:szCs w:val="20"/>
              </w:rPr>
              <w:t>63.23</w:t>
            </w:r>
            <w:r w:rsidRPr="001507ED">
              <w:rPr>
                <w:color w:val="000000"/>
                <w:sz w:val="20"/>
                <w:szCs w:val="20"/>
                <w:vertAlign w:val="superscript"/>
              </w:rPr>
              <w:t>[3]</w:t>
            </w:r>
          </w:p>
        </w:tc>
        <w:tc>
          <w:tcPr>
            <w:tcW w:w="900" w:type="dxa"/>
            <w:shd w:val="clear" w:color="auto" w:fill="auto"/>
          </w:tcPr>
          <w:p w14:paraId="7FF54E2B" w14:textId="77777777" w:rsidR="00C671DA" w:rsidRPr="00BA2B9B" w:rsidRDefault="00C671DA" w:rsidP="00C36D4F">
            <w:pPr>
              <w:spacing w:before="60" w:after="60"/>
              <w:jc w:val="center"/>
              <w:rPr>
                <w:color w:val="000000"/>
                <w:sz w:val="20"/>
                <w:szCs w:val="20"/>
              </w:rPr>
            </w:pPr>
            <w:r>
              <w:rPr>
                <w:color w:val="000000"/>
                <w:sz w:val="20"/>
                <w:szCs w:val="20"/>
              </w:rPr>
              <w:t>$215</w:t>
            </w:r>
            <w:r>
              <w:rPr>
                <w:rStyle w:val="FootnoteReference"/>
                <w:color w:val="000000"/>
                <w:sz w:val="20"/>
                <w:szCs w:val="20"/>
              </w:rPr>
              <w:footnoteReference w:id="11"/>
            </w:r>
          </w:p>
        </w:tc>
        <w:tc>
          <w:tcPr>
            <w:tcW w:w="1170" w:type="dxa"/>
            <w:shd w:val="clear" w:color="auto" w:fill="auto"/>
          </w:tcPr>
          <w:p w14:paraId="00C4B28D" w14:textId="77777777" w:rsidR="00C671DA" w:rsidRPr="00BA2B9B" w:rsidRDefault="00C671DA" w:rsidP="00C36D4F">
            <w:pPr>
              <w:spacing w:before="60" w:after="60"/>
              <w:jc w:val="right"/>
              <w:rPr>
                <w:color w:val="000000"/>
                <w:sz w:val="20"/>
                <w:szCs w:val="20"/>
              </w:rPr>
            </w:pPr>
            <w:r>
              <w:rPr>
                <w:color w:val="000000"/>
                <w:sz w:val="20"/>
                <w:szCs w:val="20"/>
              </w:rPr>
              <w:t>$13,594.45</w:t>
            </w:r>
          </w:p>
        </w:tc>
      </w:tr>
      <w:tr w:rsidR="00C671DA" w:rsidRPr="00BA2B9B" w14:paraId="362F8869" w14:textId="77777777" w:rsidTr="00C36D4F">
        <w:tc>
          <w:tcPr>
            <w:tcW w:w="1458" w:type="dxa"/>
            <w:gridSpan w:val="3"/>
            <w:shd w:val="clear" w:color="auto" w:fill="auto"/>
          </w:tcPr>
          <w:p w14:paraId="1A9E37E5" w14:textId="77777777" w:rsidR="00C671DA" w:rsidRPr="00BA2B9B" w:rsidRDefault="00C671DA" w:rsidP="00C36D4F">
            <w:pPr>
              <w:spacing w:before="60" w:after="60"/>
              <w:rPr>
                <w:color w:val="000000"/>
                <w:sz w:val="20"/>
                <w:szCs w:val="20"/>
              </w:rPr>
            </w:pPr>
            <w:r w:rsidRPr="00BA2B9B">
              <w:rPr>
                <w:sz w:val="20"/>
                <w:szCs w:val="20"/>
              </w:rPr>
              <w:t xml:space="preserve">Jeffrey A. </w:t>
            </w:r>
            <w:proofErr w:type="spellStart"/>
            <w:r w:rsidRPr="00BA2B9B">
              <w:rPr>
                <w:sz w:val="20"/>
                <w:szCs w:val="20"/>
              </w:rPr>
              <w:t>Nahigian</w:t>
            </w:r>
            <w:proofErr w:type="spellEnd"/>
          </w:p>
        </w:tc>
        <w:tc>
          <w:tcPr>
            <w:tcW w:w="697" w:type="dxa"/>
            <w:shd w:val="clear" w:color="auto" w:fill="auto"/>
          </w:tcPr>
          <w:p w14:paraId="42D3091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350FD490" w14:textId="77777777" w:rsidR="00C671DA" w:rsidRPr="00B416C4" w:rsidRDefault="00C671DA" w:rsidP="00C36D4F">
            <w:pPr>
              <w:spacing w:before="60" w:after="60"/>
              <w:jc w:val="right"/>
              <w:rPr>
                <w:color w:val="000000"/>
                <w:sz w:val="18"/>
                <w:szCs w:val="18"/>
              </w:rPr>
            </w:pPr>
            <w:r w:rsidRPr="00B416C4">
              <w:rPr>
                <w:sz w:val="18"/>
                <w:szCs w:val="18"/>
              </w:rPr>
              <w:t>417.00</w:t>
            </w:r>
          </w:p>
        </w:tc>
        <w:tc>
          <w:tcPr>
            <w:tcW w:w="810" w:type="dxa"/>
            <w:shd w:val="clear" w:color="auto" w:fill="auto"/>
          </w:tcPr>
          <w:p w14:paraId="3B5A7260" w14:textId="77777777" w:rsidR="00C671DA" w:rsidRPr="00BA2B9B" w:rsidRDefault="00C671DA" w:rsidP="00C36D4F">
            <w:pPr>
              <w:spacing w:before="60" w:after="60"/>
              <w:jc w:val="center"/>
              <w:rPr>
                <w:color w:val="000000"/>
                <w:sz w:val="20"/>
                <w:szCs w:val="20"/>
              </w:rPr>
            </w:pPr>
            <w:r w:rsidRPr="00BA2B9B">
              <w:rPr>
                <w:sz w:val="20"/>
                <w:szCs w:val="20"/>
              </w:rPr>
              <w:t>$215</w:t>
            </w:r>
          </w:p>
        </w:tc>
        <w:tc>
          <w:tcPr>
            <w:tcW w:w="990" w:type="dxa"/>
            <w:gridSpan w:val="2"/>
            <w:tcBorders>
              <w:right w:val="single" w:sz="4" w:space="0" w:color="auto"/>
            </w:tcBorders>
            <w:shd w:val="clear" w:color="auto" w:fill="auto"/>
          </w:tcPr>
          <w:p w14:paraId="17E2B374" w14:textId="77777777" w:rsidR="00C671DA" w:rsidRPr="00B416C4" w:rsidRDefault="00C671DA" w:rsidP="00C36D4F">
            <w:pPr>
              <w:spacing w:before="60" w:after="60"/>
              <w:jc w:val="right"/>
              <w:rPr>
                <w:color w:val="000000"/>
                <w:sz w:val="18"/>
                <w:szCs w:val="18"/>
              </w:rPr>
            </w:pPr>
            <w:r w:rsidRPr="00B416C4">
              <w:rPr>
                <w:sz w:val="18"/>
                <w:szCs w:val="18"/>
              </w:rPr>
              <w:t>See Comment #6</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F0B362A" w14:textId="77777777" w:rsidR="00C671DA" w:rsidRPr="008865E7" w:rsidRDefault="00C671DA" w:rsidP="00C36D4F">
            <w:pPr>
              <w:spacing w:before="60" w:after="60"/>
              <w:ind w:right="-110" w:hanging="110"/>
              <w:jc w:val="right"/>
              <w:rPr>
                <w:color w:val="000000"/>
                <w:sz w:val="17"/>
                <w:szCs w:val="17"/>
              </w:rPr>
            </w:pPr>
            <w:r w:rsidRPr="008865E7">
              <w:rPr>
                <w:sz w:val="17"/>
                <w:szCs w:val="17"/>
              </w:rPr>
              <w:t>$89,655.00</w:t>
            </w:r>
          </w:p>
        </w:tc>
        <w:tc>
          <w:tcPr>
            <w:tcW w:w="1440" w:type="dxa"/>
            <w:gridSpan w:val="2"/>
            <w:tcBorders>
              <w:left w:val="single" w:sz="4" w:space="0" w:color="auto"/>
            </w:tcBorders>
            <w:shd w:val="clear" w:color="auto" w:fill="auto"/>
          </w:tcPr>
          <w:p w14:paraId="1C29DEF9" w14:textId="77777777" w:rsidR="00C671DA" w:rsidRPr="00BA2B9B" w:rsidRDefault="00C671DA" w:rsidP="00C36D4F">
            <w:pPr>
              <w:spacing w:before="60" w:after="60"/>
              <w:jc w:val="right"/>
              <w:rPr>
                <w:color w:val="000000"/>
                <w:sz w:val="20"/>
                <w:szCs w:val="20"/>
              </w:rPr>
            </w:pPr>
            <w:r>
              <w:rPr>
                <w:color w:val="000000"/>
                <w:sz w:val="20"/>
                <w:szCs w:val="20"/>
              </w:rPr>
              <w:t>401.08</w:t>
            </w:r>
            <w:r w:rsidRPr="001507ED">
              <w:rPr>
                <w:color w:val="000000"/>
                <w:sz w:val="20"/>
                <w:szCs w:val="20"/>
                <w:vertAlign w:val="superscript"/>
              </w:rPr>
              <w:t>[3]</w:t>
            </w:r>
          </w:p>
        </w:tc>
        <w:tc>
          <w:tcPr>
            <w:tcW w:w="900" w:type="dxa"/>
            <w:shd w:val="clear" w:color="auto" w:fill="auto"/>
          </w:tcPr>
          <w:p w14:paraId="0D5BB7B9" w14:textId="77777777" w:rsidR="00C671DA" w:rsidRPr="00BA2B9B" w:rsidRDefault="00C671DA" w:rsidP="00C36D4F">
            <w:pPr>
              <w:spacing w:before="60" w:after="60"/>
              <w:jc w:val="center"/>
              <w:rPr>
                <w:color w:val="000000"/>
                <w:sz w:val="20"/>
                <w:szCs w:val="20"/>
              </w:rPr>
            </w:pPr>
            <w:r>
              <w:rPr>
                <w:color w:val="000000"/>
                <w:sz w:val="20"/>
                <w:szCs w:val="20"/>
              </w:rPr>
              <w:t>$215</w:t>
            </w:r>
          </w:p>
        </w:tc>
        <w:tc>
          <w:tcPr>
            <w:tcW w:w="1170" w:type="dxa"/>
            <w:shd w:val="clear" w:color="auto" w:fill="auto"/>
          </w:tcPr>
          <w:p w14:paraId="12A3EFB4" w14:textId="77777777" w:rsidR="00C671DA" w:rsidRPr="00BA2B9B" w:rsidRDefault="00C671DA" w:rsidP="00C36D4F">
            <w:pPr>
              <w:spacing w:before="60" w:after="60"/>
              <w:jc w:val="right"/>
              <w:rPr>
                <w:color w:val="000000"/>
                <w:sz w:val="20"/>
                <w:szCs w:val="20"/>
              </w:rPr>
            </w:pPr>
            <w:r>
              <w:rPr>
                <w:color w:val="000000"/>
                <w:sz w:val="20"/>
                <w:szCs w:val="20"/>
              </w:rPr>
              <w:t>$86,232.20</w:t>
            </w:r>
          </w:p>
        </w:tc>
      </w:tr>
      <w:tr w:rsidR="00C671DA" w:rsidRPr="00BA2B9B" w14:paraId="427869CB" w14:textId="77777777" w:rsidTr="00C36D4F">
        <w:tc>
          <w:tcPr>
            <w:tcW w:w="1458" w:type="dxa"/>
            <w:gridSpan w:val="3"/>
            <w:shd w:val="clear" w:color="auto" w:fill="auto"/>
          </w:tcPr>
          <w:p w14:paraId="5890EA93" w14:textId="77777777" w:rsidR="00C671DA" w:rsidRPr="00BA2B9B" w:rsidRDefault="00C671DA" w:rsidP="00C36D4F">
            <w:pPr>
              <w:spacing w:before="60" w:after="60"/>
              <w:rPr>
                <w:color w:val="000000"/>
                <w:sz w:val="20"/>
                <w:szCs w:val="20"/>
              </w:rPr>
            </w:pPr>
            <w:r w:rsidRPr="00BA2B9B">
              <w:rPr>
                <w:sz w:val="20"/>
                <w:szCs w:val="20"/>
              </w:rPr>
              <w:t xml:space="preserve">Greg </w:t>
            </w:r>
            <w:proofErr w:type="spellStart"/>
            <w:r w:rsidRPr="00BA2B9B">
              <w:rPr>
                <w:sz w:val="20"/>
                <w:szCs w:val="20"/>
              </w:rPr>
              <w:t>Ruszovan</w:t>
            </w:r>
            <w:proofErr w:type="spellEnd"/>
          </w:p>
        </w:tc>
        <w:tc>
          <w:tcPr>
            <w:tcW w:w="697" w:type="dxa"/>
            <w:shd w:val="clear" w:color="auto" w:fill="auto"/>
          </w:tcPr>
          <w:p w14:paraId="4A83FFB7"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44F5E20D" w14:textId="77777777" w:rsidR="00C671DA" w:rsidRPr="00B416C4" w:rsidRDefault="00C671DA" w:rsidP="00C36D4F">
            <w:pPr>
              <w:spacing w:before="60" w:after="60"/>
              <w:jc w:val="right"/>
              <w:rPr>
                <w:color w:val="000000"/>
                <w:sz w:val="18"/>
                <w:szCs w:val="18"/>
              </w:rPr>
            </w:pPr>
            <w:r w:rsidRPr="00B416C4">
              <w:rPr>
                <w:sz w:val="18"/>
                <w:szCs w:val="18"/>
              </w:rPr>
              <w:t>1.42</w:t>
            </w:r>
          </w:p>
        </w:tc>
        <w:tc>
          <w:tcPr>
            <w:tcW w:w="810" w:type="dxa"/>
            <w:shd w:val="clear" w:color="auto" w:fill="auto"/>
          </w:tcPr>
          <w:p w14:paraId="27EDED02" w14:textId="77777777" w:rsidR="00C671DA" w:rsidRPr="00BA2B9B" w:rsidRDefault="00C671DA" w:rsidP="00C36D4F">
            <w:pPr>
              <w:spacing w:before="60" w:after="60"/>
              <w:jc w:val="center"/>
              <w:rPr>
                <w:color w:val="000000"/>
                <w:sz w:val="20"/>
                <w:szCs w:val="20"/>
              </w:rPr>
            </w:pPr>
            <w:r w:rsidRPr="00BA2B9B">
              <w:rPr>
                <w:sz w:val="20"/>
                <w:szCs w:val="20"/>
              </w:rPr>
              <w:t>$215</w:t>
            </w:r>
          </w:p>
        </w:tc>
        <w:tc>
          <w:tcPr>
            <w:tcW w:w="990" w:type="dxa"/>
            <w:gridSpan w:val="2"/>
            <w:tcBorders>
              <w:right w:val="single" w:sz="4" w:space="0" w:color="auto"/>
            </w:tcBorders>
            <w:shd w:val="clear" w:color="auto" w:fill="auto"/>
          </w:tcPr>
          <w:p w14:paraId="6DAA28DC" w14:textId="77777777" w:rsidR="00C671DA" w:rsidRPr="00B416C4" w:rsidRDefault="00C671DA" w:rsidP="00C36D4F">
            <w:pPr>
              <w:spacing w:before="60" w:after="60"/>
              <w:ind w:left="-110" w:right="-110" w:hanging="90"/>
              <w:jc w:val="right"/>
              <w:rPr>
                <w:color w:val="000000"/>
                <w:sz w:val="18"/>
                <w:szCs w:val="18"/>
              </w:rPr>
            </w:pPr>
            <w:r w:rsidRPr="00B416C4">
              <w:rPr>
                <w:sz w:val="18"/>
                <w:szCs w:val="18"/>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3EE7689" w14:textId="77777777" w:rsidR="00C671DA" w:rsidRPr="00BA2B9B" w:rsidRDefault="00C671DA" w:rsidP="00C36D4F">
            <w:pPr>
              <w:spacing w:before="60" w:after="60"/>
              <w:jc w:val="right"/>
              <w:rPr>
                <w:color w:val="000000"/>
                <w:sz w:val="20"/>
                <w:szCs w:val="20"/>
              </w:rPr>
            </w:pPr>
            <w:r w:rsidRPr="00BA2B9B">
              <w:rPr>
                <w:sz w:val="20"/>
                <w:szCs w:val="20"/>
              </w:rPr>
              <w:t>$305.30</w:t>
            </w:r>
          </w:p>
        </w:tc>
        <w:tc>
          <w:tcPr>
            <w:tcW w:w="1440" w:type="dxa"/>
            <w:gridSpan w:val="2"/>
            <w:tcBorders>
              <w:left w:val="single" w:sz="4" w:space="0" w:color="auto"/>
            </w:tcBorders>
            <w:shd w:val="clear" w:color="auto" w:fill="auto"/>
          </w:tcPr>
          <w:p w14:paraId="5E462DED" w14:textId="77777777" w:rsidR="00C671DA" w:rsidRPr="00BA2B9B" w:rsidRDefault="00C671DA" w:rsidP="00C36D4F">
            <w:pPr>
              <w:spacing w:before="60" w:after="60"/>
              <w:jc w:val="right"/>
              <w:rPr>
                <w:color w:val="000000"/>
                <w:sz w:val="20"/>
                <w:szCs w:val="20"/>
              </w:rPr>
            </w:pPr>
            <w:r>
              <w:rPr>
                <w:color w:val="000000"/>
                <w:sz w:val="20"/>
                <w:szCs w:val="20"/>
              </w:rPr>
              <w:t>1.42</w:t>
            </w:r>
          </w:p>
        </w:tc>
        <w:tc>
          <w:tcPr>
            <w:tcW w:w="900" w:type="dxa"/>
            <w:shd w:val="clear" w:color="auto" w:fill="auto"/>
          </w:tcPr>
          <w:p w14:paraId="455CB3DD" w14:textId="77777777" w:rsidR="00C671DA" w:rsidRPr="00BA2B9B" w:rsidRDefault="00C671DA" w:rsidP="00C36D4F">
            <w:pPr>
              <w:spacing w:before="60" w:after="60"/>
              <w:jc w:val="center"/>
              <w:rPr>
                <w:color w:val="000000"/>
                <w:sz w:val="20"/>
                <w:szCs w:val="20"/>
              </w:rPr>
            </w:pPr>
            <w:r>
              <w:rPr>
                <w:color w:val="000000"/>
                <w:sz w:val="20"/>
                <w:szCs w:val="20"/>
              </w:rPr>
              <w:t>$215</w:t>
            </w:r>
          </w:p>
        </w:tc>
        <w:tc>
          <w:tcPr>
            <w:tcW w:w="1170" w:type="dxa"/>
            <w:shd w:val="clear" w:color="auto" w:fill="auto"/>
          </w:tcPr>
          <w:p w14:paraId="106D0C2A" w14:textId="77777777" w:rsidR="00C671DA" w:rsidRPr="00BA2B9B" w:rsidRDefault="00C671DA" w:rsidP="00C36D4F">
            <w:pPr>
              <w:spacing w:before="60" w:after="60"/>
              <w:jc w:val="right"/>
              <w:rPr>
                <w:color w:val="000000"/>
                <w:sz w:val="20"/>
                <w:szCs w:val="20"/>
              </w:rPr>
            </w:pPr>
            <w:r>
              <w:rPr>
                <w:color w:val="000000"/>
                <w:sz w:val="20"/>
                <w:szCs w:val="20"/>
              </w:rPr>
              <w:t>$305.30</w:t>
            </w:r>
          </w:p>
        </w:tc>
      </w:tr>
      <w:tr w:rsidR="00C671DA" w:rsidRPr="00BA2B9B" w14:paraId="6911D82E" w14:textId="77777777" w:rsidTr="00C36D4F">
        <w:tc>
          <w:tcPr>
            <w:tcW w:w="1458" w:type="dxa"/>
            <w:gridSpan w:val="3"/>
            <w:shd w:val="clear" w:color="auto" w:fill="auto"/>
          </w:tcPr>
          <w:p w14:paraId="207F75FA" w14:textId="77777777" w:rsidR="00C671DA" w:rsidRPr="00BA2B9B" w:rsidRDefault="00C671DA" w:rsidP="00C36D4F">
            <w:pPr>
              <w:spacing w:before="60" w:after="60"/>
              <w:rPr>
                <w:color w:val="000000"/>
                <w:sz w:val="20"/>
                <w:szCs w:val="20"/>
              </w:rPr>
            </w:pPr>
            <w:r w:rsidRPr="00BA2B9B">
              <w:rPr>
                <w:sz w:val="20"/>
                <w:szCs w:val="20"/>
              </w:rPr>
              <w:t xml:space="preserve">Greg </w:t>
            </w:r>
            <w:proofErr w:type="spellStart"/>
            <w:r w:rsidRPr="00BA2B9B">
              <w:rPr>
                <w:sz w:val="20"/>
                <w:szCs w:val="20"/>
              </w:rPr>
              <w:t>Ruszovan</w:t>
            </w:r>
            <w:proofErr w:type="spellEnd"/>
          </w:p>
        </w:tc>
        <w:tc>
          <w:tcPr>
            <w:tcW w:w="697" w:type="dxa"/>
            <w:shd w:val="clear" w:color="auto" w:fill="auto"/>
          </w:tcPr>
          <w:p w14:paraId="54DDBA81"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5948DA07" w14:textId="77777777" w:rsidR="00C671DA" w:rsidRPr="00B416C4" w:rsidRDefault="00C671DA" w:rsidP="00C36D4F">
            <w:pPr>
              <w:spacing w:before="60" w:after="60"/>
              <w:jc w:val="right"/>
              <w:rPr>
                <w:color w:val="000000"/>
                <w:sz w:val="18"/>
                <w:szCs w:val="18"/>
              </w:rPr>
            </w:pPr>
            <w:r w:rsidRPr="00B416C4">
              <w:rPr>
                <w:sz w:val="18"/>
                <w:szCs w:val="18"/>
              </w:rPr>
              <w:t>21.45</w:t>
            </w:r>
          </w:p>
        </w:tc>
        <w:tc>
          <w:tcPr>
            <w:tcW w:w="810" w:type="dxa"/>
            <w:shd w:val="clear" w:color="auto" w:fill="auto"/>
          </w:tcPr>
          <w:p w14:paraId="5AE11F59" w14:textId="77777777" w:rsidR="00C671DA" w:rsidRPr="00BA2B9B" w:rsidRDefault="00C671DA" w:rsidP="00C36D4F">
            <w:pPr>
              <w:spacing w:before="60" w:after="60"/>
              <w:jc w:val="center"/>
              <w:rPr>
                <w:color w:val="000000"/>
                <w:sz w:val="20"/>
                <w:szCs w:val="20"/>
              </w:rPr>
            </w:pPr>
            <w:r w:rsidRPr="00BA2B9B">
              <w:rPr>
                <w:sz w:val="20"/>
                <w:szCs w:val="20"/>
              </w:rPr>
              <w:t>$215</w:t>
            </w:r>
          </w:p>
        </w:tc>
        <w:tc>
          <w:tcPr>
            <w:tcW w:w="990" w:type="dxa"/>
            <w:gridSpan w:val="2"/>
            <w:tcBorders>
              <w:right w:val="single" w:sz="4" w:space="0" w:color="auto"/>
            </w:tcBorders>
            <w:shd w:val="clear" w:color="auto" w:fill="auto"/>
          </w:tcPr>
          <w:p w14:paraId="097C8D40" w14:textId="77777777" w:rsidR="00C671DA" w:rsidRPr="00B416C4" w:rsidRDefault="00C671DA" w:rsidP="00C36D4F">
            <w:pPr>
              <w:spacing w:before="60" w:after="60"/>
              <w:ind w:left="-20" w:right="-110" w:hanging="90"/>
              <w:jc w:val="right"/>
              <w:rPr>
                <w:color w:val="000000"/>
                <w:sz w:val="18"/>
                <w:szCs w:val="18"/>
              </w:rPr>
            </w:pPr>
            <w:r w:rsidRPr="00B416C4">
              <w:rPr>
                <w:sz w:val="18"/>
                <w:szCs w:val="18"/>
              </w:rPr>
              <w:t>D.16-11-004 (for 2015)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A4383A8" w14:textId="77777777" w:rsidR="00C671DA" w:rsidRPr="00BA2B9B" w:rsidRDefault="00C671DA" w:rsidP="00C36D4F">
            <w:pPr>
              <w:spacing w:before="60" w:after="60"/>
              <w:ind w:hanging="110"/>
              <w:jc w:val="right"/>
              <w:rPr>
                <w:color w:val="000000"/>
                <w:sz w:val="20"/>
                <w:szCs w:val="20"/>
              </w:rPr>
            </w:pPr>
            <w:r w:rsidRPr="00BA2B9B">
              <w:rPr>
                <w:sz w:val="20"/>
                <w:szCs w:val="20"/>
              </w:rPr>
              <w:t>$4,611.75</w:t>
            </w:r>
          </w:p>
        </w:tc>
        <w:tc>
          <w:tcPr>
            <w:tcW w:w="1440" w:type="dxa"/>
            <w:gridSpan w:val="2"/>
            <w:tcBorders>
              <w:left w:val="single" w:sz="4" w:space="0" w:color="auto"/>
            </w:tcBorders>
            <w:shd w:val="clear" w:color="auto" w:fill="auto"/>
          </w:tcPr>
          <w:p w14:paraId="5B1E685F" w14:textId="77777777" w:rsidR="00C671DA" w:rsidRPr="00BA2B9B" w:rsidRDefault="00C671DA" w:rsidP="00C36D4F">
            <w:pPr>
              <w:spacing w:before="60" w:after="60"/>
              <w:jc w:val="right"/>
              <w:rPr>
                <w:color w:val="000000"/>
                <w:sz w:val="20"/>
                <w:szCs w:val="20"/>
              </w:rPr>
            </w:pPr>
            <w:r>
              <w:rPr>
                <w:color w:val="000000"/>
                <w:sz w:val="20"/>
                <w:szCs w:val="20"/>
              </w:rPr>
              <w:t>21.45</w:t>
            </w:r>
          </w:p>
        </w:tc>
        <w:tc>
          <w:tcPr>
            <w:tcW w:w="900" w:type="dxa"/>
            <w:shd w:val="clear" w:color="auto" w:fill="auto"/>
          </w:tcPr>
          <w:p w14:paraId="3896E206" w14:textId="77777777" w:rsidR="00C671DA" w:rsidRPr="00BA2B9B" w:rsidRDefault="00C671DA" w:rsidP="00C36D4F">
            <w:pPr>
              <w:spacing w:before="60" w:after="60"/>
              <w:jc w:val="center"/>
              <w:rPr>
                <w:color w:val="000000"/>
                <w:sz w:val="20"/>
                <w:szCs w:val="20"/>
              </w:rPr>
            </w:pPr>
            <w:r>
              <w:rPr>
                <w:color w:val="000000"/>
                <w:sz w:val="20"/>
                <w:szCs w:val="20"/>
              </w:rPr>
              <w:t>$215</w:t>
            </w:r>
          </w:p>
        </w:tc>
        <w:tc>
          <w:tcPr>
            <w:tcW w:w="1170" w:type="dxa"/>
            <w:shd w:val="clear" w:color="auto" w:fill="auto"/>
          </w:tcPr>
          <w:p w14:paraId="0F69CE09" w14:textId="77777777" w:rsidR="00C671DA" w:rsidRPr="00BA2B9B" w:rsidRDefault="00C671DA" w:rsidP="00C36D4F">
            <w:pPr>
              <w:spacing w:before="60" w:after="60"/>
              <w:jc w:val="right"/>
              <w:rPr>
                <w:color w:val="000000"/>
                <w:sz w:val="20"/>
                <w:szCs w:val="20"/>
              </w:rPr>
            </w:pPr>
            <w:r>
              <w:rPr>
                <w:color w:val="000000"/>
                <w:sz w:val="20"/>
                <w:szCs w:val="20"/>
              </w:rPr>
              <w:t>$4,611.75</w:t>
            </w:r>
          </w:p>
        </w:tc>
      </w:tr>
      <w:tr w:rsidR="00C671DA" w:rsidRPr="00BA2B9B" w14:paraId="40C58EBF" w14:textId="77777777" w:rsidTr="00C36D4F">
        <w:tc>
          <w:tcPr>
            <w:tcW w:w="1458" w:type="dxa"/>
            <w:gridSpan w:val="3"/>
            <w:shd w:val="clear" w:color="auto" w:fill="auto"/>
          </w:tcPr>
          <w:p w14:paraId="6C9F3D4B" w14:textId="77777777" w:rsidR="00C671DA" w:rsidRPr="00BA2B9B" w:rsidRDefault="00C671DA" w:rsidP="00C36D4F">
            <w:pPr>
              <w:spacing w:before="60" w:after="60"/>
              <w:rPr>
                <w:color w:val="000000"/>
                <w:sz w:val="20"/>
                <w:szCs w:val="20"/>
              </w:rPr>
            </w:pPr>
            <w:r w:rsidRPr="00BA2B9B">
              <w:rPr>
                <w:sz w:val="20"/>
                <w:szCs w:val="20"/>
              </w:rPr>
              <w:t>Dennis Stephens</w:t>
            </w:r>
          </w:p>
        </w:tc>
        <w:tc>
          <w:tcPr>
            <w:tcW w:w="697" w:type="dxa"/>
            <w:shd w:val="clear" w:color="auto" w:fill="auto"/>
          </w:tcPr>
          <w:p w14:paraId="33FF454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6310B4BD" w14:textId="77777777" w:rsidR="00C671DA" w:rsidRPr="00B416C4" w:rsidRDefault="00C671DA" w:rsidP="00C36D4F">
            <w:pPr>
              <w:spacing w:before="60" w:after="60"/>
              <w:jc w:val="right"/>
              <w:rPr>
                <w:color w:val="000000"/>
                <w:sz w:val="18"/>
                <w:szCs w:val="18"/>
              </w:rPr>
            </w:pPr>
            <w:r w:rsidRPr="00B416C4">
              <w:rPr>
                <w:sz w:val="18"/>
                <w:szCs w:val="18"/>
              </w:rPr>
              <w:t>71.00</w:t>
            </w:r>
          </w:p>
        </w:tc>
        <w:tc>
          <w:tcPr>
            <w:tcW w:w="810" w:type="dxa"/>
            <w:shd w:val="clear" w:color="auto" w:fill="auto"/>
          </w:tcPr>
          <w:p w14:paraId="12F2A69B" w14:textId="77777777" w:rsidR="00C671DA" w:rsidRPr="00BA2B9B" w:rsidRDefault="00C671DA" w:rsidP="00C36D4F">
            <w:pPr>
              <w:spacing w:before="60" w:after="60"/>
              <w:jc w:val="center"/>
              <w:rPr>
                <w:color w:val="000000"/>
                <w:sz w:val="20"/>
                <w:szCs w:val="20"/>
              </w:rPr>
            </w:pPr>
            <w:r w:rsidRPr="00BA2B9B">
              <w:rPr>
                <w:sz w:val="20"/>
                <w:szCs w:val="20"/>
              </w:rPr>
              <w:t>$225</w:t>
            </w:r>
          </w:p>
        </w:tc>
        <w:tc>
          <w:tcPr>
            <w:tcW w:w="990" w:type="dxa"/>
            <w:gridSpan w:val="2"/>
            <w:tcBorders>
              <w:right w:val="single" w:sz="4" w:space="0" w:color="auto"/>
            </w:tcBorders>
            <w:shd w:val="clear" w:color="auto" w:fill="auto"/>
          </w:tcPr>
          <w:p w14:paraId="01EE4A06" w14:textId="77777777" w:rsidR="00C671DA" w:rsidRPr="00B416C4" w:rsidRDefault="00C671DA" w:rsidP="00C36D4F">
            <w:pPr>
              <w:spacing w:before="60" w:after="60"/>
              <w:jc w:val="right"/>
              <w:rPr>
                <w:color w:val="000000"/>
                <w:sz w:val="18"/>
                <w:szCs w:val="18"/>
              </w:rPr>
            </w:pPr>
            <w:r w:rsidRPr="00B416C4">
              <w:rPr>
                <w:sz w:val="18"/>
                <w:szCs w:val="18"/>
              </w:rPr>
              <w:t>See Comment #4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2D9A871F" w14:textId="77777777" w:rsidR="00C671DA" w:rsidRPr="00B416C4" w:rsidRDefault="00C671DA" w:rsidP="00C36D4F">
            <w:pPr>
              <w:spacing w:before="60" w:after="60"/>
              <w:ind w:hanging="110"/>
              <w:jc w:val="right"/>
              <w:rPr>
                <w:color w:val="000000"/>
                <w:sz w:val="18"/>
                <w:szCs w:val="18"/>
              </w:rPr>
            </w:pPr>
            <w:r w:rsidRPr="00B416C4">
              <w:rPr>
                <w:sz w:val="18"/>
                <w:szCs w:val="18"/>
              </w:rPr>
              <w:t>$15,975.00</w:t>
            </w:r>
          </w:p>
        </w:tc>
        <w:tc>
          <w:tcPr>
            <w:tcW w:w="1440" w:type="dxa"/>
            <w:gridSpan w:val="2"/>
            <w:tcBorders>
              <w:left w:val="single" w:sz="4" w:space="0" w:color="auto"/>
            </w:tcBorders>
            <w:shd w:val="clear" w:color="auto" w:fill="auto"/>
          </w:tcPr>
          <w:p w14:paraId="1C3E79EC" w14:textId="77777777" w:rsidR="00C671DA" w:rsidRPr="00BA2B9B" w:rsidRDefault="00C671DA" w:rsidP="00C36D4F">
            <w:pPr>
              <w:spacing w:before="60" w:after="60"/>
              <w:jc w:val="right"/>
              <w:rPr>
                <w:color w:val="000000"/>
                <w:sz w:val="20"/>
                <w:szCs w:val="20"/>
              </w:rPr>
            </w:pPr>
            <w:r>
              <w:rPr>
                <w:color w:val="000000"/>
                <w:sz w:val="20"/>
                <w:szCs w:val="20"/>
              </w:rPr>
              <w:t>71</w:t>
            </w:r>
          </w:p>
        </w:tc>
        <w:tc>
          <w:tcPr>
            <w:tcW w:w="900" w:type="dxa"/>
            <w:shd w:val="clear" w:color="auto" w:fill="auto"/>
          </w:tcPr>
          <w:p w14:paraId="23D80C0E" w14:textId="77777777" w:rsidR="00C671DA" w:rsidRPr="00BA2B9B" w:rsidRDefault="00C671DA" w:rsidP="00C36D4F">
            <w:pPr>
              <w:spacing w:before="60" w:after="60"/>
              <w:jc w:val="center"/>
              <w:rPr>
                <w:color w:val="000000"/>
                <w:sz w:val="20"/>
                <w:szCs w:val="20"/>
              </w:rPr>
            </w:pPr>
            <w:r>
              <w:rPr>
                <w:color w:val="000000"/>
                <w:sz w:val="20"/>
                <w:szCs w:val="20"/>
              </w:rPr>
              <w:t>$225</w:t>
            </w:r>
          </w:p>
        </w:tc>
        <w:tc>
          <w:tcPr>
            <w:tcW w:w="1170" w:type="dxa"/>
            <w:shd w:val="clear" w:color="auto" w:fill="auto"/>
          </w:tcPr>
          <w:p w14:paraId="32534D34" w14:textId="77777777" w:rsidR="00C671DA" w:rsidRPr="00BA2B9B" w:rsidRDefault="00C671DA" w:rsidP="00C36D4F">
            <w:pPr>
              <w:spacing w:before="60" w:after="60"/>
              <w:jc w:val="right"/>
              <w:rPr>
                <w:color w:val="000000"/>
                <w:sz w:val="20"/>
                <w:szCs w:val="20"/>
              </w:rPr>
            </w:pPr>
            <w:r>
              <w:rPr>
                <w:color w:val="000000"/>
                <w:sz w:val="20"/>
                <w:szCs w:val="20"/>
              </w:rPr>
              <w:t>$15,975.00</w:t>
            </w:r>
          </w:p>
        </w:tc>
      </w:tr>
      <w:tr w:rsidR="00C671DA" w:rsidRPr="00BA2B9B" w14:paraId="46757508" w14:textId="77777777" w:rsidTr="00C36D4F">
        <w:tc>
          <w:tcPr>
            <w:tcW w:w="1458" w:type="dxa"/>
            <w:gridSpan w:val="3"/>
            <w:shd w:val="clear" w:color="auto" w:fill="auto"/>
          </w:tcPr>
          <w:p w14:paraId="7601FA78" w14:textId="77777777" w:rsidR="00C671DA" w:rsidRPr="00BA2B9B" w:rsidRDefault="00C671DA" w:rsidP="00C36D4F">
            <w:pPr>
              <w:spacing w:before="60" w:after="60"/>
              <w:rPr>
                <w:color w:val="000000"/>
                <w:sz w:val="20"/>
                <w:szCs w:val="20"/>
              </w:rPr>
            </w:pPr>
            <w:r w:rsidRPr="00BA2B9B">
              <w:rPr>
                <w:sz w:val="20"/>
                <w:szCs w:val="20"/>
              </w:rPr>
              <w:t>John Sugar</w:t>
            </w:r>
          </w:p>
        </w:tc>
        <w:tc>
          <w:tcPr>
            <w:tcW w:w="697" w:type="dxa"/>
            <w:shd w:val="clear" w:color="auto" w:fill="auto"/>
          </w:tcPr>
          <w:p w14:paraId="44F2B991"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2EC5BFC7" w14:textId="77777777" w:rsidR="00C671DA" w:rsidRPr="00B416C4" w:rsidRDefault="00C671DA" w:rsidP="00C36D4F">
            <w:pPr>
              <w:spacing w:before="60" w:after="60"/>
              <w:jc w:val="right"/>
              <w:rPr>
                <w:color w:val="000000"/>
                <w:sz w:val="18"/>
                <w:szCs w:val="18"/>
              </w:rPr>
            </w:pPr>
            <w:r w:rsidRPr="00B416C4">
              <w:rPr>
                <w:sz w:val="18"/>
                <w:szCs w:val="18"/>
              </w:rPr>
              <w:t>283.37</w:t>
            </w:r>
          </w:p>
        </w:tc>
        <w:tc>
          <w:tcPr>
            <w:tcW w:w="810" w:type="dxa"/>
            <w:shd w:val="clear" w:color="auto" w:fill="auto"/>
          </w:tcPr>
          <w:p w14:paraId="735AEF6F" w14:textId="77777777" w:rsidR="00C671DA" w:rsidRPr="00BA2B9B" w:rsidRDefault="00C671DA" w:rsidP="00C36D4F">
            <w:pPr>
              <w:spacing w:before="60" w:after="60"/>
              <w:jc w:val="center"/>
              <w:rPr>
                <w:color w:val="000000"/>
                <w:sz w:val="20"/>
                <w:szCs w:val="20"/>
              </w:rPr>
            </w:pPr>
            <w:r w:rsidRPr="00BA2B9B">
              <w:rPr>
                <w:sz w:val="20"/>
                <w:szCs w:val="20"/>
              </w:rPr>
              <w:t>$220</w:t>
            </w:r>
          </w:p>
        </w:tc>
        <w:tc>
          <w:tcPr>
            <w:tcW w:w="990" w:type="dxa"/>
            <w:gridSpan w:val="2"/>
            <w:tcBorders>
              <w:right w:val="single" w:sz="4" w:space="0" w:color="auto"/>
            </w:tcBorders>
            <w:shd w:val="clear" w:color="auto" w:fill="auto"/>
          </w:tcPr>
          <w:p w14:paraId="02A073BB" w14:textId="77777777" w:rsidR="00C671DA" w:rsidRPr="00B416C4" w:rsidRDefault="00C671DA" w:rsidP="00C36D4F">
            <w:pPr>
              <w:spacing w:before="60" w:after="60"/>
              <w:ind w:hanging="110"/>
              <w:jc w:val="right"/>
              <w:rPr>
                <w:color w:val="000000"/>
                <w:sz w:val="16"/>
                <w:szCs w:val="16"/>
              </w:rPr>
            </w:pPr>
            <w:r w:rsidRPr="00B416C4">
              <w:rPr>
                <w:sz w:val="16"/>
                <w:szCs w:val="16"/>
              </w:rPr>
              <w:t>D.16-11-004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08490E4" w14:textId="77777777" w:rsidR="00C671DA" w:rsidRPr="00B416C4" w:rsidRDefault="00C671DA" w:rsidP="00C36D4F">
            <w:pPr>
              <w:spacing w:before="60" w:after="60"/>
              <w:jc w:val="right"/>
              <w:rPr>
                <w:color w:val="000000"/>
                <w:sz w:val="16"/>
                <w:szCs w:val="16"/>
              </w:rPr>
            </w:pPr>
            <w:r w:rsidRPr="00B416C4">
              <w:rPr>
                <w:sz w:val="16"/>
                <w:szCs w:val="16"/>
              </w:rPr>
              <w:t>$62,341.40</w:t>
            </w:r>
          </w:p>
        </w:tc>
        <w:tc>
          <w:tcPr>
            <w:tcW w:w="1440" w:type="dxa"/>
            <w:gridSpan w:val="2"/>
            <w:tcBorders>
              <w:left w:val="single" w:sz="4" w:space="0" w:color="auto"/>
            </w:tcBorders>
            <w:shd w:val="clear" w:color="auto" w:fill="auto"/>
          </w:tcPr>
          <w:p w14:paraId="58B7715E" w14:textId="77777777" w:rsidR="00C671DA" w:rsidRPr="00BA2B9B" w:rsidRDefault="00C671DA" w:rsidP="00C36D4F">
            <w:pPr>
              <w:spacing w:before="60" w:after="60"/>
              <w:jc w:val="right"/>
              <w:rPr>
                <w:color w:val="000000"/>
                <w:sz w:val="20"/>
                <w:szCs w:val="20"/>
              </w:rPr>
            </w:pPr>
            <w:r>
              <w:rPr>
                <w:color w:val="000000"/>
                <w:sz w:val="20"/>
                <w:szCs w:val="20"/>
              </w:rPr>
              <w:t>283.25</w:t>
            </w:r>
            <w:r w:rsidRPr="001507ED">
              <w:rPr>
                <w:color w:val="000000"/>
                <w:sz w:val="20"/>
                <w:szCs w:val="20"/>
                <w:vertAlign w:val="superscript"/>
              </w:rPr>
              <w:t>[3]</w:t>
            </w:r>
          </w:p>
        </w:tc>
        <w:tc>
          <w:tcPr>
            <w:tcW w:w="900" w:type="dxa"/>
            <w:shd w:val="clear" w:color="auto" w:fill="auto"/>
          </w:tcPr>
          <w:p w14:paraId="1084FB44" w14:textId="77777777" w:rsidR="00C671DA" w:rsidRPr="00BA2B9B" w:rsidRDefault="00C671DA" w:rsidP="00C36D4F">
            <w:pPr>
              <w:spacing w:before="60" w:after="60"/>
              <w:jc w:val="center"/>
              <w:rPr>
                <w:color w:val="000000"/>
                <w:sz w:val="20"/>
                <w:szCs w:val="20"/>
              </w:rPr>
            </w:pPr>
            <w:r>
              <w:rPr>
                <w:color w:val="000000"/>
                <w:sz w:val="20"/>
                <w:szCs w:val="20"/>
              </w:rPr>
              <w:t>$220</w:t>
            </w:r>
          </w:p>
        </w:tc>
        <w:tc>
          <w:tcPr>
            <w:tcW w:w="1170" w:type="dxa"/>
            <w:shd w:val="clear" w:color="auto" w:fill="auto"/>
          </w:tcPr>
          <w:p w14:paraId="58A82A8E" w14:textId="77777777" w:rsidR="00C671DA" w:rsidRPr="00BA2B9B" w:rsidRDefault="00C671DA" w:rsidP="00C36D4F">
            <w:pPr>
              <w:spacing w:before="60" w:after="60"/>
              <w:jc w:val="right"/>
              <w:rPr>
                <w:color w:val="000000"/>
                <w:sz w:val="20"/>
                <w:szCs w:val="20"/>
              </w:rPr>
            </w:pPr>
            <w:r>
              <w:rPr>
                <w:color w:val="000000"/>
                <w:sz w:val="20"/>
                <w:szCs w:val="20"/>
              </w:rPr>
              <w:t>$62,315.00</w:t>
            </w:r>
          </w:p>
        </w:tc>
      </w:tr>
      <w:tr w:rsidR="00C671DA" w:rsidRPr="00BA2B9B" w14:paraId="6F7637EB" w14:textId="77777777" w:rsidTr="00C36D4F">
        <w:tc>
          <w:tcPr>
            <w:tcW w:w="1458" w:type="dxa"/>
            <w:gridSpan w:val="3"/>
            <w:shd w:val="clear" w:color="auto" w:fill="auto"/>
          </w:tcPr>
          <w:p w14:paraId="23179FE1" w14:textId="77777777" w:rsidR="00C671DA" w:rsidRPr="00BA2B9B" w:rsidRDefault="00C671DA" w:rsidP="00C36D4F">
            <w:pPr>
              <w:spacing w:before="60" w:after="60"/>
              <w:rPr>
                <w:color w:val="000000"/>
                <w:sz w:val="20"/>
                <w:szCs w:val="20"/>
              </w:rPr>
            </w:pPr>
            <w:r w:rsidRPr="00BA2B9B">
              <w:rPr>
                <w:sz w:val="20"/>
                <w:szCs w:val="20"/>
              </w:rPr>
              <w:t>John Sugar</w:t>
            </w:r>
          </w:p>
        </w:tc>
        <w:tc>
          <w:tcPr>
            <w:tcW w:w="697" w:type="dxa"/>
            <w:shd w:val="clear" w:color="auto" w:fill="auto"/>
          </w:tcPr>
          <w:p w14:paraId="5C5D4AC3"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0209F462" w14:textId="77777777" w:rsidR="00C671DA" w:rsidRPr="00B416C4" w:rsidRDefault="00C671DA" w:rsidP="00C36D4F">
            <w:pPr>
              <w:spacing w:before="60" w:after="60"/>
              <w:jc w:val="right"/>
              <w:rPr>
                <w:color w:val="000000"/>
                <w:sz w:val="18"/>
                <w:szCs w:val="18"/>
              </w:rPr>
            </w:pPr>
            <w:r w:rsidRPr="00B416C4">
              <w:rPr>
                <w:sz w:val="18"/>
                <w:szCs w:val="18"/>
              </w:rPr>
              <w:t>565.01</w:t>
            </w:r>
          </w:p>
        </w:tc>
        <w:tc>
          <w:tcPr>
            <w:tcW w:w="810" w:type="dxa"/>
            <w:shd w:val="clear" w:color="auto" w:fill="auto"/>
          </w:tcPr>
          <w:p w14:paraId="52F10966" w14:textId="77777777" w:rsidR="00C671DA" w:rsidRPr="00BA2B9B" w:rsidRDefault="00C671DA" w:rsidP="00C36D4F">
            <w:pPr>
              <w:spacing w:before="60" w:after="60"/>
              <w:jc w:val="center"/>
              <w:rPr>
                <w:color w:val="000000"/>
                <w:sz w:val="20"/>
                <w:szCs w:val="20"/>
              </w:rPr>
            </w:pPr>
            <w:r w:rsidRPr="00BA2B9B">
              <w:rPr>
                <w:sz w:val="20"/>
                <w:szCs w:val="20"/>
              </w:rPr>
              <w:t>$220</w:t>
            </w:r>
          </w:p>
        </w:tc>
        <w:tc>
          <w:tcPr>
            <w:tcW w:w="990" w:type="dxa"/>
            <w:gridSpan w:val="2"/>
            <w:tcBorders>
              <w:right w:val="single" w:sz="4" w:space="0" w:color="auto"/>
            </w:tcBorders>
            <w:shd w:val="clear" w:color="auto" w:fill="auto"/>
          </w:tcPr>
          <w:p w14:paraId="040277EF" w14:textId="77777777" w:rsidR="00C671DA" w:rsidRPr="00B416C4" w:rsidRDefault="00C671DA" w:rsidP="00C36D4F">
            <w:pPr>
              <w:spacing w:before="60" w:after="60"/>
              <w:ind w:right="-110"/>
              <w:rPr>
                <w:color w:val="000000"/>
                <w:sz w:val="16"/>
                <w:szCs w:val="16"/>
              </w:rPr>
            </w:pPr>
            <w:r w:rsidRPr="00B416C4">
              <w:rPr>
                <w:sz w:val="16"/>
                <w:szCs w:val="16"/>
              </w:rPr>
              <w:t>D.16-11-004 (for 2015)</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DBFC930" w14:textId="77777777" w:rsidR="00C671DA" w:rsidRPr="00B416C4" w:rsidRDefault="00C671DA" w:rsidP="00C36D4F">
            <w:pPr>
              <w:spacing w:before="60" w:after="60"/>
              <w:ind w:left="-110"/>
              <w:jc w:val="right"/>
              <w:rPr>
                <w:color w:val="000000"/>
                <w:sz w:val="16"/>
                <w:szCs w:val="16"/>
              </w:rPr>
            </w:pPr>
            <w:r w:rsidRPr="00B416C4">
              <w:rPr>
                <w:sz w:val="16"/>
                <w:szCs w:val="16"/>
              </w:rPr>
              <w:t>$124,302.20</w:t>
            </w:r>
          </w:p>
        </w:tc>
        <w:tc>
          <w:tcPr>
            <w:tcW w:w="1440" w:type="dxa"/>
            <w:gridSpan w:val="2"/>
            <w:tcBorders>
              <w:left w:val="single" w:sz="4" w:space="0" w:color="auto"/>
            </w:tcBorders>
            <w:shd w:val="clear" w:color="auto" w:fill="auto"/>
          </w:tcPr>
          <w:p w14:paraId="71962D92" w14:textId="77777777" w:rsidR="00C671DA" w:rsidRPr="00BA2B9B" w:rsidRDefault="00C671DA" w:rsidP="00C36D4F">
            <w:pPr>
              <w:spacing w:before="60" w:after="60"/>
              <w:jc w:val="right"/>
              <w:rPr>
                <w:color w:val="000000"/>
                <w:sz w:val="20"/>
                <w:szCs w:val="20"/>
              </w:rPr>
            </w:pPr>
            <w:r>
              <w:rPr>
                <w:color w:val="000000"/>
                <w:sz w:val="20"/>
                <w:szCs w:val="20"/>
              </w:rPr>
              <w:t>565.01</w:t>
            </w:r>
          </w:p>
        </w:tc>
        <w:tc>
          <w:tcPr>
            <w:tcW w:w="900" w:type="dxa"/>
            <w:shd w:val="clear" w:color="auto" w:fill="auto"/>
          </w:tcPr>
          <w:p w14:paraId="295F330D" w14:textId="77777777" w:rsidR="00C671DA" w:rsidRPr="00BA2B9B" w:rsidRDefault="00C671DA" w:rsidP="00C36D4F">
            <w:pPr>
              <w:spacing w:before="60" w:after="60"/>
              <w:jc w:val="center"/>
              <w:rPr>
                <w:color w:val="000000"/>
                <w:sz w:val="20"/>
                <w:szCs w:val="20"/>
              </w:rPr>
            </w:pPr>
            <w:r>
              <w:rPr>
                <w:color w:val="000000"/>
                <w:sz w:val="20"/>
                <w:szCs w:val="20"/>
              </w:rPr>
              <w:t>$220</w:t>
            </w:r>
          </w:p>
        </w:tc>
        <w:tc>
          <w:tcPr>
            <w:tcW w:w="1170" w:type="dxa"/>
            <w:shd w:val="clear" w:color="auto" w:fill="auto"/>
          </w:tcPr>
          <w:p w14:paraId="44363AB0" w14:textId="77777777" w:rsidR="00C671DA" w:rsidRPr="00B416C4" w:rsidRDefault="00C671DA" w:rsidP="00C36D4F">
            <w:pPr>
              <w:spacing w:before="60" w:after="60"/>
              <w:jc w:val="right"/>
              <w:rPr>
                <w:color w:val="000000"/>
                <w:sz w:val="16"/>
                <w:szCs w:val="16"/>
              </w:rPr>
            </w:pPr>
            <w:r w:rsidRPr="00B416C4">
              <w:rPr>
                <w:color w:val="000000"/>
                <w:sz w:val="16"/>
                <w:szCs w:val="16"/>
              </w:rPr>
              <w:t>$124,302.20</w:t>
            </w:r>
          </w:p>
        </w:tc>
      </w:tr>
      <w:tr w:rsidR="00C671DA" w:rsidRPr="00BA2B9B" w14:paraId="217407A1" w14:textId="77777777" w:rsidTr="00C36D4F">
        <w:tc>
          <w:tcPr>
            <w:tcW w:w="1458" w:type="dxa"/>
            <w:gridSpan w:val="3"/>
            <w:shd w:val="clear" w:color="auto" w:fill="auto"/>
          </w:tcPr>
          <w:p w14:paraId="254C253D" w14:textId="77777777" w:rsidR="00C671DA" w:rsidRPr="00BA2B9B" w:rsidRDefault="00C671DA" w:rsidP="00C36D4F">
            <w:pPr>
              <w:spacing w:before="60" w:after="60"/>
              <w:rPr>
                <w:color w:val="000000"/>
                <w:sz w:val="20"/>
                <w:szCs w:val="20"/>
              </w:rPr>
            </w:pPr>
            <w:r w:rsidRPr="00BA2B9B">
              <w:rPr>
                <w:sz w:val="20"/>
                <w:szCs w:val="20"/>
              </w:rPr>
              <w:t>Catherine Yap</w:t>
            </w:r>
          </w:p>
        </w:tc>
        <w:tc>
          <w:tcPr>
            <w:tcW w:w="697" w:type="dxa"/>
            <w:shd w:val="clear" w:color="auto" w:fill="auto"/>
          </w:tcPr>
          <w:p w14:paraId="753D5A2B" w14:textId="77777777" w:rsidR="00C671DA" w:rsidRPr="00BA2B9B" w:rsidRDefault="00C671DA" w:rsidP="00C36D4F">
            <w:pPr>
              <w:spacing w:before="60" w:after="60"/>
              <w:jc w:val="center"/>
              <w:rPr>
                <w:color w:val="000000"/>
                <w:sz w:val="20"/>
                <w:szCs w:val="20"/>
              </w:rPr>
            </w:pPr>
            <w:r w:rsidRPr="00BA2B9B">
              <w:rPr>
                <w:sz w:val="20"/>
                <w:szCs w:val="20"/>
              </w:rPr>
              <w:t>2015</w:t>
            </w:r>
          </w:p>
        </w:tc>
        <w:tc>
          <w:tcPr>
            <w:tcW w:w="810" w:type="dxa"/>
            <w:gridSpan w:val="2"/>
            <w:shd w:val="clear" w:color="auto" w:fill="auto"/>
          </w:tcPr>
          <w:p w14:paraId="4DB908A0" w14:textId="77777777" w:rsidR="00C671DA" w:rsidRPr="00B416C4" w:rsidRDefault="00C671DA" w:rsidP="00C36D4F">
            <w:pPr>
              <w:spacing w:before="60" w:after="60"/>
              <w:jc w:val="right"/>
              <w:rPr>
                <w:color w:val="000000"/>
                <w:sz w:val="18"/>
                <w:szCs w:val="18"/>
              </w:rPr>
            </w:pPr>
            <w:r w:rsidRPr="00B416C4">
              <w:rPr>
                <w:sz w:val="18"/>
                <w:szCs w:val="18"/>
              </w:rPr>
              <w:t>99.25</w:t>
            </w:r>
          </w:p>
        </w:tc>
        <w:tc>
          <w:tcPr>
            <w:tcW w:w="810" w:type="dxa"/>
            <w:shd w:val="clear" w:color="auto" w:fill="auto"/>
          </w:tcPr>
          <w:p w14:paraId="4E8CB645" w14:textId="77777777" w:rsidR="00C671DA" w:rsidRPr="00BA2B9B" w:rsidRDefault="00C671DA" w:rsidP="00C36D4F">
            <w:pPr>
              <w:spacing w:before="60" w:after="60"/>
              <w:jc w:val="center"/>
              <w:rPr>
                <w:color w:val="000000"/>
                <w:sz w:val="20"/>
                <w:szCs w:val="20"/>
              </w:rPr>
            </w:pPr>
            <w:r w:rsidRPr="00BA2B9B">
              <w:rPr>
                <w:sz w:val="20"/>
                <w:szCs w:val="20"/>
              </w:rPr>
              <w:t>$280</w:t>
            </w:r>
          </w:p>
        </w:tc>
        <w:tc>
          <w:tcPr>
            <w:tcW w:w="990" w:type="dxa"/>
            <w:gridSpan w:val="2"/>
            <w:tcBorders>
              <w:right w:val="single" w:sz="4" w:space="0" w:color="auto"/>
            </w:tcBorders>
            <w:shd w:val="clear" w:color="auto" w:fill="auto"/>
          </w:tcPr>
          <w:p w14:paraId="07394E3C" w14:textId="77777777" w:rsidR="00C671DA" w:rsidRPr="00B416C4" w:rsidRDefault="00C671DA" w:rsidP="00C36D4F">
            <w:pPr>
              <w:spacing w:before="60" w:after="60"/>
              <w:ind w:right="-110"/>
              <w:rPr>
                <w:color w:val="000000"/>
                <w:sz w:val="16"/>
                <w:szCs w:val="16"/>
              </w:rPr>
            </w:pPr>
            <w:r w:rsidRPr="00B416C4">
              <w:rPr>
                <w:sz w:val="16"/>
                <w:szCs w:val="16"/>
              </w:rPr>
              <w:t>D.16-04-011</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C7B0D1E" w14:textId="77777777" w:rsidR="00C671DA" w:rsidRPr="00B416C4" w:rsidRDefault="00C671DA" w:rsidP="00C36D4F">
            <w:pPr>
              <w:spacing w:before="60" w:after="60"/>
              <w:ind w:left="-110"/>
              <w:jc w:val="right"/>
              <w:rPr>
                <w:color w:val="000000"/>
                <w:sz w:val="18"/>
                <w:szCs w:val="18"/>
              </w:rPr>
            </w:pPr>
            <w:r w:rsidRPr="00B416C4">
              <w:rPr>
                <w:sz w:val="18"/>
                <w:szCs w:val="18"/>
              </w:rPr>
              <w:t>$27,790.00</w:t>
            </w:r>
          </w:p>
        </w:tc>
        <w:tc>
          <w:tcPr>
            <w:tcW w:w="1440" w:type="dxa"/>
            <w:gridSpan w:val="2"/>
            <w:tcBorders>
              <w:left w:val="single" w:sz="4" w:space="0" w:color="auto"/>
            </w:tcBorders>
            <w:shd w:val="clear" w:color="auto" w:fill="auto"/>
          </w:tcPr>
          <w:p w14:paraId="57B31003" w14:textId="77777777" w:rsidR="00C671DA" w:rsidRPr="00BA2B9B" w:rsidRDefault="00C671DA" w:rsidP="00C36D4F">
            <w:pPr>
              <w:spacing w:before="60" w:after="60"/>
              <w:jc w:val="right"/>
              <w:rPr>
                <w:color w:val="000000"/>
                <w:sz w:val="20"/>
                <w:szCs w:val="20"/>
              </w:rPr>
            </w:pPr>
            <w:r>
              <w:rPr>
                <w:color w:val="000000"/>
                <w:sz w:val="20"/>
                <w:szCs w:val="20"/>
              </w:rPr>
              <w:t>89.33</w:t>
            </w:r>
            <w:r w:rsidRPr="001507ED">
              <w:rPr>
                <w:color w:val="000000"/>
                <w:sz w:val="20"/>
                <w:szCs w:val="20"/>
                <w:vertAlign w:val="superscript"/>
              </w:rPr>
              <w:t>[1]</w:t>
            </w:r>
          </w:p>
        </w:tc>
        <w:tc>
          <w:tcPr>
            <w:tcW w:w="900" w:type="dxa"/>
            <w:shd w:val="clear" w:color="auto" w:fill="auto"/>
          </w:tcPr>
          <w:p w14:paraId="0B7A344F" w14:textId="77777777" w:rsidR="00C671DA" w:rsidRPr="00BA2B9B" w:rsidRDefault="00C671DA" w:rsidP="00C36D4F">
            <w:pPr>
              <w:spacing w:before="60" w:after="60"/>
              <w:jc w:val="center"/>
              <w:rPr>
                <w:color w:val="000000"/>
                <w:sz w:val="20"/>
                <w:szCs w:val="20"/>
              </w:rPr>
            </w:pPr>
            <w:r>
              <w:rPr>
                <w:color w:val="000000"/>
                <w:sz w:val="20"/>
                <w:szCs w:val="20"/>
              </w:rPr>
              <w:t>$280</w:t>
            </w:r>
          </w:p>
        </w:tc>
        <w:tc>
          <w:tcPr>
            <w:tcW w:w="1170" w:type="dxa"/>
            <w:shd w:val="clear" w:color="auto" w:fill="auto"/>
          </w:tcPr>
          <w:p w14:paraId="6A357FC8" w14:textId="77777777" w:rsidR="00C671DA" w:rsidRPr="00BA2B9B" w:rsidRDefault="00C671DA" w:rsidP="00C36D4F">
            <w:pPr>
              <w:spacing w:before="60" w:after="60"/>
              <w:jc w:val="right"/>
              <w:rPr>
                <w:color w:val="000000"/>
                <w:sz w:val="20"/>
                <w:szCs w:val="20"/>
              </w:rPr>
            </w:pPr>
            <w:r>
              <w:rPr>
                <w:color w:val="000000"/>
                <w:sz w:val="20"/>
                <w:szCs w:val="20"/>
              </w:rPr>
              <w:t>$25,012.40</w:t>
            </w:r>
          </w:p>
        </w:tc>
      </w:tr>
      <w:tr w:rsidR="00C671DA" w:rsidRPr="00BA2B9B" w14:paraId="24A17F8E" w14:textId="77777777" w:rsidTr="00C36D4F">
        <w:tc>
          <w:tcPr>
            <w:tcW w:w="1458" w:type="dxa"/>
            <w:gridSpan w:val="3"/>
            <w:shd w:val="clear" w:color="auto" w:fill="auto"/>
          </w:tcPr>
          <w:p w14:paraId="7B557B82" w14:textId="77777777" w:rsidR="00C671DA" w:rsidRPr="00BA2B9B" w:rsidRDefault="00C671DA" w:rsidP="00C36D4F">
            <w:pPr>
              <w:spacing w:before="60" w:after="60"/>
              <w:rPr>
                <w:color w:val="000000"/>
                <w:sz w:val="20"/>
                <w:szCs w:val="20"/>
              </w:rPr>
            </w:pPr>
            <w:r w:rsidRPr="00BA2B9B">
              <w:rPr>
                <w:sz w:val="20"/>
                <w:szCs w:val="20"/>
              </w:rPr>
              <w:t>Catherine Yap</w:t>
            </w:r>
          </w:p>
        </w:tc>
        <w:tc>
          <w:tcPr>
            <w:tcW w:w="697" w:type="dxa"/>
            <w:shd w:val="clear" w:color="auto" w:fill="auto"/>
          </w:tcPr>
          <w:p w14:paraId="19702A22" w14:textId="77777777" w:rsidR="00C671DA" w:rsidRPr="00BA2B9B" w:rsidRDefault="00C671DA" w:rsidP="00C36D4F">
            <w:pPr>
              <w:spacing w:before="60" w:after="60"/>
              <w:jc w:val="center"/>
              <w:rPr>
                <w:color w:val="000000"/>
                <w:sz w:val="20"/>
                <w:szCs w:val="20"/>
              </w:rPr>
            </w:pPr>
            <w:r w:rsidRPr="00BA2B9B">
              <w:rPr>
                <w:sz w:val="20"/>
                <w:szCs w:val="20"/>
              </w:rPr>
              <w:t>2016</w:t>
            </w:r>
          </w:p>
        </w:tc>
        <w:tc>
          <w:tcPr>
            <w:tcW w:w="810" w:type="dxa"/>
            <w:gridSpan w:val="2"/>
            <w:shd w:val="clear" w:color="auto" w:fill="auto"/>
          </w:tcPr>
          <w:p w14:paraId="7F0D1039" w14:textId="77777777" w:rsidR="00C671DA" w:rsidRPr="00B416C4" w:rsidRDefault="00C671DA" w:rsidP="00C36D4F">
            <w:pPr>
              <w:spacing w:before="60" w:after="60"/>
              <w:jc w:val="right"/>
              <w:rPr>
                <w:color w:val="000000"/>
                <w:sz w:val="18"/>
                <w:szCs w:val="18"/>
              </w:rPr>
            </w:pPr>
            <w:r w:rsidRPr="00B416C4">
              <w:rPr>
                <w:sz w:val="18"/>
                <w:szCs w:val="18"/>
              </w:rPr>
              <w:t>145.50</w:t>
            </w:r>
          </w:p>
        </w:tc>
        <w:tc>
          <w:tcPr>
            <w:tcW w:w="810" w:type="dxa"/>
            <w:shd w:val="clear" w:color="auto" w:fill="auto"/>
          </w:tcPr>
          <w:p w14:paraId="33344B8D" w14:textId="77777777" w:rsidR="00C671DA" w:rsidRPr="00BA2B9B" w:rsidRDefault="00C671DA" w:rsidP="00C36D4F">
            <w:pPr>
              <w:spacing w:before="60" w:after="60"/>
              <w:jc w:val="center"/>
              <w:rPr>
                <w:color w:val="000000"/>
                <w:sz w:val="20"/>
                <w:szCs w:val="20"/>
              </w:rPr>
            </w:pPr>
            <w:r w:rsidRPr="00BA2B9B">
              <w:rPr>
                <w:sz w:val="20"/>
                <w:szCs w:val="20"/>
              </w:rPr>
              <w:t>$280</w:t>
            </w:r>
          </w:p>
        </w:tc>
        <w:tc>
          <w:tcPr>
            <w:tcW w:w="990" w:type="dxa"/>
            <w:gridSpan w:val="2"/>
            <w:tcBorders>
              <w:right w:val="single" w:sz="4" w:space="0" w:color="auto"/>
            </w:tcBorders>
            <w:shd w:val="clear" w:color="auto" w:fill="auto"/>
          </w:tcPr>
          <w:p w14:paraId="784328FA" w14:textId="77777777" w:rsidR="00C671DA" w:rsidRPr="00B416C4" w:rsidRDefault="00C671DA" w:rsidP="00C36D4F">
            <w:pPr>
              <w:spacing w:before="60" w:after="60"/>
              <w:ind w:right="-110"/>
              <w:rPr>
                <w:color w:val="000000"/>
                <w:sz w:val="16"/>
                <w:szCs w:val="16"/>
              </w:rPr>
            </w:pPr>
            <w:r w:rsidRPr="00B416C4">
              <w:rPr>
                <w:sz w:val="16"/>
                <w:szCs w:val="16"/>
              </w:rPr>
              <w:t>D.17-04-014</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4387E6F9" w14:textId="77777777" w:rsidR="00C671DA" w:rsidRPr="00B416C4" w:rsidRDefault="00C671DA" w:rsidP="00C36D4F">
            <w:pPr>
              <w:spacing w:before="60" w:after="60"/>
              <w:ind w:left="-110"/>
              <w:jc w:val="right"/>
              <w:rPr>
                <w:color w:val="000000"/>
                <w:sz w:val="18"/>
                <w:szCs w:val="18"/>
              </w:rPr>
            </w:pPr>
            <w:r w:rsidRPr="00B416C4">
              <w:rPr>
                <w:sz w:val="18"/>
                <w:szCs w:val="18"/>
              </w:rPr>
              <w:t>$40,740.00</w:t>
            </w:r>
          </w:p>
        </w:tc>
        <w:tc>
          <w:tcPr>
            <w:tcW w:w="1440" w:type="dxa"/>
            <w:gridSpan w:val="2"/>
            <w:tcBorders>
              <w:left w:val="single" w:sz="4" w:space="0" w:color="auto"/>
            </w:tcBorders>
            <w:shd w:val="clear" w:color="auto" w:fill="auto"/>
          </w:tcPr>
          <w:p w14:paraId="4FB4A484" w14:textId="77777777" w:rsidR="00C671DA" w:rsidRPr="00BA2B9B" w:rsidRDefault="00C671DA" w:rsidP="00C36D4F">
            <w:pPr>
              <w:spacing w:before="60" w:after="60"/>
              <w:jc w:val="right"/>
              <w:rPr>
                <w:color w:val="000000"/>
                <w:sz w:val="20"/>
                <w:szCs w:val="20"/>
              </w:rPr>
            </w:pPr>
            <w:r>
              <w:rPr>
                <w:color w:val="000000"/>
                <w:sz w:val="20"/>
                <w:szCs w:val="20"/>
              </w:rPr>
              <w:t>131.45</w:t>
            </w:r>
            <w:r w:rsidRPr="001507ED">
              <w:rPr>
                <w:color w:val="000000"/>
                <w:sz w:val="20"/>
                <w:szCs w:val="20"/>
                <w:vertAlign w:val="superscript"/>
              </w:rPr>
              <w:t>[1,4]</w:t>
            </w:r>
          </w:p>
        </w:tc>
        <w:tc>
          <w:tcPr>
            <w:tcW w:w="900" w:type="dxa"/>
            <w:shd w:val="clear" w:color="auto" w:fill="auto"/>
          </w:tcPr>
          <w:p w14:paraId="60182F6C" w14:textId="77777777" w:rsidR="00C671DA" w:rsidRPr="00BA2B9B" w:rsidRDefault="00C671DA" w:rsidP="00C36D4F">
            <w:pPr>
              <w:spacing w:before="60" w:after="60"/>
              <w:jc w:val="center"/>
              <w:rPr>
                <w:color w:val="000000"/>
                <w:sz w:val="20"/>
                <w:szCs w:val="20"/>
              </w:rPr>
            </w:pPr>
            <w:r>
              <w:rPr>
                <w:color w:val="000000"/>
                <w:sz w:val="20"/>
                <w:szCs w:val="20"/>
              </w:rPr>
              <w:t>$280</w:t>
            </w:r>
          </w:p>
        </w:tc>
        <w:tc>
          <w:tcPr>
            <w:tcW w:w="1170" w:type="dxa"/>
            <w:shd w:val="clear" w:color="auto" w:fill="auto"/>
          </w:tcPr>
          <w:p w14:paraId="1AE0296A" w14:textId="77777777" w:rsidR="00C671DA" w:rsidRPr="00BA2B9B" w:rsidRDefault="00C671DA" w:rsidP="00C36D4F">
            <w:pPr>
              <w:spacing w:before="60" w:after="60"/>
              <w:jc w:val="right"/>
              <w:rPr>
                <w:color w:val="000000"/>
                <w:sz w:val="20"/>
                <w:szCs w:val="20"/>
              </w:rPr>
            </w:pPr>
            <w:r>
              <w:rPr>
                <w:color w:val="000000"/>
                <w:sz w:val="20"/>
                <w:szCs w:val="20"/>
              </w:rPr>
              <w:t>$36,806.00</w:t>
            </w:r>
          </w:p>
        </w:tc>
      </w:tr>
      <w:tr w:rsidR="00C671DA" w:rsidRPr="00BA2B9B" w14:paraId="19C16F56" w14:textId="77777777" w:rsidTr="00C36D4F">
        <w:tc>
          <w:tcPr>
            <w:tcW w:w="1458" w:type="dxa"/>
            <w:gridSpan w:val="3"/>
            <w:shd w:val="clear" w:color="auto" w:fill="auto"/>
          </w:tcPr>
          <w:p w14:paraId="62A73F54" w14:textId="77777777" w:rsidR="00C671DA" w:rsidRPr="00BA2B9B" w:rsidRDefault="00C671DA" w:rsidP="00C36D4F">
            <w:pPr>
              <w:spacing w:before="60" w:after="60"/>
              <w:rPr>
                <w:b/>
                <w:i/>
                <w:color w:val="000000"/>
                <w:sz w:val="20"/>
                <w:szCs w:val="20"/>
              </w:rPr>
            </w:pPr>
            <w:r w:rsidRPr="00BA2B9B">
              <w:rPr>
                <w:b/>
                <w:i/>
                <w:color w:val="000000"/>
                <w:sz w:val="20"/>
                <w:szCs w:val="20"/>
              </w:rPr>
              <w:t>Total Hours</w:t>
            </w:r>
          </w:p>
        </w:tc>
        <w:tc>
          <w:tcPr>
            <w:tcW w:w="697" w:type="dxa"/>
            <w:shd w:val="clear" w:color="auto" w:fill="auto"/>
          </w:tcPr>
          <w:p w14:paraId="45356410" w14:textId="77777777" w:rsidR="00C671DA" w:rsidRPr="00BA2B9B" w:rsidRDefault="00C671DA" w:rsidP="00C36D4F">
            <w:pPr>
              <w:spacing w:before="60" w:after="60"/>
              <w:jc w:val="center"/>
              <w:rPr>
                <w:color w:val="000000"/>
                <w:sz w:val="20"/>
                <w:szCs w:val="20"/>
              </w:rPr>
            </w:pPr>
          </w:p>
        </w:tc>
        <w:tc>
          <w:tcPr>
            <w:tcW w:w="810" w:type="dxa"/>
            <w:gridSpan w:val="2"/>
            <w:shd w:val="clear" w:color="auto" w:fill="auto"/>
          </w:tcPr>
          <w:p w14:paraId="2C4C9EE4" w14:textId="77777777" w:rsidR="00C671DA" w:rsidRPr="00B416C4" w:rsidRDefault="00C671DA" w:rsidP="00C36D4F">
            <w:pPr>
              <w:spacing w:before="60" w:after="60"/>
              <w:jc w:val="right"/>
              <w:rPr>
                <w:b/>
                <w:color w:val="000000"/>
                <w:sz w:val="16"/>
                <w:szCs w:val="16"/>
              </w:rPr>
            </w:pPr>
            <w:r w:rsidRPr="00B416C4">
              <w:rPr>
                <w:b/>
                <w:color w:val="000000"/>
                <w:sz w:val="16"/>
                <w:szCs w:val="16"/>
              </w:rPr>
              <w:t>4789.82</w:t>
            </w:r>
          </w:p>
        </w:tc>
        <w:tc>
          <w:tcPr>
            <w:tcW w:w="810" w:type="dxa"/>
            <w:shd w:val="clear" w:color="auto" w:fill="auto"/>
          </w:tcPr>
          <w:p w14:paraId="12786BF2" w14:textId="77777777" w:rsidR="00C671DA" w:rsidRPr="00BA2B9B" w:rsidRDefault="00C671DA" w:rsidP="00C36D4F">
            <w:pPr>
              <w:spacing w:before="60" w:after="60"/>
              <w:jc w:val="center"/>
              <w:rPr>
                <w:color w:val="000000"/>
                <w:sz w:val="20"/>
                <w:szCs w:val="20"/>
              </w:rPr>
            </w:pPr>
          </w:p>
        </w:tc>
        <w:tc>
          <w:tcPr>
            <w:tcW w:w="990" w:type="dxa"/>
            <w:gridSpan w:val="2"/>
            <w:tcBorders>
              <w:right w:val="single" w:sz="4" w:space="0" w:color="auto"/>
            </w:tcBorders>
            <w:shd w:val="clear" w:color="auto" w:fill="auto"/>
          </w:tcPr>
          <w:p w14:paraId="30D1D198" w14:textId="77777777" w:rsidR="00C671DA" w:rsidRPr="00BA2B9B" w:rsidRDefault="00C671DA" w:rsidP="00C36D4F">
            <w:pPr>
              <w:spacing w:before="60" w:after="60"/>
              <w:jc w:val="right"/>
              <w:rPr>
                <w:color w:val="000000"/>
                <w:sz w:val="20"/>
                <w:szCs w:val="20"/>
              </w:rPr>
            </w:pP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7C629446" w14:textId="77777777" w:rsidR="00C671DA" w:rsidRPr="00BA2B9B" w:rsidRDefault="00C671DA" w:rsidP="00C36D4F">
            <w:pPr>
              <w:spacing w:before="60" w:after="60"/>
              <w:jc w:val="right"/>
              <w:rPr>
                <w:color w:val="000000"/>
                <w:sz w:val="20"/>
                <w:szCs w:val="20"/>
              </w:rPr>
            </w:pPr>
          </w:p>
        </w:tc>
        <w:tc>
          <w:tcPr>
            <w:tcW w:w="1440" w:type="dxa"/>
            <w:gridSpan w:val="2"/>
            <w:tcBorders>
              <w:left w:val="single" w:sz="4" w:space="0" w:color="auto"/>
            </w:tcBorders>
            <w:shd w:val="clear" w:color="auto" w:fill="auto"/>
          </w:tcPr>
          <w:p w14:paraId="6CDF3C62" w14:textId="77777777" w:rsidR="00C671DA" w:rsidRPr="00BA2B9B" w:rsidRDefault="00C671DA" w:rsidP="00C36D4F">
            <w:pPr>
              <w:spacing w:before="60" w:after="60"/>
              <w:jc w:val="right"/>
              <w:rPr>
                <w:color w:val="000000"/>
                <w:sz w:val="20"/>
                <w:szCs w:val="20"/>
              </w:rPr>
            </w:pPr>
          </w:p>
        </w:tc>
        <w:tc>
          <w:tcPr>
            <w:tcW w:w="900" w:type="dxa"/>
            <w:shd w:val="clear" w:color="auto" w:fill="auto"/>
          </w:tcPr>
          <w:p w14:paraId="4B1C7EA7" w14:textId="77777777" w:rsidR="00C671DA" w:rsidRPr="00BA2B9B" w:rsidRDefault="00C671DA" w:rsidP="00C36D4F">
            <w:pPr>
              <w:spacing w:before="60" w:after="60"/>
              <w:jc w:val="center"/>
              <w:rPr>
                <w:color w:val="000000"/>
                <w:sz w:val="20"/>
                <w:szCs w:val="20"/>
              </w:rPr>
            </w:pPr>
          </w:p>
        </w:tc>
        <w:tc>
          <w:tcPr>
            <w:tcW w:w="1170" w:type="dxa"/>
            <w:shd w:val="clear" w:color="auto" w:fill="auto"/>
          </w:tcPr>
          <w:p w14:paraId="1F339AAC" w14:textId="77777777" w:rsidR="00C671DA" w:rsidRPr="00BA2B9B" w:rsidRDefault="00C671DA" w:rsidP="00C36D4F">
            <w:pPr>
              <w:spacing w:before="60" w:after="60"/>
              <w:jc w:val="right"/>
              <w:rPr>
                <w:color w:val="000000"/>
                <w:sz w:val="20"/>
                <w:szCs w:val="20"/>
              </w:rPr>
            </w:pPr>
          </w:p>
        </w:tc>
      </w:tr>
      <w:tr w:rsidR="00C671DA" w:rsidRPr="007F620E" w14:paraId="0B78A088" w14:textId="77777777" w:rsidTr="00C36D4F">
        <w:tc>
          <w:tcPr>
            <w:tcW w:w="5755" w:type="dxa"/>
            <w:gridSpan w:val="10"/>
            <w:tcBorders>
              <w:bottom w:val="single" w:sz="4" w:space="0" w:color="auto"/>
              <w:right w:val="single" w:sz="24" w:space="0" w:color="auto"/>
            </w:tcBorders>
            <w:shd w:val="clear" w:color="auto" w:fill="auto"/>
            <w:vAlign w:val="bottom"/>
          </w:tcPr>
          <w:p w14:paraId="2CD8E839" w14:textId="77777777" w:rsidR="00C671DA" w:rsidRPr="00374FD1" w:rsidRDefault="00C671DA" w:rsidP="00C36D4F">
            <w:pPr>
              <w:tabs>
                <w:tab w:val="left" w:pos="957"/>
              </w:tabs>
              <w:spacing w:before="60" w:after="60"/>
              <w:ind w:right="250"/>
              <w:jc w:val="right"/>
              <w:rPr>
                <w:b/>
                <w:i/>
                <w:color w:val="000000"/>
              </w:rPr>
            </w:pPr>
            <w:r w:rsidRPr="007F620E">
              <w:rPr>
                <w:b/>
                <w:i/>
                <w:color w:val="000000"/>
              </w:rPr>
              <w:t xml:space="preserve">Subtotal: </w:t>
            </w:r>
            <w:r w:rsidRPr="00BA2B9B">
              <w:rPr>
                <w:b/>
                <w:i/>
                <w:color w:val="000000"/>
              </w:rPr>
              <w:t>$</w:t>
            </w:r>
            <w:r w:rsidRPr="00BA2B9B">
              <w:rPr>
                <w:b/>
                <w:i/>
              </w:rPr>
              <w:t>1,409,010.50</w:t>
            </w:r>
            <w:r w:rsidRPr="00374FD1">
              <w:rPr>
                <w:b/>
                <w:i/>
                <w:color w:val="000000"/>
              </w:rPr>
              <w:t xml:space="preserve">  </w:t>
            </w:r>
          </w:p>
        </w:tc>
        <w:tc>
          <w:tcPr>
            <w:tcW w:w="3510" w:type="dxa"/>
            <w:gridSpan w:val="4"/>
            <w:tcBorders>
              <w:left w:val="single" w:sz="24" w:space="0" w:color="auto"/>
              <w:bottom w:val="single" w:sz="4" w:space="0" w:color="auto"/>
            </w:tcBorders>
            <w:shd w:val="clear" w:color="auto" w:fill="auto"/>
            <w:vAlign w:val="bottom"/>
          </w:tcPr>
          <w:p w14:paraId="18518C1B" w14:textId="77777777" w:rsidR="00C671DA" w:rsidRPr="007F620E" w:rsidRDefault="00C671DA" w:rsidP="00C36D4F">
            <w:pPr>
              <w:tabs>
                <w:tab w:val="left" w:pos="957"/>
              </w:tabs>
              <w:spacing w:before="60" w:after="60"/>
              <w:ind w:right="160"/>
              <w:jc w:val="right"/>
              <w:rPr>
                <w:color w:val="000000"/>
              </w:rPr>
            </w:pPr>
            <w:r w:rsidRPr="007F620E">
              <w:rPr>
                <w:b/>
                <w:i/>
                <w:color w:val="000000"/>
              </w:rPr>
              <w:t xml:space="preserve">Subtotal: </w:t>
            </w:r>
            <w:r w:rsidRPr="007F620E">
              <w:rPr>
                <w:b/>
                <w:color w:val="000000"/>
              </w:rPr>
              <w:t>$</w:t>
            </w:r>
            <w:r>
              <w:rPr>
                <w:b/>
                <w:color w:val="000000"/>
              </w:rPr>
              <w:t>1,381,324.15</w:t>
            </w:r>
          </w:p>
        </w:tc>
      </w:tr>
      <w:tr w:rsidR="00C671DA" w:rsidRPr="007F620E" w14:paraId="51E35289" w14:textId="77777777" w:rsidTr="00C36D4F">
        <w:tc>
          <w:tcPr>
            <w:tcW w:w="9265" w:type="dxa"/>
            <w:gridSpan w:val="14"/>
            <w:tcBorders>
              <w:top w:val="single" w:sz="4" w:space="0" w:color="auto"/>
              <w:left w:val="single" w:sz="4" w:space="0" w:color="auto"/>
              <w:bottom w:val="single" w:sz="4" w:space="0" w:color="auto"/>
              <w:right w:val="single" w:sz="4" w:space="0" w:color="auto"/>
            </w:tcBorders>
            <w:shd w:val="clear" w:color="auto" w:fill="E6E6E6"/>
          </w:tcPr>
          <w:p w14:paraId="2DB34824" w14:textId="77777777" w:rsidR="00C671DA" w:rsidRPr="007F620E" w:rsidRDefault="00C671DA" w:rsidP="00C36D4F">
            <w:pPr>
              <w:spacing w:before="60" w:after="60"/>
              <w:jc w:val="center"/>
              <w:rPr>
                <w:color w:val="000000"/>
              </w:rPr>
            </w:pPr>
            <w:r w:rsidRPr="007F620E">
              <w:rPr>
                <w:b/>
                <w:color w:val="000000"/>
              </w:rPr>
              <w:t xml:space="preserve">INTERVENOR COMPENSATION CLAIM </w:t>
            </w:r>
            <w:proofErr w:type="gramStart"/>
            <w:r w:rsidRPr="007F620E">
              <w:rPr>
                <w:b/>
                <w:color w:val="000000"/>
              </w:rPr>
              <w:t xml:space="preserve">PREPARATION </w:t>
            </w:r>
            <w:r w:rsidRPr="007F620E">
              <w:rPr>
                <w:b/>
                <w:smallCaps/>
                <w:color w:val="000000"/>
              </w:rPr>
              <w:t xml:space="preserve"> *</w:t>
            </w:r>
            <w:proofErr w:type="gramEnd"/>
            <w:r w:rsidRPr="007F620E">
              <w:rPr>
                <w:b/>
                <w:smallCaps/>
                <w:color w:val="000000"/>
              </w:rPr>
              <w:t>*</w:t>
            </w:r>
          </w:p>
        </w:tc>
      </w:tr>
      <w:tr w:rsidR="00C671DA" w:rsidRPr="00B416C4" w14:paraId="07F94377" w14:textId="77777777" w:rsidTr="00C36D4F">
        <w:tc>
          <w:tcPr>
            <w:tcW w:w="1435" w:type="dxa"/>
            <w:gridSpan w:val="2"/>
            <w:tcBorders>
              <w:top w:val="single" w:sz="4" w:space="0" w:color="auto"/>
              <w:bottom w:val="single" w:sz="4" w:space="0" w:color="auto"/>
            </w:tcBorders>
            <w:shd w:val="clear" w:color="auto" w:fill="auto"/>
          </w:tcPr>
          <w:p w14:paraId="18E23A39" w14:textId="77777777" w:rsidR="00C671DA" w:rsidRPr="00B416C4" w:rsidRDefault="00C671DA" w:rsidP="00C36D4F">
            <w:pPr>
              <w:spacing w:before="60" w:after="60"/>
              <w:jc w:val="center"/>
              <w:rPr>
                <w:b/>
                <w:color w:val="000000"/>
                <w:sz w:val="18"/>
                <w:szCs w:val="18"/>
              </w:rPr>
            </w:pPr>
            <w:r w:rsidRPr="00B416C4">
              <w:rPr>
                <w:b/>
                <w:color w:val="000000"/>
                <w:sz w:val="18"/>
                <w:szCs w:val="18"/>
              </w:rPr>
              <w:t>Item</w:t>
            </w:r>
          </w:p>
        </w:tc>
        <w:tc>
          <w:tcPr>
            <w:tcW w:w="720" w:type="dxa"/>
            <w:gridSpan w:val="2"/>
            <w:tcBorders>
              <w:top w:val="single" w:sz="4" w:space="0" w:color="auto"/>
              <w:bottom w:val="single" w:sz="4" w:space="0" w:color="auto"/>
            </w:tcBorders>
            <w:shd w:val="clear" w:color="auto" w:fill="auto"/>
          </w:tcPr>
          <w:p w14:paraId="39E05820" w14:textId="77777777" w:rsidR="00C671DA" w:rsidRPr="00B416C4" w:rsidRDefault="00C671DA" w:rsidP="00C36D4F">
            <w:pPr>
              <w:spacing w:before="60" w:after="60"/>
              <w:jc w:val="center"/>
              <w:rPr>
                <w:b/>
                <w:color w:val="000000"/>
                <w:sz w:val="18"/>
                <w:szCs w:val="18"/>
              </w:rPr>
            </w:pPr>
            <w:r w:rsidRPr="00B416C4">
              <w:rPr>
                <w:b/>
                <w:color w:val="000000"/>
                <w:sz w:val="18"/>
                <w:szCs w:val="18"/>
              </w:rPr>
              <w:t>Year</w:t>
            </w:r>
          </w:p>
        </w:tc>
        <w:tc>
          <w:tcPr>
            <w:tcW w:w="810" w:type="dxa"/>
            <w:gridSpan w:val="2"/>
            <w:tcBorders>
              <w:top w:val="single" w:sz="4" w:space="0" w:color="auto"/>
              <w:bottom w:val="single" w:sz="4" w:space="0" w:color="auto"/>
            </w:tcBorders>
            <w:shd w:val="clear" w:color="auto" w:fill="auto"/>
          </w:tcPr>
          <w:p w14:paraId="6EA19F09" w14:textId="77777777" w:rsidR="00C671DA" w:rsidRPr="00B416C4" w:rsidRDefault="00C671DA" w:rsidP="00C36D4F">
            <w:pPr>
              <w:spacing w:before="60" w:after="60"/>
              <w:jc w:val="center"/>
              <w:rPr>
                <w:b/>
                <w:color w:val="000000"/>
                <w:sz w:val="18"/>
                <w:szCs w:val="18"/>
              </w:rPr>
            </w:pPr>
            <w:r w:rsidRPr="00B416C4">
              <w:rPr>
                <w:b/>
                <w:color w:val="000000"/>
                <w:sz w:val="18"/>
                <w:szCs w:val="18"/>
              </w:rPr>
              <w:t>Hours</w:t>
            </w:r>
          </w:p>
        </w:tc>
        <w:tc>
          <w:tcPr>
            <w:tcW w:w="810" w:type="dxa"/>
            <w:tcBorders>
              <w:top w:val="single" w:sz="4" w:space="0" w:color="auto"/>
              <w:bottom w:val="single" w:sz="4" w:space="0" w:color="auto"/>
            </w:tcBorders>
            <w:shd w:val="clear" w:color="auto" w:fill="auto"/>
          </w:tcPr>
          <w:p w14:paraId="495F0D30" w14:textId="77777777" w:rsidR="00C671DA" w:rsidRPr="00B416C4" w:rsidRDefault="00C671DA" w:rsidP="00C36D4F">
            <w:pPr>
              <w:spacing w:before="60" w:after="60"/>
              <w:jc w:val="center"/>
              <w:rPr>
                <w:b/>
                <w:color w:val="000000"/>
                <w:sz w:val="18"/>
                <w:szCs w:val="18"/>
              </w:rPr>
            </w:pPr>
            <w:r w:rsidRPr="00B416C4">
              <w:rPr>
                <w:b/>
                <w:color w:val="000000"/>
                <w:sz w:val="18"/>
                <w:szCs w:val="18"/>
              </w:rPr>
              <w:t xml:space="preserve">Rate $ </w:t>
            </w:r>
          </w:p>
        </w:tc>
        <w:tc>
          <w:tcPr>
            <w:tcW w:w="990" w:type="dxa"/>
            <w:gridSpan w:val="2"/>
            <w:tcBorders>
              <w:top w:val="single" w:sz="4" w:space="0" w:color="auto"/>
              <w:bottom w:val="single" w:sz="4" w:space="0" w:color="auto"/>
              <w:right w:val="single" w:sz="4" w:space="0" w:color="auto"/>
            </w:tcBorders>
            <w:shd w:val="clear" w:color="auto" w:fill="auto"/>
          </w:tcPr>
          <w:p w14:paraId="5E89BA16" w14:textId="77777777" w:rsidR="00C671DA" w:rsidRPr="00B416C4" w:rsidRDefault="00C671DA" w:rsidP="00C36D4F">
            <w:pPr>
              <w:spacing w:before="60" w:after="60"/>
              <w:jc w:val="center"/>
              <w:rPr>
                <w:b/>
                <w:color w:val="000000"/>
                <w:sz w:val="18"/>
                <w:szCs w:val="18"/>
              </w:rPr>
            </w:pPr>
            <w:r w:rsidRPr="00B416C4">
              <w:rPr>
                <w:b/>
                <w:color w:val="000000"/>
                <w:sz w:val="18"/>
                <w:szCs w:val="18"/>
              </w:rPr>
              <w:t>Basis for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64B4BB0D" w14:textId="77777777" w:rsidR="00C671DA" w:rsidRPr="00B416C4" w:rsidRDefault="00C671DA" w:rsidP="00C36D4F">
            <w:pPr>
              <w:spacing w:before="60" w:after="60"/>
              <w:jc w:val="center"/>
              <w:rPr>
                <w:b/>
                <w:color w:val="000000"/>
                <w:sz w:val="18"/>
                <w:szCs w:val="18"/>
              </w:rPr>
            </w:pPr>
            <w:r w:rsidRPr="00B416C4">
              <w:rPr>
                <w:b/>
                <w:color w:val="000000"/>
                <w:sz w:val="18"/>
                <w:szCs w:val="18"/>
              </w:rPr>
              <w:t>Total $</w:t>
            </w:r>
          </w:p>
        </w:tc>
        <w:tc>
          <w:tcPr>
            <w:tcW w:w="1440" w:type="dxa"/>
            <w:gridSpan w:val="2"/>
            <w:tcBorders>
              <w:top w:val="single" w:sz="4" w:space="0" w:color="auto"/>
              <w:left w:val="single" w:sz="4" w:space="0" w:color="auto"/>
            </w:tcBorders>
            <w:shd w:val="clear" w:color="auto" w:fill="auto"/>
          </w:tcPr>
          <w:p w14:paraId="0478D27E" w14:textId="77777777" w:rsidR="00C671DA" w:rsidRPr="00B416C4" w:rsidRDefault="00C671DA" w:rsidP="00C36D4F">
            <w:pPr>
              <w:spacing w:before="60" w:after="60"/>
              <w:jc w:val="center"/>
              <w:rPr>
                <w:b/>
                <w:color w:val="000000"/>
                <w:sz w:val="18"/>
                <w:szCs w:val="18"/>
              </w:rPr>
            </w:pPr>
            <w:r w:rsidRPr="00B416C4">
              <w:rPr>
                <w:b/>
                <w:color w:val="000000"/>
                <w:sz w:val="18"/>
                <w:szCs w:val="18"/>
              </w:rPr>
              <w:t>Hours</w:t>
            </w:r>
          </w:p>
        </w:tc>
        <w:tc>
          <w:tcPr>
            <w:tcW w:w="900" w:type="dxa"/>
            <w:tcBorders>
              <w:top w:val="single" w:sz="4" w:space="0" w:color="auto"/>
            </w:tcBorders>
            <w:shd w:val="clear" w:color="auto" w:fill="auto"/>
          </w:tcPr>
          <w:p w14:paraId="2A2FED6A" w14:textId="77777777" w:rsidR="00C671DA" w:rsidRPr="00B416C4" w:rsidRDefault="00C671DA" w:rsidP="00C36D4F">
            <w:pPr>
              <w:spacing w:before="60" w:after="60"/>
              <w:jc w:val="center"/>
              <w:rPr>
                <w:b/>
                <w:color w:val="000000"/>
                <w:sz w:val="18"/>
                <w:szCs w:val="18"/>
              </w:rPr>
            </w:pPr>
            <w:r w:rsidRPr="00B416C4">
              <w:rPr>
                <w:b/>
                <w:color w:val="000000"/>
                <w:sz w:val="18"/>
                <w:szCs w:val="18"/>
              </w:rPr>
              <w:t xml:space="preserve">Rate </w:t>
            </w:r>
          </w:p>
        </w:tc>
        <w:tc>
          <w:tcPr>
            <w:tcW w:w="1170" w:type="dxa"/>
            <w:tcBorders>
              <w:top w:val="single" w:sz="4" w:space="0" w:color="auto"/>
            </w:tcBorders>
            <w:shd w:val="clear" w:color="auto" w:fill="auto"/>
          </w:tcPr>
          <w:p w14:paraId="0BB3B37C" w14:textId="77777777" w:rsidR="00C671DA" w:rsidRPr="00B416C4" w:rsidRDefault="00C671DA" w:rsidP="00C36D4F">
            <w:pPr>
              <w:spacing w:before="60" w:after="60"/>
              <w:jc w:val="center"/>
              <w:rPr>
                <w:b/>
                <w:color w:val="000000"/>
                <w:sz w:val="18"/>
                <w:szCs w:val="18"/>
              </w:rPr>
            </w:pPr>
            <w:r w:rsidRPr="00B416C4">
              <w:rPr>
                <w:b/>
                <w:color w:val="000000"/>
                <w:sz w:val="18"/>
                <w:szCs w:val="18"/>
              </w:rPr>
              <w:t>Total $</w:t>
            </w:r>
          </w:p>
        </w:tc>
      </w:tr>
      <w:tr w:rsidR="00C671DA" w:rsidRPr="007F620E" w14:paraId="320FD850" w14:textId="77777777" w:rsidTr="00C36D4F">
        <w:tc>
          <w:tcPr>
            <w:tcW w:w="1435" w:type="dxa"/>
            <w:gridSpan w:val="2"/>
            <w:shd w:val="clear" w:color="auto" w:fill="auto"/>
          </w:tcPr>
          <w:p w14:paraId="009DCE2D" w14:textId="77777777" w:rsidR="00C671DA" w:rsidRPr="00B83B5C" w:rsidRDefault="00C671DA" w:rsidP="00C36D4F">
            <w:pPr>
              <w:spacing w:before="60" w:after="60"/>
              <w:rPr>
                <w:color w:val="000000"/>
                <w:sz w:val="20"/>
                <w:szCs w:val="20"/>
              </w:rPr>
            </w:pPr>
            <w:r w:rsidRPr="00B83B5C">
              <w:rPr>
                <w:sz w:val="20"/>
                <w:szCs w:val="20"/>
              </w:rPr>
              <w:t>Hayley Goodson</w:t>
            </w:r>
          </w:p>
        </w:tc>
        <w:tc>
          <w:tcPr>
            <w:tcW w:w="720" w:type="dxa"/>
            <w:gridSpan w:val="2"/>
            <w:shd w:val="clear" w:color="auto" w:fill="auto"/>
          </w:tcPr>
          <w:p w14:paraId="40FB52B0" w14:textId="77777777" w:rsidR="00C671DA" w:rsidRPr="00B83B5C" w:rsidRDefault="00C671DA" w:rsidP="00C36D4F">
            <w:pPr>
              <w:spacing w:before="60" w:after="60"/>
              <w:jc w:val="center"/>
              <w:rPr>
                <w:color w:val="000000"/>
                <w:sz w:val="20"/>
                <w:szCs w:val="20"/>
              </w:rPr>
            </w:pPr>
            <w:r w:rsidRPr="00B83B5C">
              <w:rPr>
                <w:sz w:val="20"/>
                <w:szCs w:val="20"/>
              </w:rPr>
              <w:t>2015</w:t>
            </w:r>
          </w:p>
        </w:tc>
        <w:tc>
          <w:tcPr>
            <w:tcW w:w="810" w:type="dxa"/>
            <w:gridSpan w:val="2"/>
            <w:shd w:val="clear" w:color="auto" w:fill="auto"/>
          </w:tcPr>
          <w:p w14:paraId="04A00894" w14:textId="77777777" w:rsidR="00C671DA" w:rsidRPr="00B416C4" w:rsidRDefault="00C671DA" w:rsidP="00C36D4F">
            <w:pPr>
              <w:spacing w:before="60" w:after="60"/>
              <w:jc w:val="right"/>
              <w:rPr>
                <w:color w:val="000000"/>
                <w:sz w:val="18"/>
                <w:szCs w:val="18"/>
              </w:rPr>
            </w:pPr>
            <w:r w:rsidRPr="00B416C4">
              <w:rPr>
                <w:sz w:val="18"/>
                <w:szCs w:val="18"/>
              </w:rPr>
              <w:t>1</w:t>
            </w:r>
          </w:p>
        </w:tc>
        <w:tc>
          <w:tcPr>
            <w:tcW w:w="810" w:type="dxa"/>
            <w:shd w:val="clear" w:color="auto" w:fill="auto"/>
          </w:tcPr>
          <w:p w14:paraId="0A75BE28" w14:textId="77777777" w:rsidR="00C671DA" w:rsidRPr="00B416C4" w:rsidRDefault="00C671DA" w:rsidP="00C36D4F">
            <w:pPr>
              <w:spacing w:before="60" w:after="60"/>
              <w:jc w:val="center"/>
              <w:rPr>
                <w:color w:val="000000"/>
                <w:sz w:val="18"/>
                <w:szCs w:val="18"/>
              </w:rPr>
            </w:pPr>
            <w:r w:rsidRPr="00B416C4">
              <w:rPr>
                <w:sz w:val="18"/>
                <w:szCs w:val="18"/>
              </w:rPr>
              <w:t>$177.50</w:t>
            </w:r>
          </w:p>
        </w:tc>
        <w:tc>
          <w:tcPr>
            <w:tcW w:w="990" w:type="dxa"/>
            <w:gridSpan w:val="2"/>
            <w:tcBorders>
              <w:right w:val="single" w:sz="4" w:space="0" w:color="auto"/>
            </w:tcBorders>
            <w:shd w:val="clear" w:color="auto" w:fill="auto"/>
          </w:tcPr>
          <w:p w14:paraId="620CB455" w14:textId="77777777" w:rsidR="00C671DA" w:rsidRPr="00B83B5C" w:rsidRDefault="00C671DA" w:rsidP="00C36D4F">
            <w:pPr>
              <w:spacing w:before="60" w:after="60"/>
              <w:jc w:val="right"/>
              <w:rPr>
                <w:color w:val="000000"/>
                <w:sz w:val="20"/>
                <w:szCs w:val="20"/>
              </w:rPr>
            </w:pPr>
            <w:r w:rsidRPr="00B83B5C">
              <w:rPr>
                <w:sz w:val="20"/>
                <w:szCs w:val="20"/>
              </w:rPr>
              <w:t>50% of 2015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1C6F1CBD" w14:textId="77777777" w:rsidR="00C671DA" w:rsidRPr="00B83B5C" w:rsidRDefault="00C671DA" w:rsidP="00C36D4F">
            <w:pPr>
              <w:spacing w:before="60" w:after="60"/>
              <w:jc w:val="right"/>
              <w:rPr>
                <w:color w:val="000000"/>
                <w:sz w:val="20"/>
                <w:szCs w:val="20"/>
              </w:rPr>
            </w:pPr>
            <w:r w:rsidRPr="00B83B5C">
              <w:rPr>
                <w:sz w:val="20"/>
                <w:szCs w:val="20"/>
              </w:rPr>
              <w:t>$177.50</w:t>
            </w:r>
          </w:p>
        </w:tc>
        <w:tc>
          <w:tcPr>
            <w:tcW w:w="1440" w:type="dxa"/>
            <w:gridSpan w:val="2"/>
            <w:tcBorders>
              <w:left w:val="single" w:sz="4" w:space="0" w:color="auto"/>
              <w:right w:val="single" w:sz="4" w:space="0" w:color="auto"/>
            </w:tcBorders>
            <w:shd w:val="clear" w:color="auto" w:fill="auto"/>
          </w:tcPr>
          <w:p w14:paraId="6DAE3BCD" w14:textId="77777777" w:rsidR="00C671DA" w:rsidRPr="007F620E" w:rsidRDefault="00C671DA" w:rsidP="00C36D4F">
            <w:pPr>
              <w:spacing w:before="60" w:after="60"/>
              <w:jc w:val="right"/>
              <w:rPr>
                <w:color w:val="000000"/>
              </w:rPr>
            </w:pPr>
            <w:r>
              <w:rPr>
                <w:color w:val="000000"/>
              </w:rPr>
              <w:t>1</w:t>
            </w:r>
          </w:p>
        </w:tc>
        <w:tc>
          <w:tcPr>
            <w:tcW w:w="900" w:type="dxa"/>
            <w:tcBorders>
              <w:left w:val="single" w:sz="4" w:space="0" w:color="auto"/>
            </w:tcBorders>
            <w:shd w:val="clear" w:color="auto" w:fill="auto"/>
          </w:tcPr>
          <w:p w14:paraId="503909B4" w14:textId="77777777" w:rsidR="00C671DA" w:rsidRPr="00B416C4" w:rsidRDefault="00C671DA" w:rsidP="00C36D4F">
            <w:pPr>
              <w:spacing w:before="60" w:after="60"/>
              <w:jc w:val="center"/>
              <w:rPr>
                <w:color w:val="000000"/>
                <w:sz w:val="18"/>
                <w:szCs w:val="18"/>
              </w:rPr>
            </w:pPr>
            <w:r w:rsidRPr="00B416C4">
              <w:rPr>
                <w:color w:val="000000"/>
                <w:sz w:val="18"/>
                <w:szCs w:val="18"/>
              </w:rPr>
              <w:t>$177.50</w:t>
            </w:r>
          </w:p>
        </w:tc>
        <w:tc>
          <w:tcPr>
            <w:tcW w:w="1170" w:type="dxa"/>
            <w:shd w:val="clear" w:color="auto" w:fill="auto"/>
          </w:tcPr>
          <w:p w14:paraId="37361D53" w14:textId="77777777" w:rsidR="00C671DA" w:rsidRPr="007F620E" w:rsidRDefault="00C671DA" w:rsidP="00C36D4F">
            <w:pPr>
              <w:spacing w:before="60" w:after="60"/>
              <w:jc w:val="right"/>
              <w:rPr>
                <w:color w:val="000000"/>
              </w:rPr>
            </w:pPr>
            <w:r>
              <w:rPr>
                <w:color w:val="000000"/>
              </w:rPr>
              <w:t>$177.50</w:t>
            </w:r>
          </w:p>
        </w:tc>
      </w:tr>
      <w:tr w:rsidR="00C671DA" w:rsidRPr="007F620E" w14:paraId="22759E74" w14:textId="77777777" w:rsidTr="00C36D4F">
        <w:tc>
          <w:tcPr>
            <w:tcW w:w="1435" w:type="dxa"/>
            <w:gridSpan w:val="2"/>
            <w:shd w:val="clear" w:color="auto" w:fill="auto"/>
          </w:tcPr>
          <w:p w14:paraId="24EA42C4" w14:textId="77777777" w:rsidR="00C671DA" w:rsidRPr="00B83B5C" w:rsidRDefault="00C671DA" w:rsidP="00C36D4F">
            <w:pPr>
              <w:spacing w:before="60" w:after="60"/>
              <w:rPr>
                <w:color w:val="000000"/>
                <w:sz w:val="20"/>
                <w:szCs w:val="20"/>
              </w:rPr>
            </w:pPr>
            <w:r w:rsidRPr="00B83B5C">
              <w:rPr>
                <w:sz w:val="20"/>
                <w:szCs w:val="20"/>
              </w:rPr>
              <w:t>Hayley Goodson</w:t>
            </w:r>
          </w:p>
        </w:tc>
        <w:tc>
          <w:tcPr>
            <w:tcW w:w="720" w:type="dxa"/>
            <w:gridSpan w:val="2"/>
            <w:shd w:val="clear" w:color="auto" w:fill="auto"/>
          </w:tcPr>
          <w:p w14:paraId="4A101A8A" w14:textId="77777777" w:rsidR="00C671DA" w:rsidRPr="00B83B5C" w:rsidRDefault="00C671DA" w:rsidP="00C36D4F">
            <w:pPr>
              <w:spacing w:before="60" w:after="60"/>
              <w:jc w:val="center"/>
              <w:rPr>
                <w:color w:val="000000"/>
                <w:sz w:val="20"/>
                <w:szCs w:val="20"/>
              </w:rPr>
            </w:pPr>
            <w:r w:rsidRPr="00B83B5C">
              <w:rPr>
                <w:sz w:val="20"/>
                <w:szCs w:val="20"/>
              </w:rPr>
              <w:t>2016</w:t>
            </w:r>
          </w:p>
        </w:tc>
        <w:tc>
          <w:tcPr>
            <w:tcW w:w="810" w:type="dxa"/>
            <w:gridSpan w:val="2"/>
            <w:shd w:val="clear" w:color="auto" w:fill="auto"/>
          </w:tcPr>
          <w:p w14:paraId="66D708F5" w14:textId="77777777" w:rsidR="00C671DA" w:rsidRPr="00B416C4" w:rsidRDefault="00C671DA" w:rsidP="00C36D4F">
            <w:pPr>
              <w:spacing w:before="60" w:after="60"/>
              <w:jc w:val="right"/>
              <w:rPr>
                <w:color w:val="000000"/>
                <w:sz w:val="18"/>
                <w:szCs w:val="18"/>
              </w:rPr>
            </w:pPr>
            <w:r w:rsidRPr="00B416C4">
              <w:rPr>
                <w:sz w:val="18"/>
                <w:szCs w:val="18"/>
              </w:rPr>
              <w:t>0.5</w:t>
            </w:r>
          </w:p>
        </w:tc>
        <w:tc>
          <w:tcPr>
            <w:tcW w:w="810" w:type="dxa"/>
            <w:shd w:val="clear" w:color="auto" w:fill="auto"/>
          </w:tcPr>
          <w:p w14:paraId="627F7D43" w14:textId="77777777" w:rsidR="00C671DA" w:rsidRPr="00B416C4" w:rsidRDefault="00C671DA" w:rsidP="00C36D4F">
            <w:pPr>
              <w:spacing w:before="60" w:after="60"/>
              <w:jc w:val="center"/>
              <w:rPr>
                <w:color w:val="000000"/>
                <w:sz w:val="18"/>
                <w:szCs w:val="18"/>
              </w:rPr>
            </w:pPr>
            <w:r w:rsidRPr="00B416C4">
              <w:rPr>
                <w:sz w:val="18"/>
                <w:szCs w:val="18"/>
              </w:rPr>
              <w:t>$190.00</w:t>
            </w:r>
          </w:p>
        </w:tc>
        <w:tc>
          <w:tcPr>
            <w:tcW w:w="990" w:type="dxa"/>
            <w:gridSpan w:val="2"/>
            <w:tcBorders>
              <w:right w:val="single" w:sz="4" w:space="0" w:color="auto"/>
            </w:tcBorders>
            <w:shd w:val="clear" w:color="auto" w:fill="auto"/>
          </w:tcPr>
          <w:p w14:paraId="4FF56082" w14:textId="77777777" w:rsidR="00C671DA" w:rsidRPr="00B83B5C" w:rsidRDefault="00C671DA" w:rsidP="00C36D4F">
            <w:pPr>
              <w:spacing w:before="60" w:after="60"/>
              <w:jc w:val="right"/>
              <w:rPr>
                <w:color w:val="000000"/>
                <w:sz w:val="20"/>
                <w:szCs w:val="20"/>
              </w:rPr>
            </w:pPr>
            <w:r w:rsidRPr="00B83B5C">
              <w:rPr>
                <w:sz w:val="20"/>
                <w:szCs w:val="20"/>
              </w:rPr>
              <w:t>50% of 2016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13844E05" w14:textId="77777777" w:rsidR="00C671DA" w:rsidRPr="00B83B5C" w:rsidRDefault="00C671DA" w:rsidP="00C36D4F">
            <w:pPr>
              <w:spacing w:before="60" w:after="60"/>
              <w:jc w:val="right"/>
              <w:rPr>
                <w:color w:val="000000"/>
                <w:sz w:val="20"/>
                <w:szCs w:val="20"/>
              </w:rPr>
            </w:pPr>
            <w:r w:rsidRPr="00B83B5C">
              <w:rPr>
                <w:sz w:val="20"/>
                <w:szCs w:val="20"/>
              </w:rPr>
              <w:t>$95.00</w:t>
            </w:r>
          </w:p>
        </w:tc>
        <w:tc>
          <w:tcPr>
            <w:tcW w:w="1440" w:type="dxa"/>
            <w:gridSpan w:val="2"/>
            <w:tcBorders>
              <w:left w:val="single" w:sz="4" w:space="0" w:color="auto"/>
              <w:right w:val="single" w:sz="4" w:space="0" w:color="auto"/>
            </w:tcBorders>
            <w:shd w:val="clear" w:color="auto" w:fill="auto"/>
          </w:tcPr>
          <w:p w14:paraId="55B1D3C8" w14:textId="77777777" w:rsidR="00C671DA" w:rsidRPr="007F620E" w:rsidRDefault="00C671DA" w:rsidP="00C36D4F">
            <w:pPr>
              <w:spacing w:before="60" w:after="60"/>
              <w:jc w:val="right"/>
              <w:rPr>
                <w:color w:val="000000"/>
              </w:rPr>
            </w:pPr>
            <w:r>
              <w:rPr>
                <w:color w:val="000000"/>
              </w:rPr>
              <w:t>0.5</w:t>
            </w:r>
          </w:p>
        </w:tc>
        <w:tc>
          <w:tcPr>
            <w:tcW w:w="900" w:type="dxa"/>
            <w:tcBorders>
              <w:left w:val="single" w:sz="4" w:space="0" w:color="auto"/>
            </w:tcBorders>
            <w:shd w:val="clear" w:color="auto" w:fill="auto"/>
          </w:tcPr>
          <w:p w14:paraId="221681D1" w14:textId="77777777" w:rsidR="00C671DA" w:rsidRPr="00B416C4" w:rsidRDefault="00C671DA" w:rsidP="00C36D4F">
            <w:pPr>
              <w:spacing w:before="60" w:after="60"/>
              <w:jc w:val="center"/>
              <w:rPr>
                <w:color w:val="000000"/>
                <w:sz w:val="18"/>
                <w:szCs w:val="18"/>
              </w:rPr>
            </w:pPr>
            <w:r w:rsidRPr="00B416C4">
              <w:rPr>
                <w:color w:val="000000"/>
                <w:sz w:val="18"/>
                <w:szCs w:val="18"/>
              </w:rPr>
              <w:t>$190</w:t>
            </w:r>
          </w:p>
        </w:tc>
        <w:tc>
          <w:tcPr>
            <w:tcW w:w="1170" w:type="dxa"/>
            <w:shd w:val="clear" w:color="auto" w:fill="auto"/>
          </w:tcPr>
          <w:p w14:paraId="547EE074" w14:textId="77777777" w:rsidR="00C671DA" w:rsidRPr="007F620E" w:rsidRDefault="00C671DA" w:rsidP="00C36D4F">
            <w:pPr>
              <w:spacing w:before="60" w:after="60"/>
              <w:jc w:val="right"/>
              <w:rPr>
                <w:color w:val="000000"/>
              </w:rPr>
            </w:pPr>
            <w:r>
              <w:rPr>
                <w:color w:val="000000"/>
              </w:rPr>
              <w:t>$95.00</w:t>
            </w:r>
          </w:p>
        </w:tc>
      </w:tr>
      <w:tr w:rsidR="00C671DA" w:rsidRPr="007F620E" w14:paraId="43A94EA8" w14:textId="77777777" w:rsidTr="00C36D4F">
        <w:tc>
          <w:tcPr>
            <w:tcW w:w="1435" w:type="dxa"/>
            <w:gridSpan w:val="2"/>
            <w:shd w:val="clear" w:color="auto" w:fill="auto"/>
          </w:tcPr>
          <w:p w14:paraId="154C9997" w14:textId="77777777" w:rsidR="00C671DA" w:rsidRPr="00B83B5C" w:rsidRDefault="00C671DA" w:rsidP="00C36D4F">
            <w:pPr>
              <w:spacing w:before="60" w:after="60"/>
              <w:rPr>
                <w:color w:val="000000"/>
                <w:sz w:val="20"/>
                <w:szCs w:val="20"/>
              </w:rPr>
            </w:pPr>
            <w:r w:rsidRPr="00B83B5C">
              <w:rPr>
                <w:sz w:val="20"/>
                <w:szCs w:val="20"/>
              </w:rPr>
              <w:lastRenderedPageBreak/>
              <w:t>Hayley Goodson</w:t>
            </w:r>
          </w:p>
        </w:tc>
        <w:tc>
          <w:tcPr>
            <w:tcW w:w="720" w:type="dxa"/>
            <w:gridSpan w:val="2"/>
            <w:shd w:val="clear" w:color="auto" w:fill="auto"/>
          </w:tcPr>
          <w:p w14:paraId="36ACFA57" w14:textId="77777777" w:rsidR="00C671DA" w:rsidRPr="00B83B5C" w:rsidRDefault="00C671DA" w:rsidP="00C36D4F">
            <w:pPr>
              <w:spacing w:before="60" w:after="60"/>
              <w:jc w:val="center"/>
              <w:rPr>
                <w:color w:val="000000"/>
                <w:sz w:val="20"/>
                <w:szCs w:val="20"/>
              </w:rPr>
            </w:pPr>
            <w:r w:rsidRPr="00B83B5C">
              <w:rPr>
                <w:sz w:val="20"/>
                <w:szCs w:val="20"/>
              </w:rPr>
              <w:t>2017</w:t>
            </w:r>
          </w:p>
        </w:tc>
        <w:tc>
          <w:tcPr>
            <w:tcW w:w="810" w:type="dxa"/>
            <w:gridSpan w:val="2"/>
            <w:shd w:val="clear" w:color="auto" w:fill="auto"/>
          </w:tcPr>
          <w:p w14:paraId="250CB632" w14:textId="77777777" w:rsidR="00C671DA" w:rsidRPr="00B416C4" w:rsidRDefault="00C671DA" w:rsidP="00C36D4F">
            <w:pPr>
              <w:spacing w:before="60" w:after="60"/>
              <w:jc w:val="right"/>
              <w:rPr>
                <w:color w:val="000000"/>
                <w:sz w:val="18"/>
                <w:szCs w:val="18"/>
              </w:rPr>
            </w:pPr>
            <w:r w:rsidRPr="00B416C4">
              <w:rPr>
                <w:sz w:val="18"/>
                <w:szCs w:val="18"/>
              </w:rPr>
              <w:t>22</w:t>
            </w:r>
          </w:p>
        </w:tc>
        <w:tc>
          <w:tcPr>
            <w:tcW w:w="810" w:type="dxa"/>
            <w:shd w:val="clear" w:color="auto" w:fill="auto"/>
          </w:tcPr>
          <w:p w14:paraId="73B666CA" w14:textId="77777777" w:rsidR="00C671DA" w:rsidRPr="00B416C4" w:rsidRDefault="00C671DA" w:rsidP="00C36D4F">
            <w:pPr>
              <w:spacing w:before="60" w:after="60"/>
              <w:jc w:val="center"/>
              <w:rPr>
                <w:color w:val="000000"/>
                <w:sz w:val="18"/>
                <w:szCs w:val="18"/>
              </w:rPr>
            </w:pPr>
            <w:r w:rsidRPr="00B416C4">
              <w:rPr>
                <w:sz w:val="18"/>
                <w:szCs w:val="18"/>
              </w:rPr>
              <w:t>$202.50</w:t>
            </w:r>
          </w:p>
        </w:tc>
        <w:tc>
          <w:tcPr>
            <w:tcW w:w="990" w:type="dxa"/>
            <w:gridSpan w:val="2"/>
            <w:tcBorders>
              <w:right w:val="single" w:sz="4" w:space="0" w:color="auto"/>
            </w:tcBorders>
            <w:shd w:val="clear" w:color="auto" w:fill="auto"/>
          </w:tcPr>
          <w:p w14:paraId="3792504A" w14:textId="77777777" w:rsidR="00C671DA" w:rsidRPr="00B83B5C" w:rsidRDefault="00C671DA" w:rsidP="00C36D4F">
            <w:pPr>
              <w:spacing w:before="60" w:after="60"/>
              <w:jc w:val="right"/>
              <w:rPr>
                <w:color w:val="000000"/>
                <w:sz w:val="20"/>
                <w:szCs w:val="20"/>
              </w:rPr>
            </w:pPr>
            <w:r w:rsidRPr="00B83B5C">
              <w:rPr>
                <w:sz w:val="20"/>
                <w:szCs w:val="20"/>
              </w:rPr>
              <w:t>50% of requested 2017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031EF8EF" w14:textId="77777777" w:rsidR="00C671DA" w:rsidRPr="00B416C4" w:rsidRDefault="00C671DA" w:rsidP="00C36D4F">
            <w:pPr>
              <w:spacing w:before="60" w:after="60"/>
              <w:jc w:val="right"/>
              <w:rPr>
                <w:color w:val="000000"/>
                <w:sz w:val="18"/>
                <w:szCs w:val="18"/>
              </w:rPr>
            </w:pPr>
            <w:r w:rsidRPr="00B416C4">
              <w:rPr>
                <w:sz w:val="18"/>
                <w:szCs w:val="18"/>
              </w:rPr>
              <w:t>$4,455.00</w:t>
            </w:r>
          </w:p>
        </w:tc>
        <w:tc>
          <w:tcPr>
            <w:tcW w:w="1440" w:type="dxa"/>
            <w:gridSpan w:val="2"/>
            <w:tcBorders>
              <w:left w:val="single" w:sz="4" w:space="0" w:color="auto"/>
              <w:right w:val="single" w:sz="4" w:space="0" w:color="auto"/>
            </w:tcBorders>
            <w:shd w:val="clear" w:color="auto" w:fill="auto"/>
          </w:tcPr>
          <w:p w14:paraId="56409854" w14:textId="77777777" w:rsidR="00C671DA" w:rsidRPr="007F620E" w:rsidRDefault="00C671DA" w:rsidP="00C36D4F">
            <w:pPr>
              <w:spacing w:before="60" w:after="60"/>
              <w:jc w:val="right"/>
              <w:rPr>
                <w:color w:val="000000"/>
              </w:rPr>
            </w:pPr>
            <w:r>
              <w:rPr>
                <w:color w:val="000000"/>
              </w:rPr>
              <w:t>22</w:t>
            </w:r>
          </w:p>
        </w:tc>
        <w:tc>
          <w:tcPr>
            <w:tcW w:w="900" w:type="dxa"/>
            <w:tcBorders>
              <w:left w:val="single" w:sz="4" w:space="0" w:color="auto"/>
            </w:tcBorders>
            <w:shd w:val="clear" w:color="auto" w:fill="auto"/>
          </w:tcPr>
          <w:p w14:paraId="0720AE81" w14:textId="77777777" w:rsidR="00C671DA" w:rsidRPr="00B416C4" w:rsidRDefault="00C671DA" w:rsidP="00C36D4F">
            <w:pPr>
              <w:spacing w:before="60" w:after="60"/>
              <w:jc w:val="center"/>
              <w:rPr>
                <w:color w:val="000000"/>
                <w:sz w:val="18"/>
                <w:szCs w:val="18"/>
              </w:rPr>
            </w:pPr>
            <w:r w:rsidRPr="00B416C4">
              <w:rPr>
                <w:color w:val="000000"/>
                <w:sz w:val="18"/>
                <w:szCs w:val="18"/>
              </w:rPr>
              <w:t>$202.50</w:t>
            </w:r>
          </w:p>
        </w:tc>
        <w:tc>
          <w:tcPr>
            <w:tcW w:w="1170" w:type="dxa"/>
            <w:shd w:val="clear" w:color="auto" w:fill="auto"/>
          </w:tcPr>
          <w:p w14:paraId="0BD34922" w14:textId="77777777" w:rsidR="00C671DA" w:rsidRPr="00B416C4" w:rsidRDefault="00C671DA" w:rsidP="00C36D4F">
            <w:pPr>
              <w:spacing w:before="60" w:after="60"/>
              <w:jc w:val="right"/>
              <w:rPr>
                <w:color w:val="000000"/>
                <w:sz w:val="18"/>
                <w:szCs w:val="18"/>
              </w:rPr>
            </w:pPr>
            <w:r w:rsidRPr="00B416C4">
              <w:rPr>
                <w:color w:val="000000"/>
                <w:sz w:val="18"/>
                <w:szCs w:val="18"/>
              </w:rPr>
              <w:t>$4,455.00</w:t>
            </w:r>
          </w:p>
        </w:tc>
      </w:tr>
      <w:tr w:rsidR="00C671DA" w:rsidRPr="007F620E" w14:paraId="6DDD989C" w14:textId="77777777" w:rsidTr="00C36D4F">
        <w:tc>
          <w:tcPr>
            <w:tcW w:w="1435" w:type="dxa"/>
            <w:gridSpan w:val="2"/>
            <w:shd w:val="clear" w:color="auto" w:fill="auto"/>
          </w:tcPr>
          <w:p w14:paraId="513B4A70" w14:textId="77777777" w:rsidR="00C671DA" w:rsidRPr="00B83B5C" w:rsidRDefault="00C671DA" w:rsidP="00C36D4F">
            <w:pPr>
              <w:spacing w:before="60" w:after="60"/>
              <w:rPr>
                <w:color w:val="000000"/>
                <w:sz w:val="20"/>
                <w:szCs w:val="20"/>
              </w:rPr>
            </w:pPr>
            <w:r w:rsidRPr="00B83B5C">
              <w:rPr>
                <w:sz w:val="20"/>
                <w:szCs w:val="20"/>
              </w:rPr>
              <w:t xml:space="preserve">Marcel </w:t>
            </w:r>
            <w:proofErr w:type="spellStart"/>
            <w:r w:rsidRPr="00B83B5C">
              <w:rPr>
                <w:sz w:val="20"/>
                <w:szCs w:val="20"/>
              </w:rPr>
              <w:t>Hawiger</w:t>
            </w:r>
            <w:proofErr w:type="spellEnd"/>
          </w:p>
        </w:tc>
        <w:tc>
          <w:tcPr>
            <w:tcW w:w="720" w:type="dxa"/>
            <w:gridSpan w:val="2"/>
            <w:shd w:val="clear" w:color="auto" w:fill="auto"/>
          </w:tcPr>
          <w:p w14:paraId="6AA3887F" w14:textId="77777777" w:rsidR="00C671DA" w:rsidRPr="00B83B5C" w:rsidRDefault="00C671DA" w:rsidP="00C36D4F">
            <w:pPr>
              <w:spacing w:before="60" w:after="60"/>
              <w:jc w:val="center"/>
              <w:rPr>
                <w:color w:val="000000"/>
                <w:sz w:val="20"/>
                <w:szCs w:val="20"/>
              </w:rPr>
            </w:pPr>
            <w:r w:rsidRPr="00B83B5C">
              <w:rPr>
                <w:sz w:val="20"/>
                <w:szCs w:val="20"/>
              </w:rPr>
              <w:t>2017</w:t>
            </w:r>
          </w:p>
        </w:tc>
        <w:tc>
          <w:tcPr>
            <w:tcW w:w="810" w:type="dxa"/>
            <w:gridSpan w:val="2"/>
            <w:shd w:val="clear" w:color="auto" w:fill="auto"/>
          </w:tcPr>
          <w:p w14:paraId="1EB859DD" w14:textId="77777777" w:rsidR="00C671DA" w:rsidRPr="00B416C4" w:rsidRDefault="00C671DA" w:rsidP="00C36D4F">
            <w:pPr>
              <w:spacing w:before="60" w:after="60"/>
              <w:jc w:val="right"/>
              <w:rPr>
                <w:color w:val="000000"/>
                <w:sz w:val="18"/>
                <w:szCs w:val="18"/>
              </w:rPr>
            </w:pPr>
            <w:r w:rsidRPr="00B416C4">
              <w:rPr>
                <w:sz w:val="18"/>
                <w:szCs w:val="18"/>
              </w:rPr>
              <w:t>1.5</w:t>
            </w:r>
          </w:p>
        </w:tc>
        <w:tc>
          <w:tcPr>
            <w:tcW w:w="810" w:type="dxa"/>
            <w:shd w:val="clear" w:color="auto" w:fill="auto"/>
          </w:tcPr>
          <w:p w14:paraId="215C3214" w14:textId="77777777" w:rsidR="00C671DA" w:rsidRPr="00B416C4" w:rsidRDefault="00C671DA" w:rsidP="00C36D4F">
            <w:pPr>
              <w:spacing w:before="60" w:after="60"/>
              <w:jc w:val="center"/>
              <w:rPr>
                <w:color w:val="000000"/>
                <w:sz w:val="18"/>
                <w:szCs w:val="18"/>
              </w:rPr>
            </w:pPr>
            <w:r w:rsidRPr="00B416C4">
              <w:rPr>
                <w:sz w:val="18"/>
                <w:szCs w:val="18"/>
              </w:rPr>
              <w:t>$212.50</w:t>
            </w:r>
          </w:p>
        </w:tc>
        <w:tc>
          <w:tcPr>
            <w:tcW w:w="990" w:type="dxa"/>
            <w:gridSpan w:val="2"/>
            <w:tcBorders>
              <w:right w:val="single" w:sz="4" w:space="0" w:color="auto"/>
            </w:tcBorders>
            <w:shd w:val="clear" w:color="auto" w:fill="auto"/>
          </w:tcPr>
          <w:p w14:paraId="68F9E4FB" w14:textId="77777777" w:rsidR="00C671DA" w:rsidRPr="00B83B5C" w:rsidRDefault="00C671DA" w:rsidP="00C36D4F">
            <w:pPr>
              <w:spacing w:before="60" w:after="60"/>
              <w:jc w:val="right"/>
              <w:rPr>
                <w:color w:val="000000"/>
                <w:sz w:val="20"/>
                <w:szCs w:val="20"/>
              </w:rPr>
            </w:pPr>
            <w:r w:rsidRPr="00B83B5C">
              <w:rPr>
                <w:sz w:val="20"/>
                <w:szCs w:val="20"/>
              </w:rPr>
              <w:t>50% of requested 2017 rate</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5D26878" w14:textId="77777777" w:rsidR="00C671DA" w:rsidRPr="00B83B5C" w:rsidRDefault="00C671DA" w:rsidP="00C36D4F">
            <w:pPr>
              <w:spacing w:before="60" w:after="60"/>
              <w:jc w:val="right"/>
              <w:rPr>
                <w:color w:val="000000"/>
                <w:sz w:val="20"/>
                <w:szCs w:val="20"/>
              </w:rPr>
            </w:pPr>
            <w:r w:rsidRPr="00B83B5C">
              <w:rPr>
                <w:sz w:val="20"/>
                <w:szCs w:val="20"/>
              </w:rPr>
              <w:t>$318.75</w:t>
            </w:r>
          </w:p>
        </w:tc>
        <w:tc>
          <w:tcPr>
            <w:tcW w:w="1440" w:type="dxa"/>
            <w:gridSpan w:val="2"/>
            <w:tcBorders>
              <w:left w:val="single" w:sz="4" w:space="0" w:color="auto"/>
              <w:right w:val="single" w:sz="4" w:space="0" w:color="auto"/>
            </w:tcBorders>
            <w:shd w:val="clear" w:color="auto" w:fill="auto"/>
          </w:tcPr>
          <w:p w14:paraId="03FEA408" w14:textId="77777777" w:rsidR="00C671DA" w:rsidRPr="007F620E" w:rsidRDefault="00C671DA" w:rsidP="00C36D4F">
            <w:pPr>
              <w:spacing w:before="60" w:after="60"/>
              <w:jc w:val="right"/>
              <w:rPr>
                <w:color w:val="000000"/>
              </w:rPr>
            </w:pPr>
            <w:r>
              <w:rPr>
                <w:color w:val="000000"/>
              </w:rPr>
              <w:t>1.5</w:t>
            </w:r>
          </w:p>
        </w:tc>
        <w:tc>
          <w:tcPr>
            <w:tcW w:w="900" w:type="dxa"/>
            <w:tcBorders>
              <w:left w:val="single" w:sz="4" w:space="0" w:color="auto"/>
            </w:tcBorders>
            <w:shd w:val="clear" w:color="auto" w:fill="auto"/>
          </w:tcPr>
          <w:p w14:paraId="5AE7719D" w14:textId="77777777" w:rsidR="00C671DA" w:rsidRPr="00B416C4" w:rsidRDefault="00C671DA" w:rsidP="00C36D4F">
            <w:pPr>
              <w:spacing w:before="60" w:after="60"/>
              <w:jc w:val="center"/>
              <w:rPr>
                <w:color w:val="000000"/>
                <w:sz w:val="18"/>
                <w:szCs w:val="18"/>
              </w:rPr>
            </w:pPr>
            <w:r w:rsidRPr="00B416C4">
              <w:rPr>
                <w:color w:val="000000"/>
                <w:sz w:val="18"/>
                <w:szCs w:val="18"/>
              </w:rPr>
              <w:t>$212.50</w:t>
            </w:r>
          </w:p>
        </w:tc>
        <w:tc>
          <w:tcPr>
            <w:tcW w:w="1170" w:type="dxa"/>
            <w:shd w:val="clear" w:color="auto" w:fill="auto"/>
          </w:tcPr>
          <w:p w14:paraId="7BFE8267" w14:textId="77777777" w:rsidR="00C671DA" w:rsidRPr="007F620E" w:rsidRDefault="00C671DA" w:rsidP="00C36D4F">
            <w:pPr>
              <w:spacing w:before="60" w:after="60"/>
              <w:jc w:val="right"/>
              <w:rPr>
                <w:color w:val="000000"/>
              </w:rPr>
            </w:pPr>
            <w:r>
              <w:rPr>
                <w:color w:val="000000"/>
              </w:rPr>
              <w:t>$318.75</w:t>
            </w:r>
          </w:p>
        </w:tc>
      </w:tr>
      <w:tr w:rsidR="00C671DA" w:rsidRPr="007F620E" w14:paraId="58D3DDBB" w14:textId="77777777" w:rsidTr="00C36D4F">
        <w:tc>
          <w:tcPr>
            <w:tcW w:w="1435" w:type="dxa"/>
            <w:gridSpan w:val="2"/>
            <w:shd w:val="clear" w:color="auto" w:fill="auto"/>
          </w:tcPr>
          <w:p w14:paraId="693487CA" w14:textId="77777777" w:rsidR="00C671DA" w:rsidRPr="00BA2B9B" w:rsidRDefault="00C671DA" w:rsidP="00C36D4F">
            <w:pPr>
              <w:spacing w:before="60" w:after="60"/>
              <w:rPr>
                <w:b/>
                <w:i/>
                <w:sz w:val="20"/>
                <w:szCs w:val="20"/>
              </w:rPr>
            </w:pPr>
            <w:r w:rsidRPr="00BA2B9B">
              <w:rPr>
                <w:b/>
                <w:i/>
                <w:sz w:val="20"/>
                <w:szCs w:val="20"/>
              </w:rPr>
              <w:t>Total Hours</w:t>
            </w:r>
          </w:p>
        </w:tc>
        <w:tc>
          <w:tcPr>
            <w:tcW w:w="720" w:type="dxa"/>
            <w:gridSpan w:val="2"/>
            <w:shd w:val="clear" w:color="auto" w:fill="auto"/>
          </w:tcPr>
          <w:p w14:paraId="1F4A389C" w14:textId="77777777" w:rsidR="00C671DA" w:rsidRPr="00B83B5C" w:rsidRDefault="00C671DA" w:rsidP="00C36D4F">
            <w:pPr>
              <w:spacing w:before="60" w:after="60"/>
              <w:jc w:val="center"/>
              <w:rPr>
                <w:sz w:val="20"/>
                <w:szCs w:val="20"/>
              </w:rPr>
            </w:pPr>
          </w:p>
        </w:tc>
        <w:tc>
          <w:tcPr>
            <w:tcW w:w="810" w:type="dxa"/>
            <w:gridSpan w:val="2"/>
            <w:shd w:val="clear" w:color="auto" w:fill="auto"/>
          </w:tcPr>
          <w:p w14:paraId="7D6A858B" w14:textId="77777777" w:rsidR="00C671DA" w:rsidRPr="00BA2B9B" w:rsidRDefault="00C671DA" w:rsidP="00C36D4F">
            <w:pPr>
              <w:spacing w:before="60" w:after="60"/>
              <w:jc w:val="right"/>
              <w:rPr>
                <w:b/>
                <w:sz w:val="20"/>
                <w:szCs w:val="20"/>
              </w:rPr>
            </w:pPr>
            <w:r w:rsidRPr="00BA2B9B">
              <w:rPr>
                <w:b/>
                <w:sz w:val="20"/>
                <w:szCs w:val="20"/>
              </w:rPr>
              <w:t>25</w:t>
            </w:r>
          </w:p>
        </w:tc>
        <w:tc>
          <w:tcPr>
            <w:tcW w:w="810" w:type="dxa"/>
            <w:shd w:val="clear" w:color="auto" w:fill="auto"/>
          </w:tcPr>
          <w:p w14:paraId="7A9233A2" w14:textId="77777777" w:rsidR="00C671DA" w:rsidRPr="00B416C4" w:rsidRDefault="00C671DA" w:rsidP="00C36D4F">
            <w:pPr>
              <w:spacing w:before="60" w:after="60"/>
              <w:jc w:val="center"/>
              <w:rPr>
                <w:sz w:val="18"/>
                <w:szCs w:val="18"/>
              </w:rPr>
            </w:pPr>
          </w:p>
        </w:tc>
        <w:tc>
          <w:tcPr>
            <w:tcW w:w="990" w:type="dxa"/>
            <w:gridSpan w:val="2"/>
            <w:tcBorders>
              <w:right w:val="single" w:sz="4" w:space="0" w:color="auto"/>
            </w:tcBorders>
            <w:shd w:val="clear" w:color="auto" w:fill="auto"/>
          </w:tcPr>
          <w:p w14:paraId="55D3BDB8" w14:textId="77777777" w:rsidR="00C671DA" w:rsidRPr="00B83B5C" w:rsidRDefault="00C671DA" w:rsidP="00C36D4F">
            <w:pPr>
              <w:spacing w:before="60" w:after="60"/>
              <w:jc w:val="right"/>
              <w:rPr>
                <w:sz w:val="20"/>
                <w:szCs w:val="20"/>
              </w:rPr>
            </w:pP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37221D07" w14:textId="77777777" w:rsidR="00C671DA" w:rsidRPr="00B83B5C" w:rsidRDefault="00C671DA" w:rsidP="00C36D4F">
            <w:pPr>
              <w:spacing w:before="60" w:after="60"/>
              <w:jc w:val="right"/>
              <w:rPr>
                <w:sz w:val="20"/>
                <w:szCs w:val="20"/>
              </w:rPr>
            </w:pPr>
          </w:p>
        </w:tc>
        <w:tc>
          <w:tcPr>
            <w:tcW w:w="1440" w:type="dxa"/>
            <w:gridSpan w:val="2"/>
            <w:tcBorders>
              <w:left w:val="single" w:sz="4" w:space="0" w:color="auto"/>
              <w:right w:val="single" w:sz="4" w:space="0" w:color="auto"/>
            </w:tcBorders>
            <w:shd w:val="clear" w:color="auto" w:fill="auto"/>
          </w:tcPr>
          <w:p w14:paraId="32C05F93" w14:textId="77777777" w:rsidR="00C671DA" w:rsidRPr="007F620E" w:rsidRDefault="00C671DA" w:rsidP="00C36D4F">
            <w:pPr>
              <w:spacing w:before="60" w:after="60"/>
              <w:jc w:val="right"/>
              <w:rPr>
                <w:color w:val="000000"/>
              </w:rPr>
            </w:pPr>
          </w:p>
        </w:tc>
        <w:tc>
          <w:tcPr>
            <w:tcW w:w="900" w:type="dxa"/>
            <w:tcBorders>
              <w:left w:val="single" w:sz="4" w:space="0" w:color="auto"/>
            </w:tcBorders>
            <w:shd w:val="clear" w:color="auto" w:fill="auto"/>
          </w:tcPr>
          <w:p w14:paraId="191F4F90" w14:textId="77777777" w:rsidR="00C671DA" w:rsidRPr="007F620E" w:rsidRDefault="00C671DA" w:rsidP="00C36D4F">
            <w:pPr>
              <w:spacing w:before="60" w:after="60"/>
              <w:jc w:val="center"/>
              <w:rPr>
                <w:color w:val="000000"/>
              </w:rPr>
            </w:pPr>
          </w:p>
        </w:tc>
        <w:tc>
          <w:tcPr>
            <w:tcW w:w="1170" w:type="dxa"/>
            <w:shd w:val="clear" w:color="auto" w:fill="auto"/>
          </w:tcPr>
          <w:p w14:paraId="613C13E3" w14:textId="77777777" w:rsidR="00C671DA" w:rsidRPr="007F620E" w:rsidRDefault="00C671DA" w:rsidP="00C36D4F">
            <w:pPr>
              <w:spacing w:before="60" w:after="60"/>
              <w:jc w:val="right"/>
              <w:rPr>
                <w:color w:val="000000"/>
              </w:rPr>
            </w:pPr>
          </w:p>
        </w:tc>
      </w:tr>
      <w:tr w:rsidR="00C671DA" w:rsidRPr="007F620E" w14:paraId="7EED2839" w14:textId="77777777" w:rsidTr="00C36D4F">
        <w:tc>
          <w:tcPr>
            <w:tcW w:w="5755" w:type="dxa"/>
            <w:gridSpan w:val="10"/>
            <w:tcBorders>
              <w:bottom w:val="single" w:sz="4" w:space="0" w:color="auto"/>
              <w:right w:val="single" w:sz="24" w:space="0" w:color="auto"/>
            </w:tcBorders>
            <w:shd w:val="clear" w:color="auto" w:fill="auto"/>
            <w:vAlign w:val="bottom"/>
          </w:tcPr>
          <w:p w14:paraId="52EE28D9" w14:textId="77777777" w:rsidR="00C671DA" w:rsidRPr="00374FD1" w:rsidRDefault="00C671DA" w:rsidP="00C36D4F">
            <w:pPr>
              <w:tabs>
                <w:tab w:val="left" w:pos="957"/>
              </w:tabs>
              <w:spacing w:before="60" w:after="60"/>
              <w:ind w:right="250"/>
              <w:jc w:val="right"/>
              <w:rPr>
                <w:b/>
                <w:i/>
                <w:color w:val="000000"/>
              </w:rPr>
            </w:pPr>
            <w:r w:rsidRPr="007F620E">
              <w:rPr>
                <w:b/>
                <w:i/>
                <w:color w:val="000000"/>
              </w:rPr>
              <w:t xml:space="preserve">Subtotal: </w:t>
            </w:r>
            <w:r w:rsidRPr="00374FD1">
              <w:rPr>
                <w:b/>
                <w:i/>
                <w:color w:val="000000"/>
              </w:rPr>
              <w:t>$</w:t>
            </w:r>
            <w:r>
              <w:rPr>
                <w:b/>
                <w:i/>
                <w:color w:val="000000"/>
              </w:rPr>
              <w:t>5,046.25</w:t>
            </w:r>
          </w:p>
        </w:tc>
        <w:tc>
          <w:tcPr>
            <w:tcW w:w="3510" w:type="dxa"/>
            <w:gridSpan w:val="4"/>
            <w:tcBorders>
              <w:left w:val="single" w:sz="24" w:space="0" w:color="auto"/>
              <w:bottom w:val="single" w:sz="4" w:space="0" w:color="auto"/>
            </w:tcBorders>
            <w:shd w:val="clear" w:color="auto" w:fill="auto"/>
            <w:vAlign w:val="bottom"/>
          </w:tcPr>
          <w:p w14:paraId="15A1E57A" w14:textId="77777777" w:rsidR="00C671DA" w:rsidRPr="00374FD1" w:rsidRDefault="00C671DA" w:rsidP="00C36D4F">
            <w:pPr>
              <w:tabs>
                <w:tab w:val="left" w:pos="957"/>
              </w:tabs>
              <w:spacing w:before="60" w:after="60"/>
              <w:ind w:right="166"/>
              <w:jc w:val="right"/>
              <w:rPr>
                <w:b/>
                <w:i/>
                <w:color w:val="000000"/>
              </w:rPr>
            </w:pPr>
            <w:r>
              <w:rPr>
                <w:b/>
                <w:i/>
                <w:color w:val="000000"/>
              </w:rPr>
              <w:t xml:space="preserve"> </w:t>
            </w:r>
            <w:r w:rsidRPr="007F620E">
              <w:rPr>
                <w:b/>
                <w:i/>
                <w:color w:val="000000"/>
              </w:rPr>
              <w:t xml:space="preserve">Subtotal: </w:t>
            </w:r>
            <w:r w:rsidRPr="00374FD1">
              <w:rPr>
                <w:b/>
                <w:i/>
                <w:color w:val="000000"/>
              </w:rPr>
              <w:t>$</w:t>
            </w:r>
            <w:r>
              <w:rPr>
                <w:b/>
                <w:i/>
                <w:color w:val="000000"/>
              </w:rPr>
              <w:t>5,046.25</w:t>
            </w:r>
          </w:p>
        </w:tc>
      </w:tr>
      <w:tr w:rsidR="00C671DA" w:rsidRPr="007F620E" w14:paraId="398C19CA" w14:textId="77777777" w:rsidTr="00C36D4F">
        <w:tc>
          <w:tcPr>
            <w:tcW w:w="9265" w:type="dxa"/>
            <w:gridSpan w:val="14"/>
            <w:tcBorders>
              <w:top w:val="single" w:sz="4" w:space="0" w:color="auto"/>
              <w:left w:val="single" w:sz="4" w:space="0" w:color="auto"/>
              <w:bottom w:val="single" w:sz="4" w:space="0" w:color="auto"/>
              <w:right w:val="single" w:sz="4" w:space="0" w:color="auto"/>
            </w:tcBorders>
            <w:shd w:val="clear" w:color="auto" w:fill="E6E6E6"/>
          </w:tcPr>
          <w:p w14:paraId="6B2D07AB" w14:textId="77777777" w:rsidR="00C671DA" w:rsidRPr="007F620E" w:rsidRDefault="00C671DA" w:rsidP="00C36D4F">
            <w:pPr>
              <w:spacing w:before="60" w:after="60"/>
              <w:jc w:val="center"/>
              <w:rPr>
                <w:b/>
                <w:smallCaps/>
                <w:color w:val="000000"/>
              </w:rPr>
            </w:pPr>
            <w:r w:rsidRPr="007F620E">
              <w:rPr>
                <w:b/>
                <w:smallCaps/>
                <w:color w:val="000000"/>
              </w:rPr>
              <w:t>COSTS</w:t>
            </w:r>
          </w:p>
        </w:tc>
      </w:tr>
      <w:tr w:rsidR="00C671DA" w:rsidRPr="007F620E" w14:paraId="1B4A11DC" w14:textId="77777777" w:rsidTr="00C36D4F">
        <w:tc>
          <w:tcPr>
            <w:tcW w:w="468" w:type="dxa"/>
            <w:tcBorders>
              <w:top w:val="single" w:sz="4" w:space="0" w:color="auto"/>
              <w:bottom w:val="single" w:sz="4" w:space="0" w:color="auto"/>
            </w:tcBorders>
            <w:shd w:val="clear" w:color="auto" w:fill="auto"/>
          </w:tcPr>
          <w:p w14:paraId="4EC63F29" w14:textId="77777777" w:rsidR="00C671DA" w:rsidRPr="007F620E" w:rsidRDefault="00C671DA" w:rsidP="00C36D4F">
            <w:pPr>
              <w:spacing w:before="60" w:after="60"/>
              <w:jc w:val="center"/>
              <w:rPr>
                <w:b/>
                <w:color w:val="000000"/>
              </w:rPr>
            </w:pPr>
            <w:r w:rsidRPr="007F620E">
              <w:rPr>
                <w:b/>
                <w:color w:val="000000"/>
              </w:rPr>
              <w:t>#</w:t>
            </w:r>
          </w:p>
        </w:tc>
        <w:tc>
          <w:tcPr>
            <w:tcW w:w="1687" w:type="dxa"/>
            <w:gridSpan w:val="3"/>
            <w:tcBorders>
              <w:top w:val="single" w:sz="4" w:space="0" w:color="auto"/>
              <w:bottom w:val="single" w:sz="4" w:space="0" w:color="auto"/>
            </w:tcBorders>
            <w:shd w:val="clear" w:color="auto" w:fill="auto"/>
          </w:tcPr>
          <w:p w14:paraId="2671ED80" w14:textId="77777777" w:rsidR="00C671DA" w:rsidRPr="007F620E" w:rsidRDefault="00C671DA" w:rsidP="00C36D4F">
            <w:pPr>
              <w:spacing w:before="60" w:after="60"/>
              <w:jc w:val="center"/>
              <w:rPr>
                <w:b/>
                <w:color w:val="000000"/>
              </w:rPr>
            </w:pPr>
            <w:r w:rsidRPr="007F620E">
              <w:rPr>
                <w:b/>
                <w:color w:val="000000"/>
              </w:rPr>
              <w:t>Item</w:t>
            </w:r>
          </w:p>
        </w:tc>
        <w:tc>
          <w:tcPr>
            <w:tcW w:w="2610" w:type="dxa"/>
            <w:gridSpan w:val="5"/>
            <w:tcBorders>
              <w:top w:val="single" w:sz="4" w:space="0" w:color="auto"/>
              <w:left w:val="single" w:sz="4" w:space="0" w:color="auto"/>
              <w:bottom w:val="single" w:sz="4" w:space="0" w:color="auto"/>
              <w:right w:val="single" w:sz="4" w:space="0" w:color="auto"/>
            </w:tcBorders>
            <w:shd w:val="clear" w:color="auto" w:fill="FFFFFF"/>
          </w:tcPr>
          <w:p w14:paraId="7BB106A9" w14:textId="77777777" w:rsidR="00C671DA" w:rsidRPr="007F620E" w:rsidRDefault="00C671DA" w:rsidP="00C36D4F">
            <w:pPr>
              <w:spacing w:before="60" w:after="60"/>
              <w:jc w:val="center"/>
              <w:rPr>
                <w:b/>
                <w:color w:val="000000"/>
              </w:rPr>
            </w:pPr>
            <w:r w:rsidRPr="007F620E">
              <w:rPr>
                <w:b/>
                <w:color w:val="000000"/>
              </w:rPr>
              <w:t>Detail</w:t>
            </w:r>
          </w:p>
        </w:tc>
        <w:tc>
          <w:tcPr>
            <w:tcW w:w="990" w:type="dxa"/>
            <w:tcBorders>
              <w:top w:val="single" w:sz="4" w:space="0" w:color="auto"/>
              <w:left w:val="single" w:sz="4" w:space="0" w:color="auto"/>
              <w:bottom w:val="single" w:sz="4" w:space="0" w:color="auto"/>
              <w:right w:val="single" w:sz="24" w:space="0" w:color="auto"/>
            </w:tcBorders>
            <w:shd w:val="clear" w:color="auto" w:fill="auto"/>
          </w:tcPr>
          <w:p w14:paraId="51598651" w14:textId="77777777" w:rsidR="00C671DA" w:rsidRPr="007F620E" w:rsidRDefault="00C671DA" w:rsidP="00C36D4F">
            <w:pPr>
              <w:spacing w:before="60" w:after="60"/>
              <w:jc w:val="center"/>
              <w:rPr>
                <w:b/>
                <w:color w:val="000000"/>
              </w:rPr>
            </w:pPr>
            <w:r w:rsidRPr="007F620E">
              <w:rPr>
                <w:b/>
                <w:color w:val="000000"/>
              </w:rPr>
              <w:t>Amount</w:t>
            </w:r>
          </w:p>
        </w:tc>
        <w:tc>
          <w:tcPr>
            <w:tcW w:w="3510" w:type="dxa"/>
            <w:gridSpan w:val="4"/>
            <w:tcBorders>
              <w:top w:val="single" w:sz="4" w:space="0" w:color="auto"/>
              <w:left w:val="single" w:sz="24" w:space="0" w:color="auto"/>
            </w:tcBorders>
            <w:shd w:val="clear" w:color="auto" w:fill="auto"/>
          </w:tcPr>
          <w:p w14:paraId="7282B441" w14:textId="77777777" w:rsidR="00C671DA" w:rsidRPr="007F620E" w:rsidRDefault="00C671DA" w:rsidP="00C36D4F">
            <w:pPr>
              <w:spacing w:before="60" w:after="60"/>
              <w:jc w:val="center"/>
              <w:rPr>
                <w:b/>
                <w:color w:val="000000"/>
              </w:rPr>
            </w:pPr>
            <w:r w:rsidRPr="007F620E">
              <w:rPr>
                <w:b/>
                <w:color w:val="000000"/>
              </w:rPr>
              <w:t>Amount</w:t>
            </w:r>
          </w:p>
        </w:tc>
      </w:tr>
      <w:tr w:rsidR="00C671DA" w:rsidRPr="00B83B5C" w14:paraId="57A7CAA5" w14:textId="77777777" w:rsidTr="00C36D4F">
        <w:tc>
          <w:tcPr>
            <w:tcW w:w="468" w:type="dxa"/>
            <w:tcBorders>
              <w:bottom w:val="single" w:sz="4" w:space="0" w:color="auto"/>
            </w:tcBorders>
            <w:shd w:val="clear" w:color="auto" w:fill="auto"/>
          </w:tcPr>
          <w:p w14:paraId="039BDC4C" w14:textId="77777777" w:rsidR="00C671DA" w:rsidRPr="00B83B5C" w:rsidRDefault="00C671DA" w:rsidP="00C36D4F">
            <w:pPr>
              <w:spacing w:before="60" w:after="60"/>
              <w:jc w:val="center"/>
              <w:rPr>
                <w:color w:val="000000"/>
                <w:sz w:val="22"/>
                <w:szCs w:val="22"/>
              </w:rPr>
            </w:pPr>
          </w:p>
        </w:tc>
        <w:tc>
          <w:tcPr>
            <w:tcW w:w="1687" w:type="dxa"/>
            <w:gridSpan w:val="3"/>
            <w:tcBorders>
              <w:bottom w:val="single" w:sz="4" w:space="0" w:color="auto"/>
            </w:tcBorders>
            <w:shd w:val="clear" w:color="auto" w:fill="auto"/>
            <w:vAlign w:val="bottom"/>
          </w:tcPr>
          <w:p w14:paraId="0D5F0C01" w14:textId="77777777" w:rsidR="00C671DA" w:rsidRPr="00B83B5C" w:rsidRDefault="00C671DA" w:rsidP="00C36D4F">
            <w:pPr>
              <w:spacing w:before="60" w:after="60"/>
              <w:rPr>
                <w:color w:val="000000"/>
                <w:sz w:val="20"/>
                <w:szCs w:val="20"/>
              </w:rPr>
            </w:pPr>
            <w:r w:rsidRPr="00B83B5C">
              <w:rPr>
                <w:sz w:val="20"/>
                <w:szCs w:val="20"/>
              </w:rPr>
              <w:t>Photocopies</w:t>
            </w: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25C4547" w14:textId="77777777" w:rsidR="00C671DA" w:rsidRPr="00B83B5C" w:rsidRDefault="00C671DA" w:rsidP="00C36D4F">
            <w:pPr>
              <w:spacing w:before="60" w:after="60"/>
              <w:rPr>
                <w:color w:val="000000"/>
                <w:sz w:val="20"/>
                <w:szCs w:val="20"/>
              </w:rPr>
            </w:pPr>
            <w:r w:rsidRPr="00B83B5C">
              <w:rPr>
                <w:sz w:val="20"/>
                <w:szCs w:val="20"/>
              </w:rPr>
              <w:t>Copies related to A.15-09-001</w:t>
            </w:r>
          </w:p>
        </w:tc>
        <w:tc>
          <w:tcPr>
            <w:tcW w:w="990" w:type="dxa"/>
            <w:tcBorders>
              <w:top w:val="single" w:sz="4" w:space="0" w:color="auto"/>
              <w:left w:val="single" w:sz="4" w:space="0" w:color="auto"/>
              <w:bottom w:val="single" w:sz="4" w:space="0" w:color="auto"/>
              <w:right w:val="single" w:sz="24" w:space="0" w:color="auto"/>
            </w:tcBorders>
            <w:shd w:val="clear" w:color="auto" w:fill="auto"/>
            <w:vAlign w:val="bottom"/>
          </w:tcPr>
          <w:p w14:paraId="78DA7022" w14:textId="77777777" w:rsidR="00C671DA" w:rsidRPr="00B83B5C" w:rsidRDefault="00C671DA" w:rsidP="00C36D4F">
            <w:pPr>
              <w:spacing w:before="60" w:after="60"/>
              <w:jc w:val="right"/>
              <w:rPr>
                <w:color w:val="000000"/>
                <w:sz w:val="20"/>
                <w:szCs w:val="20"/>
              </w:rPr>
            </w:pPr>
            <w:r w:rsidRPr="00B83B5C">
              <w:rPr>
                <w:sz w:val="20"/>
                <w:szCs w:val="20"/>
              </w:rPr>
              <w:t>$55.15</w:t>
            </w:r>
          </w:p>
        </w:tc>
        <w:tc>
          <w:tcPr>
            <w:tcW w:w="3510" w:type="dxa"/>
            <w:gridSpan w:val="4"/>
            <w:tcBorders>
              <w:left w:val="single" w:sz="24" w:space="0" w:color="auto"/>
            </w:tcBorders>
            <w:shd w:val="clear" w:color="auto" w:fill="auto"/>
          </w:tcPr>
          <w:p w14:paraId="6F0CC328" w14:textId="77777777" w:rsidR="00C671DA" w:rsidRPr="00B83B5C" w:rsidRDefault="00C671DA" w:rsidP="00C36D4F">
            <w:pPr>
              <w:spacing w:before="60" w:after="60"/>
              <w:jc w:val="right"/>
              <w:rPr>
                <w:color w:val="000000"/>
                <w:sz w:val="22"/>
                <w:szCs w:val="22"/>
              </w:rPr>
            </w:pPr>
            <w:r>
              <w:rPr>
                <w:color w:val="000000"/>
                <w:sz w:val="22"/>
                <w:szCs w:val="22"/>
              </w:rPr>
              <w:t>$55.15</w:t>
            </w:r>
          </w:p>
        </w:tc>
      </w:tr>
      <w:tr w:rsidR="00C671DA" w:rsidRPr="00B83B5C" w14:paraId="02393D8C" w14:textId="77777777" w:rsidTr="00C36D4F">
        <w:tc>
          <w:tcPr>
            <w:tcW w:w="468" w:type="dxa"/>
            <w:tcBorders>
              <w:bottom w:val="single" w:sz="4" w:space="0" w:color="auto"/>
            </w:tcBorders>
            <w:shd w:val="clear" w:color="auto" w:fill="auto"/>
          </w:tcPr>
          <w:p w14:paraId="5B15F22F" w14:textId="77777777" w:rsidR="00C671DA" w:rsidRPr="00B83B5C" w:rsidRDefault="00C671DA" w:rsidP="00C36D4F">
            <w:pPr>
              <w:spacing w:before="60" w:after="60"/>
              <w:jc w:val="center"/>
              <w:rPr>
                <w:color w:val="000000"/>
                <w:sz w:val="22"/>
                <w:szCs w:val="22"/>
              </w:rPr>
            </w:pPr>
          </w:p>
        </w:tc>
        <w:tc>
          <w:tcPr>
            <w:tcW w:w="1687" w:type="dxa"/>
            <w:gridSpan w:val="3"/>
            <w:tcBorders>
              <w:bottom w:val="single" w:sz="4" w:space="0" w:color="auto"/>
            </w:tcBorders>
            <w:shd w:val="clear" w:color="auto" w:fill="auto"/>
            <w:vAlign w:val="bottom"/>
          </w:tcPr>
          <w:p w14:paraId="73F8D188" w14:textId="77777777" w:rsidR="00C671DA" w:rsidRPr="00B83B5C" w:rsidRDefault="00C671DA" w:rsidP="00C36D4F">
            <w:pPr>
              <w:spacing w:before="60" w:after="60"/>
              <w:rPr>
                <w:color w:val="000000"/>
                <w:sz w:val="20"/>
                <w:szCs w:val="20"/>
              </w:rPr>
            </w:pPr>
            <w:r w:rsidRPr="00B83B5C">
              <w:rPr>
                <w:sz w:val="20"/>
                <w:szCs w:val="20"/>
              </w:rPr>
              <w:t>Lexis Legal Research</w:t>
            </w: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B8B5428" w14:textId="77777777" w:rsidR="00C671DA" w:rsidRPr="00B83B5C" w:rsidRDefault="00C671DA" w:rsidP="00C36D4F">
            <w:pPr>
              <w:spacing w:before="60" w:after="60"/>
              <w:rPr>
                <w:color w:val="000000"/>
                <w:sz w:val="20"/>
                <w:szCs w:val="20"/>
              </w:rPr>
            </w:pPr>
            <w:r w:rsidRPr="00B83B5C">
              <w:rPr>
                <w:sz w:val="20"/>
                <w:szCs w:val="20"/>
              </w:rPr>
              <w:t>Legal Research related to A.15-09-001</w:t>
            </w:r>
          </w:p>
        </w:tc>
        <w:tc>
          <w:tcPr>
            <w:tcW w:w="990" w:type="dxa"/>
            <w:tcBorders>
              <w:top w:val="single" w:sz="4" w:space="0" w:color="auto"/>
              <w:left w:val="single" w:sz="4" w:space="0" w:color="auto"/>
              <w:bottom w:val="single" w:sz="4" w:space="0" w:color="auto"/>
              <w:right w:val="single" w:sz="24" w:space="0" w:color="auto"/>
            </w:tcBorders>
            <w:shd w:val="clear" w:color="auto" w:fill="auto"/>
            <w:vAlign w:val="bottom"/>
          </w:tcPr>
          <w:p w14:paraId="1B283EDA" w14:textId="77777777" w:rsidR="00C671DA" w:rsidRPr="00B83B5C" w:rsidRDefault="00C671DA" w:rsidP="00C36D4F">
            <w:pPr>
              <w:spacing w:before="60" w:after="60"/>
              <w:jc w:val="right"/>
              <w:rPr>
                <w:color w:val="000000"/>
                <w:sz w:val="20"/>
                <w:szCs w:val="20"/>
              </w:rPr>
            </w:pPr>
            <w:r w:rsidRPr="00B83B5C">
              <w:rPr>
                <w:sz w:val="20"/>
                <w:szCs w:val="20"/>
              </w:rPr>
              <w:t>$117.02</w:t>
            </w:r>
          </w:p>
        </w:tc>
        <w:tc>
          <w:tcPr>
            <w:tcW w:w="3510" w:type="dxa"/>
            <w:gridSpan w:val="4"/>
            <w:tcBorders>
              <w:left w:val="single" w:sz="24" w:space="0" w:color="auto"/>
            </w:tcBorders>
            <w:shd w:val="clear" w:color="auto" w:fill="auto"/>
          </w:tcPr>
          <w:p w14:paraId="71FFED23" w14:textId="77777777" w:rsidR="00C671DA" w:rsidRPr="00B83B5C" w:rsidRDefault="00C671DA" w:rsidP="00C36D4F">
            <w:pPr>
              <w:spacing w:before="60" w:after="60"/>
              <w:jc w:val="right"/>
              <w:rPr>
                <w:color w:val="000000"/>
                <w:sz w:val="22"/>
                <w:szCs w:val="22"/>
              </w:rPr>
            </w:pPr>
            <w:r>
              <w:rPr>
                <w:color w:val="000000"/>
                <w:sz w:val="22"/>
                <w:szCs w:val="22"/>
              </w:rPr>
              <w:t>$117.02</w:t>
            </w:r>
          </w:p>
        </w:tc>
      </w:tr>
      <w:tr w:rsidR="00C671DA" w:rsidRPr="00B83B5C" w14:paraId="6C54C8FB" w14:textId="77777777" w:rsidTr="00C36D4F">
        <w:tc>
          <w:tcPr>
            <w:tcW w:w="468" w:type="dxa"/>
            <w:tcBorders>
              <w:bottom w:val="single" w:sz="4" w:space="0" w:color="auto"/>
            </w:tcBorders>
            <w:shd w:val="clear" w:color="auto" w:fill="auto"/>
          </w:tcPr>
          <w:p w14:paraId="68FAD1A3" w14:textId="77777777" w:rsidR="00C671DA" w:rsidRPr="00B83B5C" w:rsidRDefault="00C671DA" w:rsidP="00C36D4F">
            <w:pPr>
              <w:spacing w:before="60" w:after="60"/>
              <w:jc w:val="center"/>
              <w:rPr>
                <w:color w:val="000000"/>
                <w:sz w:val="22"/>
                <w:szCs w:val="22"/>
              </w:rPr>
            </w:pPr>
          </w:p>
        </w:tc>
        <w:tc>
          <w:tcPr>
            <w:tcW w:w="1687" w:type="dxa"/>
            <w:gridSpan w:val="3"/>
            <w:tcBorders>
              <w:bottom w:val="single" w:sz="4" w:space="0" w:color="auto"/>
            </w:tcBorders>
            <w:shd w:val="clear" w:color="auto" w:fill="auto"/>
            <w:vAlign w:val="bottom"/>
          </w:tcPr>
          <w:p w14:paraId="794959BE" w14:textId="77777777" w:rsidR="00C671DA" w:rsidRPr="00B83B5C" w:rsidRDefault="00C671DA" w:rsidP="00C36D4F">
            <w:pPr>
              <w:spacing w:before="60" w:after="60"/>
              <w:rPr>
                <w:color w:val="000000"/>
                <w:sz w:val="20"/>
                <w:szCs w:val="20"/>
              </w:rPr>
            </w:pPr>
            <w:r w:rsidRPr="00B83B5C">
              <w:rPr>
                <w:sz w:val="20"/>
                <w:szCs w:val="20"/>
              </w:rPr>
              <w:t>Telephone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04C4B7" w14:textId="77777777" w:rsidR="00C671DA" w:rsidRPr="00B83B5C" w:rsidRDefault="00C671DA" w:rsidP="00C36D4F">
            <w:pPr>
              <w:spacing w:before="60" w:after="60"/>
              <w:rPr>
                <w:color w:val="000000"/>
                <w:sz w:val="20"/>
                <w:szCs w:val="20"/>
              </w:rPr>
            </w:pPr>
            <w:r w:rsidRPr="00B83B5C">
              <w:rPr>
                <w:sz w:val="20"/>
                <w:szCs w:val="20"/>
              </w:rPr>
              <w:t>Telephone expense related to A.15-09-001</w:t>
            </w:r>
          </w:p>
        </w:tc>
        <w:tc>
          <w:tcPr>
            <w:tcW w:w="990" w:type="dxa"/>
            <w:tcBorders>
              <w:top w:val="single" w:sz="4" w:space="0" w:color="auto"/>
              <w:left w:val="single" w:sz="4" w:space="0" w:color="auto"/>
              <w:bottom w:val="single" w:sz="4" w:space="0" w:color="auto"/>
              <w:right w:val="single" w:sz="24" w:space="0" w:color="auto"/>
            </w:tcBorders>
            <w:shd w:val="clear" w:color="auto" w:fill="auto"/>
            <w:vAlign w:val="bottom"/>
          </w:tcPr>
          <w:p w14:paraId="67FB492A" w14:textId="77777777" w:rsidR="00C671DA" w:rsidRPr="00B83B5C" w:rsidRDefault="00C671DA" w:rsidP="00C36D4F">
            <w:pPr>
              <w:spacing w:before="60" w:after="60"/>
              <w:jc w:val="right"/>
              <w:rPr>
                <w:color w:val="000000"/>
                <w:sz w:val="20"/>
                <w:szCs w:val="20"/>
              </w:rPr>
            </w:pPr>
            <w:r w:rsidRPr="00B83B5C">
              <w:rPr>
                <w:sz w:val="20"/>
                <w:szCs w:val="20"/>
              </w:rPr>
              <w:t>$116.17</w:t>
            </w:r>
          </w:p>
        </w:tc>
        <w:tc>
          <w:tcPr>
            <w:tcW w:w="3510" w:type="dxa"/>
            <w:gridSpan w:val="4"/>
            <w:tcBorders>
              <w:left w:val="single" w:sz="24" w:space="0" w:color="auto"/>
            </w:tcBorders>
            <w:shd w:val="clear" w:color="auto" w:fill="auto"/>
          </w:tcPr>
          <w:p w14:paraId="2E32C24D" w14:textId="77777777" w:rsidR="00C671DA" w:rsidRPr="00B83B5C" w:rsidRDefault="00C671DA" w:rsidP="00C36D4F">
            <w:pPr>
              <w:spacing w:before="60" w:after="60"/>
              <w:jc w:val="right"/>
              <w:rPr>
                <w:color w:val="000000"/>
                <w:sz w:val="22"/>
                <w:szCs w:val="22"/>
              </w:rPr>
            </w:pPr>
            <w:r>
              <w:rPr>
                <w:color w:val="000000"/>
                <w:sz w:val="22"/>
                <w:szCs w:val="22"/>
              </w:rPr>
              <w:t>$116.17</w:t>
            </w:r>
          </w:p>
        </w:tc>
      </w:tr>
      <w:tr w:rsidR="00C671DA" w:rsidRPr="00B83B5C" w14:paraId="08DD069F" w14:textId="77777777" w:rsidTr="00C36D4F">
        <w:trPr>
          <w:trHeight w:val="629"/>
        </w:trPr>
        <w:tc>
          <w:tcPr>
            <w:tcW w:w="468" w:type="dxa"/>
            <w:tcBorders>
              <w:bottom w:val="single" w:sz="4" w:space="0" w:color="auto"/>
            </w:tcBorders>
            <w:shd w:val="clear" w:color="auto" w:fill="auto"/>
          </w:tcPr>
          <w:p w14:paraId="0BAF2A31" w14:textId="77777777" w:rsidR="00C671DA" w:rsidRPr="00B83B5C" w:rsidRDefault="00C671DA" w:rsidP="00C36D4F">
            <w:pPr>
              <w:spacing w:before="60" w:after="60"/>
              <w:jc w:val="center"/>
              <w:rPr>
                <w:color w:val="000000"/>
                <w:sz w:val="22"/>
                <w:szCs w:val="22"/>
              </w:rPr>
            </w:pPr>
          </w:p>
        </w:tc>
        <w:tc>
          <w:tcPr>
            <w:tcW w:w="1687" w:type="dxa"/>
            <w:gridSpan w:val="3"/>
            <w:tcBorders>
              <w:bottom w:val="single" w:sz="4" w:space="0" w:color="auto"/>
            </w:tcBorders>
            <w:shd w:val="clear" w:color="auto" w:fill="auto"/>
            <w:vAlign w:val="bottom"/>
          </w:tcPr>
          <w:p w14:paraId="59F24795" w14:textId="77777777" w:rsidR="00C671DA" w:rsidRPr="00B83B5C" w:rsidRDefault="00C671DA" w:rsidP="00C36D4F">
            <w:pPr>
              <w:spacing w:before="60" w:after="60"/>
              <w:rPr>
                <w:color w:val="000000"/>
                <w:sz w:val="20"/>
                <w:szCs w:val="20"/>
              </w:rPr>
            </w:pPr>
            <w:r w:rsidRPr="00B83B5C">
              <w:rPr>
                <w:sz w:val="20"/>
                <w:szCs w:val="20"/>
              </w:rPr>
              <w:t>Postage</w:t>
            </w:r>
          </w:p>
        </w:tc>
        <w:tc>
          <w:tcPr>
            <w:tcW w:w="261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EB0F84B" w14:textId="77777777" w:rsidR="00C671DA" w:rsidRPr="00B83B5C" w:rsidRDefault="00C671DA" w:rsidP="00C36D4F">
            <w:pPr>
              <w:spacing w:before="60" w:after="60"/>
              <w:rPr>
                <w:color w:val="000000"/>
                <w:sz w:val="20"/>
                <w:szCs w:val="20"/>
              </w:rPr>
            </w:pPr>
            <w:r w:rsidRPr="00B83B5C">
              <w:rPr>
                <w:sz w:val="20"/>
                <w:szCs w:val="20"/>
              </w:rPr>
              <w:t>Postage for mailing filings in A.15-09-001</w:t>
            </w:r>
          </w:p>
        </w:tc>
        <w:tc>
          <w:tcPr>
            <w:tcW w:w="990" w:type="dxa"/>
            <w:tcBorders>
              <w:top w:val="single" w:sz="4" w:space="0" w:color="auto"/>
              <w:left w:val="single" w:sz="4" w:space="0" w:color="auto"/>
              <w:bottom w:val="single" w:sz="4" w:space="0" w:color="auto"/>
              <w:right w:val="single" w:sz="24" w:space="0" w:color="auto"/>
            </w:tcBorders>
            <w:shd w:val="clear" w:color="auto" w:fill="auto"/>
            <w:vAlign w:val="bottom"/>
          </w:tcPr>
          <w:p w14:paraId="263234EE" w14:textId="77777777" w:rsidR="00C671DA" w:rsidRPr="00B83B5C" w:rsidRDefault="00C671DA" w:rsidP="00C36D4F">
            <w:pPr>
              <w:spacing w:before="60" w:after="60"/>
              <w:jc w:val="right"/>
              <w:rPr>
                <w:color w:val="000000"/>
                <w:sz w:val="20"/>
                <w:szCs w:val="20"/>
              </w:rPr>
            </w:pPr>
            <w:r w:rsidRPr="00B83B5C">
              <w:rPr>
                <w:sz w:val="20"/>
                <w:szCs w:val="20"/>
              </w:rPr>
              <w:t>$13.05</w:t>
            </w:r>
          </w:p>
        </w:tc>
        <w:tc>
          <w:tcPr>
            <w:tcW w:w="3510" w:type="dxa"/>
            <w:gridSpan w:val="4"/>
            <w:tcBorders>
              <w:left w:val="single" w:sz="24" w:space="0" w:color="auto"/>
            </w:tcBorders>
            <w:shd w:val="clear" w:color="auto" w:fill="auto"/>
          </w:tcPr>
          <w:p w14:paraId="6F256693" w14:textId="77777777" w:rsidR="00C671DA" w:rsidRPr="00B83B5C" w:rsidRDefault="00C671DA" w:rsidP="00C36D4F">
            <w:pPr>
              <w:spacing w:before="60" w:after="60"/>
              <w:jc w:val="right"/>
              <w:rPr>
                <w:color w:val="000000"/>
                <w:sz w:val="22"/>
                <w:szCs w:val="22"/>
              </w:rPr>
            </w:pPr>
            <w:r>
              <w:rPr>
                <w:color w:val="000000"/>
                <w:sz w:val="22"/>
                <w:szCs w:val="22"/>
              </w:rPr>
              <w:t>$13.05</w:t>
            </w:r>
          </w:p>
        </w:tc>
      </w:tr>
      <w:tr w:rsidR="00C671DA" w:rsidRPr="00B83B5C" w14:paraId="28C880F7" w14:textId="77777777" w:rsidTr="00C36D4F">
        <w:tc>
          <w:tcPr>
            <w:tcW w:w="5755" w:type="dxa"/>
            <w:gridSpan w:val="10"/>
            <w:tcBorders>
              <w:bottom w:val="single" w:sz="4" w:space="0" w:color="auto"/>
              <w:right w:val="single" w:sz="24" w:space="0" w:color="auto"/>
            </w:tcBorders>
            <w:shd w:val="clear" w:color="auto" w:fill="auto"/>
          </w:tcPr>
          <w:p w14:paraId="2253C6EC" w14:textId="77777777" w:rsidR="00C671DA" w:rsidRPr="00BA2B9B" w:rsidRDefault="00C671DA" w:rsidP="00C36D4F">
            <w:pPr>
              <w:tabs>
                <w:tab w:val="left" w:pos="957"/>
              </w:tabs>
              <w:spacing w:before="60" w:after="60"/>
              <w:ind w:right="160"/>
              <w:jc w:val="right"/>
              <w:rPr>
                <w:b/>
                <w:i/>
                <w:color w:val="000000"/>
                <w:sz w:val="20"/>
                <w:szCs w:val="20"/>
              </w:rPr>
            </w:pPr>
            <w:r w:rsidRPr="00791180">
              <w:rPr>
                <w:b/>
                <w:i/>
                <w:color w:val="000000"/>
              </w:rPr>
              <w:t>Subtotal</w:t>
            </w:r>
            <w:r>
              <w:rPr>
                <w:b/>
                <w:i/>
                <w:color w:val="000000"/>
              </w:rPr>
              <w:t xml:space="preserve">:  </w:t>
            </w:r>
            <w:r w:rsidRPr="00791180">
              <w:rPr>
                <w:b/>
                <w:i/>
                <w:color w:val="000000"/>
              </w:rPr>
              <w:t>$301.39</w:t>
            </w:r>
          </w:p>
        </w:tc>
        <w:tc>
          <w:tcPr>
            <w:tcW w:w="3510" w:type="dxa"/>
            <w:gridSpan w:val="4"/>
            <w:tcBorders>
              <w:left w:val="single" w:sz="24" w:space="0" w:color="auto"/>
            </w:tcBorders>
            <w:shd w:val="clear" w:color="auto" w:fill="auto"/>
          </w:tcPr>
          <w:p w14:paraId="03031851" w14:textId="77777777" w:rsidR="00C671DA" w:rsidRPr="00B83B5C" w:rsidRDefault="00C671DA" w:rsidP="00C36D4F">
            <w:pPr>
              <w:spacing w:before="60" w:after="60"/>
              <w:jc w:val="right"/>
              <w:rPr>
                <w:color w:val="000000"/>
                <w:sz w:val="22"/>
                <w:szCs w:val="22"/>
              </w:rPr>
            </w:pPr>
            <w:r w:rsidRPr="00791180">
              <w:rPr>
                <w:b/>
                <w:i/>
                <w:color w:val="000000"/>
              </w:rPr>
              <w:t>Subtotal</w:t>
            </w:r>
            <w:r>
              <w:rPr>
                <w:b/>
                <w:i/>
                <w:color w:val="000000"/>
              </w:rPr>
              <w:t>:  $301.39</w:t>
            </w:r>
          </w:p>
        </w:tc>
      </w:tr>
      <w:tr w:rsidR="00C671DA" w:rsidRPr="007F620E" w14:paraId="0C21B0B3" w14:textId="77777777" w:rsidTr="00C36D4F">
        <w:tc>
          <w:tcPr>
            <w:tcW w:w="5755" w:type="dxa"/>
            <w:gridSpan w:val="10"/>
            <w:tcBorders>
              <w:top w:val="single" w:sz="4" w:space="0" w:color="auto"/>
              <w:bottom w:val="single" w:sz="4" w:space="0" w:color="auto"/>
              <w:right w:val="single" w:sz="24" w:space="0" w:color="auto"/>
            </w:tcBorders>
            <w:shd w:val="clear" w:color="auto" w:fill="E6E6E6"/>
            <w:vAlign w:val="bottom"/>
          </w:tcPr>
          <w:p w14:paraId="2F085DA6" w14:textId="77777777" w:rsidR="00C671DA" w:rsidRPr="00374FD1" w:rsidRDefault="00C671DA" w:rsidP="00C36D4F">
            <w:pPr>
              <w:tabs>
                <w:tab w:val="left" w:pos="957"/>
              </w:tabs>
              <w:spacing w:before="60" w:after="60"/>
              <w:ind w:right="250"/>
              <w:jc w:val="right"/>
              <w:rPr>
                <w:b/>
                <w:i/>
                <w:color w:val="000000"/>
              </w:rPr>
            </w:pPr>
            <w:r w:rsidRPr="00374FD1">
              <w:rPr>
                <w:b/>
                <w:i/>
                <w:color w:val="000000"/>
              </w:rPr>
              <w:t>TOTAL REQUEST: $</w:t>
            </w:r>
            <w:r>
              <w:rPr>
                <w:b/>
                <w:i/>
                <w:color w:val="000000"/>
              </w:rPr>
              <w:t>1,414,358.14</w:t>
            </w:r>
          </w:p>
        </w:tc>
        <w:tc>
          <w:tcPr>
            <w:tcW w:w="3510" w:type="dxa"/>
            <w:gridSpan w:val="4"/>
            <w:tcBorders>
              <w:left w:val="single" w:sz="24" w:space="0" w:color="auto"/>
            </w:tcBorders>
            <w:shd w:val="clear" w:color="auto" w:fill="E6E6E6"/>
            <w:vAlign w:val="bottom"/>
          </w:tcPr>
          <w:p w14:paraId="6EFD7295" w14:textId="77777777" w:rsidR="00C671DA" w:rsidRPr="00B32439" w:rsidRDefault="00C671DA" w:rsidP="00C36D4F">
            <w:pPr>
              <w:tabs>
                <w:tab w:val="left" w:pos="973"/>
              </w:tabs>
              <w:spacing w:before="60" w:after="60"/>
              <w:jc w:val="right"/>
              <w:rPr>
                <w:b/>
                <w:i/>
                <w:color w:val="000000"/>
                <w:sz w:val="22"/>
                <w:szCs w:val="22"/>
              </w:rPr>
            </w:pPr>
            <w:r w:rsidRPr="00B32439">
              <w:rPr>
                <w:b/>
                <w:i/>
                <w:color w:val="000000"/>
                <w:sz w:val="22"/>
                <w:szCs w:val="22"/>
              </w:rPr>
              <w:t>TOTAL AWARD: $1,386,671.79</w:t>
            </w:r>
          </w:p>
        </w:tc>
      </w:tr>
      <w:tr w:rsidR="00C671DA" w:rsidRPr="007F620E" w14:paraId="619CC03F" w14:textId="77777777" w:rsidTr="00C36D4F">
        <w:tc>
          <w:tcPr>
            <w:tcW w:w="9265" w:type="dxa"/>
            <w:gridSpan w:val="14"/>
            <w:tcBorders>
              <w:top w:val="single" w:sz="4" w:space="0" w:color="auto"/>
              <w:bottom w:val="single" w:sz="4" w:space="0" w:color="auto"/>
            </w:tcBorders>
            <w:shd w:val="clear" w:color="auto" w:fill="auto"/>
          </w:tcPr>
          <w:p w14:paraId="03846C2B" w14:textId="77777777" w:rsidR="00C671DA" w:rsidRPr="007F620E" w:rsidRDefault="00C671DA" w:rsidP="00C36D4F">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14:paraId="0A365663" w14:textId="77777777" w:rsidR="00C671DA" w:rsidRPr="007F620E" w:rsidRDefault="00C671DA" w:rsidP="00C36D4F">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Pr="007F620E" w:rsidDel="00D075B1">
              <w:rPr>
                <w:color w:val="000000"/>
              </w:rPr>
              <w:t xml:space="preserve"> </w:t>
            </w:r>
          </w:p>
        </w:tc>
      </w:tr>
      <w:tr w:rsidR="00C671DA" w:rsidRPr="007F620E" w14:paraId="6112DC17" w14:textId="77777777" w:rsidTr="00C36D4F">
        <w:tc>
          <w:tcPr>
            <w:tcW w:w="9265" w:type="dxa"/>
            <w:gridSpan w:val="14"/>
            <w:tcBorders>
              <w:top w:val="single" w:sz="4" w:space="0" w:color="auto"/>
              <w:left w:val="single" w:sz="4" w:space="0" w:color="auto"/>
              <w:bottom w:val="single" w:sz="4" w:space="0" w:color="auto"/>
              <w:right w:val="single" w:sz="4" w:space="0" w:color="auto"/>
            </w:tcBorders>
            <w:shd w:val="clear" w:color="auto" w:fill="E6E6E6"/>
          </w:tcPr>
          <w:p w14:paraId="55881823" w14:textId="77777777" w:rsidR="00C671DA" w:rsidRPr="007F620E" w:rsidRDefault="00C671DA" w:rsidP="00C36D4F">
            <w:pPr>
              <w:keepNext/>
              <w:keepLines/>
              <w:spacing w:before="60" w:after="60"/>
              <w:jc w:val="center"/>
              <w:rPr>
                <w:b/>
                <w:smallCaps/>
                <w:color w:val="000000"/>
              </w:rPr>
            </w:pPr>
            <w:r w:rsidRPr="007F620E">
              <w:rPr>
                <w:b/>
                <w:smallCaps/>
                <w:color w:val="000000"/>
              </w:rPr>
              <w:lastRenderedPageBreak/>
              <w:t>ATTORNEY INFORMATION</w:t>
            </w:r>
          </w:p>
        </w:tc>
      </w:tr>
      <w:tr w:rsidR="00C671DA" w:rsidRPr="00C16981" w14:paraId="7C613DC4" w14:textId="77777777" w:rsidTr="00C36D4F">
        <w:trPr>
          <w:trHeight w:val="173"/>
        </w:trPr>
        <w:tc>
          <w:tcPr>
            <w:tcW w:w="2558" w:type="dxa"/>
            <w:gridSpan w:val="5"/>
            <w:tcBorders>
              <w:top w:val="single" w:sz="4" w:space="0" w:color="auto"/>
              <w:bottom w:val="single" w:sz="4" w:space="0" w:color="auto"/>
            </w:tcBorders>
            <w:shd w:val="clear" w:color="auto" w:fill="FFFFFF"/>
          </w:tcPr>
          <w:p w14:paraId="2B925558" w14:textId="77777777" w:rsidR="00C671DA" w:rsidRPr="00C16981" w:rsidRDefault="00C671DA" w:rsidP="00C36D4F">
            <w:pPr>
              <w:keepNext/>
              <w:keepLines/>
              <w:spacing w:before="60" w:after="60"/>
              <w:jc w:val="center"/>
              <w:rPr>
                <w:b/>
                <w:color w:val="000000"/>
                <w:sz w:val="22"/>
                <w:szCs w:val="22"/>
              </w:rPr>
            </w:pPr>
            <w:r w:rsidRPr="00C16981">
              <w:rPr>
                <w:b/>
                <w:sz w:val="22"/>
                <w:szCs w:val="22"/>
              </w:rPr>
              <w:t>Attorney</w:t>
            </w:r>
          </w:p>
        </w:tc>
        <w:tc>
          <w:tcPr>
            <w:tcW w:w="1890" w:type="dxa"/>
            <w:gridSpan w:val="3"/>
            <w:tcBorders>
              <w:top w:val="single" w:sz="4" w:space="0" w:color="auto"/>
              <w:bottom w:val="single" w:sz="4" w:space="0" w:color="auto"/>
            </w:tcBorders>
            <w:shd w:val="clear" w:color="auto" w:fill="FFFFFF"/>
          </w:tcPr>
          <w:p w14:paraId="27E0D588" w14:textId="77777777" w:rsidR="00C671DA" w:rsidRPr="00C16981" w:rsidRDefault="00C671DA" w:rsidP="00C36D4F">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12"/>
            </w:r>
          </w:p>
        </w:tc>
        <w:tc>
          <w:tcPr>
            <w:tcW w:w="2000" w:type="dxa"/>
            <w:gridSpan w:val="3"/>
            <w:tcBorders>
              <w:top w:val="single" w:sz="4" w:space="0" w:color="auto"/>
              <w:bottom w:val="single" w:sz="4" w:space="0" w:color="auto"/>
            </w:tcBorders>
            <w:shd w:val="clear" w:color="auto" w:fill="FFFFFF"/>
          </w:tcPr>
          <w:p w14:paraId="776C7D99" w14:textId="77777777" w:rsidR="00C671DA" w:rsidRPr="00C16981" w:rsidRDefault="00C671DA" w:rsidP="00C36D4F">
            <w:pPr>
              <w:keepNext/>
              <w:keepLines/>
              <w:spacing w:before="60" w:after="60"/>
              <w:jc w:val="center"/>
              <w:rPr>
                <w:b/>
                <w:color w:val="000000"/>
                <w:sz w:val="22"/>
                <w:szCs w:val="22"/>
              </w:rPr>
            </w:pPr>
            <w:r w:rsidRPr="00C16981">
              <w:rPr>
                <w:b/>
                <w:sz w:val="22"/>
                <w:szCs w:val="22"/>
              </w:rPr>
              <w:t>Member Number</w:t>
            </w:r>
          </w:p>
        </w:tc>
        <w:tc>
          <w:tcPr>
            <w:tcW w:w="2817" w:type="dxa"/>
            <w:gridSpan w:val="3"/>
            <w:tcBorders>
              <w:top w:val="single" w:sz="4" w:space="0" w:color="auto"/>
              <w:bottom w:val="single" w:sz="4" w:space="0" w:color="auto"/>
            </w:tcBorders>
            <w:shd w:val="clear" w:color="auto" w:fill="FFFFFF"/>
          </w:tcPr>
          <w:p w14:paraId="181B4375" w14:textId="77777777" w:rsidR="00C671DA" w:rsidRPr="00C16981" w:rsidRDefault="00C671DA" w:rsidP="00C36D4F">
            <w:pPr>
              <w:keepNext/>
              <w:keepLines/>
              <w:spacing w:before="60" w:after="60"/>
              <w:jc w:val="center"/>
              <w:rPr>
                <w:b/>
                <w:sz w:val="22"/>
                <w:szCs w:val="22"/>
              </w:rPr>
            </w:pPr>
            <w:r w:rsidRPr="00C16981">
              <w:rPr>
                <w:b/>
                <w:sz w:val="22"/>
                <w:szCs w:val="22"/>
              </w:rPr>
              <w:t>Actions Affecting Eligibility (Yes/No?)</w:t>
            </w:r>
          </w:p>
          <w:p w14:paraId="68F79021" w14:textId="77777777" w:rsidR="00C671DA" w:rsidRPr="00C16981" w:rsidRDefault="00C671DA" w:rsidP="00C36D4F">
            <w:pPr>
              <w:keepNext/>
              <w:keepLines/>
              <w:spacing w:before="60" w:after="60"/>
              <w:jc w:val="center"/>
              <w:rPr>
                <w:b/>
                <w:color w:val="000000"/>
                <w:sz w:val="22"/>
                <w:szCs w:val="22"/>
              </w:rPr>
            </w:pPr>
            <w:r w:rsidRPr="00C16981">
              <w:rPr>
                <w:b/>
                <w:sz w:val="22"/>
                <w:szCs w:val="22"/>
              </w:rPr>
              <w:t>If “Yes”, attach explanation</w:t>
            </w:r>
          </w:p>
        </w:tc>
      </w:tr>
      <w:tr w:rsidR="00C671DA" w:rsidRPr="007F620E" w14:paraId="320B1D18" w14:textId="77777777" w:rsidTr="00C36D4F">
        <w:trPr>
          <w:trHeight w:val="172"/>
        </w:trPr>
        <w:tc>
          <w:tcPr>
            <w:tcW w:w="2558" w:type="dxa"/>
            <w:gridSpan w:val="5"/>
            <w:tcBorders>
              <w:top w:val="single" w:sz="4" w:space="0" w:color="auto"/>
              <w:bottom w:val="single" w:sz="4" w:space="0" w:color="auto"/>
            </w:tcBorders>
            <w:shd w:val="clear" w:color="auto" w:fill="auto"/>
          </w:tcPr>
          <w:p w14:paraId="398B8B1B" w14:textId="77777777" w:rsidR="00C671DA" w:rsidRPr="007F620E" w:rsidRDefault="00C671DA" w:rsidP="00C36D4F">
            <w:pPr>
              <w:keepNext/>
              <w:keepLines/>
              <w:spacing w:before="60" w:after="60"/>
              <w:jc w:val="center"/>
              <w:rPr>
                <w:color w:val="000000"/>
              </w:rPr>
            </w:pPr>
            <w:r>
              <w:rPr>
                <w:color w:val="000000"/>
              </w:rPr>
              <w:t>Hayley Goodson</w:t>
            </w:r>
          </w:p>
        </w:tc>
        <w:tc>
          <w:tcPr>
            <w:tcW w:w="1890" w:type="dxa"/>
            <w:gridSpan w:val="3"/>
            <w:tcBorders>
              <w:top w:val="single" w:sz="4" w:space="0" w:color="auto"/>
              <w:bottom w:val="single" w:sz="4" w:space="0" w:color="auto"/>
            </w:tcBorders>
            <w:shd w:val="clear" w:color="auto" w:fill="auto"/>
          </w:tcPr>
          <w:p w14:paraId="39644ADF" w14:textId="77777777" w:rsidR="00C671DA" w:rsidRPr="007F620E" w:rsidRDefault="00C671DA" w:rsidP="00C36D4F">
            <w:pPr>
              <w:keepNext/>
              <w:keepLines/>
              <w:spacing w:before="60" w:after="60"/>
              <w:jc w:val="center"/>
              <w:rPr>
                <w:color w:val="000000"/>
              </w:rPr>
            </w:pPr>
            <w:r>
              <w:rPr>
                <w:color w:val="000000"/>
              </w:rPr>
              <w:t>December 2003</w:t>
            </w:r>
          </w:p>
        </w:tc>
        <w:tc>
          <w:tcPr>
            <w:tcW w:w="2000" w:type="dxa"/>
            <w:gridSpan w:val="3"/>
            <w:tcBorders>
              <w:top w:val="single" w:sz="4" w:space="0" w:color="auto"/>
              <w:bottom w:val="single" w:sz="4" w:space="0" w:color="auto"/>
            </w:tcBorders>
            <w:shd w:val="clear" w:color="auto" w:fill="auto"/>
          </w:tcPr>
          <w:p w14:paraId="57993277" w14:textId="77777777" w:rsidR="00C671DA" w:rsidRPr="007F620E" w:rsidRDefault="00C671DA" w:rsidP="00C36D4F">
            <w:pPr>
              <w:keepNext/>
              <w:keepLines/>
              <w:spacing w:before="60" w:after="60"/>
              <w:jc w:val="center"/>
              <w:rPr>
                <w:color w:val="000000"/>
              </w:rPr>
            </w:pPr>
            <w:r>
              <w:rPr>
                <w:color w:val="000000"/>
              </w:rPr>
              <w:t>228535</w:t>
            </w:r>
          </w:p>
        </w:tc>
        <w:tc>
          <w:tcPr>
            <w:tcW w:w="2817" w:type="dxa"/>
            <w:gridSpan w:val="3"/>
            <w:tcBorders>
              <w:top w:val="single" w:sz="4" w:space="0" w:color="auto"/>
              <w:bottom w:val="single" w:sz="4" w:space="0" w:color="auto"/>
            </w:tcBorders>
            <w:shd w:val="clear" w:color="auto" w:fill="auto"/>
          </w:tcPr>
          <w:p w14:paraId="2B31D6D3"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728B0A05" w14:textId="77777777" w:rsidTr="00C36D4F">
        <w:trPr>
          <w:trHeight w:val="172"/>
        </w:trPr>
        <w:tc>
          <w:tcPr>
            <w:tcW w:w="2558" w:type="dxa"/>
            <w:gridSpan w:val="5"/>
            <w:tcBorders>
              <w:top w:val="single" w:sz="4" w:space="0" w:color="auto"/>
              <w:bottom w:val="single" w:sz="4" w:space="0" w:color="auto"/>
            </w:tcBorders>
            <w:shd w:val="clear" w:color="auto" w:fill="auto"/>
          </w:tcPr>
          <w:p w14:paraId="6F67DD49" w14:textId="77777777" w:rsidR="00C671DA" w:rsidRPr="007F620E" w:rsidRDefault="00C671DA" w:rsidP="00C36D4F">
            <w:pPr>
              <w:keepNext/>
              <w:keepLines/>
              <w:spacing w:before="60" w:after="60"/>
              <w:jc w:val="center"/>
              <w:rPr>
                <w:color w:val="000000"/>
              </w:rPr>
            </w:pPr>
            <w:r>
              <w:rPr>
                <w:color w:val="000000"/>
              </w:rPr>
              <w:t>Robert Finkelstein</w:t>
            </w:r>
          </w:p>
        </w:tc>
        <w:tc>
          <w:tcPr>
            <w:tcW w:w="1890" w:type="dxa"/>
            <w:gridSpan w:val="3"/>
            <w:tcBorders>
              <w:top w:val="single" w:sz="4" w:space="0" w:color="auto"/>
              <w:bottom w:val="single" w:sz="4" w:space="0" w:color="auto"/>
            </w:tcBorders>
            <w:shd w:val="clear" w:color="auto" w:fill="auto"/>
          </w:tcPr>
          <w:p w14:paraId="7EA122DD" w14:textId="77777777" w:rsidR="00C671DA" w:rsidRPr="007F620E" w:rsidRDefault="00C671DA" w:rsidP="00C36D4F">
            <w:pPr>
              <w:keepNext/>
              <w:keepLines/>
              <w:spacing w:before="60" w:after="60"/>
              <w:jc w:val="center"/>
              <w:rPr>
                <w:color w:val="000000"/>
              </w:rPr>
            </w:pPr>
            <w:r>
              <w:rPr>
                <w:color w:val="000000"/>
              </w:rPr>
              <w:t>June 1990</w:t>
            </w:r>
          </w:p>
        </w:tc>
        <w:tc>
          <w:tcPr>
            <w:tcW w:w="2000" w:type="dxa"/>
            <w:gridSpan w:val="3"/>
            <w:tcBorders>
              <w:top w:val="single" w:sz="4" w:space="0" w:color="auto"/>
              <w:bottom w:val="single" w:sz="4" w:space="0" w:color="auto"/>
            </w:tcBorders>
            <w:shd w:val="clear" w:color="auto" w:fill="auto"/>
          </w:tcPr>
          <w:p w14:paraId="06C3877A" w14:textId="77777777" w:rsidR="00C671DA" w:rsidRPr="007F620E" w:rsidRDefault="00C671DA" w:rsidP="00C36D4F">
            <w:pPr>
              <w:keepNext/>
              <w:keepLines/>
              <w:spacing w:before="60" w:after="60"/>
              <w:jc w:val="center"/>
              <w:rPr>
                <w:color w:val="000000"/>
              </w:rPr>
            </w:pPr>
            <w:r>
              <w:rPr>
                <w:color w:val="000000"/>
              </w:rPr>
              <w:t>146391</w:t>
            </w:r>
          </w:p>
        </w:tc>
        <w:tc>
          <w:tcPr>
            <w:tcW w:w="2817" w:type="dxa"/>
            <w:gridSpan w:val="3"/>
            <w:tcBorders>
              <w:top w:val="single" w:sz="4" w:space="0" w:color="auto"/>
              <w:bottom w:val="single" w:sz="4" w:space="0" w:color="auto"/>
            </w:tcBorders>
            <w:shd w:val="clear" w:color="auto" w:fill="auto"/>
          </w:tcPr>
          <w:p w14:paraId="16310B4B"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2047E2A5" w14:textId="77777777" w:rsidTr="00C36D4F">
        <w:trPr>
          <w:trHeight w:val="172"/>
        </w:trPr>
        <w:tc>
          <w:tcPr>
            <w:tcW w:w="2558" w:type="dxa"/>
            <w:gridSpan w:val="5"/>
            <w:tcBorders>
              <w:top w:val="single" w:sz="4" w:space="0" w:color="auto"/>
              <w:bottom w:val="single" w:sz="4" w:space="0" w:color="auto"/>
            </w:tcBorders>
            <w:shd w:val="clear" w:color="auto" w:fill="auto"/>
          </w:tcPr>
          <w:p w14:paraId="5B0C507C" w14:textId="77777777" w:rsidR="00C671DA" w:rsidRPr="007F620E" w:rsidRDefault="00C671DA" w:rsidP="00C36D4F">
            <w:pPr>
              <w:keepNext/>
              <w:keepLines/>
              <w:spacing w:before="60" w:after="60"/>
              <w:jc w:val="center"/>
              <w:rPr>
                <w:color w:val="000000"/>
              </w:rPr>
            </w:pPr>
            <w:r>
              <w:rPr>
                <w:color w:val="000000"/>
              </w:rPr>
              <w:t>Matthew Freedman</w:t>
            </w:r>
          </w:p>
        </w:tc>
        <w:tc>
          <w:tcPr>
            <w:tcW w:w="1890" w:type="dxa"/>
            <w:gridSpan w:val="3"/>
            <w:tcBorders>
              <w:top w:val="single" w:sz="4" w:space="0" w:color="auto"/>
              <w:bottom w:val="single" w:sz="4" w:space="0" w:color="auto"/>
            </w:tcBorders>
            <w:shd w:val="clear" w:color="auto" w:fill="auto"/>
          </w:tcPr>
          <w:p w14:paraId="027889D4" w14:textId="77777777" w:rsidR="00C671DA" w:rsidRPr="007F620E" w:rsidRDefault="00C671DA" w:rsidP="00C36D4F">
            <w:pPr>
              <w:keepNext/>
              <w:keepLines/>
              <w:spacing w:before="60" w:after="60"/>
              <w:jc w:val="center"/>
              <w:rPr>
                <w:color w:val="000000"/>
              </w:rPr>
            </w:pPr>
            <w:r>
              <w:rPr>
                <w:color w:val="000000"/>
              </w:rPr>
              <w:t>March 2001</w:t>
            </w:r>
          </w:p>
        </w:tc>
        <w:tc>
          <w:tcPr>
            <w:tcW w:w="2000" w:type="dxa"/>
            <w:gridSpan w:val="3"/>
            <w:tcBorders>
              <w:top w:val="single" w:sz="4" w:space="0" w:color="auto"/>
              <w:bottom w:val="single" w:sz="4" w:space="0" w:color="auto"/>
            </w:tcBorders>
            <w:shd w:val="clear" w:color="auto" w:fill="auto"/>
          </w:tcPr>
          <w:p w14:paraId="654C4941" w14:textId="77777777" w:rsidR="00C671DA" w:rsidRPr="007F620E" w:rsidRDefault="00C671DA" w:rsidP="00C36D4F">
            <w:pPr>
              <w:keepNext/>
              <w:keepLines/>
              <w:spacing w:before="60" w:after="60"/>
              <w:jc w:val="center"/>
              <w:rPr>
                <w:color w:val="000000"/>
              </w:rPr>
            </w:pPr>
            <w:r>
              <w:rPr>
                <w:color w:val="000000"/>
              </w:rPr>
              <w:t>214812</w:t>
            </w:r>
          </w:p>
        </w:tc>
        <w:tc>
          <w:tcPr>
            <w:tcW w:w="2817" w:type="dxa"/>
            <w:gridSpan w:val="3"/>
            <w:tcBorders>
              <w:top w:val="single" w:sz="4" w:space="0" w:color="auto"/>
              <w:bottom w:val="single" w:sz="4" w:space="0" w:color="auto"/>
            </w:tcBorders>
            <w:shd w:val="clear" w:color="auto" w:fill="auto"/>
          </w:tcPr>
          <w:p w14:paraId="3AA32825"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7A23A021" w14:textId="77777777" w:rsidTr="00C36D4F">
        <w:trPr>
          <w:trHeight w:val="172"/>
        </w:trPr>
        <w:tc>
          <w:tcPr>
            <w:tcW w:w="2558" w:type="dxa"/>
            <w:gridSpan w:val="5"/>
            <w:tcBorders>
              <w:top w:val="single" w:sz="4" w:space="0" w:color="auto"/>
              <w:bottom w:val="single" w:sz="4" w:space="0" w:color="auto"/>
            </w:tcBorders>
            <w:shd w:val="clear" w:color="auto" w:fill="auto"/>
          </w:tcPr>
          <w:p w14:paraId="00CE8732" w14:textId="77777777" w:rsidR="00C671DA" w:rsidRPr="007F620E" w:rsidRDefault="00C671DA" w:rsidP="00C36D4F">
            <w:pPr>
              <w:keepNext/>
              <w:keepLines/>
              <w:spacing w:before="60" w:after="60"/>
              <w:jc w:val="center"/>
              <w:rPr>
                <w:color w:val="000000"/>
              </w:rPr>
            </w:pPr>
            <w:r>
              <w:rPr>
                <w:color w:val="000000"/>
              </w:rPr>
              <w:t xml:space="preserve">Marcel </w:t>
            </w:r>
            <w:proofErr w:type="spellStart"/>
            <w:r>
              <w:rPr>
                <w:color w:val="000000"/>
              </w:rPr>
              <w:t>Hawiger</w:t>
            </w:r>
            <w:proofErr w:type="spellEnd"/>
          </w:p>
        </w:tc>
        <w:tc>
          <w:tcPr>
            <w:tcW w:w="1890" w:type="dxa"/>
            <w:gridSpan w:val="3"/>
            <w:tcBorders>
              <w:top w:val="single" w:sz="4" w:space="0" w:color="auto"/>
              <w:bottom w:val="single" w:sz="4" w:space="0" w:color="auto"/>
            </w:tcBorders>
            <w:shd w:val="clear" w:color="auto" w:fill="auto"/>
          </w:tcPr>
          <w:p w14:paraId="0E2545EF" w14:textId="77777777" w:rsidR="00C671DA" w:rsidRPr="007F620E" w:rsidRDefault="00C671DA" w:rsidP="00C36D4F">
            <w:pPr>
              <w:keepNext/>
              <w:keepLines/>
              <w:spacing w:before="60" w:after="60"/>
              <w:jc w:val="center"/>
              <w:rPr>
                <w:color w:val="000000"/>
              </w:rPr>
            </w:pPr>
            <w:r>
              <w:rPr>
                <w:color w:val="000000"/>
              </w:rPr>
              <w:t>January 1998</w:t>
            </w:r>
          </w:p>
        </w:tc>
        <w:tc>
          <w:tcPr>
            <w:tcW w:w="2000" w:type="dxa"/>
            <w:gridSpan w:val="3"/>
            <w:tcBorders>
              <w:top w:val="single" w:sz="4" w:space="0" w:color="auto"/>
              <w:bottom w:val="single" w:sz="4" w:space="0" w:color="auto"/>
            </w:tcBorders>
            <w:shd w:val="clear" w:color="auto" w:fill="auto"/>
          </w:tcPr>
          <w:p w14:paraId="46F8A137" w14:textId="77777777" w:rsidR="00C671DA" w:rsidRPr="007F620E" w:rsidRDefault="00C671DA" w:rsidP="00C36D4F">
            <w:pPr>
              <w:keepNext/>
              <w:keepLines/>
              <w:spacing w:before="60" w:after="60"/>
              <w:jc w:val="center"/>
              <w:rPr>
                <w:color w:val="000000"/>
              </w:rPr>
            </w:pPr>
            <w:r>
              <w:rPr>
                <w:color w:val="000000"/>
              </w:rPr>
              <w:t>194244</w:t>
            </w:r>
          </w:p>
        </w:tc>
        <w:tc>
          <w:tcPr>
            <w:tcW w:w="2817" w:type="dxa"/>
            <w:gridSpan w:val="3"/>
            <w:tcBorders>
              <w:top w:val="single" w:sz="4" w:space="0" w:color="auto"/>
              <w:bottom w:val="single" w:sz="4" w:space="0" w:color="auto"/>
            </w:tcBorders>
            <w:shd w:val="clear" w:color="auto" w:fill="auto"/>
          </w:tcPr>
          <w:p w14:paraId="4B4D9395"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71143FDC" w14:textId="77777777" w:rsidTr="00C36D4F">
        <w:trPr>
          <w:trHeight w:val="172"/>
        </w:trPr>
        <w:tc>
          <w:tcPr>
            <w:tcW w:w="2558" w:type="dxa"/>
            <w:gridSpan w:val="5"/>
            <w:tcBorders>
              <w:top w:val="single" w:sz="4" w:space="0" w:color="auto"/>
              <w:bottom w:val="single" w:sz="4" w:space="0" w:color="auto"/>
            </w:tcBorders>
            <w:shd w:val="clear" w:color="auto" w:fill="auto"/>
          </w:tcPr>
          <w:p w14:paraId="43C30C7F" w14:textId="77777777" w:rsidR="00C671DA" w:rsidRPr="007F620E" w:rsidRDefault="00C671DA" w:rsidP="00C36D4F">
            <w:pPr>
              <w:keepNext/>
              <w:keepLines/>
              <w:spacing w:before="60" w:after="60"/>
              <w:jc w:val="center"/>
              <w:rPr>
                <w:color w:val="000000"/>
              </w:rPr>
            </w:pPr>
            <w:r>
              <w:rPr>
                <w:color w:val="000000"/>
              </w:rPr>
              <w:t>Thomas Long</w:t>
            </w:r>
          </w:p>
        </w:tc>
        <w:tc>
          <w:tcPr>
            <w:tcW w:w="1890" w:type="dxa"/>
            <w:gridSpan w:val="3"/>
            <w:tcBorders>
              <w:top w:val="single" w:sz="4" w:space="0" w:color="auto"/>
              <w:bottom w:val="single" w:sz="4" w:space="0" w:color="auto"/>
            </w:tcBorders>
            <w:shd w:val="clear" w:color="auto" w:fill="auto"/>
          </w:tcPr>
          <w:p w14:paraId="2CC33D61" w14:textId="77777777" w:rsidR="00C671DA" w:rsidRPr="007F620E" w:rsidRDefault="00C671DA" w:rsidP="00C36D4F">
            <w:pPr>
              <w:keepNext/>
              <w:keepLines/>
              <w:spacing w:before="60" w:after="60"/>
              <w:jc w:val="center"/>
              <w:rPr>
                <w:color w:val="000000"/>
              </w:rPr>
            </w:pPr>
            <w:r>
              <w:rPr>
                <w:color w:val="000000"/>
              </w:rPr>
              <w:t>December 1986</w:t>
            </w:r>
          </w:p>
        </w:tc>
        <w:tc>
          <w:tcPr>
            <w:tcW w:w="2000" w:type="dxa"/>
            <w:gridSpan w:val="3"/>
            <w:tcBorders>
              <w:top w:val="single" w:sz="4" w:space="0" w:color="auto"/>
              <w:bottom w:val="single" w:sz="4" w:space="0" w:color="auto"/>
            </w:tcBorders>
            <w:shd w:val="clear" w:color="auto" w:fill="auto"/>
          </w:tcPr>
          <w:p w14:paraId="59167287" w14:textId="77777777" w:rsidR="00C671DA" w:rsidRPr="007F620E" w:rsidRDefault="00C671DA" w:rsidP="00C36D4F">
            <w:pPr>
              <w:keepNext/>
              <w:keepLines/>
              <w:spacing w:before="60" w:after="60"/>
              <w:jc w:val="center"/>
              <w:rPr>
                <w:color w:val="000000"/>
              </w:rPr>
            </w:pPr>
            <w:r>
              <w:rPr>
                <w:color w:val="000000"/>
              </w:rPr>
              <w:t>124776</w:t>
            </w:r>
          </w:p>
        </w:tc>
        <w:tc>
          <w:tcPr>
            <w:tcW w:w="2817" w:type="dxa"/>
            <w:gridSpan w:val="3"/>
            <w:tcBorders>
              <w:top w:val="single" w:sz="4" w:space="0" w:color="auto"/>
              <w:bottom w:val="single" w:sz="4" w:space="0" w:color="auto"/>
            </w:tcBorders>
            <w:shd w:val="clear" w:color="auto" w:fill="auto"/>
          </w:tcPr>
          <w:p w14:paraId="4D347909"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636ED078" w14:textId="77777777" w:rsidTr="00C36D4F">
        <w:trPr>
          <w:trHeight w:val="172"/>
        </w:trPr>
        <w:tc>
          <w:tcPr>
            <w:tcW w:w="2558" w:type="dxa"/>
            <w:gridSpan w:val="5"/>
            <w:tcBorders>
              <w:top w:val="single" w:sz="4" w:space="0" w:color="auto"/>
              <w:bottom w:val="single" w:sz="4" w:space="0" w:color="auto"/>
            </w:tcBorders>
            <w:shd w:val="clear" w:color="auto" w:fill="auto"/>
          </w:tcPr>
          <w:p w14:paraId="30E2C2D9" w14:textId="77777777" w:rsidR="00C671DA" w:rsidRPr="007F620E" w:rsidRDefault="00C671DA" w:rsidP="00C36D4F">
            <w:pPr>
              <w:keepNext/>
              <w:keepLines/>
              <w:spacing w:before="60" w:after="60"/>
              <w:jc w:val="center"/>
              <w:rPr>
                <w:color w:val="000000"/>
              </w:rPr>
            </w:pPr>
            <w:r>
              <w:rPr>
                <w:color w:val="000000"/>
              </w:rPr>
              <w:t xml:space="preserve">Nina </w:t>
            </w:r>
            <w:proofErr w:type="spellStart"/>
            <w:r>
              <w:rPr>
                <w:color w:val="000000"/>
              </w:rPr>
              <w:t>Suetake</w:t>
            </w:r>
            <w:proofErr w:type="spellEnd"/>
          </w:p>
        </w:tc>
        <w:tc>
          <w:tcPr>
            <w:tcW w:w="1890" w:type="dxa"/>
            <w:gridSpan w:val="3"/>
            <w:tcBorders>
              <w:top w:val="single" w:sz="4" w:space="0" w:color="auto"/>
              <w:bottom w:val="single" w:sz="4" w:space="0" w:color="auto"/>
            </w:tcBorders>
            <w:shd w:val="clear" w:color="auto" w:fill="auto"/>
          </w:tcPr>
          <w:p w14:paraId="0659D647" w14:textId="77777777" w:rsidR="00C671DA" w:rsidRPr="007F620E" w:rsidRDefault="00C671DA" w:rsidP="00C36D4F">
            <w:pPr>
              <w:keepNext/>
              <w:keepLines/>
              <w:spacing w:before="60" w:after="60"/>
              <w:jc w:val="center"/>
              <w:rPr>
                <w:color w:val="000000"/>
              </w:rPr>
            </w:pPr>
            <w:r>
              <w:rPr>
                <w:color w:val="000000"/>
              </w:rPr>
              <w:t>December 2004</w:t>
            </w:r>
          </w:p>
        </w:tc>
        <w:tc>
          <w:tcPr>
            <w:tcW w:w="2000" w:type="dxa"/>
            <w:gridSpan w:val="3"/>
            <w:tcBorders>
              <w:top w:val="single" w:sz="4" w:space="0" w:color="auto"/>
              <w:bottom w:val="single" w:sz="4" w:space="0" w:color="auto"/>
            </w:tcBorders>
            <w:shd w:val="clear" w:color="auto" w:fill="auto"/>
          </w:tcPr>
          <w:p w14:paraId="3F7E144C" w14:textId="77777777" w:rsidR="00C671DA" w:rsidRPr="007F620E" w:rsidRDefault="00C671DA" w:rsidP="00C36D4F">
            <w:pPr>
              <w:keepNext/>
              <w:keepLines/>
              <w:spacing w:before="60" w:after="60"/>
              <w:jc w:val="center"/>
              <w:rPr>
                <w:color w:val="000000"/>
              </w:rPr>
            </w:pPr>
            <w:r>
              <w:rPr>
                <w:color w:val="000000"/>
              </w:rPr>
              <w:t>234769</w:t>
            </w:r>
          </w:p>
        </w:tc>
        <w:tc>
          <w:tcPr>
            <w:tcW w:w="2817" w:type="dxa"/>
            <w:gridSpan w:val="3"/>
            <w:tcBorders>
              <w:top w:val="single" w:sz="4" w:space="0" w:color="auto"/>
              <w:bottom w:val="single" w:sz="4" w:space="0" w:color="auto"/>
            </w:tcBorders>
            <w:shd w:val="clear" w:color="auto" w:fill="auto"/>
          </w:tcPr>
          <w:p w14:paraId="62DD6B6B" w14:textId="77777777" w:rsidR="00C671DA" w:rsidRPr="007F620E" w:rsidRDefault="00C671DA" w:rsidP="00C36D4F">
            <w:pPr>
              <w:keepNext/>
              <w:keepLines/>
              <w:spacing w:before="60" w:after="60"/>
              <w:jc w:val="center"/>
              <w:rPr>
                <w:color w:val="000000"/>
              </w:rPr>
            </w:pPr>
            <w:r>
              <w:rPr>
                <w:color w:val="000000"/>
              </w:rPr>
              <w:t>No</w:t>
            </w:r>
          </w:p>
        </w:tc>
      </w:tr>
      <w:tr w:rsidR="00C671DA" w:rsidRPr="007F620E" w14:paraId="578C6F11" w14:textId="77777777" w:rsidTr="00C36D4F">
        <w:trPr>
          <w:trHeight w:val="172"/>
        </w:trPr>
        <w:tc>
          <w:tcPr>
            <w:tcW w:w="2558" w:type="dxa"/>
            <w:gridSpan w:val="5"/>
            <w:tcBorders>
              <w:top w:val="single" w:sz="4" w:space="0" w:color="auto"/>
              <w:bottom w:val="single" w:sz="4" w:space="0" w:color="auto"/>
            </w:tcBorders>
            <w:shd w:val="clear" w:color="auto" w:fill="auto"/>
          </w:tcPr>
          <w:p w14:paraId="2D407B50" w14:textId="77777777" w:rsidR="00C671DA" w:rsidRPr="007F620E" w:rsidRDefault="00C671DA" w:rsidP="00C36D4F">
            <w:pPr>
              <w:keepNext/>
              <w:keepLines/>
              <w:spacing w:before="60" w:after="60"/>
              <w:jc w:val="center"/>
              <w:rPr>
                <w:color w:val="000000"/>
              </w:rPr>
            </w:pPr>
            <w:r>
              <w:rPr>
                <w:color w:val="000000"/>
              </w:rPr>
              <w:t>Elise Torres</w:t>
            </w:r>
          </w:p>
        </w:tc>
        <w:tc>
          <w:tcPr>
            <w:tcW w:w="1890" w:type="dxa"/>
            <w:gridSpan w:val="3"/>
            <w:tcBorders>
              <w:top w:val="single" w:sz="4" w:space="0" w:color="auto"/>
              <w:bottom w:val="single" w:sz="4" w:space="0" w:color="auto"/>
            </w:tcBorders>
            <w:shd w:val="clear" w:color="auto" w:fill="auto"/>
          </w:tcPr>
          <w:p w14:paraId="1DC77F3C" w14:textId="77777777" w:rsidR="00C671DA" w:rsidRPr="007F620E" w:rsidRDefault="00C671DA" w:rsidP="00C36D4F">
            <w:pPr>
              <w:keepNext/>
              <w:keepLines/>
              <w:spacing w:before="60" w:after="60"/>
              <w:jc w:val="center"/>
              <w:rPr>
                <w:color w:val="000000"/>
              </w:rPr>
            </w:pPr>
            <w:r>
              <w:rPr>
                <w:color w:val="000000"/>
              </w:rPr>
              <w:t>December 2011</w:t>
            </w:r>
          </w:p>
        </w:tc>
        <w:tc>
          <w:tcPr>
            <w:tcW w:w="2000" w:type="dxa"/>
            <w:gridSpan w:val="3"/>
            <w:tcBorders>
              <w:top w:val="single" w:sz="4" w:space="0" w:color="auto"/>
              <w:bottom w:val="single" w:sz="4" w:space="0" w:color="auto"/>
            </w:tcBorders>
            <w:shd w:val="clear" w:color="auto" w:fill="auto"/>
          </w:tcPr>
          <w:p w14:paraId="0968EC1A" w14:textId="77777777" w:rsidR="00C671DA" w:rsidRPr="007F620E" w:rsidRDefault="00C671DA" w:rsidP="00C36D4F">
            <w:pPr>
              <w:keepNext/>
              <w:keepLines/>
              <w:spacing w:before="60" w:after="60"/>
              <w:jc w:val="center"/>
              <w:rPr>
                <w:color w:val="000000"/>
              </w:rPr>
            </w:pPr>
            <w:r>
              <w:rPr>
                <w:color w:val="000000"/>
              </w:rPr>
              <w:t>280443</w:t>
            </w:r>
          </w:p>
        </w:tc>
        <w:tc>
          <w:tcPr>
            <w:tcW w:w="2817" w:type="dxa"/>
            <w:gridSpan w:val="3"/>
            <w:tcBorders>
              <w:top w:val="single" w:sz="4" w:space="0" w:color="auto"/>
              <w:bottom w:val="single" w:sz="4" w:space="0" w:color="auto"/>
            </w:tcBorders>
            <w:shd w:val="clear" w:color="auto" w:fill="auto"/>
          </w:tcPr>
          <w:p w14:paraId="193669FB" w14:textId="77777777" w:rsidR="00C671DA" w:rsidRPr="007F620E" w:rsidRDefault="00C671DA" w:rsidP="00C36D4F">
            <w:pPr>
              <w:keepNext/>
              <w:keepLines/>
              <w:spacing w:before="60" w:after="60"/>
              <w:jc w:val="center"/>
              <w:rPr>
                <w:color w:val="000000"/>
              </w:rPr>
            </w:pPr>
            <w:r>
              <w:rPr>
                <w:color w:val="000000"/>
              </w:rPr>
              <w:t>No</w:t>
            </w:r>
          </w:p>
        </w:tc>
      </w:tr>
    </w:tbl>
    <w:p w14:paraId="418DB173" w14:textId="77777777" w:rsidR="00C671DA" w:rsidRPr="007F620E" w:rsidRDefault="00C671DA" w:rsidP="00C671DA">
      <w:pPr>
        <w:numPr>
          <w:ilvl w:val="0"/>
          <w:numId w:val="2"/>
        </w:numPr>
        <w:tabs>
          <w:tab w:val="clear" w:pos="900"/>
          <w:tab w:val="num" w:pos="360"/>
        </w:tabs>
        <w:spacing w:before="240" w:after="240"/>
        <w:ind w:left="360"/>
        <w:rPr>
          <w:b/>
          <w:color w:val="000000"/>
        </w:rPr>
      </w:pPr>
      <w:r w:rsidRPr="007F620E">
        <w:rPr>
          <w:b/>
        </w:rPr>
        <w:t>Attachments Documenting Specific Claim and Comments on Part III</w:t>
      </w:r>
      <w:r w:rsidRPr="007F620E">
        <w:rPr>
          <w:b/>
          <w:color w:val="000000"/>
        </w:rPr>
        <w:t xml:space="preserve"> (attachments not attached to final Decision):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8015"/>
      </w:tblGrid>
      <w:tr w:rsidR="00C671DA" w:rsidRPr="007F620E" w14:paraId="37AD5433" w14:textId="77777777" w:rsidTr="00C36D4F">
        <w:tc>
          <w:tcPr>
            <w:tcW w:w="1430" w:type="dxa"/>
            <w:shd w:val="clear" w:color="auto" w:fill="auto"/>
          </w:tcPr>
          <w:p w14:paraId="73DD4D2F" w14:textId="77777777" w:rsidR="00C671DA" w:rsidRPr="007F620E" w:rsidRDefault="00C671DA" w:rsidP="00C36D4F">
            <w:pPr>
              <w:tabs>
                <w:tab w:val="left" w:pos="1260"/>
              </w:tabs>
              <w:spacing w:before="120"/>
              <w:jc w:val="center"/>
              <w:rPr>
                <w:b/>
                <w:color w:val="000000"/>
              </w:rPr>
            </w:pPr>
            <w:r w:rsidRPr="007F620E">
              <w:rPr>
                <w:b/>
                <w:color w:val="000000"/>
              </w:rPr>
              <w:t xml:space="preserve">Attachment or </w:t>
            </w:r>
            <w:proofErr w:type="gramStart"/>
            <w:r w:rsidRPr="007F620E">
              <w:rPr>
                <w:b/>
                <w:color w:val="000000"/>
              </w:rPr>
              <w:t>Comment  #</w:t>
            </w:r>
            <w:proofErr w:type="gramEnd"/>
          </w:p>
        </w:tc>
        <w:tc>
          <w:tcPr>
            <w:tcW w:w="8015" w:type="dxa"/>
            <w:tcBorders>
              <w:bottom w:val="single" w:sz="4" w:space="0" w:color="auto"/>
            </w:tcBorders>
            <w:shd w:val="clear" w:color="auto" w:fill="auto"/>
          </w:tcPr>
          <w:p w14:paraId="0BE6FE10" w14:textId="77777777" w:rsidR="00C671DA" w:rsidRPr="007F620E" w:rsidRDefault="00C671DA" w:rsidP="00C36D4F">
            <w:pPr>
              <w:tabs>
                <w:tab w:val="left" w:pos="1260"/>
              </w:tabs>
              <w:spacing w:before="120"/>
              <w:jc w:val="center"/>
              <w:rPr>
                <w:b/>
                <w:color w:val="000000"/>
              </w:rPr>
            </w:pPr>
            <w:r w:rsidRPr="007F620E">
              <w:rPr>
                <w:b/>
                <w:color w:val="000000"/>
              </w:rPr>
              <w:t>Description/Comment</w:t>
            </w:r>
          </w:p>
        </w:tc>
      </w:tr>
      <w:tr w:rsidR="00C671DA" w:rsidRPr="007F620E" w14:paraId="78E18A08" w14:textId="77777777" w:rsidTr="00C36D4F">
        <w:tc>
          <w:tcPr>
            <w:tcW w:w="1430" w:type="dxa"/>
            <w:tcBorders>
              <w:bottom w:val="single" w:sz="4" w:space="0" w:color="auto"/>
            </w:tcBorders>
            <w:shd w:val="clear" w:color="auto" w:fill="auto"/>
          </w:tcPr>
          <w:p w14:paraId="0F83FEB3" w14:textId="77777777" w:rsidR="00C671DA" w:rsidRPr="00CE0C10" w:rsidRDefault="00C671DA" w:rsidP="00C36D4F">
            <w:pPr>
              <w:tabs>
                <w:tab w:val="left" w:pos="1260"/>
              </w:tabs>
              <w:spacing w:before="120"/>
              <w:rPr>
                <w:color w:val="000000"/>
                <w:sz w:val="22"/>
                <w:szCs w:val="22"/>
              </w:rPr>
            </w:pPr>
            <w:r w:rsidRPr="00CE0C10">
              <w:rPr>
                <w:color w:val="000000"/>
                <w:sz w:val="22"/>
                <w:szCs w:val="22"/>
              </w:rPr>
              <w:t>Attachment 1</w:t>
            </w:r>
          </w:p>
        </w:tc>
        <w:tc>
          <w:tcPr>
            <w:tcW w:w="8015" w:type="dxa"/>
            <w:tcBorders>
              <w:bottom w:val="single" w:sz="4" w:space="0" w:color="auto"/>
            </w:tcBorders>
            <w:shd w:val="clear" w:color="auto" w:fill="auto"/>
          </w:tcPr>
          <w:p w14:paraId="55CEC828" w14:textId="77777777" w:rsidR="00C671DA" w:rsidRPr="00CE0C10" w:rsidRDefault="00C671DA" w:rsidP="00C36D4F">
            <w:pPr>
              <w:tabs>
                <w:tab w:val="left" w:pos="1260"/>
              </w:tabs>
              <w:spacing w:before="120"/>
              <w:rPr>
                <w:b/>
                <w:color w:val="000000"/>
                <w:sz w:val="22"/>
                <w:szCs w:val="22"/>
              </w:rPr>
            </w:pPr>
            <w:r w:rsidRPr="00CE0C10">
              <w:rPr>
                <w:b/>
                <w:color w:val="000000"/>
                <w:sz w:val="22"/>
                <w:szCs w:val="22"/>
              </w:rPr>
              <w:t>Certificate of Service</w:t>
            </w:r>
          </w:p>
        </w:tc>
      </w:tr>
      <w:tr w:rsidR="00C671DA" w:rsidRPr="007F620E" w14:paraId="4AA33F8F" w14:textId="77777777" w:rsidTr="00C36D4F">
        <w:tc>
          <w:tcPr>
            <w:tcW w:w="1430" w:type="dxa"/>
            <w:shd w:val="clear" w:color="auto" w:fill="auto"/>
          </w:tcPr>
          <w:p w14:paraId="7F795D7F" w14:textId="77777777" w:rsidR="00C671DA" w:rsidRPr="007F620E" w:rsidRDefault="00C671DA" w:rsidP="00C36D4F">
            <w:pPr>
              <w:tabs>
                <w:tab w:val="left" w:pos="1260"/>
              </w:tabs>
              <w:spacing w:before="120"/>
              <w:rPr>
                <w:color w:val="000000"/>
              </w:rPr>
            </w:pPr>
            <w:r w:rsidRPr="00C7188F">
              <w:rPr>
                <w:color w:val="000000"/>
                <w:sz w:val="22"/>
                <w:szCs w:val="22"/>
              </w:rPr>
              <w:t>Attachment 2</w:t>
            </w:r>
          </w:p>
        </w:tc>
        <w:tc>
          <w:tcPr>
            <w:tcW w:w="8015" w:type="dxa"/>
            <w:shd w:val="clear" w:color="auto" w:fill="auto"/>
          </w:tcPr>
          <w:p w14:paraId="6E04D66F" w14:textId="77777777" w:rsidR="00C671DA" w:rsidRPr="007F620E" w:rsidRDefault="00C671DA" w:rsidP="00C36D4F">
            <w:pPr>
              <w:tabs>
                <w:tab w:val="left" w:pos="1260"/>
              </w:tabs>
              <w:spacing w:before="120"/>
              <w:rPr>
                <w:b/>
                <w:color w:val="000000"/>
              </w:rPr>
            </w:pPr>
            <w:r w:rsidRPr="00C7188F">
              <w:rPr>
                <w:b/>
                <w:color w:val="000000"/>
                <w:sz w:val="22"/>
                <w:szCs w:val="22"/>
              </w:rPr>
              <w:t>Timesheets for TURN’s Attorney</w:t>
            </w:r>
            <w:r>
              <w:rPr>
                <w:b/>
                <w:color w:val="000000"/>
                <w:sz w:val="22"/>
                <w:szCs w:val="22"/>
              </w:rPr>
              <w:t>s</w:t>
            </w:r>
            <w:r w:rsidRPr="00C7188F">
              <w:rPr>
                <w:b/>
                <w:color w:val="000000"/>
                <w:sz w:val="22"/>
                <w:szCs w:val="22"/>
              </w:rPr>
              <w:t xml:space="preserve"> and Experts </w:t>
            </w:r>
          </w:p>
        </w:tc>
      </w:tr>
      <w:tr w:rsidR="00C671DA" w:rsidRPr="007F620E" w14:paraId="15292710" w14:textId="77777777" w:rsidTr="00C36D4F">
        <w:tc>
          <w:tcPr>
            <w:tcW w:w="1430" w:type="dxa"/>
            <w:shd w:val="clear" w:color="auto" w:fill="auto"/>
          </w:tcPr>
          <w:p w14:paraId="73CA25B1" w14:textId="77777777" w:rsidR="00C671DA" w:rsidRPr="007F620E" w:rsidRDefault="00C671DA" w:rsidP="00C36D4F">
            <w:pPr>
              <w:tabs>
                <w:tab w:val="left" w:pos="1260"/>
              </w:tabs>
              <w:spacing w:before="120"/>
              <w:rPr>
                <w:color w:val="000000"/>
              </w:rPr>
            </w:pPr>
            <w:r w:rsidRPr="00C7188F">
              <w:rPr>
                <w:color w:val="000000"/>
                <w:sz w:val="22"/>
                <w:szCs w:val="22"/>
              </w:rPr>
              <w:t>Attachment 3</w:t>
            </w:r>
          </w:p>
        </w:tc>
        <w:tc>
          <w:tcPr>
            <w:tcW w:w="8015" w:type="dxa"/>
            <w:shd w:val="clear" w:color="auto" w:fill="auto"/>
          </w:tcPr>
          <w:p w14:paraId="2D14E1DA" w14:textId="77777777" w:rsidR="00C671DA" w:rsidRPr="007F620E" w:rsidRDefault="00C671DA" w:rsidP="00C36D4F">
            <w:pPr>
              <w:tabs>
                <w:tab w:val="left" w:pos="1260"/>
              </w:tabs>
              <w:spacing w:before="120"/>
              <w:rPr>
                <w:b/>
                <w:color w:val="000000"/>
              </w:rPr>
            </w:pPr>
            <w:r w:rsidRPr="00C7188F">
              <w:rPr>
                <w:b/>
                <w:color w:val="000000"/>
                <w:sz w:val="22"/>
                <w:szCs w:val="22"/>
              </w:rPr>
              <w:t xml:space="preserve">TURN Direct Expenses Associated with </w:t>
            </w:r>
            <w:r>
              <w:rPr>
                <w:b/>
                <w:color w:val="000000"/>
                <w:sz w:val="22"/>
                <w:szCs w:val="22"/>
              </w:rPr>
              <w:t>D.17-05-013</w:t>
            </w:r>
          </w:p>
        </w:tc>
      </w:tr>
      <w:tr w:rsidR="00C671DA" w:rsidRPr="007F620E" w14:paraId="31ACC4C8" w14:textId="77777777" w:rsidTr="00C36D4F">
        <w:tc>
          <w:tcPr>
            <w:tcW w:w="1430" w:type="dxa"/>
            <w:shd w:val="clear" w:color="auto" w:fill="auto"/>
          </w:tcPr>
          <w:p w14:paraId="66CC537F" w14:textId="77777777" w:rsidR="00C671DA" w:rsidRPr="007F620E" w:rsidRDefault="00C671DA" w:rsidP="00C36D4F">
            <w:pPr>
              <w:tabs>
                <w:tab w:val="left" w:pos="1260"/>
              </w:tabs>
              <w:spacing w:before="120"/>
              <w:rPr>
                <w:color w:val="000000"/>
              </w:rPr>
            </w:pPr>
            <w:r w:rsidRPr="00C7188F">
              <w:rPr>
                <w:color w:val="000000"/>
                <w:sz w:val="22"/>
                <w:szCs w:val="22"/>
              </w:rPr>
              <w:t>Attachment 4</w:t>
            </w:r>
          </w:p>
        </w:tc>
        <w:tc>
          <w:tcPr>
            <w:tcW w:w="8015" w:type="dxa"/>
            <w:shd w:val="clear" w:color="auto" w:fill="auto"/>
          </w:tcPr>
          <w:p w14:paraId="47AC224D" w14:textId="77777777" w:rsidR="00C671DA" w:rsidRPr="007F620E" w:rsidRDefault="00C671DA" w:rsidP="00C36D4F">
            <w:pPr>
              <w:tabs>
                <w:tab w:val="left" w:pos="1260"/>
              </w:tabs>
              <w:spacing w:before="120"/>
              <w:rPr>
                <w:b/>
                <w:color w:val="000000"/>
              </w:rPr>
            </w:pPr>
            <w:r w:rsidRPr="00C7188F">
              <w:rPr>
                <w:b/>
                <w:color w:val="000000"/>
                <w:sz w:val="22"/>
                <w:szCs w:val="22"/>
              </w:rPr>
              <w:t>TURN Hours Allocated by Issue</w:t>
            </w:r>
          </w:p>
        </w:tc>
      </w:tr>
      <w:tr w:rsidR="00C671DA" w:rsidRPr="007F620E" w14:paraId="64ED8168" w14:textId="77777777" w:rsidTr="00C36D4F">
        <w:tc>
          <w:tcPr>
            <w:tcW w:w="1430" w:type="dxa"/>
            <w:shd w:val="clear" w:color="auto" w:fill="auto"/>
          </w:tcPr>
          <w:p w14:paraId="4C05FA35" w14:textId="77777777" w:rsidR="00C671DA" w:rsidRDefault="00C671DA" w:rsidP="00C36D4F">
            <w:pPr>
              <w:tabs>
                <w:tab w:val="left" w:pos="1260"/>
              </w:tabs>
              <w:spacing w:before="120"/>
              <w:rPr>
                <w:color w:val="000000"/>
              </w:rPr>
            </w:pPr>
            <w:r>
              <w:rPr>
                <w:color w:val="000000"/>
              </w:rPr>
              <w:t>Comment 1</w:t>
            </w:r>
          </w:p>
        </w:tc>
        <w:tc>
          <w:tcPr>
            <w:tcW w:w="8015" w:type="dxa"/>
            <w:shd w:val="clear" w:color="auto" w:fill="auto"/>
          </w:tcPr>
          <w:p w14:paraId="1C5C9D05" w14:textId="77777777" w:rsidR="00C671DA" w:rsidRPr="00EE50DD" w:rsidRDefault="00C671DA" w:rsidP="00C36D4F">
            <w:pPr>
              <w:tabs>
                <w:tab w:val="left" w:pos="1260"/>
              </w:tabs>
              <w:spacing w:before="120"/>
              <w:rPr>
                <w:b/>
                <w:color w:val="000000"/>
              </w:rPr>
            </w:pPr>
            <w:r>
              <w:rPr>
                <w:b/>
                <w:color w:val="000000"/>
              </w:rPr>
              <w:t>2017 Hourly Rates for TURN Attorneys</w:t>
            </w:r>
          </w:p>
          <w:p w14:paraId="28009386" w14:textId="77777777" w:rsidR="00C671DA" w:rsidRDefault="00C671DA" w:rsidP="00C36D4F">
            <w:pPr>
              <w:tabs>
                <w:tab w:val="left" w:pos="1260"/>
              </w:tabs>
              <w:rPr>
                <w:color w:val="000000"/>
                <w:u w:val="single"/>
              </w:rPr>
            </w:pPr>
          </w:p>
          <w:p w14:paraId="392832D4" w14:textId="77777777" w:rsidR="00C671DA" w:rsidRDefault="00C671DA" w:rsidP="00C36D4F">
            <w:pPr>
              <w:tabs>
                <w:tab w:val="left" w:pos="1260"/>
              </w:tabs>
              <w:rPr>
                <w:color w:val="000000"/>
                <w:u w:val="single"/>
              </w:rPr>
            </w:pPr>
            <w:r>
              <w:rPr>
                <w:color w:val="000000"/>
                <w:u w:val="single"/>
              </w:rPr>
              <w:t>Hayley Goodson</w:t>
            </w:r>
          </w:p>
          <w:p w14:paraId="5632BCDD" w14:textId="77777777" w:rsidR="00C671DA" w:rsidRPr="00A4568C" w:rsidRDefault="00C671DA" w:rsidP="00C36D4F">
            <w:pPr>
              <w:tabs>
                <w:tab w:val="left" w:pos="1260"/>
              </w:tabs>
              <w:rPr>
                <w:color w:val="000000"/>
                <w:u w:val="single"/>
              </w:rPr>
            </w:pPr>
            <w:r w:rsidRPr="00A734D5">
              <w:t xml:space="preserve">For </w:t>
            </w:r>
            <w:r>
              <w:t>Ms. Goodson’s work in 2017</w:t>
            </w:r>
            <w:r w:rsidRPr="00A734D5">
              <w:t xml:space="preserve">, TURN seeks an hourly </w:t>
            </w:r>
            <w:r w:rsidRPr="00A4568C">
              <w:t>rate of $405, an increase of 7.14% from the previously awarded rate of $380 for 2016.  This increase is the general 2.14% COLA provided for in Res. ALJ-345, plus the first of two 5% step increases for Ms. Goodson since her move into 13+ year experience tier, as authorized in Res. ALJ-345. </w:t>
            </w:r>
            <w:r>
              <w:rPr>
                <w:i/>
              </w:rPr>
              <w:t>See</w:t>
            </w:r>
            <w:r w:rsidRPr="00A4568C">
              <w:rPr>
                <w:i/>
              </w:rPr>
              <w:t xml:space="preserve"> also </w:t>
            </w:r>
            <w:r w:rsidRPr="00A4568C">
              <w:t>D.17-03-022, p. 30 (recognizing Ms. Goodson’</w:t>
            </w:r>
            <w:r>
              <w:t>s</w:t>
            </w:r>
            <w:r w:rsidRPr="00A4568C">
              <w:t xml:space="preserve"> move into the 13+ year experience tier).</w:t>
            </w:r>
          </w:p>
          <w:p w14:paraId="73845FEB" w14:textId="77777777" w:rsidR="00C671DA" w:rsidRPr="00A4568C" w:rsidRDefault="00C671DA" w:rsidP="00C36D4F">
            <w:pPr>
              <w:tabs>
                <w:tab w:val="left" w:pos="1260"/>
              </w:tabs>
              <w:rPr>
                <w:color w:val="000000"/>
                <w:u w:val="single"/>
              </w:rPr>
            </w:pPr>
          </w:p>
          <w:p w14:paraId="3860C151" w14:textId="77777777" w:rsidR="00C671DA" w:rsidRPr="00A4568C" w:rsidRDefault="00C671DA" w:rsidP="00C36D4F">
            <w:pPr>
              <w:tabs>
                <w:tab w:val="left" w:pos="1260"/>
              </w:tabs>
              <w:rPr>
                <w:color w:val="000000"/>
                <w:u w:val="single"/>
              </w:rPr>
            </w:pPr>
            <w:r w:rsidRPr="00A4568C">
              <w:rPr>
                <w:color w:val="000000"/>
                <w:u w:val="single"/>
              </w:rPr>
              <w:t>Elise Torres</w:t>
            </w:r>
          </w:p>
          <w:p w14:paraId="72E51F82" w14:textId="77777777" w:rsidR="00C671DA" w:rsidRPr="00A3654C" w:rsidRDefault="00C671DA" w:rsidP="00C36D4F">
            <w:pPr>
              <w:tabs>
                <w:tab w:val="left" w:pos="1260"/>
              </w:tabs>
            </w:pPr>
            <w:r w:rsidRPr="00A4568C">
              <w:lastRenderedPageBreak/>
              <w:t>For Ms. Torres’ work in 2017, TURN seeks an hourly rate of $245, an</w:t>
            </w:r>
            <w:r>
              <w:t xml:space="preserve"> increase of 7.14</w:t>
            </w:r>
            <w:r w:rsidRPr="00A734D5">
              <w:t>% from the previously awarded rate of $2</w:t>
            </w:r>
            <w:r>
              <w:t>30 for 2016</w:t>
            </w:r>
            <w:r w:rsidRPr="00A734D5">
              <w:t xml:space="preserve">. </w:t>
            </w:r>
            <w:r>
              <w:t xml:space="preserve"> This increase is the general 2.14</w:t>
            </w:r>
            <w:r w:rsidRPr="00A734D5">
              <w:t>% COLA provided for in Res. ALJ-</w:t>
            </w:r>
            <w:r>
              <w:t>345</w:t>
            </w:r>
            <w:r w:rsidRPr="00A734D5">
              <w:t xml:space="preserve">, plus the </w:t>
            </w:r>
            <w:r>
              <w:t>second</w:t>
            </w:r>
            <w:r w:rsidRPr="00A734D5">
              <w:t xml:space="preserve"> of two 5% step increases within the </w:t>
            </w:r>
            <w:proofErr w:type="gramStart"/>
            <w:r w:rsidRPr="00A734D5">
              <w:t>3-4 year</w:t>
            </w:r>
            <w:proofErr w:type="gramEnd"/>
            <w:r w:rsidRPr="00A734D5">
              <w:t xml:space="preserve"> experience tier, authorized in Res. ALJ-3</w:t>
            </w:r>
            <w:r>
              <w:t>45</w:t>
            </w:r>
            <w:r w:rsidRPr="00A734D5">
              <w:t>. </w:t>
            </w:r>
            <w:r>
              <w:t xml:space="preserve"> </w:t>
            </w:r>
            <w:r>
              <w:rPr>
                <w:i/>
              </w:rPr>
              <w:t xml:space="preserve">See also </w:t>
            </w:r>
            <w:r>
              <w:t xml:space="preserve">D.16-08-015, pp. 11-12 (adopting a 2016 rate of $230 for Ms. Torres, and reflecting TURN’s explanation that this rate reflects the first of two 5% step increases within the </w:t>
            </w:r>
            <w:proofErr w:type="gramStart"/>
            <w:r>
              <w:t>3-4 year</w:t>
            </w:r>
            <w:proofErr w:type="gramEnd"/>
            <w:r>
              <w:t xml:space="preserve"> experience tier).</w:t>
            </w:r>
          </w:p>
          <w:p w14:paraId="5AF6AB52" w14:textId="77777777" w:rsidR="00C671DA" w:rsidRDefault="00C671DA" w:rsidP="00C36D4F">
            <w:pPr>
              <w:tabs>
                <w:tab w:val="left" w:pos="1260"/>
              </w:tabs>
              <w:rPr>
                <w:color w:val="000000"/>
                <w:u w:val="single"/>
              </w:rPr>
            </w:pPr>
          </w:p>
          <w:p w14:paraId="4417549C" w14:textId="77777777" w:rsidR="00C671DA" w:rsidRPr="008058F7" w:rsidRDefault="00C671DA" w:rsidP="00C36D4F">
            <w:pPr>
              <w:tabs>
                <w:tab w:val="left" w:pos="1260"/>
              </w:tabs>
              <w:rPr>
                <w:color w:val="000000"/>
                <w:u w:val="single"/>
              </w:rPr>
            </w:pPr>
            <w:r w:rsidRPr="008058F7">
              <w:rPr>
                <w:color w:val="000000"/>
                <w:u w:val="single"/>
              </w:rPr>
              <w:t xml:space="preserve">Robert Finkelstein, Marcel </w:t>
            </w:r>
            <w:proofErr w:type="spellStart"/>
            <w:r w:rsidRPr="008058F7">
              <w:rPr>
                <w:color w:val="000000"/>
                <w:u w:val="single"/>
              </w:rPr>
              <w:t>Hawiger</w:t>
            </w:r>
            <w:proofErr w:type="spellEnd"/>
            <w:r w:rsidRPr="008058F7">
              <w:rPr>
                <w:color w:val="000000"/>
                <w:u w:val="single"/>
              </w:rPr>
              <w:t>, and Thomas Long</w:t>
            </w:r>
          </w:p>
          <w:p w14:paraId="4E15CD1F" w14:textId="77777777" w:rsidR="00C671DA" w:rsidRPr="008058F7" w:rsidRDefault="00C671DA" w:rsidP="00C36D4F">
            <w:pPr>
              <w:tabs>
                <w:tab w:val="left" w:pos="1260"/>
              </w:tabs>
              <w:rPr>
                <w:color w:val="000000"/>
              </w:rPr>
            </w:pPr>
            <w:r>
              <w:rPr>
                <w:color w:val="000000"/>
              </w:rPr>
              <w:t xml:space="preserve">TURN asks that the Commission adopt 2017 rates for Mr. Finkelstein, Mr. </w:t>
            </w:r>
            <w:proofErr w:type="spellStart"/>
            <w:r>
              <w:rPr>
                <w:color w:val="000000"/>
              </w:rPr>
              <w:t>Hawiger</w:t>
            </w:r>
            <w:proofErr w:type="spellEnd"/>
            <w:r>
              <w:rPr>
                <w:color w:val="000000"/>
              </w:rPr>
              <w:t>, and Mr. Long, equal to their authorized 2016 rates, escalated by the 2.14% COLA adopted in Resolution ALJ-345.</w:t>
            </w:r>
          </w:p>
          <w:p w14:paraId="356B000B" w14:textId="77777777" w:rsidR="00C671DA" w:rsidRDefault="00C671DA" w:rsidP="00C36D4F">
            <w:pPr>
              <w:tabs>
                <w:tab w:val="left" w:pos="1260"/>
              </w:tabs>
              <w:spacing w:before="120"/>
              <w:rPr>
                <w:b/>
                <w:color w:val="000000"/>
              </w:rPr>
            </w:pPr>
          </w:p>
        </w:tc>
      </w:tr>
      <w:tr w:rsidR="00C671DA" w:rsidRPr="007F620E" w14:paraId="2346BB18" w14:textId="77777777" w:rsidTr="00C36D4F">
        <w:tc>
          <w:tcPr>
            <w:tcW w:w="1430" w:type="dxa"/>
            <w:shd w:val="clear" w:color="auto" w:fill="auto"/>
          </w:tcPr>
          <w:p w14:paraId="068A63B4" w14:textId="77777777" w:rsidR="00C671DA" w:rsidRDefault="00C671DA" w:rsidP="00C36D4F">
            <w:pPr>
              <w:tabs>
                <w:tab w:val="left" w:pos="1260"/>
              </w:tabs>
              <w:spacing w:before="120"/>
              <w:rPr>
                <w:color w:val="000000"/>
              </w:rPr>
            </w:pPr>
            <w:r>
              <w:rPr>
                <w:color w:val="000000"/>
              </w:rPr>
              <w:lastRenderedPageBreak/>
              <w:t>Comment 2</w:t>
            </w:r>
          </w:p>
        </w:tc>
        <w:tc>
          <w:tcPr>
            <w:tcW w:w="8015" w:type="dxa"/>
            <w:shd w:val="clear" w:color="auto" w:fill="auto"/>
          </w:tcPr>
          <w:p w14:paraId="061F999B" w14:textId="77777777" w:rsidR="00C671DA" w:rsidRDefault="00C671DA" w:rsidP="00C36D4F">
            <w:pPr>
              <w:tabs>
                <w:tab w:val="left" w:pos="1260"/>
              </w:tabs>
              <w:spacing w:before="120"/>
              <w:rPr>
                <w:b/>
                <w:color w:val="000000"/>
              </w:rPr>
            </w:pPr>
            <w:r>
              <w:rPr>
                <w:b/>
                <w:color w:val="000000"/>
              </w:rPr>
              <w:t xml:space="preserve">2016 Hourly Rate for Nina </w:t>
            </w:r>
            <w:proofErr w:type="spellStart"/>
            <w:r>
              <w:rPr>
                <w:b/>
                <w:color w:val="000000"/>
              </w:rPr>
              <w:t>Suetake</w:t>
            </w:r>
            <w:proofErr w:type="spellEnd"/>
          </w:p>
          <w:p w14:paraId="05547F0B" w14:textId="77777777" w:rsidR="00C671DA" w:rsidRDefault="00C671DA" w:rsidP="00C36D4F">
            <w:pPr>
              <w:tabs>
                <w:tab w:val="left" w:pos="1260"/>
              </w:tabs>
              <w:spacing w:before="120"/>
              <w:rPr>
                <w:color w:val="000000"/>
              </w:rPr>
            </w:pPr>
            <w:r>
              <w:rPr>
                <w:color w:val="000000"/>
              </w:rPr>
              <w:t xml:space="preserve">TURN asks the Commission to adopt an hourly rate of $350 for Ms. </w:t>
            </w:r>
            <w:proofErr w:type="spellStart"/>
            <w:r>
              <w:rPr>
                <w:color w:val="000000"/>
              </w:rPr>
              <w:t>Suetake’s</w:t>
            </w:r>
            <w:proofErr w:type="spellEnd"/>
            <w:r>
              <w:rPr>
                <w:color w:val="000000"/>
              </w:rPr>
              <w:t xml:space="preserve"> work in 2016.  This is the same rate requested by TURN in the Request for Intervenor Compensation we filed on August 30, 2016, in A.13-12-012 et al. for Contribution to Decisions D.14-11-041, D.15-06-035, and D.16-06-056.  In that request, which is still pending, TURN presented the following showing in support of this requested rate:</w:t>
            </w:r>
          </w:p>
          <w:p w14:paraId="159A7129" w14:textId="77777777" w:rsidR="00C671DA" w:rsidRDefault="00C671DA" w:rsidP="00C36D4F">
            <w:pPr>
              <w:tabs>
                <w:tab w:val="left" w:pos="1260"/>
              </w:tabs>
              <w:spacing w:before="120"/>
              <w:rPr>
                <w:color w:val="000000"/>
              </w:rPr>
            </w:pPr>
          </w:p>
          <w:p w14:paraId="60F3F328" w14:textId="77777777" w:rsidR="00C671DA" w:rsidRPr="00D517C7" w:rsidRDefault="00C671DA" w:rsidP="00C36D4F">
            <w:pPr>
              <w:pStyle w:val="p1"/>
              <w:rPr>
                <w:rFonts w:ascii="Times New Roman" w:hAnsi="Times New Roman"/>
                <w:sz w:val="24"/>
                <w:szCs w:val="24"/>
              </w:rPr>
            </w:pPr>
            <w:r w:rsidRPr="00D517C7">
              <w:rPr>
                <w:rFonts w:ascii="Times New Roman" w:hAnsi="Times New Roman"/>
                <w:sz w:val="24"/>
                <w:szCs w:val="24"/>
              </w:rPr>
              <w:t xml:space="preserve">For Ms. </w:t>
            </w:r>
            <w:proofErr w:type="spellStart"/>
            <w:r w:rsidRPr="00D517C7">
              <w:rPr>
                <w:rFonts w:ascii="Times New Roman" w:hAnsi="Times New Roman"/>
                <w:sz w:val="24"/>
                <w:szCs w:val="24"/>
              </w:rPr>
              <w:t>Suetake’s</w:t>
            </w:r>
            <w:proofErr w:type="spellEnd"/>
            <w:r w:rsidRPr="00D517C7">
              <w:rPr>
                <w:rFonts w:ascii="Times New Roman" w:hAnsi="Times New Roman"/>
                <w:sz w:val="24"/>
                <w:szCs w:val="24"/>
              </w:rPr>
              <w:t xml:space="preserve"> 2016 rate, TURN asks the Commission to adopt an hourly rate of $350. Ms.</w:t>
            </w:r>
            <w:r>
              <w:rPr>
                <w:rFonts w:ascii="Times New Roman" w:hAnsi="Times New Roman"/>
                <w:sz w:val="24"/>
                <w:szCs w:val="24"/>
              </w:rPr>
              <w:t xml:space="preserve"> </w:t>
            </w:r>
            <w:proofErr w:type="spellStart"/>
            <w:r w:rsidRPr="00D517C7">
              <w:rPr>
                <w:rFonts w:ascii="Times New Roman" w:hAnsi="Times New Roman"/>
                <w:sz w:val="24"/>
                <w:szCs w:val="24"/>
              </w:rPr>
              <w:t>Suetake</w:t>
            </w:r>
            <w:proofErr w:type="spellEnd"/>
            <w:r w:rsidRPr="00D517C7">
              <w:rPr>
                <w:rFonts w:ascii="Times New Roman" w:hAnsi="Times New Roman"/>
                <w:sz w:val="24"/>
                <w:szCs w:val="24"/>
              </w:rPr>
              <w:t xml:space="preserve"> is a 2004 law school graduate, was admitted to the California Bar in late 2004, and has</w:t>
            </w:r>
            <w:r>
              <w:rPr>
                <w:rFonts w:ascii="Times New Roman" w:hAnsi="Times New Roman"/>
                <w:sz w:val="24"/>
                <w:szCs w:val="24"/>
              </w:rPr>
              <w:t xml:space="preserve"> </w:t>
            </w:r>
            <w:r w:rsidRPr="00D517C7">
              <w:rPr>
                <w:rFonts w:ascii="Times New Roman" w:hAnsi="Times New Roman"/>
                <w:sz w:val="24"/>
                <w:szCs w:val="24"/>
              </w:rPr>
              <w:t>worked on regulatory matters before the CPUC since that time. She became a TURN staff</w:t>
            </w:r>
            <w:r>
              <w:rPr>
                <w:rFonts w:ascii="Times New Roman" w:hAnsi="Times New Roman"/>
                <w:sz w:val="24"/>
                <w:szCs w:val="24"/>
              </w:rPr>
              <w:t xml:space="preserve"> </w:t>
            </w:r>
            <w:r w:rsidRPr="00D517C7">
              <w:rPr>
                <w:rFonts w:ascii="Times New Roman" w:hAnsi="Times New Roman"/>
                <w:sz w:val="24"/>
                <w:szCs w:val="24"/>
              </w:rPr>
              <w:t>attorney in 2004, left TURN in 2014 to explore other options for CPUC regulatory work (as a</w:t>
            </w:r>
            <w:r>
              <w:rPr>
                <w:rFonts w:ascii="Times New Roman" w:hAnsi="Times New Roman"/>
                <w:sz w:val="24"/>
                <w:szCs w:val="24"/>
              </w:rPr>
              <w:t xml:space="preserve"> </w:t>
            </w:r>
            <w:r w:rsidRPr="00D517C7">
              <w:rPr>
                <w:rFonts w:ascii="Times New Roman" w:hAnsi="Times New Roman"/>
                <w:sz w:val="24"/>
                <w:szCs w:val="24"/>
              </w:rPr>
              <w:t>staff attorney for a water utility), then rejoined the organization in 2016. For purposes of the</w:t>
            </w:r>
            <w:r>
              <w:rPr>
                <w:rFonts w:ascii="Times New Roman" w:hAnsi="Times New Roman"/>
                <w:sz w:val="24"/>
                <w:szCs w:val="24"/>
              </w:rPr>
              <w:t xml:space="preserve"> </w:t>
            </w:r>
            <w:r w:rsidRPr="00D517C7">
              <w:rPr>
                <w:rFonts w:ascii="Times New Roman" w:hAnsi="Times New Roman"/>
                <w:sz w:val="24"/>
                <w:szCs w:val="24"/>
              </w:rPr>
              <w:t xml:space="preserve">hourly rate schedule established by the Commission, she is now in the </w:t>
            </w:r>
            <w:proofErr w:type="gramStart"/>
            <w:r w:rsidRPr="00D517C7">
              <w:rPr>
                <w:rFonts w:ascii="Times New Roman" w:hAnsi="Times New Roman"/>
                <w:sz w:val="24"/>
                <w:szCs w:val="24"/>
              </w:rPr>
              <w:t>8-12 year</w:t>
            </w:r>
            <w:proofErr w:type="gramEnd"/>
            <w:r w:rsidRPr="00D517C7">
              <w:rPr>
                <w:rFonts w:ascii="Times New Roman" w:hAnsi="Times New Roman"/>
                <w:sz w:val="24"/>
                <w:szCs w:val="24"/>
              </w:rPr>
              <w:t xml:space="preserve"> experience</w:t>
            </w:r>
            <w:r>
              <w:rPr>
                <w:rFonts w:ascii="Times New Roman" w:hAnsi="Times New Roman"/>
                <w:sz w:val="24"/>
                <w:szCs w:val="24"/>
              </w:rPr>
              <w:t xml:space="preserve"> </w:t>
            </w:r>
            <w:r w:rsidRPr="00D517C7">
              <w:rPr>
                <w:rFonts w:ascii="Times New Roman" w:hAnsi="Times New Roman"/>
                <w:sz w:val="24"/>
                <w:szCs w:val="24"/>
              </w:rPr>
              <w:t>band adopted in D.08-04-010.</w:t>
            </w:r>
          </w:p>
          <w:p w14:paraId="09C42764" w14:textId="77777777" w:rsidR="00C671DA" w:rsidRPr="00D517C7" w:rsidRDefault="00C671DA" w:rsidP="00C36D4F">
            <w:pPr>
              <w:pStyle w:val="p1"/>
              <w:rPr>
                <w:rFonts w:ascii="Times New Roman" w:hAnsi="Times New Roman"/>
                <w:sz w:val="24"/>
                <w:szCs w:val="24"/>
              </w:rPr>
            </w:pPr>
          </w:p>
          <w:p w14:paraId="4527E358" w14:textId="77777777" w:rsidR="00C671DA" w:rsidRPr="00D517C7" w:rsidRDefault="00C671DA" w:rsidP="00C36D4F">
            <w:pPr>
              <w:pStyle w:val="p1"/>
              <w:rPr>
                <w:rFonts w:ascii="Times New Roman" w:hAnsi="Times New Roman"/>
                <w:sz w:val="24"/>
                <w:szCs w:val="24"/>
              </w:rPr>
            </w:pPr>
            <w:r w:rsidRPr="00D517C7">
              <w:rPr>
                <w:rFonts w:ascii="Times New Roman" w:hAnsi="Times New Roman"/>
                <w:sz w:val="24"/>
                <w:szCs w:val="24"/>
              </w:rPr>
              <w:t xml:space="preserve">The Commission had previously authorized an hourly rate of $320 for Ms. </w:t>
            </w:r>
            <w:proofErr w:type="spellStart"/>
            <w:r w:rsidRPr="00D517C7">
              <w:rPr>
                <w:rFonts w:ascii="Times New Roman" w:hAnsi="Times New Roman"/>
                <w:sz w:val="24"/>
                <w:szCs w:val="24"/>
              </w:rPr>
              <w:t>Suetake’s</w:t>
            </w:r>
            <w:proofErr w:type="spellEnd"/>
            <w:r w:rsidRPr="00D517C7">
              <w:rPr>
                <w:rFonts w:ascii="Times New Roman" w:hAnsi="Times New Roman"/>
                <w:sz w:val="24"/>
                <w:szCs w:val="24"/>
              </w:rPr>
              <w:t xml:space="preserve"> work in</w:t>
            </w:r>
            <w:r>
              <w:rPr>
                <w:rFonts w:ascii="Times New Roman" w:hAnsi="Times New Roman"/>
                <w:sz w:val="24"/>
                <w:szCs w:val="24"/>
              </w:rPr>
              <w:t xml:space="preserve"> </w:t>
            </w:r>
            <w:r w:rsidRPr="00D517C7">
              <w:rPr>
                <w:rFonts w:ascii="Times New Roman" w:hAnsi="Times New Roman"/>
                <w:sz w:val="24"/>
                <w:szCs w:val="24"/>
              </w:rPr>
              <w:t>2013 (D.14-05-015). Applying the 2014 COLA of 2.56% results in a 2014 rate of $330</w:t>
            </w:r>
            <w:r>
              <w:rPr>
                <w:rFonts w:ascii="Times New Roman" w:hAnsi="Times New Roman"/>
                <w:sz w:val="24"/>
                <w:szCs w:val="24"/>
              </w:rPr>
              <w:t xml:space="preserve"> </w:t>
            </w:r>
            <w:r w:rsidRPr="00D517C7">
              <w:rPr>
                <w:rFonts w:ascii="Times New Roman" w:hAnsi="Times New Roman"/>
                <w:sz w:val="24"/>
                <w:szCs w:val="24"/>
              </w:rPr>
              <w:t>(rounded to the nearest $5 increment).</w:t>
            </w:r>
            <w:r w:rsidRPr="00D517C7">
              <w:rPr>
                <w:rStyle w:val="FootnoteReference"/>
                <w:rFonts w:ascii="Times New Roman" w:hAnsi="Times New Roman"/>
                <w:sz w:val="24"/>
                <w:szCs w:val="24"/>
              </w:rPr>
              <w:footnoteReference w:id="13"/>
            </w:r>
            <w:r w:rsidRPr="00D517C7">
              <w:rPr>
                <w:rStyle w:val="s1"/>
                <w:rFonts w:ascii="Times New Roman" w:hAnsi="Times New Roman"/>
                <w:sz w:val="24"/>
                <w:szCs w:val="24"/>
              </w:rPr>
              <w:t xml:space="preserve"> </w:t>
            </w:r>
            <w:r w:rsidRPr="00D517C7">
              <w:rPr>
                <w:rFonts w:ascii="Times New Roman" w:hAnsi="Times New Roman"/>
                <w:sz w:val="24"/>
                <w:szCs w:val="24"/>
              </w:rPr>
              <w:t>The rate would have remained the same in 2015, when</w:t>
            </w:r>
            <w:r>
              <w:rPr>
                <w:rFonts w:ascii="Times New Roman" w:hAnsi="Times New Roman"/>
                <w:sz w:val="24"/>
                <w:szCs w:val="24"/>
              </w:rPr>
              <w:t xml:space="preserve"> </w:t>
            </w:r>
            <w:r w:rsidRPr="00D517C7">
              <w:rPr>
                <w:rFonts w:ascii="Times New Roman" w:hAnsi="Times New Roman"/>
                <w:sz w:val="24"/>
                <w:szCs w:val="24"/>
              </w:rPr>
              <w:t>the COLA was 0%. For 2016, the Commission adopted a COLA of 1.28% (Res. ALJ-329).</w:t>
            </w:r>
            <w:r>
              <w:rPr>
                <w:rFonts w:ascii="Times New Roman" w:hAnsi="Times New Roman"/>
                <w:sz w:val="24"/>
                <w:szCs w:val="24"/>
              </w:rPr>
              <w:t xml:space="preserve"> </w:t>
            </w:r>
            <w:r w:rsidRPr="00D517C7">
              <w:rPr>
                <w:rFonts w:ascii="Times New Roman" w:hAnsi="Times New Roman"/>
                <w:sz w:val="24"/>
                <w:szCs w:val="24"/>
              </w:rPr>
              <w:t>The hourly rate of $350 for 2016 represents the COLA increase plus 5% for the first of the two</w:t>
            </w:r>
            <w:r>
              <w:rPr>
                <w:rFonts w:ascii="Times New Roman" w:hAnsi="Times New Roman"/>
                <w:sz w:val="24"/>
                <w:szCs w:val="24"/>
              </w:rPr>
              <w:t xml:space="preserve"> </w:t>
            </w:r>
            <w:r w:rsidRPr="00D517C7">
              <w:rPr>
                <w:rFonts w:ascii="Times New Roman" w:hAnsi="Times New Roman"/>
                <w:sz w:val="24"/>
                <w:szCs w:val="24"/>
              </w:rPr>
              <w:t>“step” increases provided for within each experience band.</w:t>
            </w:r>
            <w:r w:rsidRPr="00D517C7">
              <w:rPr>
                <w:rStyle w:val="FootnoteReference"/>
                <w:rFonts w:ascii="Times New Roman" w:hAnsi="Times New Roman"/>
                <w:sz w:val="24"/>
                <w:szCs w:val="24"/>
              </w:rPr>
              <w:footnoteReference w:id="14"/>
            </w:r>
          </w:p>
          <w:p w14:paraId="264993C4" w14:textId="77777777" w:rsidR="00C671DA" w:rsidRPr="00D517C7" w:rsidRDefault="00C671DA" w:rsidP="00C36D4F">
            <w:pPr>
              <w:pStyle w:val="p1"/>
              <w:rPr>
                <w:rFonts w:ascii="Times New Roman" w:hAnsi="Times New Roman"/>
                <w:sz w:val="24"/>
                <w:szCs w:val="24"/>
              </w:rPr>
            </w:pPr>
          </w:p>
          <w:p w14:paraId="6FB69626" w14:textId="77777777" w:rsidR="00C671DA" w:rsidRPr="00D517C7" w:rsidRDefault="00C671DA" w:rsidP="00C36D4F">
            <w:pPr>
              <w:pStyle w:val="p1"/>
              <w:rPr>
                <w:rFonts w:ascii="Times New Roman" w:hAnsi="Times New Roman"/>
                <w:sz w:val="24"/>
                <w:szCs w:val="24"/>
              </w:rPr>
            </w:pPr>
            <w:r w:rsidRPr="00D517C7">
              <w:rPr>
                <w:rFonts w:ascii="Times New Roman" w:hAnsi="Times New Roman"/>
                <w:sz w:val="24"/>
                <w:szCs w:val="24"/>
              </w:rPr>
              <w:lastRenderedPageBreak/>
              <w:t xml:space="preserve">TURN reasonably believes the information here will be a </w:t>
            </w:r>
            <w:proofErr w:type="gramStart"/>
            <w:r w:rsidRPr="00D517C7">
              <w:rPr>
                <w:rFonts w:ascii="Times New Roman" w:hAnsi="Times New Roman"/>
                <w:sz w:val="24"/>
                <w:szCs w:val="24"/>
              </w:rPr>
              <w:t>sufficient</w:t>
            </w:r>
            <w:proofErr w:type="gramEnd"/>
            <w:r w:rsidRPr="00D517C7">
              <w:rPr>
                <w:rFonts w:ascii="Times New Roman" w:hAnsi="Times New Roman"/>
                <w:sz w:val="24"/>
                <w:szCs w:val="24"/>
              </w:rPr>
              <w:t xml:space="preserve"> showing in support of the</w:t>
            </w:r>
            <w:r>
              <w:rPr>
                <w:rFonts w:ascii="Times New Roman" w:hAnsi="Times New Roman"/>
                <w:sz w:val="24"/>
                <w:szCs w:val="24"/>
              </w:rPr>
              <w:t xml:space="preserve"> </w:t>
            </w:r>
            <w:r w:rsidRPr="00D517C7">
              <w:rPr>
                <w:rFonts w:ascii="Times New Roman" w:hAnsi="Times New Roman"/>
                <w:sz w:val="24"/>
                <w:szCs w:val="24"/>
              </w:rPr>
              <w:t xml:space="preserve">requested increase. Should the Commission believe </w:t>
            </w:r>
            <w:proofErr w:type="gramStart"/>
            <w:r w:rsidRPr="00D517C7">
              <w:rPr>
                <w:rFonts w:ascii="Times New Roman" w:hAnsi="Times New Roman"/>
                <w:sz w:val="24"/>
                <w:szCs w:val="24"/>
              </w:rPr>
              <w:t>more</w:t>
            </w:r>
            <w:proofErr w:type="gramEnd"/>
            <w:r w:rsidRPr="00D517C7">
              <w:rPr>
                <w:rFonts w:ascii="Times New Roman" w:hAnsi="Times New Roman"/>
                <w:sz w:val="24"/>
                <w:szCs w:val="24"/>
              </w:rPr>
              <w:t xml:space="preserve"> or different information is warranted</w:t>
            </w:r>
            <w:r>
              <w:rPr>
                <w:rFonts w:ascii="Times New Roman" w:hAnsi="Times New Roman"/>
                <w:sz w:val="24"/>
                <w:szCs w:val="24"/>
              </w:rPr>
              <w:t xml:space="preserve"> </w:t>
            </w:r>
            <w:r w:rsidRPr="00D517C7">
              <w:rPr>
                <w:rFonts w:ascii="Times New Roman" w:hAnsi="Times New Roman"/>
                <w:sz w:val="24"/>
                <w:szCs w:val="24"/>
              </w:rPr>
              <w:t>to provide further support for this request here, TURN requests that it be so notified and given</w:t>
            </w:r>
            <w:r>
              <w:rPr>
                <w:rFonts w:ascii="Times New Roman" w:hAnsi="Times New Roman"/>
                <w:sz w:val="24"/>
                <w:szCs w:val="24"/>
              </w:rPr>
              <w:t xml:space="preserve"> </w:t>
            </w:r>
            <w:r w:rsidRPr="00D517C7">
              <w:rPr>
                <w:rFonts w:ascii="Times New Roman" w:hAnsi="Times New Roman"/>
                <w:sz w:val="24"/>
                <w:szCs w:val="24"/>
              </w:rPr>
              <w:t>the opportunity to supplement its showing</w:t>
            </w:r>
            <w:r w:rsidRPr="00D517C7">
              <w:rPr>
                <w:rStyle w:val="s2"/>
                <w:rFonts w:ascii="Times New Roman" w:hAnsi="Times New Roman"/>
                <w:sz w:val="24"/>
                <w:szCs w:val="24"/>
              </w:rPr>
              <w:t xml:space="preserve">. </w:t>
            </w:r>
          </w:p>
          <w:p w14:paraId="4AAB28BD" w14:textId="77777777" w:rsidR="00C671DA" w:rsidRDefault="00C671DA" w:rsidP="00C36D4F">
            <w:pPr>
              <w:tabs>
                <w:tab w:val="left" w:pos="1260"/>
              </w:tabs>
              <w:spacing w:before="120"/>
              <w:rPr>
                <w:b/>
                <w:color w:val="000000"/>
              </w:rPr>
            </w:pPr>
          </w:p>
        </w:tc>
      </w:tr>
      <w:tr w:rsidR="00C671DA" w:rsidRPr="007F620E" w14:paraId="02DAF858" w14:textId="77777777" w:rsidTr="00C36D4F">
        <w:tc>
          <w:tcPr>
            <w:tcW w:w="1430" w:type="dxa"/>
            <w:shd w:val="clear" w:color="auto" w:fill="auto"/>
          </w:tcPr>
          <w:p w14:paraId="6B8458CA" w14:textId="77777777" w:rsidR="00C671DA" w:rsidRDefault="00C671DA" w:rsidP="00C36D4F">
            <w:pPr>
              <w:tabs>
                <w:tab w:val="left" w:pos="1260"/>
              </w:tabs>
              <w:spacing w:before="120"/>
              <w:rPr>
                <w:color w:val="000000"/>
              </w:rPr>
            </w:pPr>
            <w:r>
              <w:rPr>
                <w:color w:val="000000"/>
              </w:rPr>
              <w:lastRenderedPageBreak/>
              <w:t>Comment 3</w:t>
            </w:r>
          </w:p>
        </w:tc>
        <w:tc>
          <w:tcPr>
            <w:tcW w:w="8015" w:type="dxa"/>
            <w:shd w:val="clear" w:color="auto" w:fill="auto"/>
          </w:tcPr>
          <w:p w14:paraId="4F4F2BC0" w14:textId="77777777" w:rsidR="00C671DA" w:rsidRDefault="00C671DA" w:rsidP="00C36D4F">
            <w:pPr>
              <w:tabs>
                <w:tab w:val="left" w:pos="1260"/>
              </w:tabs>
              <w:spacing w:before="120"/>
              <w:rPr>
                <w:b/>
                <w:color w:val="000000"/>
              </w:rPr>
            </w:pPr>
            <w:r>
              <w:rPr>
                <w:b/>
                <w:color w:val="000000"/>
              </w:rPr>
              <w:t>Hourly Rate for Roger D. Colton of Fisher, Sheehan &amp; Colton</w:t>
            </w:r>
          </w:p>
          <w:p w14:paraId="2B4E5405" w14:textId="77777777" w:rsidR="00C671DA" w:rsidRDefault="00C671DA" w:rsidP="00C36D4F">
            <w:pPr>
              <w:rPr>
                <w:color w:val="000000"/>
              </w:rPr>
            </w:pPr>
          </w:p>
          <w:p w14:paraId="76FA1389" w14:textId="77777777" w:rsidR="00C671DA" w:rsidRDefault="00C671DA" w:rsidP="00C36D4F">
            <w:r>
              <w:rPr>
                <w:color w:val="000000"/>
              </w:rPr>
              <w:t xml:space="preserve">This TURN’s first request for compensation that includes work performed by Roger Colton, who served as TURN’s witness on affordability issues.  TURN requests an hourly rate of $250 for Mr. Colton’s work in this proceeding, which spanned 2015-2016. This is the hourly rate billed by Mr. Colton to TURN.  The Commission has not previously adopted an authorized rate for this expert.  </w:t>
            </w:r>
            <w:r>
              <w:t>In accordance with D.08-04-010, TURN demonstrates in this section that the requested hourly rates are within the adopted ranges and consistent with rates previously awarded to representatives with comparable training and experience.</w:t>
            </w:r>
          </w:p>
          <w:p w14:paraId="72CC7929" w14:textId="77777777" w:rsidR="00C671DA" w:rsidRDefault="00C671DA" w:rsidP="00C36D4F">
            <w:pPr>
              <w:tabs>
                <w:tab w:val="left" w:pos="1260"/>
              </w:tabs>
              <w:rPr>
                <w:color w:val="000000"/>
              </w:rPr>
            </w:pPr>
          </w:p>
          <w:p w14:paraId="2951069E" w14:textId="77777777" w:rsidR="00C671DA" w:rsidRPr="006F4FEE" w:rsidRDefault="00C671DA" w:rsidP="00C36D4F">
            <w:pPr>
              <w:tabs>
                <w:tab w:val="left" w:pos="1260"/>
              </w:tabs>
            </w:pPr>
            <w:r>
              <w:rPr>
                <w:color w:val="000000"/>
              </w:rPr>
              <w:t xml:space="preserve">Mr. Colton is by all accounts an expert on low-income utility issues.  </w:t>
            </w:r>
            <w:bookmarkStart w:id="1" w:name="_Hlk534794707"/>
            <w:r>
              <w:rPr>
                <w:color w:val="000000"/>
              </w:rPr>
              <w:t xml:space="preserve">For more than 30 years, he has done regulatory work on rate and customer service issues, as well as research into low-income usage, payment patterns, and affordability programs, on behalf of government, nonprofit, and industry clients throughout the United States and Canada. </w:t>
            </w:r>
            <w:r w:rsidRPr="00F1725E">
              <w:rPr>
                <w:color w:val="000000"/>
              </w:rPr>
              <w:t>Mr. Colton h</w:t>
            </w:r>
            <w:r w:rsidRPr="00F1725E">
              <w:t>as served as an expert witness before legislative, regulatory</w:t>
            </w:r>
            <w:r>
              <w:t>,</w:t>
            </w:r>
            <w:r w:rsidRPr="00F1725E">
              <w:t xml:space="preserve"> and judicial bodies on numerous occasions regarding energy, water and telecommunications issues affecting low-income customers</w:t>
            </w:r>
            <w:r>
              <w:t xml:space="preserve">, and has </w:t>
            </w:r>
            <w:r w:rsidRPr="00F1725E">
              <w:t>testified in regulatory proceedings in more than 30 states and various Canadian provinces.</w:t>
            </w:r>
            <w:r>
              <w:t xml:space="preserve">  </w:t>
            </w:r>
            <w:bookmarkEnd w:id="1"/>
            <w:r>
              <w:t xml:space="preserve">Mr. Colton has developed utility low-income assistance programs for </w:t>
            </w:r>
            <w:proofErr w:type="gramStart"/>
            <w:r>
              <w:t>utilities, and</w:t>
            </w:r>
            <w:proofErr w:type="gramEnd"/>
            <w:r>
              <w:t xml:space="preserve"> has been hired by various State and Federal government entities to develop low-income program evaluation tools, to study the health, and safety impacts of unaffordable home energy, as well as the impacts of unaffordable home energy on education, housing affordability, and economic development.  </w:t>
            </w:r>
            <w:r>
              <w:rPr>
                <w:color w:val="000000"/>
              </w:rPr>
              <w:t xml:space="preserve">He has a law degree and a </w:t>
            </w:r>
            <w:proofErr w:type="spellStart"/>
            <w:proofErr w:type="gramStart"/>
            <w:r>
              <w:rPr>
                <w:color w:val="000000"/>
              </w:rPr>
              <w:t>Masters</w:t>
            </w:r>
            <w:proofErr w:type="spellEnd"/>
            <w:r>
              <w:rPr>
                <w:color w:val="000000"/>
              </w:rPr>
              <w:t xml:space="preserve"> Degree</w:t>
            </w:r>
            <w:proofErr w:type="gramEnd"/>
            <w:r>
              <w:rPr>
                <w:color w:val="000000"/>
              </w:rPr>
              <w:t xml:space="preserve"> in Regulatory Economics, and has published extensively on low-income utility and housing issues, in addition to preparing technical reports for clients on low-income utility issues.  </w:t>
            </w:r>
            <w:r>
              <w:t xml:space="preserve">(See Ex. TURN-13, pp. 1-2).  </w:t>
            </w:r>
            <w:r>
              <w:rPr>
                <w:color w:val="000000"/>
              </w:rPr>
              <w:t>His CV appears as Appendix A to his testimony on behalf of TURN, Ex. TURN-13.</w:t>
            </w:r>
          </w:p>
          <w:p w14:paraId="2477A475" w14:textId="77777777" w:rsidR="00C671DA" w:rsidRDefault="00C671DA" w:rsidP="00C36D4F">
            <w:pPr>
              <w:tabs>
                <w:tab w:val="left" w:pos="1260"/>
              </w:tabs>
              <w:rPr>
                <w:color w:val="000000"/>
              </w:rPr>
            </w:pPr>
          </w:p>
          <w:p w14:paraId="1CECD3CE" w14:textId="77777777" w:rsidR="00C671DA" w:rsidRDefault="00C671DA" w:rsidP="00C36D4F">
            <w:pPr>
              <w:tabs>
                <w:tab w:val="left" w:pos="1260"/>
              </w:tabs>
              <w:rPr>
                <w:color w:val="000000"/>
              </w:rPr>
            </w:pPr>
            <w:r>
              <w:rPr>
                <w:color w:val="000000"/>
              </w:rPr>
              <w:t xml:space="preserve">Mr. Colton’s hourly rate of $250 falls in the bottom third of the range of rates for 2015 and 2016 adopted by the Commission in Res. ALJ-345 for experts with more than 13 years of experience, $170-$420 (2015) and $170-$425 (2016). </w:t>
            </w:r>
          </w:p>
          <w:p w14:paraId="44863B43" w14:textId="77777777" w:rsidR="00C671DA" w:rsidRDefault="00C671DA" w:rsidP="00C36D4F">
            <w:pPr>
              <w:tabs>
                <w:tab w:val="left" w:pos="1260"/>
              </w:tabs>
              <w:rPr>
                <w:color w:val="000000"/>
              </w:rPr>
            </w:pPr>
          </w:p>
          <w:p w14:paraId="6C9C405F" w14:textId="77777777" w:rsidR="00C671DA" w:rsidRDefault="00C671DA" w:rsidP="00C36D4F">
            <w:pPr>
              <w:tabs>
                <w:tab w:val="left" w:pos="1260"/>
              </w:tabs>
              <w:rPr>
                <w:color w:val="000000"/>
              </w:rPr>
            </w:pPr>
            <w:r>
              <w:rPr>
                <w:color w:val="000000"/>
              </w:rPr>
              <w:t xml:space="preserve">For comparison’s sake, TURN points the Commission to the hourly rates adopted for expert John Howat of the National Consumer Law Center (NCLC), whose experiences are </w:t>
            </w:r>
            <w:proofErr w:type="gramStart"/>
            <w:r>
              <w:rPr>
                <w:color w:val="000000"/>
              </w:rPr>
              <w:t>similar to</w:t>
            </w:r>
            <w:proofErr w:type="gramEnd"/>
            <w:r>
              <w:rPr>
                <w:color w:val="000000"/>
              </w:rPr>
              <w:t xml:space="preserve"> Mr. Colton’s.  Mr. Howat, like Mr. Colton, has extensive experience addressing utility regulatory issues impacting low-income customers across the United States.  </w:t>
            </w:r>
            <w:r w:rsidRPr="001E61A5">
              <w:rPr>
                <w:color w:val="000000"/>
              </w:rPr>
              <w:t xml:space="preserve">His work has focused on </w:t>
            </w:r>
            <w:r w:rsidRPr="001E61A5">
              <w:t>the</w:t>
            </w:r>
            <w:r>
              <w:rPr>
                <w:color w:val="000000"/>
              </w:rPr>
              <w:t xml:space="preserve"> </w:t>
            </w:r>
            <w:r w:rsidRPr="001E61A5">
              <w:t xml:space="preserve">design and </w:t>
            </w:r>
            <w:r w:rsidRPr="001E61A5">
              <w:lastRenderedPageBreak/>
              <w:t>implementation of low-income energy affordability and efficiency programs and outreach efforts, low-income</w:t>
            </w:r>
            <w:r>
              <w:t xml:space="preserve"> </w:t>
            </w:r>
            <w:r w:rsidRPr="001E61A5">
              <w:t>regulatory consumer protection, rate design, issues related to metering and billing, development and analysis of utility arrearage and customer service data, energy burden analysis and related demographic analysis.</w:t>
            </w:r>
            <w:r>
              <w:t xml:space="preserve">  He has appeared before </w:t>
            </w:r>
            <w:proofErr w:type="gramStart"/>
            <w:r>
              <w:t>a number of</w:t>
            </w:r>
            <w:proofErr w:type="gramEnd"/>
            <w:r>
              <w:t xml:space="preserve"> state utility commissions and authored resources for low-income utility customer advocates.  Both Mr. Howat and Mr. Colton have been involved with low-income utility issues since the early 1980s.</w:t>
            </w:r>
            <w:r>
              <w:rPr>
                <w:color w:val="000000"/>
              </w:rPr>
              <w:t xml:space="preserve">  Mr. Howat, like Mr. Colton, has a </w:t>
            </w:r>
            <w:proofErr w:type="spellStart"/>
            <w:proofErr w:type="gramStart"/>
            <w:r>
              <w:rPr>
                <w:color w:val="000000"/>
              </w:rPr>
              <w:t>Masters</w:t>
            </w:r>
            <w:proofErr w:type="spellEnd"/>
            <w:r>
              <w:rPr>
                <w:color w:val="000000"/>
              </w:rPr>
              <w:t xml:space="preserve"> Degree</w:t>
            </w:r>
            <w:proofErr w:type="gramEnd"/>
            <w:r>
              <w:rPr>
                <w:color w:val="000000"/>
              </w:rPr>
              <w:t xml:space="preserve">, although Mr. Colton additionally has a law degree.  (See NCLC’s Request for Intervenor Compensation, filed in I.07-01-022 et al. on Oct. 24, 2008, Attachments 4, 5, and 6).  In D.09-05-017, issued in I.07-01-022, the Commission adopted a </w:t>
            </w:r>
            <w:r w:rsidRPr="009522B7">
              <w:rPr>
                <w:color w:val="000000"/>
                <w:u w:val="single"/>
              </w:rPr>
              <w:t>200</w:t>
            </w:r>
            <w:r>
              <w:rPr>
                <w:color w:val="000000"/>
                <w:u w:val="single"/>
              </w:rPr>
              <w:t>7</w:t>
            </w:r>
            <w:r>
              <w:rPr>
                <w:color w:val="000000"/>
              </w:rPr>
              <w:t xml:space="preserve"> hourly rate of $230 and a </w:t>
            </w:r>
            <w:r w:rsidRPr="009522B7">
              <w:rPr>
                <w:color w:val="000000"/>
                <w:u w:val="single"/>
              </w:rPr>
              <w:t>2008</w:t>
            </w:r>
            <w:r>
              <w:rPr>
                <w:color w:val="000000"/>
              </w:rPr>
              <w:t xml:space="preserve"> hourly rate of $235 for Mr. Howat.  The Commission increased Mr. Howat’s rate to $240 for his work in 2012 in D.13-04-009.  </w:t>
            </w:r>
          </w:p>
          <w:p w14:paraId="415E5DD8" w14:textId="77777777" w:rsidR="00C671DA" w:rsidRDefault="00C671DA" w:rsidP="00C36D4F">
            <w:pPr>
              <w:tabs>
                <w:tab w:val="left" w:pos="1260"/>
              </w:tabs>
              <w:rPr>
                <w:color w:val="000000"/>
              </w:rPr>
            </w:pPr>
          </w:p>
          <w:p w14:paraId="5C42FF82" w14:textId="77777777" w:rsidR="00C671DA" w:rsidRDefault="00C671DA" w:rsidP="00C36D4F">
            <w:pPr>
              <w:tabs>
                <w:tab w:val="left" w:pos="1260"/>
              </w:tabs>
              <w:rPr>
                <w:color w:val="000000"/>
              </w:rPr>
            </w:pPr>
            <w:r>
              <w:rPr>
                <w:color w:val="000000"/>
              </w:rPr>
              <w:t>If one were to apply the COLAs adopted by the Commission for 2013 (2%, per Res. ALJ-287), 2014 (2.58%, per Res. ALJ-303), 2015 (0%, per Res. ALJ-308), and 2016 (1.28%, per Res. ALJ-329), to Mr. Howat’s 2012 rate of $240, the result would be a $250 rate in 2015 and a $255 rate in 2016 (rounded to the nearest $5).</w:t>
            </w:r>
          </w:p>
          <w:p w14:paraId="1151087A" w14:textId="77777777" w:rsidR="00C671DA" w:rsidRDefault="00C671DA" w:rsidP="00C36D4F">
            <w:pPr>
              <w:tabs>
                <w:tab w:val="left" w:pos="1260"/>
              </w:tabs>
              <w:rPr>
                <w:color w:val="000000"/>
              </w:rPr>
            </w:pPr>
          </w:p>
          <w:p w14:paraId="6CBEF986" w14:textId="77777777" w:rsidR="00C671DA" w:rsidRDefault="00C671DA" w:rsidP="00C36D4F">
            <w:pPr>
              <w:tabs>
                <w:tab w:val="left" w:pos="1260"/>
              </w:tabs>
              <w:rPr>
                <w:color w:val="000000"/>
              </w:rPr>
            </w:pPr>
            <w:r>
              <w:rPr>
                <w:color w:val="000000"/>
              </w:rPr>
              <w:t xml:space="preserve">For </w:t>
            </w:r>
            <w:proofErr w:type="gramStart"/>
            <w:r>
              <w:rPr>
                <w:color w:val="000000"/>
              </w:rPr>
              <w:t>all of</w:t>
            </w:r>
            <w:proofErr w:type="gramEnd"/>
            <w:r>
              <w:rPr>
                <w:color w:val="000000"/>
              </w:rPr>
              <w:t xml:space="preserve"> these reasons, TURN submits that the Commission should find that an hourly rate of $250 for Mr. Colton’s work in 2015 and 2016 is reasonable.</w:t>
            </w:r>
          </w:p>
          <w:p w14:paraId="75777546" w14:textId="77777777" w:rsidR="00C671DA" w:rsidRDefault="00C671DA" w:rsidP="00C36D4F">
            <w:pPr>
              <w:tabs>
                <w:tab w:val="left" w:pos="1260"/>
              </w:tabs>
              <w:spacing w:before="120"/>
              <w:rPr>
                <w:b/>
                <w:color w:val="000000"/>
              </w:rPr>
            </w:pPr>
          </w:p>
        </w:tc>
      </w:tr>
      <w:tr w:rsidR="00C671DA" w:rsidRPr="007F620E" w14:paraId="7D9C7AA1" w14:textId="77777777" w:rsidTr="00C36D4F">
        <w:tc>
          <w:tcPr>
            <w:tcW w:w="1430" w:type="dxa"/>
            <w:shd w:val="clear" w:color="auto" w:fill="auto"/>
          </w:tcPr>
          <w:p w14:paraId="2575E977" w14:textId="77777777" w:rsidR="00C671DA" w:rsidRPr="007F620E" w:rsidRDefault="00C671DA" w:rsidP="00C36D4F">
            <w:pPr>
              <w:tabs>
                <w:tab w:val="left" w:pos="1260"/>
              </w:tabs>
              <w:spacing w:before="120"/>
              <w:rPr>
                <w:color w:val="000000"/>
              </w:rPr>
            </w:pPr>
            <w:r>
              <w:rPr>
                <w:color w:val="000000"/>
              </w:rPr>
              <w:lastRenderedPageBreak/>
              <w:t>Comment 4</w:t>
            </w:r>
          </w:p>
        </w:tc>
        <w:tc>
          <w:tcPr>
            <w:tcW w:w="8015" w:type="dxa"/>
            <w:shd w:val="clear" w:color="auto" w:fill="auto"/>
          </w:tcPr>
          <w:p w14:paraId="378A3521" w14:textId="77777777" w:rsidR="00C671DA" w:rsidRDefault="00C671DA" w:rsidP="00C36D4F">
            <w:pPr>
              <w:tabs>
                <w:tab w:val="left" w:pos="1260"/>
              </w:tabs>
              <w:spacing w:before="120"/>
              <w:rPr>
                <w:b/>
                <w:color w:val="000000"/>
              </w:rPr>
            </w:pPr>
            <w:r>
              <w:rPr>
                <w:b/>
                <w:color w:val="000000"/>
              </w:rPr>
              <w:t>Hourly Rates for The Wired Group Experts</w:t>
            </w:r>
          </w:p>
          <w:p w14:paraId="4C24F4A0" w14:textId="77777777" w:rsidR="00C671DA" w:rsidRDefault="00C671DA" w:rsidP="00C36D4F"/>
          <w:p w14:paraId="40C97C76" w14:textId="77777777" w:rsidR="00C671DA" w:rsidRDefault="00C671DA" w:rsidP="00C36D4F">
            <w:r>
              <w:t xml:space="preserve">TURN requests that the Commission adopt an hourly rate of $275 for Mr. Alvarez, $225 for Mr. Stephens, and $225 for Mr. Carter, which </w:t>
            </w:r>
            <w:bookmarkStart w:id="2" w:name="_Hlk534795240"/>
            <w:r>
              <w:t xml:space="preserve">are the actual rates billed by the Wired Group for the services of these experts. </w:t>
            </w:r>
            <w:bookmarkEnd w:id="2"/>
            <w:r>
              <w:t>The Commission has not previously adopted an authorized rate for these experts. In accordance with D.08-04-010, TURN demonstrates in this section that the requested hourly rates are within the adopted ranges and consistent with rates previously awarded to representatives with comparable training and experience.</w:t>
            </w:r>
          </w:p>
          <w:p w14:paraId="0CB888A5" w14:textId="77777777" w:rsidR="00C671DA" w:rsidRDefault="00C671DA" w:rsidP="00C36D4F"/>
          <w:p w14:paraId="1E5EEA40" w14:textId="77777777" w:rsidR="00C671DA" w:rsidRDefault="00C671DA" w:rsidP="00C36D4F">
            <w:r>
              <w:t>A detailed summary of the resumes of these experts is provided in the “Reasonableness of Hours” section above. Their complete resumes for Mr. Alvarez and Mr. Stephens are included as Appendices A and B to Exhibit TURN-5.</w:t>
            </w:r>
            <w:r w:rsidRPr="000F79FC">
              <w:t xml:space="preserve"> </w:t>
            </w:r>
            <w:r>
              <w:t xml:space="preserve">Mr. </w:t>
            </w:r>
            <w:bookmarkStart w:id="3" w:name="_Hlk534797024"/>
            <w:r>
              <w:t xml:space="preserve">Alvarez has over fifteen years of experience in the utility sector, including seven years working for Xcel Energy in product development for demand-side management products and services. </w:t>
            </w:r>
            <w:bookmarkEnd w:id="3"/>
            <w:r>
              <w:t xml:space="preserve">Prior to his utility work, Mr. Alvarez had over fifteen years of experience in product management and product development with senior level positions at large Fortune 500 corporations. Mr. Stephens has over forty years’ experience in the utility sector, including thirty-five years (1975-2011) working as an engineer with increasing responsibilities </w:t>
            </w:r>
            <w:r>
              <w:lastRenderedPageBreak/>
              <w:t xml:space="preserve">for Xcel Energy. Mr. </w:t>
            </w:r>
            <w:bookmarkStart w:id="4" w:name="_Hlk534810028"/>
            <w:r>
              <w:t>Carter likewise has over thirty years of relevant technical experience in distribution asset management and load management.</w:t>
            </w:r>
            <w:bookmarkEnd w:id="4"/>
          </w:p>
          <w:p w14:paraId="3A4D5797" w14:textId="77777777" w:rsidR="00C671DA" w:rsidRDefault="00C671DA" w:rsidP="00C36D4F"/>
          <w:p w14:paraId="44261A7D" w14:textId="77777777" w:rsidR="00C671DA" w:rsidRDefault="00C671DA" w:rsidP="00C36D4F">
            <w:r>
              <w:t xml:space="preserve">The requested </w:t>
            </w:r>
            <w:r w:rsidRPr="00420593">
              <w:rPr>
                <w:b/>
                <w:noProof/>
                <w:color w:val="000000"/>
              </w:rPr>
              <w:drawing>
                <wp:inline distT="0" distB="0" distL="0" distR="0" wp14:anchorId="77F15051" wp14:editId="7FA33E44">
                  <wp:extent cx="4990999" cy="47980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5818" cy="4812306"/>
                          </a:xfrm>
                          <a:prstGeom prst="rect">
                            <a:avLst/>
                          </a:prstGeom>
                        </pic:spPr>
                      </pic:pic>
                    </a:graphicData>
                  </a:graphic>
                </wp:inline>
              </w:drawing>
            </w:r>
            <w:r>
              <w:t>hourly rates of $275 and $225 are thus at the low end of the approved range of $170-$425 for experts with more than 13 years of experience (Resolution ALJ-329, p. 4), reflecting the fact that the Wired Group charges discounted rates for consumer and environmental advocates.</w:t>
            </w:r>
          </w:p>
          <w:p w14:paraId="04D31710" w14:textId="77777777" w:rsidR="00C671DA" w:rsidRDefault="00C671DA" w:rsidP="00C36D4F"/>
          <w:p w14:paraId="312878A3" w14:textId="77777777" w:rsidR="00C671DA" w:rsidRDefault="00C671DA" w:rsidP="00C36D4F">
            <w:r>
              <w:t>The requested hourly rates are comparable to rates adopted in 2014-2015 for experts with comparable experience, which range from about $180 to $335, as shown in the following excerpt from the hourly rate table:</w:t>
            </w:r>
          </w:p>
          <w:p w14:paraId="78A8C50D" w14:textId="77777777" w:rsidR="00C671DA" w:rsidRPr="007F620E" w:rsidRDefault="00C671DA" w:rsidP="00C36D4F">
            <w:pPr>
              <w:tabs>
                <w:tab w:val="left" w:pos="1260"/>
              </w:tabs>
              <w:spacing w:before="120"/>
              <w:rPr>
                <w:b/>
                <w:color w:val="000000"/>
              </w:rPr>
            </w:pPr>
          </w:p>
        </w:tc>
      </w:tr>
      <w:tr w:rsidR="00C671DA" w:rsidRPr="007F620E" w14:paraId="4EBA1587" w14:textId="77777777" w:rsidTr="00C36D4F">
        <w:tc>
          <w:tcPr>
            <w:tcW w:w="1430" w:type="dxa"/>
            <w:shd w:val="clear" w:color="auto" w:fill="auto"/>
          </w:tcPr>
          <w:p w14:paraId="77197CE1" w14:textId="77777777" w:rsidR="00C671DA" w:rsidRPr="007F620E" w:rsidRDefault="00C671DA" w:rsidP="00C36D4F">
            <w:pPr>
              <w:tabs>
                <w:tab w:val="left" w:pos="1260"/>
              </w:tabs>
              <w:spacing w:before="120"/>
              <w:rPr>
                <w:color w:val="000000"/>
              </w:rPr>
            </w:pPr>
            <w:r>
              <w:rPr>
                <w:color w:val="000000"/>
              </w:rPr>
              <w:lastRenderedPageBreak/>
              <w:t>Comment 5</w:t>
            </w:r>
          </w:p>
        </w:tc>
        <w:tc>
          <w:tcPr>
            <w:tcW w:w="8015" w:type="dxa"/>
            <w:shd w:val="clear" w:color="auto" w:fill="auto"/>
          </w:tcPr>
          <w:p w14:paraId="27D8B076" w14:textId="77777777" w:rsidR="00C671DA" w:rsidRDefault="00C671DA" w:rsidP="00C36D4F">
            <w:pPr>
              <w:tabs>
                <w:tab w:val="left" w:pos="1260"/>
              </w:tabs>
              <w:spacing w:before="120"/>
              <w:rPr>
                <w:b/>
                <w:color w:val="000000"/>
              </w:rPr>
            </w:pPr>
            <w:r>
              <w:rPr>
                <w:b/>
                <w:color w:val="000000"/>
              </w:rPr>
              <w:t xml:space="preserve">2016 Hourly Rates for Snavely, King, </w:t>
            </w:r>
            <w:proofErr w:type="spellStart"/>
            <w:r>
              <w:rPr>
                <w:b/>
                <w:color w:val="000000"/>
              </w:rPr>
              <w:t>Majoros</w:t>
            </w:r>
            <w:proofErr w:type="spellEnd"/>
            <w:r>
              <w:rPr>
                <w:b/>
                <w:color w:val="000000"/>
              </w:rPr>
              <w:t xml:space="preserve"> &amp; Associates Experts </w:t>
            </w:r>
          </w:p>
          <w:p w14:paraId="3EF667EC" w14:textId="77777777" w:rsidR="00C671DA" w:rsidRDefault="00C671DA" w:rsidP="00C36D4F">
            <w:pPr>
              <w:pStyle w:val="p1"/>
              <w:rPr>
                <w:rFonts w:ascii="Times New Roman" w:hAnsi="Times New Roman"/>
                <w:sz w:val="24"/>
                <w:szCs w:val="24"/>
              </w:rPr>
            </w:pPr>
          </w:p>
          <w:p w14:paraId="0DFDA666" w14:textId="77777777" w:rsidR="00C671DA" w:rsidRDefault="00C671DA" w:rsidP="00C36D4F">
            <w:pPr>
              <w:pStyle w:val="p1"/>
              <w:rPr>
                <w:rFonts w:ascii="Times New Roman" w:hAnsi="Times New Roman"/>
                <w:sz w:val="24"/>
                <w:szCs w:val="24"/>
              </w:rPr>
            </w:pPr>
            <w:r>
              <w:rPr>
                <w:rFonts w:ascii="Times New Roman" w:hAnsi="Times New Roman"/>
                <w:sz w:val="24"/>
                <w:szCs w:val="24"/>
              </w:rPr>
              <w:t xml:space="preserve">Snavely, King, </w:t>
            </w:r>
            <w:proofErr w:type="spellStart"/>
            <w:r>
              <w:rPr>
                <w:rFonts w:ascii="Times New Roman" w:hAnsi="Times New Roman"/>
                <w:sz w:val="24"/>
                <w:szCs w:val="24"/>
              </w:rPr>
              <w:t>Majoros</w:t>
            </w:r>
            <w:proofErr w:type="spellEnd"/>
            <w:r>
              <w:rPr>
                <w:rFonts w:ascii="Times New Roman" w:hAnsi="Times New Roman"/>
                <w:sz w:val="24"/>
                <w:szCs w:val="24"/>
              </w:rPr>
              <w:t xml:space="preserve"> &amp; Associates charged TURN $220 per hour for work performed by Michael </w:t>
            </w:r>
            <w:proofErr w:type="spellStart"/>
            <w:r>
              <w:rPr>
                <w:rFonts w:ascii="Times New Roman" w:hAnsi="Times New Roman"/>
                <w:sz w:val="24"/>
                <w:szCs w:val="24"/>
              </w:rPr>
              <w:t>Majoros</w:t>
            </w:r>
            <w:proofErr w:type="spellEnd"/>
            <w:r>
              <w:rPr>
                <w:rFonts w:ascii="Times New Roman" w:hAnsi="Times New Roman"/>
                <w:sz w:val="24"/>
                <w:szCs w:val="24"/>
              </w:rPr>
              <w:t xml:space="preserve"> in 2016.  This is below the $240 per hour the </w:t>
            </w:r>
            <w:r>
              <w:rPr>
                <w:rFonts w:ascii="Times New Roman" w:hAnsi="Times New Roman"/>
                <w:sz w:val="24"/>
                <w:szCs w:val="24"/>
              </w:rPr>
              <w:lastRenderedPageBreak/>
              <w:t xml:space="preserve">Commission found reasonable for his work performed in 2005 (that is, more than ten years earlier) in the SCE 2005 GRC (D.06-10-018).  The Commission should find Mr. </w:t>
            </w:r>
            <w:proofErr w:type="spellStart"/>
            <w:r>
              <w:rPr>
                <w:rFonts w:ascii="Times New Roman" w:hAnsi="Times New Roman"/>
                <w:sz w:val="24"/>
                <w:szCs w:val="24"/>
              </w:rPr>
              <w:t>Majoros</w:t>
            </w:r>
            <w:proofErr w:type="spellEnd"/>
            <w:r>
              <w:rPr>
                <w:rFonts w:ascii="Times New Roman" w:hAnsi="Times New Roman"/>
                <w:sz w:val="24"/>
                <w:szCs w:val="24"/>
              </w:rPr>
              <w:t xml:space="preserve">’ current rate of $220 reasonable based on that earlier finding.  </w:t>
            </w:r>
          </w:p>
          <w:p w14:paraId="56E54C7A" w14:textId="77777777" w:rsidR="00C671DA" w:rsidRDefault="00C671DA" w:rsidP="00C36D4F">
            <w:pPr>
              <w:pStyle w:val="pleading"/>
              <w:spacing w:line="240" w:lineRule="auto"/>
              <w:ind w:firstLine="0"/>
              <w:rPr>
                <w:rFonts w:cs="Times New Roman"/>
                <w:szCs w:val="24"/>
              </w:rPr>
            </w:pPr>
          </w:p>
          <w:p w14:paraId="35B3D1B7" w14:textId="77777777" w:rsidR="00C671DA" w:rsidRPr="005C04BC" w:rsidRDefault="00C671DA" w:rsidP="00C36D4F">
            <w:pPr>
              <w:pStyle w:val="pleading"/>
              <w:spacing w:line="240" w:lineRule="auto"/>
              <w:ind w:firstLine="0"/>
            </w:pPr>
            <w:r>
              <w:rPr>
                <w:szCs w:val="24"/>
              </w:rPr>
              <w:t xml:space="preserve">Snavely, King, </w:t>
            </w:r>
            <w:proofErr w:type="spellStart"/>
            <w:r>
              <w:rPr>
                <w:szCs w:val="24"/>
              </w:rPr>
              <w:t>Majoros</w:t>
            </w:r>
            <w:proofErr w:type="spellEnd"/>
            <w:r>
              <w:rPr>
                <w:szCs w:val="24"/>
              </w:rPr>
              <w:t xml:space="preserve"> &amp; Associates charged TURN $145 per hour for work performed by James </w:t>
            </w:r>
            <w:proofErr w:type="spellStart"/>
            <w:r>
              <w:rPr>
                <w:szCs w:val="24"/>
              </w:rPr>
              <w:t>Garren</w:t>
            </w:r>
            <w:proofErr w:type="spellEnd"/>
            <w:r>
              <w:rPr>
                <w:szCs w:val="24"/>
              </w:rPr>
              <w:t xml:space="preserve"> in 2016.  </w:t>
            </w:r>
            <w:r w:rsidRPr="005C04BC">
              <w:t xml:space="preserve">TURN </w:t>
            </w:r>
            <w:r>
              <w:t>is requesting</w:t>
            </w:r>
            <w:r w:rsidRPr="005C04BC">
              <w:t xml:space="preserve"> compensation for the work of </w:t>
            </w:r>
            <w:r>
              <w:t xml:space="preserve">James </w:t>
            </w:r>
            <w:proofErr w:type="spellStart"/>
            <w:r>
              <w:t>Garren</w:t>
            </w:r>
            <w:proofErr w:type="spellEnd"/>
            <w:r>
              <w:t xml:space="preserve"> for the first time in this proceeding</w:t>
            </w:r>
            <w:r w:rsidRPr="005C04BC">
              <w:t xml:space="preserve">. </w:t>
            </w:r>
            <w:r>
              <w:t xml:space="preserve"> Mr. </w:t>
            </w:r>
            <w:proofErr w:type="spellStart"/>
            <w:r>
              <w:t>Garren</w:t>
            </w:r>
            <w:proofErr w:type="spellEnd"/>
            <w:r>
              <w:t xml:space="preserve"> is a consultant with the firm, and his statement of qualifications (Appendix A to his testimony) highlights his training as a depreciation expert and his prior experience as a witness sponsoring testimony produced by the firm.  In 2016, he had approximately six years of experience with the firm.  The $14</w:t>
            </w:r>
            <w:r w:rsidRPr="005C04BC">
              <w:t xml:space="preserve">5 hourly rate is </w:t>
            </w:r>
            <w:r>
              <w:t xml:space="preserve">very near the lowest end of the range the Commission has adopted for work performed in 2016 by expert witnesses with 0-6 years of experience ($140-$205, per Res. ALJ-345).  </w:t>
            </w:r>
            <w:r w:rsidRPr="005C04BC">
              <w:t xml:space="preserve">TURN submits that </w:t>
            </w:r>
            <w:r>
              <w:t xml:space="preserve">the requested $145 hourly rate is extremely reasonable </w:t>
            </w:r>
            <w:r w:rsidRPr="005C04BC">
              <w:t>for work performed</w:t>
            </w:r>
            <w:r>
              <w:t xml:space="preserve"> in 2016 by someone with Mr. </w:t>
            </w:r>
            <w:proofErr w:type="spellStart"/>
            <w:r>
              <w:t>Garren</w:t>
            </w:r>
            <w:r w:rsidRPr="005C04BC">
              <w:t>’s</w:t>
            </w:r>
            <w:proofErr w:type="spellEnd"/>
            <w:r w:rsidRPr="005C04BC">
              <w:t xml:space="preserve"> credentials and qualifications.</w:t>
            </w:r>
          </w:p>
          <w:p w14:paraId="4E813AD0" w14:textId="77777777" w:rsidR="00C671DA" w:rsidRPr="007F620E" w:rsidRDefault="00C671DA" w:rsidP="00C36D4F">
            <w:pPr>
              <w:tabs>
                <w:tab w:val="left" w:pos="1260"/>
              </w:tabs>
              <w:spacing w:before="120"/>
              <w:rPr>
                <w:b/>
                <w:color w:val="000000"/>
              </w:rPr>
            </w:pPr>
          </w:p>
        </w:tc>
      </w:tr>
      <w:tr w:rsidR="00C671DA" w:rsidRPr="007F620E" w14:paraId="4CA1394E" w14:textId="77777777" w:rsidTr="00C36D4F">
        <w:tc>
          <w:tcPr>
            <w:tcW w:w="1430" w:type="dxa"/>
            <w:shd w:val="clear" w:color="auto" w:fill="auto"/>
          </w:tcPr>
          <w:p w14:paraId="53D8BF52" w14:textId="77777777" w:rsidR="00C671DA" w:rsidRPr="007F620E" w:rsidRDefault="00C671DA" w:rsidP="00C36D4F">
            <w:pPr>
              <w:tabs>
                <w:tab w:val="left" w:pos="1260"/>
              </w:tabs>
              <w:spacing w:before="120"/>
              <w:rPr>
                <w:color w:val="000000"/>
              </w:rPr>
            </w:pPr>
            <w:r>
              <w:rPr>
                <w:color w:val="000000"/>
              </w:rPr>
              <w:lastRenderedPageBreak/>
              <w:t>Comment 6</w:t>
            </w:r>
          </w:p>
        </w:tc>
        <w:tc>
          <w:tcPr>
            <w:tcW w:w="8015" w:type="dxa"/>
            <w:shd w:val="clear" w:color="auto" w:fill="auto"/>
          </w:tcPr>
          <w:p w14:paraId="3D30A07B" w14:textId="77777777" w:rsidR="00C671DA" w:rsidRDefault="00C671DA" w:rsidP="00C36D4F">
            <w:pPr>
              <w:tabs>
                <w:tab w:val="left" w:pos="1260"/>
              </w:tabs>
              <w:spacing w:before="120"/>
              <w:rPr>
                <w:b/>
                <w:color w:val="000000"/>
              </w:rPr>
            </w:pPr>
            <w:r>
              <w:rPr>
                <w:b/>
                <w:color w:val="000000"/>
              </w:rPr>
              <w:t xml:space="preserve">2015, 2016 Hourly Rates for Jeffrey </w:t>
            </w:r>
            <w:proofErr w:type="spellStart"/>
            <w:r>
              <w:rPr>
                <w:b/>
                <w:color w:val="000000"/>
              </w:rPr>
              <w:t>Nahigian</w:t>
            </w:r>
            <w:proofErr w:type="spellEnd"/>
          </w:p>
          <w:p w14:paraId="0D89538C" w14:textId="77777777" w:rsidR="00C671DA" w:rsidRDefault="00C671DA" w:rsidP="00C36D4F">
            <w:pPr>
              <w:tabs>
                <w:tab w:val="left" w:pos="1260"/>
              </w:tabs>
              <w:rPr>
                <w:color w:val="000000"/>
              </w:rPr>
            </w:pPr>
          </w:p>
          <w:p w14:paraId="6856D290" w14:textId="77777777" w:rsidR="00C671DA" w:rsidRDefault="00C671DA" w:rsidP="00C36D4F">
            <w:pPr>
              <w:tabs>
                <w:tab w:val="left" w:pos="1260"/>
              </w:tabs>
              <w:rPr>
                <w:color w:val="000000"/>
              </w:rPr>
            </w:pPr>
            <w:r>
              <w:rPr>
                <w:color w:val="000000"/>
              </w:rPr>
              <w:t xml:space="preserve">TURN requests an hourly rate of $215 for Jeffrey </w:t>
            </w:r>
            <w:proofErr w:type="spellStart"/>
            <w:r>
              <w:rPr>
                <w:color w:val="000000"/>
              </w:rPr>
              <w:t>Nahigian’s</w:t>
            </w:r>
            <w:proofErr w:type="spellEnd"/>
            <w:r>
              <w:rPr>
                <w:color w:val="000000"/>
              </w:rPr>
              <w:t xml:space="preserve"> work in this proceeding in both 2015 and 2016.  This is the actual market rate charged by Mr. </w:t>
            </w:r>
            <w:proofErr w:type="spellStart"/>
            <w:r>
              <w:rPr>
                <w:color w:val="000000"/>
              </w:rPr>
              <w:t>Nahigian</w:t>
            </w:r>
            <w:proofErr w:type="spellEnd"/>
            <w:r>
              <w:rPr>
                <w:color w:val="000000"/>
              </w:rPr>
              <w:t xml:space="preserve"> to TURN.  </w:t>
            </w:r>
          </w:p>
          <w:p w14:paraId="65D8BAB2" w14:textId="77777777" w:rsidR="00C671DA" w:rsidRDefault="00C671DA" w:rsidP="00C36D4F">
            <w:pPr>
              <w:tabs>
                <w:tab w:val="left" w:pos="1260"/>
              </w:tabs>
              <w:rPr>
                <w:color w:val="000000"/>
              </w:rPr>
            </w:pPr>
            <w:r>
              <w:rPr>
                <w:color w:val="000000"/>
              </w:rPr>
              <w:t xml:space="preserve">In D.15-08-023 (PG&amp;E 2014 GRC), the Commission adopted a rate of $210 for Mr. </w:t>
            </w:r>
            <w:proofErr w:type="spellStart"/>
            <w:r>
              <w:rPr>
                <w:color w:val="000000"/>
              </w:rPr>
              <w:t>Nahigian’s</w:t>
            </w:r>
            <w:proofErr w:type="spellEnd"/>
            <w:r>
              <w:rPr>
                <w:color w:val="000000"/>
              </w:rPr>
              <w:t xml:space="preserve"> work in 2014 by applying the 2014 COLA to his 2013 authorized rate of $205.  However, in D.16-04-011 (SCE 2015 GRC), the Commission adopted a rate of $205 for his work in 2014.  TURN had requested this lower rate because it was his actual billing rate in 2014.  The Commission can reconcile these two different rates in the setting of Mr. </w:t>
            </w:r>
            <w:proofErr w:type="spellStart"/>
            <w:r>
              <w:rPr>
                <w:color w:val="000000"/>
              </w:rPr>
              <w:t>Nahigian’s</w:t>
            </w:r>
            <w:proofErr w:type="spellEnd"/>
            <w:r>
              <w:rPr>
                <w:color w:val="000000"/>
              </w:rPr>
              <w:t xml:space="preserve"> 2015 rate.</w:t>
            </w:r>
          </w:p>
          <w:p w14:paraId="467F3D71" w14:textId="77777777" w:rsidR="00C671DA" w:rsidRDefault="00C671DA" w:rsidP="00C36D4F">
            <w:pPr>
              <w:tabs>
                <w:tab w:val="left" w:pos="1260"/>
              </w:tabs>
              <w:rPr>
                <w:color w:val="000000"/>
              </w:rPr>
            </w:pPr>
          </w:p>
          <w:p w14:paraId="1A64FEC8" w14:textId="77777777" w:rsidR="00C671DA" w:rsidRDefault="00C671DA" w:rsidP="00C36D4F">
            <w:pPr>
              <w:tabs>
                <w:tab w:val="left" w:pos="1260"/>
              </w:tabs>
              <w:rPr>
                <w:color w:val="000000"/>
              </w:rPr>
            </w:pPr>
            <w:r>
              <w:rPr>
                <w:color w:val="000000"/>
              </w:rPr>
              <w:t xml:space="preserve">TURN recommends that the Commission authorize a 2015 rate of $215 for Mr. </w:t>
            </w:r>
            <w:proofErr w:type="spellStart"/>
            <w:r>
              <w:rPr>
                <w:color w:val="000000"/>
              </w:rPr>
              <w:t>Nahigian</w:t>
            </w:r>
            <w:proofErr w:type="spellEnd"/>
            <w:r>
              <w:rPr>
                <w:color w:val="000000"/>
              </w:rPr>
              <w:t xml:space="preserve"> by applying a 5% step increase to the lower of the two rates previously authorized for him in 2014, $205.  TURN has not previously used a 5% step increase, as permitted by D.07-01-009 and D.08-04-010, to justify a rate increase for Mr. </w:t>
            </w:r>
            <w:proofErr w:type="spellStart"/>
            <w:r>
              <w:rPr>
                <w:color w:val="000000"/>
              </w:rPr>
              <w:t>Nahigian</w:t>
            </w:r>
            <w:proofErr w:type="spellEnd"/>
            <w:r>
              <w:rPr>
                <w:color w:val="000000"/>
              </w:rPr>
              <w:t xml:space="preserve">, who has long been in the 13+ year experience tier for experts.  Escalating the 2014 rate of $205 by 5% produces a 2015 rate of $215, consistent with TURN’s request here.  </w:t>
            </w:r>
          </w:p>
          <w:p w14:paraId="2F8EF342" w14:textId="77777777" w:rsidR="00C671DA" w:rsidRDefault="00C671DA" w:rsidP="00C36D4F">
            <w:pPr>
              <w:tabs>
                <w:tab w:val="left" w:pos="1260"/>
              </w:tabs>
              <w:rPr>
                <w:color w:val="000000"/>
              </w:rPr>
            </w:pPr>
          </w:p>
          <w:p w14:paraId="1A16F216" w14:textId="77777777" w:rsidR="00C671DA" w:rsidRDefault="00C671DA" w:rsidP="00C36D4F">
            <w:pPr>
              <w:tabs>
                <w:tab w:val="left" w:pos="1260"/>
              </w:tabs>
              <w:rPr>
                <w:color w:val="000000"/>
              </w:rPr>
            </w:pPr>
            <w:r>
              <w:rPr>
                <w:color w:val="000000"/>
              </w:rPr>
              <w:t xml:space="preserve">The Commission could alternatively escalate the higher rate authorized for Mr. </w:t>
            </w:r>
            <w:proofErr w:type="spellStart"/>
            <w:r>
              <w:rPr>
                <w:color w:val="000000"/>
              </w:rPr>
              <w:t>Nahigian</w:t>
            </w:r>
            <w:proofErr w:type="spellEnd"/>
            <w:r>
              <w:rPr>
                <w:color w:val="000000"/>
              </w:rPr>
              <w:t xml:space="preserve"> in 2014, $210, by the 2016 COLA of 2.14% (Res. ALJ-345), to produce the requested $215 billing rate in 2016.  However, as there was no COLA for 2015, TURN requests that the Commission apply the “step increase” justification to support the rate of $215 for both 2015 and 2016.  As noted above, this is the actual hourly rate that Mr. </w:t>
            </w:r>
            <w:proofErr w:type="spellStart"/>
            <w:r>
              <w:rPr>
                <w:color w:val="000000"/>
              </w:rPr>
              <w:t>Nahigian</w:t>
            </w:r>
            <w:proofErr w:type="spellEnd"/>
            <w:r>
              <w:rPr>
                <w:color w:val="000000"/>
              </w:rPr>
              <w:t xml:space="preserve"> has billed TURN at in 2015 and 2016. </w:t>
            </w:r>
          </w:p>
          <w:p w14:paraId="7D51F7ED" w14:textId="77777777" w:rsidR="00C671DA" w:rsidRPr="007F620E" w:rsidRDefault="00C671DA" w:rsidP="00C36D4F">
            <w:pPr>
              <w:tabs>
                <w:tab w:val="left" w:pos="1260"/>
              </w:tabs>
              <w:spacing w:before="120"/>
              <w:rPr>
                <w:b/>
                <w:color w:val="000000"/>
              </w:rPr>
            </w:pPr>
          </w:p>
        </w:tc>
      </w:tr>
      <w:tr w:rsidR="00C671DA" w:rsidRPr="007F620E" w14:paraId="5E645467" w14:textId="77777777" w:rsidTr="00C36D4F">
        <w:tc>
          <w:tcPr>
            <w:tcW w:w="1430" w:type="dxa"/>
            <w:shd w:val="clear" w:color="auto" w:fill="auto"/>
          </w:tcPr>
          <w:p w14:paraId="60204910" w14:textId="77777777" w:rsidR="00C671DA" w:rsidRPr="007F620E" w:rsidRDefault="00C671DA" w:rsidP="00C36D4F">
            <w:pPr>
              <w:tabs>
                <w:tab w:val="left" w:pos="1260"/>
              </w:tabs>
              <w:spacing w:before="120"/>
              <w:rPr>
                <w:color w:val="000000"/>
              </w:rPr>
            </w:pPr>
            <w:r>
              <w:rPr>
                <w:color w:val="000000"/>
              </w:rPr>
              <w:lastRenderedPageBreak/>
              <w:t>Comment 7</w:t>
            </w:r>
          </w:p>
        </w:tc>
        <w:tc>
          <w:tcPr>
            <w:tcW w:w="8015" w:type="dxa"/>
            <w:shd w:val="clear" w:color="auto" w:fill="auto"/>
          </w:tcPr>
          <w:p w14:paraId="519FE1F3" w14:textId="77777777" w:rsidR="00C671DA" w:rsidRPr="005B1FBE" w:rsidRDefault="00C671DA" w:rsidP="00C36D4F">
            <w:pPr>
              <w:tabs>
                <w:tab w:val="left" w:pos="1260"/>
              </w:tabs>
              <w:spacing w:before="120"/>
              <w:rPr>
                <w:b/>
                <w:color w:val="000000"/>
              </w:rPr>
            </w:pPr>
            <w:r w:rsidRPr="005B1FBE">
              <w:rPr>
                <w:b/>
                <w:color w:val="000000"/>
              </w:rPr>
              <w:t>2015, 2016 Hourly Rates for Garrick Jones, JBS Energy</w:t>
            </w:r>
          </w:p>
          <w:p w14:paraId="7DABF9C5" w14:textId="77777777" w:rsidR="00C671DA" w:rsidRPr="005B1FBE" w:rsidRDefault="00C671DA" w:rsidP="00C36D4F">
            <w:pPr>
              <w:tabs>
                <w:tab w:val="left" w:pos="1260"/>
              </w:tabs>
              <w:rPr>
                <w:color w:val="000000"/>
              </w:rPr>
            </w:pPr>
          </w:p>
          <w:p w14:paraId="4999FA3E" w14:textId="77777777" w:rsidR="00C671DA" w:rsidRPr="005B1FBE" w:rsidRDefault="00C671DA" w:rsidP="00C36D4F">
            <w:pPr>
              <w:tabs>
                <w:tab w:val="left" w:pos="1260"/>
              </w:tabs>
              <w:rPr>
                <w:color w:val="000000"/>
              </w:rPr>
            </w:pPr>
            <w:r w:rsidRPr="005B1FBE">
              <w:rPr>
                <w:color w:val="000000"/>
              </w:rPr>
              <w:t xml:space="preserve">TURN requests an hourly rate of $180 for the work performed by Garrick Jones of JBS Energy in this proceeding in 2015.  The Commission has previously adopted rates of $180 and $185 for Mr. Jones’ work in 2015.  </w:t>
            </w:r>
            <w:r w:rsidRPr="005B1FBE">
              <w:rPr>
                <w:i/>
                <w:color w:val="000000"/>
              </w:rPr>
              <w:t xml:space="preserve">See, e.g., </w:t>
            </w:r>
            <w:r w:rsidRPr="005B1FBE">
              <w:rPr>
                <w:color w:val="000000"/>
              </w:rPr>
              <w:t xml:space="preserve">D.16-04-011 (SCE 2015 GRC) (adopting a 2015 hourly rate of $180); D.16-11-004 (Sempra 2016 GRC) (adopting a 2015 hourly rate of $185).  </w:t>
            </w:r>
          </w:p>
          <w:p w14:paraId="33220A25" w14:textId="77777777" w:rsidR="00C671DA" w:rsidRPr="005B1FBE" w:rsidRDefault="00C671DA" w:rsidP="00C36D4F">
            <w:pPr>
              <w:tabs>
                <w:tab w:val="left" w:pos="1260"/>
              </w:tabs>
              <w:rPr>
                <w:color w:val="000000"/>
              </w:rPr>
            </w:pPr>
          </w:p>
          <w:p w14:paraId="3BEBFD51" w14:textId="77777777" w:rsidR="00C671DA" w:rsidRDefault="00C671DA" w:rsidP="00C36D4F">
            <w:pPr>
              <w:tabs>
                <w:tab w:val="left" w:pos="1260"/>
              </w:tabs>
              <w:rPr>
                <w:color w:val="000000"/>
              </w:rPr>
            </w:pPr>
            <w:r w:rsidRPr="005B1FBE">
              <w:rPr>
                <w:color w:val="000000"/>
              </w:rPr>
              <w:t>TURN requests an hourly rate of $190 for Mr. Jones’ work in 2016.  The Commission has yet to adopt a rate for Mr. Jones’ 2016 work.  A rate of $190 for Mr. Jones’ work in 2016 is reasonable for the following reasons.</w:t>
            </w:r>
          </w:p>
          <w:p w14:paraId="6761D807" w14:textId="77777777" w:rsidR="00C671DA" w:rsidRDefault="00C671DA" w:rsidP="00C36D4F">
            <w:pPr>
              <w:tabs>
                <w:tab w:val="left" w:pos="1260"/>
              </w:tabs>
              <w:rPr>
                <w:color w:val="000000"/>
              </w:rPr>
            </w:pPr>
          </w:p>
          <w:p w14:paraId="2FA968F3" w14:textId="77777777" w:rsidR="00C671DA" w:rsidRDefault="00C671DA" w:rsidP="00C36D4F">
            <w:pPr>
              <w:tabs>
                <w:tab w:val="left" w:pos="1260"/>
              </w:tabs>
              <w:rPr>
                <w:color w:val="000000"/>
              </w:rPr>
            </w:pPr>
            <w:r>
              <w:rPr>
                <w:color w:val="000000"/>
              </w:rPr>
              <w:t xml:space="preserve">In D.15-11-019 (2012 Nuclear Decommissioning) the Commission adopted a rate of $180 for Mr. Jones’ work in the last quarter of 2014, commensurate with the time period when JBS Energy increased his hourly rate to $180.  At that time, the Commission calculated Mr. Jones’ experience as just over 7 </w:t>
            </w:r>
            <w:proofErr w:type="gramStart"/>
            <w:r>
              <w:rPr>
                <w:color w:val="000000"/>
              </w:rPr>
              <w:t>years, and</w:t>
            </w:r>
            <w:proofErr w:type="gramEnd"/>
            <w:r>
              <w:rPr>
                <w:color w:val="000000"/>
              </w:rPr>
              <w:t xml:space="preserve"> found that an increase from $170 to $180 in 2014 was reasonable as the first 5% step increase within the 7-12 year experience tier. D.15-11-019, p. 23.  As noted above, the Commission has adopted rates of both $180 and $185 for Mr. Jones in 2015.  However, TURN assumes that the Commission will adopt the lower rate of $180 here for Mr. Jones’ 2015 work.  Escalating that rate by both the 2016 COLA of 1.28% and also the second 5% step increase in the </w:t>
            </w:r>
            <w:proofErr w:type="gramStart"/>
            <w:r>
              <w:rPr>
                <w:color w:val="000000"/>
              </w:rPr>
              <w:t>7-12 year</w:t>
            </w:r>
            <w:proofErr w:type="gramEnd"/>
            <w:r>
              <w:rPr>
                <w:color w:val="000000"/>
              </w:rPr>
              <w:t xml:space="preserve"> tier, for a total increase of 6.28%, results in a rate of $190 (rounded down to the nearest $5 increment).</w:t>
            </w:r>
          </w:p>
          <w:p w14:paraId="112BF50B" w14:textId="77777777" w:rsidR="00C671DA" w:rsidRPr="007F620E" w:rsidRDefault="00C671DA" w:rsidP="00C36D4F">
            <w:pPr>
              <w:tabs>
                <w:tab w:val="left" w:pos="1260"/>
              </w:tabs>
              <w:rPr>
                <w:b/>
                <w:color w:val="000000"/>
              </w:rPr>
            </w:pPr>
            <w:r>
              <w:rPr>
                <w:color w:val="000000"/>
              </w:rPr>
              <w:t xml:space="preserve"> </w:t>
            </w:r>
          </w:p>
        </w:tc>
      </w:tr>
    </w:tbl>
    <w:p w14:paraId="4A06D01B" w14:textId="77777777" w:rsidR="00C671DA" w:rsidRPr="007F620E" w:rsidRDefault="00C671DA" w:rsidP="00C671DA">
      <w:pPr>
        <w:spacing w:before="240" w:after="240"/>
        <w:ind w:left="540" w:hanging="540"/>
        <w:rPr>
          <w:b/>
          <w:color w:val="000000"/>
        </w:rPr>
      </w:pPr>
      <w:r w:rsidRPr="007F620E">
        <w:rPr>
          <w:b/>
          <w:color w:val="000000"/>
        </w:rPr>
        <w:t>D.  CPUC Disallowances and Adjustments: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97"/>
      </w:tblGrid>
      <w:tr w:rsidR="00C671DA" w:rsidRPr="007F620E" w14:paraId="5B64B598" w14:textId="77777777" w:rsidTr="00C36D4F">
        <w:tc>
          <w:tcPr>
            <w:tcW w:w="1548" w:type="dxa"/>
            <w:shd w:val="pct12" w:color="auto" w:fill="auto"/>
          </w:tcPr>
          <w:p w14:paraId="026A69BD" w14:textId="77777777" w:rsidR="00C671DA" w:rsidRPr="007F620E" w:rsidRDefault="00C671DA" w:rsidP="00C36D4F">
            <w:pPr>
              <w:tabs>
                <w:tab w:val="left" w:pos="1440"/>
              </w:tabs>
              <w:spacing w:before="120"/>
              <w:jc w:val="center"/>
              <w:rPr>
                <w:b/>
                <w:color w:val="000000"/>
              </w:rPr>
            </w:pPr>
            <w:r w:rsidRPr="007F620E">
              <w:rPr>
                <w:b/>
                <w:color w:val="000000"/>
              </w:rPr>
              <w:t>Item</w:t>
            </w:r>
          </w:p>
        </w:tc>
        <w:tc>
          <w:tcPr>
            <w:tcW w:w="7897" w:type="dxa"/>
            <w:shd w:val="pct12" w:color="auto" w:fill="auto"/>
          </w:tcPr>
          <w:p w14:paraId="4767278A" w14:textId="77777777" w:rsidR="00C671DA" w:rsidRPr="007F620E" w:rsidRDefault="00C671DA" w:rsidP="00C36D4F">
            <w:pPr>
              <w:tabs>
                <w:tab w:val="left" w:pos="1440"/>
              </w:tabs>
              <w:spacing w:before="120"/>
              <w:jc w:val="center"/>
              <w:rPr>
                <w:b/>
                <w:color w:val="000000"/>
              </w:rPr>
            </w:pPr>
            <w:r w:rsidRPr="007F620E">
              <w:rPr>
                <w:b/>
                <w:color w:val="000000"/>
              </w:rPr>
              <w:t>Reason</w:t>
            </w:r>
          </w:p>
        </w:tc>
      </w:tr>
      <w:tr w:rsidR="00C671DA" w:rsidRPr="007F620E" w14:paraId="60362086" w14:textId="77777777" w:rsidTr="00C36D4F">
        <w:tc>
          <w:tcPr>
            <w:tcW w:w="1548" w:type="dxa"/>
            <w:shd w:val="clear" w:color="auto" w:fill="auto"/>
          </w:tcPr>
          <w:p w14:paraId="41977E9B" w14:textId="77777777" w:rsidR="00C671DA" w:rsidRPr="00031A26" w:rsidRDefault="00C671DA" w:rsidP="00C36D4F">
            <w:pPr>
              <w:tabs>
                <w:tab w:val="left" w:pos="1440"/>
              </w:tabs>
              <w:spacing w:before="120"/>
              <w:rPr>
                <w:color w:val="000000"/>
                <w:sz w:val="22"/>
                <w:szCs w:val="22"/>
              </w:rPr>
            </w:pPr>
            <w:r w:rsidRPr="00031A26">
              <w:rPr>
                <w:color w:val="000000"/>
                <w:sz w:val="22"/>
                <w:szCs w:val="22"/>
              </w:rPr>
              <w:t>Adoption of Hourly Rates</w:t>
            </w:r>
          </w:p>
        </w:tc>
        <w:tc>
          <w:tcPr>
            <w:tcW w:w="7897" w:type="dxa"/>
            <w:shd w:val="clear" w:color="auto" w:fill="auto"/>
          </w:tcPr>
          <w:p w14:paraId="6BE0D9D8" w14:textId="77777777" w:rsidR="00C671DA" w:rsidRPr="00031A26" w:rsidRDefault="00C671DA" w:rsidP="00C36D4F">
            <w:pPr>
              <w:rPr>
                <w:sz w:val="22"/>
                <w:szCs w:val="22"/>
              </w:rPr>
            </w:pPr>
            <w:r w:rsidRPr="00031A26">
              <w:rPr>
                <w:sz w:val="22"/>
                <w:szCs w:val="22"/>
              </w:rPr>
              <w:t xml:space="preserve">TURN requests an hourly rate of $250 for work performed by Colton in 2015.  </w:t>
            </w:r>
            <w:r w:rsidRPr="00031A26">
              <w:rPr>
                <w:color w:val="000000"/>
                <w:sz w:val="22"/>
                <w:szCs w:val="22"/>
              </w:rPr>
              <w:t>Colton has over 30 years regulatory ex</w:t>
            </w:r>
            <w:r w:rsidRPr="00031A26">
              <w:rPr>
                <w:sz w:val="22"/>
                <w:szCs w:val="22"/>
              </w:rPr>
              <w:t>perience working on rate and customer service issues and served as an expert witness before legislative, regulatory, and judicial bodies on numerous occasions regarding energy, water and telecommunications.  The Commission finds reasonable an hourly rate of $250 for Colton in 2015.</w:t>
            </w:r>
          </w:p>
          <w:p w14:paraId="2C1235FF" w14:textId="77777777" w:rsidR="00C671DA" w:rsidRPr="00031A26" w:rsidRDefault="00C671DA" w:rsidP="00C36D4F">
            <w:pPr>
              <w:rPr>
                <w:sz w:val="22"/>
                <w:szCs w:val="22"/>
              </w:rPr>
            </w:pPr>
          </w:p>
          <w:p w14:paraId="51AE3B4C" w14:textId="77777777" w:rsidR="00C671DA" w:rsidRPr="00031A26" w:rsidRDefault="00C671DA" w:rsidP="00C36D4F">
            <w:pPr>
              <w:rPr>
                <w:sz w:val="22"/>
                <w:szCs w:val="22"/>
              </w:rPr>
            </w:pPr>
            <w:r w:rsidRPr="00031A26">
              <w:rPr>
                <w:sz w:val="22"/>
                <w:szCs w:val="22"/>
              </w:rPr>
              <w:t>TURN requests an hourly rate of $275 for work performed by Alvarez in 2016.  Alvarez has over fifteen years of experience in the utility sector, including seven years working for Xcel Energy in product development for demand-side management products and services.  The Commission finds reasonable an hourly rate of $275 for Alvarez in 2016.</w:t>
            </w:r>
          </w:p>
          <w:p w14:paraId="2425AD46" w14:textId="77777777" w:rsidR="00C671DA" w:rsidRPr="00031A26" w:rsidRDefault="00C671DA" w:rsidP="00C36D4F">
            <w:pPr>
              <w:rPr>
                <w:sz w:val="22"/>
                <w:szCs w:val="22"/>
              </w:rPr>
            </w:pPr>
          </w:p>
          <w:p w14:paraId="54752807" w14:textId="77777777" w:rsidR="00C671DA" w:rsidRPr="00031A26" w:rsidRDefault="00C671DA" w:rsidP="00C36D4F">
            <w:pPr>
              <w:rPr>
                <w:sz w:val="22"/>
                <w:szCs w:val="22"/>
              </w:rPr>
            </w:pPr>
            <w:r w:rsidRPr="00031A26">
              <w:rPr>
                <w:sz w:val="22"/>
                <w:szCs w:val="22"/>
              </w:rPr>
              <w:t xml:space="preserve">TURN requests an hourly rate of $225 for work performed by Stephens in 2016.   During his 35-year tenure with Xcel Energy, he worked as an electrical engineer in distribution operations with increasing responsibility in areas of distribution design, planning, operations management, and asset management. In 2009, he established a </w:t>
            </w:r>
            <w:r w:rsidRPr="00031A26">
              <w:rPr>
                <w:sz w:val="22"/>
                <w:szCs w:val="22"/>
              </w:rPr>
              <w:lastRenderedPageBreak/>
              <w:t>DER integration strategy and capability road-map.  The Commission finds reasonable an hourly rate of $225 for Stephens in 2016.</w:t>
            </w:r>
          </w:p>
          <w:p w14:paraId="2D8D66F7" w14:textId="77777777" w:rsidR="00C671DA" w:rsidRPr="00031A26" w:rsidRDefault="00C671DA" w:rsidP="00C36D4F">
            <w:pPr>
              <w:rPr>
                <w:sz w:val="22"/>
                <w:szCs w:val="22"/>
              </w:rPr>
            </w:pPr>
          </w:p>
          <w:p w14:paraId="24B3E414" w14:textId="77777777" w:rsidR="00C671DA" w:rsidRPr="00031A26" w:rsidRDefault="00C671DA" w:rsidP="00C36D4F">
            <w:pPr>
              <w:rPr>
                <w:sz w:val="22"/>
                <w:szCs w:val="22"/>
              </w:rPr>
            </w:pPr>
            <w:r w:rsidRPr="00031A26">
              <w:rPr>
                <w:sz w:val="22"/>
                <w:szCs w:val="22"/>
              </w:rPr>
              <w:t xml:space="preserve">TURN requests an hourly rate of $225 for work performed by Carter in 2016.  Carter has a </w:t>
            </w:r>
            <w:proofErr w:type="gramStart"/>
            <w:r w:rsidRPr="00031A26">
              <w:rPr>
                <w:sz w:val="22"/>
                <w:szCs w:val="22"/>
              </w:rPr>
              <w:t>Bachelor’s</w:t>
            </w:r>
            <w:proofErr w:type="gramEnd"/>
            <w:r w:rsidRPr="00031A26">
              <w:rPr>
                <w:sz w:val="22"/>
                <w:szCs w:val="22"/>
              </w:rPr>
              <w:t xml:space="preserve"> degree in Electrical Engineering from the University of Colorado and over thirty years of relevant technical experience in distribution asset management and load management.  The Commission finds reasonable an hourly rate of $225 for Carter in 2016.</w:t>
            </w:r>
          </w:p>
          <w:p w14:paraId="24419EA5" w14:textId="77777777" w:rsidR="00C671DA" w:rsidRPr="00031A26" w:rsidRDefault="00C671DA" w:rsidP="00C36D4F">
            <w:pPr>
              <w:rPr>
                <w:sz w:val="22"/>
                <w:szCs w:val="22"/>
              </w:rPr>
            </w:pPr>
          </w:p>
          <w:p w14:paraId="046FEF72" w14:textId="77777777" w:rsidR="00C671DA" w:rsidRPr="00031A26" w:rsidRDefault="00C671DA" w:rsidP="00C36D4F">
            <w:pPr>
              <w:rPr>
                <w:sz w:val="22"/>
                <w:szCs w:val="22"/>
              </w:rPr>
            </w:pPr>
            <w:r w:rsidRPr="00031A26">
              <w:rPr>
                <w:sz w:val="22"/>
                <w:szCs w:val="22"/>
              </w:rPr>
              <w:t xml:space="preserve">TURN requests an hourly rate of $220 for work performed by </w:t>
            </w:r>
            <w:proofErr w:type="spellStart"/>
            <w:r w:rsidRPr="00031A26">
              <w:rPr>
                <w:sz w:val="22"/>
                <w:szCs w:val="22"/>
              </w:rPr>
              <w:t>Marjoros</w:t>
            </w:r>
            <w:proofErr w:type="spellEnd"/>
            <w:r w:rsidRPr="00031A26">
              <w:rPr>
                <w:sz w:val="22"/>
                <w:szCs w:val="22"/>
              </w:rPr>
              <w:t xml:space="preserve"> in 2016.  In D.06-10-018 the Commission found an hourly rate of $240 for work performed by </w:t>
            </w:r>
            <w:proofErr w:type="spellStart"/>
            <w:r w:rsidRPr="00031A26">
              <w:rPr>
                <w:sz w:val="22"/>
                <w:szCs w:val="22"/>
              </w:rPr>
              <w:t>Marjoros</w:t>
            </w:r>
            <w:proofErr w:type="spellEnd"/>
            <w:r w:rsidRPr="00031A26">
              <w:rPr>
                <w:sz w:val="22"/>
                <w:szCs w:val="22"/>
              </w:rPr>
              <w:t xml:space="preserve"> in 2005.  </w:t>
            </w:r>
            <w:r>
              <w:rPr>
                <w:sz w:val="22"/>
                <w:szCs w:val="22"/>
              </w:rPr>
              <w:t>We adopt the requested rate.</w:t>
            </w:r>
          </w:p>
          <w:p w14:paraId="5541912D" w14:textId="77777777" w:rsidR="00C671DA" w:rsidRPr="00031A26" w:rsidRDefault="00C671DA" w:rsidP="00C36D4F">
            <w:pPr>
              <w:rPr>
                <w:sz w:val="22"/>
                <w:szCs w:val="22"/>
              </w:rPr>
            </w:pPr>
          </w:p>
          <w:p w14:paraId="4F6B3DFE" w14:textId="77777777" w:rsidR="00C671DA" w:rsidRPr="00031A26" w:rsidRDefault="00C671DA" w:rsidP="00C36D4F">
            <w:pPr>
              <w:rPr>
                <w:sz w:val="22"/>
                <w:szCs w:val="22"/>
              </w:rPr>
            </w:pPr>
            <w:r w:rsidRPr="00031A26">
              <w:rPr>
                <w:sz w:val="22"/>
                <w:szCs w:val="22"/>
              </w:rPr>
              <w:t xml:space="preserve">TURN requests an hourly rate of $145 for work performed by </w:t>
            </w:r>
            <w:proofErr w:type="spellStart"/>
            <w:r w:rsidRPr="00031A26">
              <w:rPr>
                <w:sz w:val="22"/>
                <w:szCs w:val="22"/>
              </w:rPr>
              <w:t>Garren</w:t>
            </w:r>
            <w:proofErr w:type="spellEnd"/>
            <w:r w:rsidRPr="00031A26">
              <w:rPr>
                <w:sz w:val="22"/>
                <w:szCs w:val="22"/>
              </w:rPr>
              <w:t xml:space="preserve"> in 2016.  </w:t>
            </w:r>
            <w:proofErr w:type="spellStart"/>
            <w:r w:rsidRPr="00031A26">
              <w:rPr>
                <w:sz w:val="22"/>
                <w:szCs w:val="22"/>
              </w:rPr>
              <w:t>Garren</w:t>
            </w:r>
            <w:proofErr w:type="spellEnd"/>
            <w:r w:rsidRPr="00031A26">
              <w:rPr>
                <w:sz w:val="22"/>
                <w:szCs w:val="22"/>
              </w:rPr>
              <w:t xml:space="preserve"> has served as a consultant with Snavely, King, </w:t>
            </w:r>
            <w:proofErr w:type="spellStart"/>
            <w:r w:rsidRPr="00031A26">
              <w:rPr>
                <w:sz w:val="22"/>
                <w:szCs w:val="22"/>
              </w:rPr>
              <w:t>Majoros</w:t>
            </w:r>
            <w:proofErr w:type="spellEnd"/>
            <w:r w:rsidRPr="00031A26">
              <w:rPr>
                <w:sz w:val="22"/>
                <w:szCs w:val="22"/>
              </w:rPr>
              <w:t xml:space="preserve"> &amp; Associates since 2010, providing expert witness testimony to clients, specializing in the area of depreciation.  He is a member of, and has been made a Certified Depreciation Professional, by the Society of Depreciation Professionals.  The Commission finds reasonable an hourly rate of $145 for </w:t>
            </w:r>
            <w:proofErr w:type="spellStart"/>
            <w:r w:rsidRPr="00031A26">
              <w:rPr>
                <w:sz w:val="22"/>
                <w:szCs w:val="22"/>
              </w:rPr>
              <w:t>Garren</w:t>
            </w:r>
            <w:proofErr w:type="spellEnd"/>
            <w:r w:rsidRPr="00031A26">
              <w:rPr>
                <w:sz w:val="22"/>
                <w:szCs w:val="22"/>
              </w:rPr>
              <w:t xml:space="preserve"> in 2016.</w:t>
            </w:r>
          </w:p>
        </w:tc>
      </w:tr>
      <w:tr w:rsidR="00C671DA" w:rsidRPr="007F620E" w14:paraId="616D5776" w14:textId="77777777" w:rsidTr="00C36D4F">
        <w:tc>
          <w:tcPr>
            <w:tcW w:w="1548" w:type="dxa"/>
            <w:shd w:val="clear" w:color="auto" w:fill="auto"/>
          </w:tcPr>
          <w:p w14:paraId="178A9A0F" w14:textId="77777777" w:rsidR="00C671DA" w:rsidRPr="00031A26" w:rsidRDefault="00C671DA" w:rsidP="00C36D4F">
            <w:pPr>
              <w:spacing w:before="120"/>
              <w:rPr>
                <w:color w:val="000000"/>
                <w:sz w:val="22"/>
                <w:szCs w:val="22"/>
              </w:rPr>
            </w:pPr>
            <w:r>
              <w:rPr>
                <w:color w:val="000000"/>
                <w:sz w:val="22"/>
                <w:szCs w:val="22"/>
              </w:rPr>
              <w:lastRenderedPageBreak/>
              <w:t xml:space="preserve">[1] </w:t>
            </w:r>
            <w:r w:rsidRPr="00031A26">
              <w:rPr>
                <w:color w:val="000000"/>
                <w:sz w:val="22"/>
                <w:szCs w:val="22"/>
              </w:rPr>
              <w:t xml:space="preserve">Outcome on Overall Revenue Requirement </w:t>
            </w:r>
          </w:p>
        </w:tc>
        <w:tc>
          <w:tcPr>
            <w:tcW w:w="7897" w:type="dxa"/>
            <w:shd w:val="clear" w:color="auto" w:fill="auto"/>
          </w:tcPr>
          <w:p w14:paraId="3B450213" w14:textId="77777777" w:rsidR="00C671DA" w:rsidRPr="00031A26" w:rsidRDefault="00C671DA" w:rsidP="00C36D4F">
            <w:pPr>
              <w:pStyle w:val="xmsonormal"/>
              <w:shd w:val="clear" w:color="auto" w:fill="FFFFFF"/>
              <w:spacing w:before="0" w:beforeAutospacing="0" w:after="0" w:afterAutospacing="0" w:line="253" w:lineRule="atLeast"/>
              <w:rPr>
                <w:color w:val="000000"/>
                <w:sz w:val="22"/>
                <w:szCs w:val="22"/>
              </w:rPr>
            </w:pPr>
            <w:r w:rsidRPr="00031A26">
              <w:rPr>
                <w:color w:val="000000"/>
                <w:sz w:val="22"/>
                <w:szCs w:val="22"/>
              </w:rPr>
              <w:t>The Settlement Agreement adopted fixed dollar amounts rather than TURN’s proposed forecast mode</w:t>
            </w:r>
            <w:r>
              <w:rPr>
                <w:color w:val="000000"/>
                <w:sz w:val="22"/>
                <w:szCs w:val="22"/>
              </w:rPr>
              <w:t>l</w:t>
            </w:r>
            <w:r w:rsidRPr="00031A26">
              <w:rPr>
                <w:color w:val="000000"/>
                <w:sz w:val="22"/>
                <w:szCs w:val="22"/>
              </w:rPr>
              <w:t xml:space="preserve"> </w:t>
            </w:r>
            <w:proofErr w:type="gramStart"/>
            <w:r>
              <w:rPr>
                <w:color w:val="000000"/>
                <w:sz w:val="22"/>
                <w:szCs w:val="22"/>
              </w:rPr>
              <w:t>in regards to</w:t>
            </w:r>
            <w:proofErr w:type="gramEnd"/>
            <w:r>
              <w:rPr>
                <w:color w:val="000000"/>
                <w:sz w:val="22"/>
                <w:szCs w:val="22"/>
              </w:rPr>
              <w:t xml:space="preserve"> PG&amp;E’s </w:t>
            </w:r>
            <w:r w:rsidRPr="00031A26">
              <w:rPr>
                <w:color w:val="000000"/>
                <w:sz w:val="22"/>
                <w:szCs w:val="22"/>
              </w:rPr>
              <w:t xml:space="preserve">Post-Test Year Ratemaking Adjustments for 2018-2019.  </w:t>
            </w:r>
            <w:r>
              <w:rPr>
                <w:color w:val="000000"/>
                <w:sz w:val="22"/>
                <w:szCs w:val="22"/>
              </w:rPr>
              <w:t>However, TURN’s efforts contributed to the overall reductions and to providing cost containment incentives.  Therefore, we disallow 10% of the hours allocated to the Post-Test Year Ratemaking related to the proposed forecast model which was not adopted in the Settlement Agreement.</w:t>
            </w:r>
          </w:p>
        </w:tc>
      </w:tr>
      <w:tr w:rsidR="00C671DA" w:rsidRPr="007F620E" w14:paraId="1A35D1BA" w14:textId="77777777" w:rsidTr="00C36D4F">
        <w:tc>
          <w:tcPr>
            <w:tcW w:w="1548" w:type="dxa"/>
            <w:shd w:val="clear" w:color="auto" w:fill="auto"/>
          </w:tcPr>
          <w:p w14:paraId="3AC12B6D" w14:textId="77777777" w:rsidR="00C671DA" w:rsidRPr="00031A26" w:rsidRDefault="00C671DA" w:rsidP="00C36D4F">
            <w:pPr>
              <w:tabs>
                <w:tab w:val="left" w:pos="1440"/>
              </w:tabs>
              <w:spacing w:before="120"/>
              <w:rPr>
                <w:color w:val="000000"/>
                <w:sz w:val="22"/>
                <w:szCs w:val="22"/>
              </w:rPr>
            </w:pPr>
            <w:r>
              <w:rPr>
                <w:color w:val="000000"/>
                <w:sz w:val="22"/>
                <w:szCs w:val="22"/>
              </w:rPr>
              <w:t xml:space="preserve">[2] </w:t>
            </w:r>
            <w:r w:rsidRPr="00031A26">
              <w:rPr>
                <w:color w:val="000000"/>
                <w:sz w:val="22"/>
                <w:szCs w:val="22"/>
              </w:rPr>
              <w:t>Energy Supply</w:t>
            </w:r>
          </w:p>
        </w:tc>
        <w:tc>
          <w:tcPr>
            <w:tcW w:w="7897" w:type="dxa"/>
            <w:shd w:val="clear" w:color="auto" w:fill="auto"/>
          </w:tcPr>
          <w:p w14:paraId="1FABBB1C" w14:textId="77777777" w:rsidR="00C671DA" w:rsidRPr="00031A26" w:rsidRDefault="00C671DA" w:rsidP="00C36D4F">
            <w:pPr>
              <w:pStyle w:val="xmsonormal"/>
              <w:shd w:val="clear" w:color="auto" w:fill="FFFFFF"/>
              <w:spacing w:before="0" w:beforeAutospacing="0" w:after="0" w:afterAutospacing="0" w:line="253" w:lineRule="atLeast"/>
              <w:rPr>
                <w:rFonts w:ascii="Calibri" w:hAnsi="Calibri" w:cs="Calibri"/>
                <w:color w:val="212121"/>
                <w:sz w:val="22"/>
                <w:szCs w:val="22"/>
              </w:rPr>
            </w:pPr>
            <w:r w:rsidRPr="00031A26">
              <w:rPr>
                <w:color w:val="000000"/>
                <w:sz w:val="22"/>
                <w:szCs w:val="22"/>
              </w:rPr>
              <w:t xml:space="preserve">As TURN acknowledges, the issues raised by TURN regarding license renewal for Diablo Canyon were resolved by PG&amp;E’s decision to seek Commission approval to retire Diablo Canyon at the end of its current NRC licenses.  TURN should not be </w:t>
            </w:r>
            <w:r w:rsidRPr="00031A26">
              <w:rPr>
                <w:sz w:val="22"/>
                <w:szCs w:val="22"/>
              </w:rPr>
              <w:t>c</w:t>
            </w:r>
            <w:r w:rsidRPr="00031A26">
              <w:rPr>
                <w:color w:val="000000"/>
                <w:sz w:val="22"/>
                <w:szCs w:val="22"/>
              </w:rPr>
              <w:t>ompensated for its work on license renewal issues (i.e., Exhibit TURN-06, Section II.A., “Diablo Canyon Nuclear Plant, Policy”), because the Commission has already addressed PG&amp;E’s request in D.18-01-022 in A.16-08-006.  Therefore, we reduce both Marcus’ and Freedman’s claimed hours for Diablo Canyon-related work by 50%.</w:t>
            </w:r>
          </w:p>
        </w:tc>
      </w:tr>
      <w:tr w:rsidR="00C671DA" w:rsidRPr="007F620E" w14:paraId="738DDAEE" w14:textId="77777777" w:rsidTr="00C36D4F">
        <w:tc>
          <w:tcPr>
            <w:tcW w:w="1548" w:type="dxa"/>
            <w:tcBorders>
              <w:top w:val="single" w:sz="4" w:space="0" w:color="auto"/>
              <w:left w:val="single" w:sz="4" w:space="0" w:color="auto"/>
              <w:bottom w:val="single" w:sz="4" w:space="0" w:color="auto"/>
              <w:right w:val="single" w:sz="4" w:space="0" w:color="auto"/>
            </w:tcBorders>
            <w:shd w:val="clear" w:color="auto" w:fill="auto"/>
          </w:tcPr>
          <w:p w14:paraId="1DBB9B06" w14:textId="77777777" w:rsidR="00C671DA" w:rsidRPr="00031A26" w:rsidRDefault="00C671DA" w:rsidP="00C36D4F">
            <w:pPr>
              <w:tabs>
                <w:tab w:val="left" w:pos="1440"/>
              </w:tabs>
              <w:spacing w:before="120"/>
              <w:rPr>
                <w:color w:val="000000"/>
                <w:sz w:val="22"/>
                <w:szCs w:val="22"/>
              </w:rPr>
            </w:pPr>
            <w:r>
              <w:rPr>
                <w:color w:val="000000"/>
                <w:sz w:val="22"/>
                <w:szCs w:val="22"/>
              </w:rPr>
              <w:t xml:space="preserve">[3] </w:t>
            </w:r>
            <w:r w:rsidRPr="00031A26">
              <w:rPr>
                <w:color w:val="000000"/>
                <w:sz w:val="22"/>
                <w:szCs w:val="22"/>
              </w:rPr>
              <w:t>Shared Service</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4136EF79" w14:textId="77777777" w:rsidR="00C671DA" w:rsidRPr="00031A26" w:rsidRDefault="00C671DA" w:rsidP="00C36D4F">
            <w:pPr>
              <w:tabs>
                <w:tab w:val="left" w:pos="1440"/>
              </w:tabs>
              <w:spacing w:before="120"/>
              <w:rPr>
                <w:color w:val="000000" w:themeColor="text1"/>
                <w:sz w:val="22"/>
                <w:szCs w:val="22"/>
              </w:rPr>
            </w:pPr>
            <w:r w:rsidRPr="00031A26">
              <w:rPr>
                <w:color w:val="000000" w:themeColor="text1"/>
                <w:sz w:val="22"/>
                <w:szCs w:val="22"/>
              </w:rPr>
              <w:t>The hours claimed by TURN are excessive based on the scope of this topic.  As such, we disallow 10% of the 236.77 hours claimed pertaining to shared services.</w:t>
            </w:r>
          </w:p>
        </w:tc>
      </w:tr>
      <w:tr w:rsidR="00C671DA" w:rsidRPr="007F620E" w14:paraId="79F0666E" w14:textId="77777777" w:rsidTr="00C36D4F">
        <w:tc>
          <w:tcPr>
            <w:tcW w:w="1548" w:type="dxa"/>
            <w:tcBorders>
              <w:top w:val="single" w:sz="4" w:space="0" w:color="auto"/>
              <w:left w:val="single" w:sz="4" w:space="0" w:color="auto"/>
              <w:bottom w:val="single" w:sz="4" w:space="0" w:color="auto"/>
              <w:right w:val="single" w:sz="4" w:space="0" w:color="auto"/>
            </w:tcBorders>
            <w:shd w:val="clear" w:color="auto" w:fill="auto"/>
          </w:tcPr>
          <w:p w14:paraId="2414E4D5" w14:textId="77777777" w:rsidR="00C671DA" w:rsidRPr="00031A26" w:rsidRDefault="00C671DA" w:rsidP="00C36D4F">
            <w:pPr>
              <w:tabs>
                <w:tab w:val="left" w:pos="1440"/>
              </w:tabs>
              <w:spacing w:before="120"/>
              <w:rPr>
                <w:color w:val="000000"/>
                <w:sz w:val="22"/>
                <w:szCs w:val="22"/>
              </w:rPr>
            </w:pPr>
            <w:r>
              <w:rPr>
                <w:color w:val="000000"/>
                <w:sz w:val="22"/>
                <w:szCs w:val="22"/>
              </w:rPr>
              <w:t xml:space="preserve">[4] </w:t>
            </w:r>
            <w:r w:rsidRPr="00031A26">
              <w:rPr>
                <w:color w:val="000000"/>
                <w:sz w:val="22"/>
                <w:szCs w:val="22"/>
              </w:rPr>
              <w:t>Tax Accounting</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509B8955" w14:textId="77777777" w:rsidR="00C671DA" w:rsidRPr="00031A26" w:rsidRDefault="00C671DA" w:rsidP="00C36D4F">
            <w:pPr>
              <w:spacing w:before="120"/>
              <w:rPr>
                <w:color w:val="000000" w:themeColor="text1"/>
                <w:sz w:val="22"/>
                <w:szCs w:val="22"/>
              </w:rPr>
            </w:pPr>
            <w:r>
              <w:rPr>
                <w:color w:val="000000"/>
                <w:sz w:val="22"/>
                <w:szCs w:val="22"/>
              </w:rPr>
              <w:t xml:space="preserve">TURN’s efforts in settlement negotiations made no contribution to the Commission’s decision regarding the tax memorandum account adopted in D.17-05-013.  </w:t>
            </w:r>
            <w:proofErr w:type="gramStart"/>
            <w:r>
              <w:rPr>
                <w:color w:val="000000"/>
                <w:sz w:val="22"/>
                <w:szCs w:val="22"/>
              </w:rPr>
              <w:t>Therefore</w:t>
            </w:r>
            <w:proofErr w:type="gramEnd"/>
            <w:r>
              <w:rPr>
                <w:color w:val="000000"/>
                <w:sz w:val="22"/>
                <w:szCs w:val="22"/>
              </w:rPr>
              <w:t xml:space="preserve"> the hours are non-compensable due to lack of significant contribution.</w:t>
            </w:r>
          </w:p>
        </w:tc>
      </w:tr>
    </w:tbl>
    <w:p w14:paraId="16968106" w14:textId="77777777" w:rsidR="00C671DA" w:rsidRPr="007F620E" w:rsidRDefault="00C671DA" w:rsidP="00C671DA">
      <w:pPr>
        <w:tabs>
          <w:tab w:val="left" w:pos="1260"/>
        </w:tabs>
        <w:spacing w:before="240"/>
        <w:jc w:val="center"/>
        <w:rPr>
          <w:b/>
          <w:color w:val="000000"/>
        </w:rPr>
      </w:pPr>
      <w:r w:rsidRPr="007F620E">
        <w:rPr>
          <w:b/>
          <w:color w:val="000000"/>
        </w:rPr>
        <w:t>PART IV:</w:t>
      </w:r>
      <w:r w:rsidRPr="007F620E">
        <w:rPr>
          <w:b/>
          <w:color w:val="000000"/>
        </w:rPr>
        <w:tab/>
        <w:t>OPPOSITIONS AND COMMENTS</w:t>
      </w:r>
    </w:p>
    <w:p w14:paraId="26E08EC9" w14:textId="77777777" w:rsidR="00C671DA" w:rsidRPr="007F620E" w:rsidRDefault="00C671DA" w:rsidP="00C671DA">
      <w:pPr>
        <w:tabs>
          <w:tab w:val="left" w:pos="1260"/>
        </w:tabs>
        <w:ind w:left="1267" w:hanging="1267"/>
        <w:jc w:val="center"/>
        <w:rPr>
          <w:b/>
          <w:color w:val="000000"/>
        </w:rPr>
      </w:pPr>
      <w:r w:rsidRPr="007F620E">
        <w:rPr>
          <w:b/>
          <w:color w:val="000000"/>
        </w:rPr>
        <w:t>Within 30 days after service of this Claim, Commission Staff</w:t>
      </w:r>
      <w:r>
        <w:rPr>
          <w:b/>
          <w:color w:val="000000"/>
        </w:rPr>
        <w:t xml:space="preserve"> </w:t>
      </w:r>
      <w:r w:rsidRPr="007F620E">
        <w:rPr>
          <w:b/>
          <w:color w:val="000000"/>
        </w:rPr>
        <w:t>or any other party may file a response to the Claim (</w:t>
      </w:r>
      <w:r w:rsidRPr="007F620E">
        <w:rPr>
          <w:b/>
          <w:i/>
          <w:color w:val="000000"/>
        </w:rPr>
        <w:t>see</w:t>
      </w:r>
      <w:r w:rsidRPr="007F620E">
        <w:rPr>
          <w:b/>
          <w:color w:val="000000"/>
        </w:rPr>
        <w:t xml:space="preserve"> § 1804(c))</w:t>
      </w:r>
    </w:p>
    <w:p w14:paraId="0FD27310" w14:textId="77777777" w:rsidR="00C671DA" w:rsidRPr="007F620E" w:rsidRDefault="00C671DA" w:rsidP="00C671DA">
      <w:pPr>
        <w:tabs>
          <w:tab w:val="left" w:pos="1260"/>
        </w:tabs>
        <w:spacing w:before="60"/>
        <w:ind w:left="1267" w:hanging="1267"/>
        <w:jc w:val="center"/>
        <w:rPr>
          <w:color w:val="00000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687"/>
      </w:tblGrid>
      <w:tr w:rsidR="00C671DA" w:rsidRPr="007F620E" w14:paraId="6CA1AAAB" w14:textId="77777777" w:rsidTr="00C36D4F">
        <w:tc>
          <w:tcPr>
            <w:tcW w:w="7488" w:type="dxa"/>
            <w:shd w:val="clear" w:color="auto" w:fill="auto"/>
          </w:tcPr>
          <w:p w14:paraId="1794EF94" w14:textId="77777777" w:rsidR="00C671DA" w:rsidRPr="007F620E" w:rsidRDefault="00C671DA" w:rsidP="00C36D4F">
            <w:pPr>
              <w:spacing w:after="240"/>
              <w:rPr>
                <w:color w:val="000000"/>
              </w:rPr>
            </w:pPr>
            <w:r w:rsidRPr="007F620E">
              <w:rPr>
                <w:b/>
                <w:color w:val="000000"/>
              </w:rPr>
              <w:t>A.  Opposition:  Did any party oppose the Claim?</w:t>
            </w:r>
          </w:p>
        </w:tc>
        <w:tc>
          <w:tcPr>
            <w:tcW w:w="1687" w:type="dxa"/>
            <w:shd w:val="clear" w:color="auto" w:fill="auto"/>
          </w:tcPr>
          <w:p w14:paraId="47B7AE2C" w14:textId="77777777" w:rsidR="00C671DA" w:rsidRPr="007F620E" w:rsidRDefault="00C671DA" w:rsidP="00C36D4F">
            <w:pPr>
              <w:spacing w:after="240"/>
              <w:rPr>
                <w:color w:val="000000"/>
              </w:rPr>
            </w:pPr>
            <w:r>
              <w:rPr>
                <w:color w:val="000000"/>
              </w:rPr>
              <w:t>No</w:t>
            </w:r>
          </w:p>
        </w:tc>
      </w:tr>
    </w:tbl>
    <w:p w14:paraId="111D566A" w14:textId="77777777" w:rsidR="00C671DA" w:rsidRPr="007F620E" w:rsidRDefault="00C671DA" w:rsidP="00C671DA">
      <w:pPr>
        <w:tabs>
          <w:tab w:val="left" w:pos="1260"/>
        </w:tabs>
        <w:spacing w:before="60"/>
        <w:ind w:left="1267" w:hanging="1267"/>
        <w:jc w:val="center"/>
        <w:rPr>
          <w:color w:val="00000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687"/>
      </w:tblGrid>
      <w:tr w:rsidR="00C671DA" w:rsidRPr="007F620E" w14:paraId="02942EFC" w14:textId="77777777" w:rsidTr="00C36D4F">
        <w:tc>
          <w:tcPr>
            <w:tcW w:w="7488" w:type="dxa"/>
            <w:shd w:val="clear" w:color="auto" w:fill="auto"/>
          </w:tcPr>
          <w:p w14:paraId="2D88D063" w14:textId="77777777" w:rsidR="00C671DA" w:rsidRPr="007F620E" w:rsidRDefault="00C671DA" w:rsidP="00C36D4F">
            <w:pPr>
              <w:keepNext/>
              <w:keepLines/>
              <w:spacing w:after="240"/>
              <w:rPr>
                <w:color w:val="000000"/>
              </w:rPr>
            </w:pPr>
            <w:r w:rsidRPr="007F620E">
              <w:rPr>
                <w:b/>
                <w:color w:val="000000"/>
              </w:rPr>
              <w:lastRenderedPageBreak/>
              <w:t>B.  Comment Period:  Was the 30-day comment period waived (</w:t>
            </w:r>
            <w:r w:rsidRPr="007F620E">
              <w:rPr>
                <w:b/>
                <w:i/>
                <w:color w:val="000000"/>
              </w:rPr>
              <w:t>see</w:t>
            </w:r>
            <w:r w:rsidRPr="007F620E">
              <w:rPr>
                <w:b/>
                <w:color w:val="000000"/>
              </w:rPr>
              <w:t xml:space="preserve"> Rule 14.6(c)(6))?</w:t>
            </w:r>
          </w:p>
        </w:tc>
        <w:tc>
          <w:tcPr>
            <w:tcW w:w="1687" w:type="dxa"/>
            <w:shd w:val="clear" w:color="auto" w:fill="auto"/>
          </w:tcPr>
          <w:p w14:paraId="74AF426C" w14:textId="77777777" w:rsidR="00C671DA" w:rsidRPr="007F620E" w:rsidRDefault="00C671DA" w:rsidP="00C36D4F">
            <w:pPr>
              <w:keepNext/>
              <w:keepLines/>
              <w:spacing w:after="240"/>
              <w:rPr>
                <w:color w:val="000000"/>
              </w:rPr>
            </w:pPr>
            <w:r>
              <w:rPr>
                <w:color w:val="000000"/>
              </w:rPr>
              <w:t>Yes</w:t>
            </w:r>
          </w:p>
        </w:tc>
      </w:tr>
    </w:tbl>
    <w:p w14:paraId="09DB35DE" w14:textId="77777777" w:rsidR="00C671DA" w:rsidRPr="007F620E" w:rsidRDefault="00C671DA" w:rsidP="00C671DA">
      <w:pPr>
        <w:rPr>
          <w:color w:val="000000"/>
        </w:rPr>
      </w:pPr>
    </w:p>
    <w:p w14:paraId="39AE4198" w14:textId="77777777" w:rsidR="00C671DA" w:rsidRPr="007F620E" w:rsidRDefault="00C671DA" w:rsidP="00C671DA">
      <w:pPr>
        <w:jc w:val="center"/>
        <w:rPr>
          <w:b/>
          <w:color w:val="000000"/>
          <w:u w:val="single"/>
        </w:rPr>
      </w:pPr>
      <w:r w:rsidRPr="007F620E">
        <w:rPr>
          <w:b/>
          <w:color w:val="000000"/>
          <w:u w:val="single"/>
        </w:rPr>
        <w:t>FINDINGS OF FACT</w:t>
      </w:r>
    </w:p>
    <w:p w14:paraId="6D173AAD" w14:textId="77777777" w:rsidR="00C671DA" w:rsidRPr="007F620E" w:rsidRDefault="00C671DA" w:rsidP="00C671DA">
      <w:pPr>
        <w:rPr>
          <w:color w:val="000000"/>
        </w:rPr>
      </w:pPr>
    </w:p>
    <w:p w14:paraId="2F32E0EE" w14:textId="77777777" w:rsidR="00C671DA" w:rsidRPr="007F620E" w:rsidRDefault="00C671DA" w:rsidP="00C671DA">
      <w:pPr>
        <w:numPr>
          <w:ilvl w:val="0"/>
          <w:numId w:val="3"/>
        </w:numPr>
        <w:tabs>
          <w:tab w:val="clear" w:pos="900"/>
          <w:tab w:val="num" w:pos="540"/>
        </w:tabs>
        <w:ind w:left="540" w:hanging="540"/>
      </w:pPr>
      <w:r>
        <w:t>The Utility Reform Network</w:t>
      </w:r>
      <w:r w:rsidRPr="007F620E">
        <w:t xml:space="preserve"> has made a substantial contribution</w:t>
      </w:r>
      <w:r w:rsidRPr="00ED1206">
        <w:t xml:space="preserve"> to D.</w:t>
      </w:r>
      <w:r w:rsidRPr="00ED1206">
        <w:rPr>
          <w:color w:val="000000"/>
        </w:rPr>
        <w:t>17-05-013</w:t>
      </w:r>
      <w:r w:rsidRPr="00ED1206">
        <w:t>.</w:t>
      </w:r>
    </w:p>
    <w:p w14:paraId="4DEBDB75" w14:textId="77777777" w:rsidR="00C671DA" w:rsidRPr="007F620E" w:rsidRDefault="00C671DA" w:rsidP="00C671DA">
      <w:pPr>
        <w:numPr>
          <w:ilvl w:val="0"/>
          <w:numId w:val="3"/>
        </w:numPr>
        <w:tabs>
          <w:tab w:val="clear" w:pos="900"/>
          <w:tab w:val="num" w:pos="540"/>
        </w:tabs>
        <w:spacing w:before="240"/>
        <w:ind w:left="547" w:hanging="547"/>
      </w:pPr>
      <w:r w:rsidRPr="007F620E">
        <w:t xml:space="preserve">The requested hourly rates for </w:t>
      </w:r>
      <w:r>
        <w:t xml:space="preserve">The Utility Reform Network’s </w:t>
      </w:r>
      <w:r w:rsidRPr="007F620E">
        <w:t>representatives,</w:t>
      </w:r>
      <w:r>
        <w:t xml:space="preserve"> </w:t>
      </w:r>
      <w:r w:rsidRPr="007F620E">
        <w:t>as adjusted herein, are comparable to market rates paid to experts and advocates having comparable training and experience and offering similar services.</w:t>
      </w:r>
    </w:p>
    <w:p w14:paraId="6C4EFEE7" w14:textId="77777777" w:rsidR="00C671DA" w:rsidRPr="007F620E" w:rsidRDefault="00C671DA" w:rsidP="00C671DA">
      <w:pPr>
        <w:numPr>
          <w:ilvl w:val="0"/>
          <w:numId w:val="3"/>
        </w:numPr>
        <w:tabs>
          <w:tab w:val="clear" w:pos="900"/>
          <w:tab w:val="num" w:pos="540"/>
        </w:tabs>
        <w:spacing w:before="240"/>
        <w:ind w:left="547" w:hanging="547"/>
      </w:pPr>
      <w:r w:rsidRPr="007F620E">
        <w:t>The claimed costs and expenses</w:t>
      </w:r>
      <w:r>
        <w:t xml:space="preserve"> </w:t>
      </w:r>
      <w:r w:rsidRPr="007F620E">
        <w:t xml:space="preserve">are reasonable and commensurate with the work performed. </w:t>
      </w:r>
    </w:p>
    <w:p w14:paraId="2D95D73C" w14:textId="77777777" w:rsidR="00C671DA" w:rsidRPr="0044072A" w:rsidRDefault="00C671DA" w:rsidP="00C671DA">
      <w:pPr>
        <w:numPr>
          <w:ilvl w:val="0"/>
          <w:numId w:val="3"/>
        </w:numPr>
        <w:tabs>
          <w:tab w:val="clear" w:pos="900"/>
          <w:tab w:val="num" w:pos="540"/>
        </w:tabs>
        <w:spacing w:before="240"/>
        <w:ind w:left="547" w:hanging="547"/>
      </w:pPr>
      <w:r w:rsidRPr="007F620E">
        <w:t>The total of reasonable compensation is $</w:t>
      </w:r>
      <w:r w:rsidRPr="00781FBF">
        <w:rPr>
          <w:color w:val="000000"/>
        </w:rPr>
        <w:t>1,386,671.79</w:t>
      </w:r>
      <w:r w:rsidRPr="007F620E">
        <w:t>.</w:t>
      </w:r>
    </w:p>
    <w:p w14:paraId="686EE140" w14:textId="77777777" w:rsidR="00C671DA" w:rsidRPr="007F620E" w:rsidRDefault="00C671DA" w:rsidP="00C671DA">
      <w:pPr>
        <w:spacing w:before="120"/>
        <w:rPr>
          <w:color w:val="000000"/>
        </w:rPr>
      </w:pPr>
    </w:p>
    <w:p w14:paraId="00C446E5" w14:textId="77777777" w:rsidR="00C671DA" w:rsidRPr="007F620E" w:rsidRDefault="00C671DA" w:rsidP="00C671DA">
      <w:pPr>
        <w:jc w:val="center"/>
        <w:rPr>
          <w:b/>
          <w:color w:val="000000"/>
          <w:u w:val="single"/>
        </w:rPr>
      </w:pPr>
      <w:r w:rsidRPr="007F620E">
        <w:rPr>
          <w:b/>
          <w:color w:val="000000"/>
          <w:u w:val="single"/>
        </w:rPr>
        <w:t>CONCLUSION OF LAW</w:t>
      </w:r>
    </w:p>
    <w:p w14:paraId="04E06F39" w14:textId="77777777" w:rsidR="00C671DA" w:rsidRPr="007F620E" w:rsidRDefault="00C671DA" w:rsidP="00C671DA">
      <w:pPr>
        <w:numPr>
          <w:ilvl w:val="0"/>
          <w:numId w:val="6"/>
        </w:numPr>
        <w:tabs>
          <w:tab w:val="clear" w:pos="900"/>
          <w:tab w:val="num" w:pos="360"/>
        </w:tabs>
        <w:spacing w:before="240"/>
        <w:ind w:left="360"/>
        <w:rPr>
          <w:color w:val="000000"/>
        </w:rPr>
      </w:pPr>
      <w:r w:rsidRPr="007F620E">
        <w:rPr>
          <w:color w:val="000000"/>
        </w:rPr>
        <w:t>The Claim, with any adjustment set forth above, satisfies all requirements of Pub. Util. Code §§ 1801-1812.</w:t>
      </w:r>
    </w:p>
    <w:p w14:paraId="3117A1BF" w14:textId="77777777" w:rsidR="00C671DA" w:rsidRPr="007F620E" w:rsidRDefault="00C671DA" w:rsidP="00C671DA">
      <w:pPr>
        <w:jc w:val="center"/>
        <w:rPr>
          <w:b/>
          <w:color w:val="000000"/>
          <w:u w:val="single"/>
        </w:rPr>
      </w:pPr>
    </w:p>
    <w:p w14:paraId="72A4D8A9" w14:textId="77777777" w:rsidR="00C671DA" w:rsidRPr="007F620E" w:rsidRDefault="00C671DA" w:rsidP="00C671DA">
      <w:pPr>
        <w:jc w:val="center"/>
        <w:rPr>
          <w:b/>
          <w:color w:val="000000"/>
          <w:u w:val="single"/>
        </w:rPr>
      </w:pPr>
      <w:r w:rsidRPr="007F620E">
        <w:rPr>
          <w:b/>
          <w:color w:val="000000"/>
          <w:u w:val="single"/>
        </w:rPr>
        <w:t>ORDER</w:t>
      </w:r>
    </w:p>
    <w:p w14:paraId="3918B5C2" w14:textId="77777777" w:rsidR="00C671DA" w:rsidRPr="007F620E" w:rsidRDefault="00C671DA" w:rsidP="00C671DA">
      <w:pPr>
        <w:jc w:val="center"/>
        <w:rPr>
          <w:b/>
          <w:color w:val="000000"/>
          <w:u w:val="single"/>
        </w:rPr>
      </w:pPr>
    </w:p>
    <w:p w14:paraId="040193FE" w14:textId="77777777" w:rsidR="00C671DA" w:rsidRPr="007F620E" w:rsidRDefault="00C671DA" w:rsidP="00C671DA">
      <w:pPr>
        <w:numPr>
          <w:ilvl w:val="0"/>
          <w:numId w:val="4"/>
        </w:numPr>
        <w:tabs>
          <w:tab w:val="clear" w:pos="900"/>
          <w:tab w:val="num" w:pos="540"/>
        </w:tabs>
        <w:ind w:left="540" w:hanging="540"/>
        <w:rPr>
          <w:color w:val="000000"/>
        </w:rPr>
      </w:pPr>
      <w:r>
        <w:t>The Utility Reform Network</w:t>
      </w:r>
      <w:r w:rsidRPr="007F620E">
        <w:t xml:space="preserve"> </w:t>
      </w:r>
      <w:r>
        <w:t>shall be</w:t>
      </w:r>
      <w:r w:rsidRPr="007F620E">
        <w:rPr>
          <w:color w:val="000000"/>
        </w:rPr>
        <w:t xml:space="preserve"> awarded $</w:t>
      </w:r>
      <w:r w:rsidRPr="00781FBF">
        <w:rPr>
          <w:color w:val="000000"/>
        </w:rPr>
        <w:t>1,386,671.79</w:t>
      </w:r>
      <w:r w:rsidRPr="007F620E">
        <w:rPr>
          <w:color w:val="000000"/>
        </w:rPr>
        <w:t>.</w:t>
      </w:r>
    </w:p>
    <w:p w14:paraId="4B9739CF" w14:textId="77777777" w:rsidR="00C671DA" w:rsidRPr="007F620E" w:rsidRDefault="00C671DA" w:rsidP="00C671DA">
      <w:pPr>
        <w:numPr>
          <w:ilvl w:val="0"/>
          <w:numId w:val="4"/>
        </w:numPr>
        <w:tabs>
          <w:tab w:val="clear" w:pos="900"/>
          <w:tab w:val="num" w:pos="540"/>
        </w:tabs>
        <w:spacing w:before="240"/>
        <w:ind w:left="547" w:hanging="547"/>
      </w:pPr>
      <w:r w:rsidRPr="007F620E">
        <w:t xml:space="preserve">Within 30 days of the effective date of this decision, </w:t>
      </w:r>
      <w:r>
        <w:t>Pacific Gas and Electric Company</w:t>
      </w:r>
      <w:r w:rsidRPr="007F620E">
        <w:t xml:space="preserve"> shall pay </w:t>
      </w:r>
      <w:r>
        <w:t>The Utility Reform Network</w:t>
      </w:r>
      <w:r w:rsidRPr="007F620E">
        <w:t xml:space="preserve"> the total award.  Payment of the award shall include compound interest at the rate earned on prime, three-month non-financial commercial paper as reported in Federal Reserve Statistical Release H.15, beginning </w:t>
      </w:r>
      <w:r>
        <w:t>September 30, 2017</w:t>
      </w:r>
      <w:r w:rsidRPr="007F620E">
        <w:t>, the 75</w:t>
      </w:r>
      <w:r w:rsidRPr="007F620E">
        <w:rPr>
          <w:vertAlign w:val="superscript"/>
        </w:rPr>
        <w:t>th</w:t>
      </w:r>
      <w:r w:rsidRPr="007F620E">
        <w:t xml:space="preserve"> day after the filing of </w:t>
      </w:r>
      <w:r>
        <w:t xml:space="preserve">The Utility Reform Network’s </w:t>
      </w:r>
      <w:r w:rsidRPr="007F620E">
        <w:t>request, and continuing until full payment is made.</w:t>
      </w:r>
    </w:p>
    <w:p w14:paraId="03919F6E" w14:textId="77777777" w:rsidR="00C671DA" w:rsidRPr="007F620E" w:rsidRDefault="00C671DA" w:rsidP="00C671DA">
      <w:pPr>
        <w:keepNext/>
        <w:keepLines/>
        <w:numPr>
          <w:ilvl w:val="0"/>
          <w:numId w:val="4"/>
        </w:numPr>
        <w:tabs>
          <w:tab w:val="clear" w:pos="900"/>
          <w:tab w:val="num" w:pos="540"/>
        </w:tabs>
        <w:spacing w:before="240"/>
        <w:ind w:left="547" w:hanging="547"/>
      </w:pPr>
      <w:r w:rsidRPr="007F620E">
        <w:lastRenderedPageBreak/>
        <w:t>The comment period for today’s decision is waived.</w:t>
      </w:r>
    </w:p>
    <w:p w14:paraId="049E01A7" w14:textId="77777777" w:rsidR="00C671DA" w:rsidRPr="007F620E" w:rsidRDefault="00C671DA" w:rsidP="00C671DA">
      <w:pPr>
        <w:keepNext/>
        <w:keepLines/>
        <w:spacing w:before="240"/>
        <w:ind w:left="540"/>
        <w:rPr>
          <w:color w:val="000000"/>
        </w:rPr>
      </w:pPr>
      <w:r w:rsidRPr="007F620E">
        <w:rPr>
          <w:color w:val="000000"/>
        </w:rPr>
        <w:t>This decision is effective today.</w:t>
      </w:r>
    </w:p>
    <w:p w14:paraId="3CB20A1B" w14:textId="77777777" w:rsidR="00C671DA" w:rsidRDefault="00C671DA" w:rsidP="00C671DA">
      <w:pPr>
        <w:keepNext/>
        <w:keepLines/>
        <w:spacing w:before="240"/>
        <w:ind w:firstLine="540"/>
        <w:rPr>
          <w:color w:val="000000"/>
        </w:rPr>
      </w:pPr>
      <w:r w:rsidRPr="007F620E">
        <w:rPr>
          <w:color w:val="000000"/>
        </w:rPr>
        <w:t>Dated _____________, at San Francisco, California.</w:t>
      </w:r>
    </w:p>
    <w:p w14:paraId="153A8E9E" w14:textId="77777777" w:rsidR="00C671DA" w:rsidRDefault="00C671DA" w:rsidP="00C671DA">
      <w:pPr>
        <w:keepNext/>
        <w:keepLines/>
        <w:spacing w:before="240"/>
        <w:ind w:firstLine="540"/>
        <w:rPr>
          <w:color w:val="000000"/>
        </w:rPr>
      </w:pPr>
    </w:p>
    <w:p w14:paraId="027E10F4" w14:textId="77777777" w:rsidR="00C671DA" w:rsidRDefault="00C671DA" w:rsidP="00C671DA">
      <w:pPr>
        <w:keepNext/>
        <w:keepLines/>
        <w:spacing w:before="240"/>
        <w:ind w:firstLine="540"/>
        <w:rPr>
          <w:color w:val="000000"/>
        </w:rPr>
      </w:pPr>
    </w:p>
    <w:p w14:paraId="395D140B" w14:textId="77777777" w:rsidR="00C671DA" w:rsidRDefault="00C671DA" w:rsidP="00C671DA">
      <w:pPr>
        <w:keepNext/>
        <w:keepLines/>
        <w:spacing w:before="240"/>
        <w:ind w:firstLine="540"/>
        <w:rPr>
          <w:color w:val="000000"/>
        </w:rPr>
      </w:pPr>
    </w:p>
    <w:p w14:paraId="42D6B4B4" w14:textId="77777777" w:rsidR="00C671DA" w:rsidRDefault="00C671DA" w:rsidP="00C671DA">
      <w:pPr>
        <w:keepNext/>
        <w:keepLines/>
        <w:spacing w:before="240"/>
        <w:ind w:firstLine="540"/>
        <w:rPr>
          <w:color w:val="000000"/>
        </w:rPr>
      </w:pPr>
    </w:p>
    <w:p w14:paraId="41DF2B8B" w14:textId="77777777" w:rsidR="00C671DA" w:rsidRDefault="00C671DA" w:rsidP="00C671DA">
      <w:pPr>
        <w:keepNext/>
        <w:keepLines/>
        <w:spacing w:before="240"/>
        <w:ind w:firstLine="540"/>
        <w:rPr>
          <w:color w:val="000000"/>
        </w:rPr>
      </w:pPr>
    </w:p>
    <w:p w14:paraId="29963848" w14:textId="77777777" w:rsidR="00C671DA" w:rsidRDefault="00C671DA" w:rsidP="00C671DA">
      <w:pPr>
        <w:keepNext/>
        <w:keepLines/>
        <w:spacing w:before="240"/>
        <w:ind w:firstLine="540"/>
        <w:rPr>
          <w:color w:val="000000"/>
        </w:rPr>
        <w:sectPr w:rsidR="00C671DA" w:rsidSect="002A6C07">
          <w:headerReference w:type="default" r:id="rId12"/>
          <w:footerReference w:type="default" r:id="rId13"/>
          <w:pgSz w:w="12240" w:h="15840"/>
          <w:pgMar w:top="1440" w:right="1800" w:bottom="1440" w:left="1800" w:header="720" w:footer="720" w:gutter="0"/>
          <w:pgNumType w:fmt="numberInDash"/>
          <w:cols w:space="720"/>
          <w:docGrid w:linePitch="360"/>
        </w:sectPr>
      </w:pPr>
    </w:p>
    <w:p w14:paraId="02F9F242" w14:textId="77777777" w:rsidR="00C671DA" w:rsidRDefault="00C671DA" w:rsidP="00C671DA">
      <w:pPr>
        <w:pStyle w:val="standard"/>
        <w:ind w:firstLine="0"/>
        <w:jc w:val="center"/>
        <w:rPr>
          <w:rFonts w:ascii="Helvetica" w:hAnsi="Helvetica"/>
          <w:b/>
          <w:szCs w:val="26"/>
        </w:rPr>
      </w:pPr>
      <w:r>
        <w:rPr>
          <w:rFonts w:ascii="Helvetica" w:hAnsi="Helvetica"/>
          <w:b/>
          <w:szCs w:val="26"/>
        </w:rPr>
        <w:lastRenderedPageBreak/>
        <w:t>APPENDIX</w:t>
      </w:r>
    </w:p>
    <w:p w14:paraId="49CF881F" w14:textId="77777777" w:rsidR="00C671DA" w:rsidRDefault="00C671DA" w:rsidP="00C671DA">
      <w:pPr>
        <w:pStyle w:val="standard"/>
        <w:jc w:val="center"/>
      </w:pPr>
      <w:r>
        <w:rPr>
          <w:sz w:val="28"/>
          <w:szCs w:val="28"/>
        </w:rPr>
        <w:t>Compensation Decision Summary Information</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735"/>
        <w:gridCol w:w="2475"/>
        <w:gridCol w:w="1260"/>
      </w:tblGrid>
      <w:tr w:rsidR="00C671DA" w14:paraId="26716E52" w14:textId="77777777" w:rsidTr="00C36D4F">
        <w:trPr>
          <w:trHeight w:val="288"/>
        </w:trPr>
        <w:tc>
          <w:tcPr>
            <w:tcW w:w="2880" w:type="dxa"/>
            <w:tcBorders>
              <w:top w:val="single" w:sz="4" w:space="0" w:color="auto"/>
              <w:left w:val="single" w:sz="4" w:space="0" w:color="auto"/>
              <w:bottom w:val="single" w:sz="4" w:space="0" w:color="auto"/>
              <w:right w:val="single" w:sz="4" w:space="0" w:color="auto"/>
            </w:tcBorders>
            <w:hideMark/>
          </w:tcPr>
          <w:p w14:paraId="39A5E54E" w14:textId="77777777" w:rsidR="00C671DA" w:rsidRDefault="00C671DA" w:rsidP="00C36D4F">
            <w:r>
              <w:t>Compensation Decision:</w:t>
            </w:r>
          </w:p>
        </w:tc>
        <w:tc>
          <w:tcPr>
            <w:tcW w:w="3735" w:type="dxa"/>
            <w:tcBorders>
              <w:top w:val="single" w:sz="4" w:space="0" w:color="auto"/>
              <w:left w:val="single" w:sz="4" w:space="0" w:color="auto"/>
              <w:bottom w:val="single" w:sz="4" w:space="0" w:color="auto"/>
              <w:right w:val="single" w:sz="4" w:space="0" w:color="auto"/>
            </w:tcBorders>
          </w:tcPr>
          <w:p w14:paraId="2C5ABC3A" w14:textId="77777777" w:rsidR="00C671DA" w:rsidRDefault="00C671DA" w:rsidP="00C36D4F"/>
        </w:tc>
        <w:tc>
          <w:tcPr>
            <w:tcW w:w="2475" w:type="dxa"/>
            <w:tcBorders>
              <w:top w:val="single" w:sz="4" w:space="0" w:color="auto"/>
              <w:left w:val="single" w:sz="4" w:space="0" w:color="auto"/>
              <w:bottom w:val="single" w:sz="4" w:space="0" w:color="auto"/>
              <w:right w:val="single" w:sz="4" w:space="0" w:color="auto"/>
            </w:tcBorders>
            <w:hideMark/>
          </w:tcPr>
          <w:p w14:paraId="2FF3BD36" w14:textId="77777777" w:rsidR="00C671DA" w:rsidRDefault="00C671DA" w:rsidP="00C36D4F">
            <w:r>
              <w:t xml:space="preserve">Modifies Decision? </w:t>
            </w:r>
          </w:p>
        </w:tc>
        <w:tc>
          <w:tcPr>
            <w:tcW w:w="1260" w:type="dxa"/>
            <w:tcBorders>
              <w:top w:val="single" w:sz="4" w:space="0" w:color="auto"/>
              <w:left w:val="single" w:sz="4" w:space="0" w:color="auto"/>
              <w:bottom w:val="single" w:sz="4" w:space="0" w:color="auto"/>
              <w:right w:val="single" w:sz="4" w:space="0" w:color="auto"/>
            </w:tcBorders>
          </w:tcPr>
          <w:p w14:paraId="34AE86AD" w14:textId="77777777" w:rsidR="00C671DA" w:rsidRDefault="00C671DA" w:rsidP="00C36D4F">
            <w:pPr>
              <w:jc w:val="center"/>
            </w:pPr>
            <w:r>
              <w:t>No</w:t>
            </w:r>
          </w:p>
        </w:tc>
      </w:tr>
      <w:tr w:rsidR="00C671DA" w14:paraId="0E4761CE" w14:textId="77777777" w:rsidTr="00C36D4F">
        <w:trPr>
          <w:trHeight w:val="288"/>
        </w:trPr>
        <w:tc>
          <w:tcPr>
            <w:tcW w:w="2880" w:type="dxa"/>
            <w:tcBorders>
              <w:top w:val="single" w:sz="4" w:space="0" w:color="auto"/>
              <w:left w:val="single" w:sz="4" w:space="0" w:color="auto"/>
              <w:bottom w:val="single" w:sz="4" w:space="0" w:color="auto"/>
              <w:right w:val="single" w:sz="4" w:space="0" w:color="auto"/>
            </w:tcBorders>
            <w:hideMark/>
          </w:tcPr>
          <w:p w14:paraId="68A2009A" w14:textId="77777777" w:rsidR="00C671DA" w:rsidRDefault="00C671DA" w:rsidP="00C36D4F">
            <w:r>
              <w:t>Contribution Decision:</w:t>
            </w:r>
          </w:p>
        </w:tc>
        <w:tc>
          <w:tcPr>
            <w:tcW w:w="7470" w:type="dxa"/>
            <w:gridSpan w:val="3"/>
            <w:tcBorders>
              <w:top w:val="single" w:sz="4" w:space="0" w:color="auto"/>
              <w:left w:val="single" w:sz="4" w:space="0" w:color="auto"/>
              <w:bottom w:val="single" w:sz="4" w:space="0" w:color="auto"/>
              <w:right w:val="single" w:sz="4" w:space="0" w:color="auto"/>
            </w:tcBorders>
            <w:hideMark/>
          </w:tcPr>
          <w:p w14:paraId="29FDF25B" w14:textId="77777777" w:rsidR="00C671DA" w:rsidRDefault="00C671DA" w:rsidP="00C36D4F">
            <w:r>
              <w:t>D1705013</w:t>
            </w:r>
          </w:p>
        </w:tc>
      </w:tr>
      <w:tr w:rsidR="00C671DA" w14:paraId="1D42A04F" w14:textId="77777777" w:rsidTr="00C36D4F">
        <w:trPr>
          <w:trHeight w:val="288"/>
        </w:trPr>
        <w:tc>
          <w:tcPr>
            <w:tcW w:w="2880" w:type="dxa"/>
            <w:tcBorders>
              <w:top w:val="single" w:sz="4" w:space="0" w:color="auto"/>
              <w:left w:val="single" w:sz="4" w:space="0" w:color="auto"/>
              <w:bottom w:val="single" w:sz="4" w:space="0" w:color="auto"/>
              <w:right w:val="single" w:sz="4" w:space="0" w:color="auto"/>
            </w:tcBorders>
            <w:hideMark/>
          </w:tcPr>
          <w:p w14:paraId="637FE005" w14:textId="77777777" w:rsidR="00C671DA" w:rsidRDefault="00C671DA" w:rsidP="00C36D4F">
            <w:r>
              <w:t>Proceeding:</w:t>
            </w:r>
          </w:p>
        </w:tc>
        <w:tc>
          <w:tcPr>
            <w:tcW w:w="7470" w:type="dxa"/>
            <w:gridSpan w:val="3"/>
            <w:tcBorders>
              <w:top w:val="single" w:sz="4" w:space="0" w:color="auto"/>
              <w:left w:val="single" w:sz="4" w:space="0" w:color="auto"/>
              <w:bottom w:val="single" w:sz="4" w:space="0" w:color="auto"/>
              <w:right w:val="single" w:sz="4" w:space="0" w:color="auto"/>
            </w:tcBorders>
            <w:hideMark/>
          </w:tcPr>
          <w:p w14:paraId="3BC204E5" w14:textId="77777777" w:rsidR="00C671DA" w:rsidRDefault="00C671DA" w:rsidP="00C36D4F">
            <w:r>
              <w:t>A1509001</w:t>
            </w:r>
          </w:p>
        </w:tc>
      </w:tr>
      <w:tr w:rsidR="00C671DA" w14:paraId="2061EA35" w14:textId="77777777" w:rsidTr="00C36D4F">
        <w:trPr>
          <w:trHeight w:val="288"/>
        </w:trPr>
        <w:tc>
          <w:tcPr>
            <w:tcW w:w="2880" w:type="dxa"/>
            <w:tcBorders>
              <w:top w:val="single" w:sz="4" w:space="0" w:color="auto"/>
              <w:left w:val="single" w:sz="4" w:space="0" w:color="auto"/>
              <w:bottom w:val="single" w:sz="4" w:space="0" w:color="auto"/>
              <w:right w:val="single" w:sz="4" w:space="0" w:color="auto"/>
            </w:tcBorders>
            <w:hideMark/>
          </w:tcPr>
          <w:p w14:paraId="200CA562" w14:textId="77777777" w:rsidR="00C671DA" w:rsidRDefault="00C671DA" w:rsidP="00C36D4F">
            <w:r>
              <w:t>Author:</w:t>
            </w:r>
          </w:p>
        </w:tc>
        <w:tc>
          <w:tcPr>
            <w:tcW w:w="7470" w:type="dxa"/>
            <w:gridSpan w:val="3"/>
            <w:tcBorders>
              <w:top w:val="single" w:sz="4" w:space="0" w:color="auto"/>
              <w:left w:val="single" w:sz="4" w:space="0" w:color="auto"/>
              <w:bottom w:val="single" w:sz="4" w:space="0" w:color="auto"/>
              <w:right w:val="single" w:sz="4" w:space="0" w:color="auto"/>
            </w:tcBorders>
            <w:hideMark/>
          </w:tcPr>
          <w:p w14:paraId="20315A4C" w14:textId="77777777" w:rsidR="00C671DA" w:rsidRDefault="00C671DA" w:rsidP="00C36D4F">
            <w:r>
              <w:t>ALJ Roscow</w:t>
            </w:r>
          </w:p>
        </w:tc>
      </w:tr>
      <w:tr w:rsidR="00C671DA" w14:paraId="5413D2A7" w14:textId="77777777" w:rsidTr="00C36D4F">
        <w:trPr>
          <w:trHeight w:val="278"/>
        </w:trPr>
        <w:tc>
          <w:tcPr>
            <w:tcW w:w="2880" w:type="dxa"/>
            <w:tcBorders>
              <w:top w:val="single" w:sz="4" w:space="0" w:color="auto"/>
              <w:left w:val="single" w:sz="4" w:space="0" w:color="auto"/>
              <w:bottom w:val="single" w:sz="4" w:space="0" w:color="auto"/>
              <w:right w:val="single" w:sz="4" w:space="0" w:color="auto"/>
            </w:tcBorders>
            <w:hideMark/>
          </w:tcPr>
          <w:p w14:paraId="6762A980" w14:textId="77777777" w:rsidR="00C671DA" w:rsidRDefault="00C671DA" w:rsidP="00C36D4F">
            <w:r>
              <w:t>Payer:</w:t>
            </w:r>
          </w:p>
        </w:tc>
        <w:tc>
          <w:tcPr>
            <w:tcW w:w="7470" w:type="dxa"/>
            <w:gridSpan w:val="3"/>
            <w:tcBorders>
              <w:top w:val="single" w:sz="4" w:space="0" w:color="auto"/>
              <w:left w:val="single" w:sz="4" w:space="0" w:color="auto"/>
              <w:bottom w:val="single" w:sz="4" w:space="0" w:color="auto"/>
              <w:right w:val="single" w:sz="4" w:space="0" w:color="auto"/>
            </w:tcBorders>
            <w:hideMark/>
          </w:tcPr>
          <w:p w14:paraId="4F0D80D2" w14:textId="77777777" w:rsidR="00C671DA" w:rsidRDefault="00C671DA" w:rsidP="00C36D4F">
            <w:r>
              <w:t>Pacific Gas and Electric Company</w:t>
            </w:r>
          </w:p>
        </w:tc>
      </w:tr>
    </w:tbl>
    <w:p w14:paraId="17852CC2" w14:textId="77777777" w:rsidR="00C671DA" w:rsidRDefault="00C671DA" w:rsidP="00C671DA"/>
    <w:p w14:paraId="6B12CB04" w14:textId="77777777" w:rsidR="00C671DA" w:rsidRDefault="00C671DA" w:rsidP="00C671DA">
      <w:pPr>
        <w:jc w:val="center"/>
        <w:rPr>
          <w:sz w:val="28"/>
          <w:szCs w:val="28"/>
        </w:rPr>
      </w:pPr>
      <w:r>
        <w:rPr>
          <w:sz w:val="28"/>
          <w:szCs w:val="28"/>
        </w:rPr>
        <w:t>Intervenor Information</w:t>
      </w:r>
    </w:p>
    <w:p w14:paraId="4B034FAA" w14:textId="77777777" w:rsidR="00C671DA" w:rsidRDefault="00C671DA" w:rsidP="00C671DA"/>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90"/>
        <w:gridCol w:w="1686"/>
        <w:gridCol w:w="1596"/>
        <w:gridCol w:w="1448"/>
        <w:gridCol w:w="2489"/>
      </w:tblGrid>
      <w:tr w:rsidR="00C671DA" w14:paraId="149A4CC6" w14:textId="77777777" w:rsidTr="00C36D4F">
        <w:tc>
          <w:tcPr>
            <w:tcW w:w="2127" w:type="dxa"/>
            <w:tcBorders>
              <w:top w:val="single" w:sz="4" w:space="0" w:color="auto"/>
              <w:left w:val="single" w:sz="4" w:space="0" w:color="auto"/>
              <w:bottom w:val="single" w:sz="4" w:space="0" w:color="auto"/>
              <w:right w:val="single" w:sz="4" w:space="0" w:color="auto"/>
            </w:tcBorders>
            <w:hideMark/>
          </w:tcPr>
          <w:p w14:paraId="5914064C" w14:textId="77777777" w:rsidR="00C671DA" w:rsidRDefault="00C671DA" w:rsidP="00C36D4F">
            <w:pPr>
              <w:jc w:val="center"/>
            </w:pPr>
            <w:r>
              <w:t>Intervenor</w:t>
            </w:r>
          </w:p>
        </w:tc>
        <w:tc>
          <w:tcPr>
            <w:tcW w:w="1312" w:type="dxa"/>
            <w:tcBorders>
              <w:top w:val="single" w:sz="4" w:space="0" w:color="auto"/>
              <w:left w:val="single" w:sz="4" w:space="0" w:color="auto"/>
              <w:bottom w:val="single" w:sz="4" w:space="0" w:color="auto"/>
              <w:right w:val="single" w:sz="4" w:space="0" w:color="auto"/>
            </w:tcBorders>
            <w:hideMark/>
          </w:tcPr>
          <w:p w14:paraId="70426DC5" w14:textId="77777777" w:rsidR="00C671DA" w:rsidRDefault="00C671DA" w:rsidP="00C36D4F">
            <w:pPr>
              <w:jc w:val="center"/>
            </w:pPr>
            <w:r>
              <w:t>Claim Date</w:t>
            </w:r>
          </w:p>
        </w:tc>
        <w:tc>
          <w:tcPr>
            <w:tcW w:w="1690" w:type="dxa"/>
            <w:tcBorders>
              <w:top w:val="single" w:sz="4" w:space="0" w:color="auto"/>
              <w:left w:val="single" w:sz="4" w:space="0" w:color="auto"/>
              <w:bottom w:val="single" w:sz="4" w:space="0" w:color="auto"/>
              <w:right w:val="single" w:sz="4" w:space="0" w:color="auto"/>
            </w:tcBorders>
            <w:hideMark/>
          </w:tcPr>
          <w:p w14:paraId="3F7A0871" w14:textId="77777777" w:rsidR="00C671DA" w:rsidRDefault="00C671DA" w:rsidP="00C36D4F">
            <w:pPr>
              <w:jc w:val="center"/>
            </w:pPr>
            <w:r>
              <w:t>Amount Requested</w:t>
            </w:r>
          </w:p>
        </w:tc>
        <w:tc>
          <w:tcPr>
            <w:tcW w:w="1516" w:type="dxa"/>
            <w:tcBorders>
              <w:top w:val="single" w:sz="4" w:space="0" w:color="auto"/>
              <w:left w:val="single" w:sz="4" w:space="0" w:color="auto"/>
              <w:bottom w:val="single" w:sz="4" w:space="0" w:color="auto"/>
              <w:right w:val="single" w:sz="4" w:space="0" w:color="auto"/>
            </w:tcBorders>
            <w:hideMark/>
          </w:tcPr>
          <w:p w14:paraId="47A2A3DA" w14:textId="77777777" w:rsidR="00C671DA" w:rsidRDefault="00C671DA" w:rsidP="00C36D4F">
            <w:pPr>
              <w:jc w:val="center"/>
            </w:pPr>
            <w:r>
              <w:t>Amount Awarded</w:t>
            </w:r>
          </w:p>
        </w:tc>
        <w:tc>
          <w:tcPr>
            <w:tcW w:w="1455" w:type="dxa"/>
            <w:tcBorders>
              <w:top w:val="single" w:sz="4" w:space="0" w:color="auto"/>
              <w:left w:val="single" w:sz="4" w:space="0" w:color="auto"/>
              <w:bottom w:val="single" w:sz="4" w:space="0" w:color="auto"/>
              <w:right w:val="single" w:sz="4" w:space="0" w:color="auto"/>
            </w:tcBorders>
            <w:hideMark/>
          </w:tcPr>
          <w:p w14:paraId="4574C301" w14:textId="77777777" w:rsidR="00C671DA" w:rsidRDefault="00C671DA" w:rsidP="00C36D4F">
            <w:pPr>
              <w:jc w:val="center"/>
            </w:pPr>
            <w:r>
              <w:t>Multiplier?</w:t>
            </w:r>
          </w:p>
        </w:tc>
        <w:tc>
          <w:tcPr>
            <w:tcW w:w="2497" w:type="dxa"/>
            <w:tcBorders>
              <w:top w:val="single" w:sz="4" w:space="0" w:color="auto"/>
              <w:left w:val="single" w:sz="4" w:space="0" w:color="auto"/>
              <w:bottom w:val="single" w:sz="4" w:space="0" w:color="auto"/>
              <w:right w:val="single" w:sz="4" w:space="0" w:color="auto"/>
            </w:tcBorders>
            <w:hideMark/>
          </w:tcPr>
          <w:p w14:paraId="2B69CAEA" w14:textId="77777777" w:rsidR="00C671DA" w:rsidRDefault="00C671DA" w:rsidP="00C36D4F">
            <w:pPr>
              <w:jc w:val="center"/>
            </w:pPr>
            <w:r>
              <w:t>Reason Change/Disallowance</w:t>
            </w:r>
          </w:p>
        </w:tc>
      </w:tr>
      <w:tr w:rsidR="00C671DA" w14:paraId="7A004B2C" w14:textId="77777777" w:rsidTr="00C36D4F">
        <w:trPr>
          <w:trHeight w:val="872"/>
        </w:trPr>
        <w:tc>
          <w:tcPr>
            <w:tcW w:w="2127" w:type="dxa"/>
            <w:tcBorders>
              <w:top w:val="single" w:sz="4" w:space="0" w:color="auto"/>
              <w:left w:val="single" w:sz="4" w:space="0" w:color="auto"/>
              <w:bottom w:val="single" w:sz="4" w:space="0" w:color="auto"/>
              <w:right w:val="single" w:sz="4" w:space="0" w:color="auto"/>
            </w:tcBorders>
            <w:hideMark/>
          </w:tcPr>
          <w:p w14:paraId="7E8012A1" w14:textId="77777777" w:rsidR="00C671DA" w:rsidRDefault="00C671DA" w:rsidP="00C36D4F">
            <w:pPr>
              <w:jc w:val="center"/>
            </w:pPr>
            <w:r>
              <w:t>The Utility Reform Network (TURN)</w:t>
            </w:r>
          </w:p>
        </w:tc>
        <w:tc>
          <w:tcPr>
            <w:tcW w:w="1312" w:type="dxa"/>
            <w:tcBorders>
              <w:top w:val="single" w:sz="4" w:space="0" w:color="auto"/>
              <w:left w:val="single" w:sz="4" w:space="0" w:color="auto"/>
              <w:bottom w:val="single" w:sz="4" w:space="0" w:color="auto"/>
              <w:right w:val="single" w:sz="4" w:space="0" w:color="auto"/>
            </w:tcBorders>
            <w:hideMark/>
          </w:tcPr>
          <w:p w14:paraId="1257AE5D" w14:textId="77777777" w:rsidR="00C671DA" w:rsidRDefault="00C671DA" w:rsidP="00C36D4F">
            <w:pPr>
              <w:jc w:val="center"/>
            </w:pPr>
            <w:r>
              <w:t>July 17, 2017</w:t>
            </w:r>
          </w:p>
        </w:tc>
        <w:tc>
          <w:tcPr>
            <w:tcW w:w="1690" w:type="dxa"/>
            <w:tcBorders>
              <w:top w:val="single" w:sz="4" w:space="0" w:color="auto"/>
              <w:left w:val="single" w:sz="4" w:space="0" w:color="auto"/>
              <w:bottom w:val="single" w:sz="4" w:space="0" w:color="auto"/>
              <w:right w:val="single" w:sz="4" w:space="0" w:color="auto"/>
            </w:tcBorders>
            <w:hideMark/>
          </w:tcPr>
          <w:p w14:paraId="48C8F3A3" w14:textId="77777777" w:rsidR="00C671DA" w:rsidRDefault="00C671DA" w:rsidP="00C36D4F">
            <w:pPr>
              <w:jc w:val="center"/>
            </w:pPr>
            <w:r w:rsidRPr="00616976">
              <w:rPr>
                <w:color w:val="000000"/>
              </w:rPr>
              <w:t>$1,414,358.14</w:t>
            </w:r>
          </w:p>
        </w:tc>
        <w:tc>
          <w:tcPr>
            <w:tcW w:w="1516" w:type="dxa"/>
            <w:tcBorders>
              <w:top w:val="single" w:sz="4" w:space="0" w:color="auto"/>
              <w:left w:val="single" w:sz="4" w:space="0" w:color="auto"/>
              <w:bottom w:val="single" w:sz="4" w:space="0" w:color="auto"/>
              <w:right w:val="single" w:sz="4" w:space="0" w:color="auto"/>
            </w:tcBorders>
            <w:hideMark/>
          </w:tcPr>
          <w:p w14:paraId="6037837D" w14:textId="77777777" w:rsidR="00C671DA" w:rsidRDefault="00C671DA" w:rsidP="00C36D4F">
            <w:pPr>
              <w:jc w:val="center"/>
            </w:pPr>
            <w:r>
              <w:rPr>
                <w:color w:val="000000"/>
              </w:rPr>
              <w:t>$</w:t>
            </w:r>
            <w:r w:rsidRPr="00781FBF">
              <w:rPr>
                <w:color w:val="000000"/>
              </w:rPr>
              <w:t>1,386,671.79</w:t>
            </w:r>
          </w:p>
        </w:tc>
        <w:tc>
          <w:tcPr>
            <w:tcW w:w="1455" w:type="dxa"/>
            <w:tcBorders>
              <w:top w:val="single" w:sz="4" w:space="0" w:color="auto"/>
              <w:left w:val="single" w:sz="4" w:space="0" w:color="auto"/>
              <w:bottom w:val="single" w:sz="4" w:space="0" w:color="auto"/>
              <w:right w:val="single" w:sz="4" w:space="0" w:color="auto"/>
            </w:tcBorders>
            <w:hideMark/>
          </w:tcPr>
          <w:p w14:paraId="4CBC32FE" w14:textId="77777777" w:rsidR="00C671DA" w:rsidRDefault="00C671DA" w:rsidP="00C36D4F">
            <w:pPr>
              <w:jc w:val="center"/>
            </w:pPr>
            <w:r>
              <w:t>N/A</w:t>
            </w:r>
          </w:p>
        </w:tc>
        <w:tc>
          <w:tcPr>
            <w:tcW w:w="2497" w:type="dxa"/>
            <w:tcBorders>
              <w:top w:val="single" w:sz="4" w:space="0" w:color="auto"/>
              <w:left w:val="single" w:sz="4" w:space="0" w:color="auto"/>
              <w:bottom w:val="single" w:sz="4" w:space="0" w:color="auto"/>
              <w:right w:val="single" w:sz="4" w:space="0" w:color="auto"/>
            </w:tcBorders>
            <w:hideMark/>
          </w:tcPr>
          <w:p w14:paraId="6AFD1948" w14:textId="77777777" w:rsidR="00C671DA" w:rsidRDefault="00C671DA" w:rsidP="00C36D4F">
            <w:pPr>
              <w:jc w:val="center"/>
            </w:pPr>
            <w:r w:rsidRPr="0044072A">
              <w:rPr>
                <w:i/>
              </w:rPr>
              <w:t>See</w:t>
            </w:r>
            <w:r>
              <w:t xml:space="preserve"> CPUC Disallowances and Adjustments, above.</w:t>
            </w:r>
          </w:p>
          <w:p w14:paraId="0ABFC549" w14:textId="77777777" w:rsidR="00C671DA" w:rsidRPr="001A0A64" w:rsidRDefault="00C671DA" w:rsidP="00C36D4F">
            <w:pPr>
              <w:jc w:val="center"/>
            </w:pPr>
          </w:p>
        </w:tc>
      </w:tr>
    </w:tbl>
    <w:p w14:paraId="7850C606" w14:textId="77777777" w:rsidR="00C671DA" w:rsidRDefault="00C671DA" w:rsidP="00C671DA"/>
    <w:p w14:paraId="4DC9DBE0" w14:textId="77777777" w:rsidR="00C671DA" w:rsidRDefault="00C671DA" w:rsidP="00C671DA">
      <w:pPr>
        <w:jc w:val="center"/>
        <w:rPr>
          <w:sz w:val="28"/>
          <w:szCs w:val="28"/>
        </w:rPr>
      </w:pPr>
      <w:r>
        <w:rPr>
          <w:sz w:val="28"/>
          <w:szCs w:val="28"/>
        </w:rPr>
        <w:t>Advocate Information</w:t>
      </w:r>
    </w:p>
    <w:p w14:paraId="5404F86A" w14:textId="77777777" w:rsidR="00C671DA" w:rsidRDefault="00C671DA" w:rsidP="00C671DA">
      <w:pPr>
        <w:rPr>
          <w:color w:val="008000"/>
        </w:rPr>
      </w:pPr>
    </w:p>
    <w:tbl>
      <w:tblPr>
        <w:tblW w:w="105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17"/>
        <w:gridCol w:w="1103"/>
        <w:gridCol w:w="1237"/>
        <w:gridCol w:w="1620"/>
        <w:gridCol w:w="1530"/>
        <w:gridCol w:w="2430"/>
      </w:tblGrid>
      <w:tr w:rsidR="00C671DA" w14:paraId="55B3FDDE"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hideMark/>
          </w:tcPr>
          <w:p w14:paraId="5DBAE4C1" w14:textId="77777777" w:rsidR="00C671DA" w:rsidRPr="009E37DF" w:rsidRDefault="00C671DA" w:rsidP="00C36D4F">
            <w:pPr>
              <w:jc w:val="center"/>
            </w:pPr>
            <w:r w:rsidRPr="009E37DF">
              <w:t>First Name</w:t>
            </w:r>
          </w:p>
        </w:tc>
        <w:tc>
          <w:tcPr>
            <w:tcW w:w="1417" w:type="dxa"/>
            <w:tcBorders>
              <w:top w:val="single" w:sz="4" w:space="0" w:color="auto"/>
              <w:left w:val="single" w:sz="4" w:space="0" w:color="auto"/>
              <w:bottom w:val="single" w:sz="4" w:space="0" w:color="auto"/>
              <w:right w:val="single" w:sz="4" w:space="0" w:color="auto"/>
            </w:tcBorders>
            <w:hideMark/>
          </w:tcPr>
          <w:p w14:paraId="65E6AFAE" w14:textId="77777777" w:rsidR="00C671DA" w:rsidRPr="009E37DF" w:rsidRDefault="00C671DA" w:rsidP="00C36D4F">
            <w:pPr>
              <w:jc w:val="center"/>
            </w:pPr>
            <w:r w:rsidRPr="009E37DF">
              <w:t>Last Name</w:t>
            </w:r>
          </w:p>
        </w:tc>
        <w:tc>
          <w:tcPr>
            <w:tcW w:w="1103" w:type="dxa"/>
            <w:tcBorders>
              <w:top w:val="single" w:sz="4" w:space="0" w:color="auto"/>
              <w:left w:val="single" w:sz="4" w:space="0" w:color="auto"/>
              <w:bottom w:val="single" w:sz="4" w:space="0" w:color="auto"/>
              <w:right w:val="single" w:sz="4" w:space="0" w:color="auto"/>
            </w:tcBorders>
            <w:hideMark/>
          </w:tcPr>
          <w:p w14:paraId="5DEE91CE" w14:textId="77777777" w:rsidR="00C671DA" w:rsidRPr="009E37DF" w:rsidRDefault="00C671DA" w:rsidP="00C36D4F">
            <w:pPr>
              <w:jc w:val="center"/>
            </w:pPr>
            <w:r w:rsidRPr="009E37DF">
              <w:t>Type</w:t>
            </w:r>
          </w:p>
        </w:tc>
        <w:tc>
          <w:tcPr>
            <w:tcW w:w="1237" w:type="dxa"/>
            <w:tcBorders>
              <w:top w:val="single" w:sz="4" w:space="0" w:color="auto"/>
              <w:left w:val="single" w:sz="4" w:space="0" w:color="auto"/>
              <w:bottom w:val="single" w:sz="4" w:space="0" w:color="auto"/>
              <w:right w:val="single" w:sz="4" w:space="0" w:color="auto"/>
            </w:tcBorders>
            <w:hideMark/>
          </w:tcPr>
          <w:p w14:paraId="245C85BF" w14:textId="77777777" w:rsidR="00C671DA" w:rsidRPr="009E37DF" w:rsidRDefault="00C671DA" w:rsidP="00C36D4F">
            <w:pPr>
              <w:jc w:val="center"/>
            </w:pPr>
            <w:r w:rsidRPr="009E37DF">
              <w:t>Intervenor</w:t>
            </w:r>
          </w:p>
        </w:tc>
        <w:tc>
          <w:tcPr>
            <w:tcW w:w="1620" w:type="dxa"/>
            <w:tcBorders>
              <w:top w:val="single" w:sz="4" w:space="0" w:color="auto"/>
              <w:left w:val="single" w:sz="4" w:space="0" w:color="auto"/>
              <w:bottom w:val="single" w:sz="4" w:space="0" w:color="auto"/>
              <w:right w:val="single" w:sz="4" w:space="0" w:color="auto"/>
            </w:tcBorders>
            <w:hideMark/>
          </w:tcPr>
          <w:p w14:paraId="0C83B82C" w14:textId="77777777" w:rsidR="00C671DA" w:rsidRPr="009E37DF" w:rsidRDefault="00C671DA" w:rsidP="00C36D4F">
            <w:pPr>
              <w:jc w:val="center"/>
            </w:pPr>
            <w:r w:rsidRPr="009E37DF">
              <w:t>Hourly Fee Requested</w:t>
            </w:r>
          </w:p>
        </w:tc>
        <w:tc>
          <w:tcPr>
            <w:tcW w:w="1530" w:type="dxa"/>
            <w:tcBorders>
              <w:top w:val="single" w:sz="4" w:space="0" w:color="auto"/>
              <w:left w:val="single" w:sz="4" w:space="0" w:color="auto"/>
              <w:bottom w:val="single" w:sz="4" w:space="0" w:color="auto"/>
              <w:right w:val="single" w:sz="4" w:space="0" w:color="auto"/>
            </w:tcBorders>
            <w:hideMark/>
          </w:tcPr>
          <w:p w14:paraId="343D23E9" w14:textId="77777777" w:rsidR="00C671DA" w:rsidRPr="009E37DF" w:rsidRDefault="00C671DA" w:rsidP="00C36D4F">
            <w:pPr>
              <w:jc w:val="center"/>
            </w:pPr>
            <w:r w:rsidRPr="009E37DF">
              <w:t>Year Hourly Fee Requested</w:t>
            </w:r>
          </w:p>
        </w:tc>
        <w:tc>
          <w:tcPr>
            <w:tcW w:w="2430" w:type="dxa"/>
            <w:tcBorders>
              <w:top w:val="single" w:sz="4" w:space="0" w:color="auto"/>
              <w:left w:val="single" w:sz="4" w:space="0" w:color="auto"/>
              <w:bottom w:val="single" w:sz="4" w:space="0" w:color="auto"/>
              <w:right w:val="single" w:sz="4" w:space="0" w:color="auto"/>
            </w:tcBorders>
            <w:hideMark/>
          </w:tcPr>
          <w:p w14:paraId="289776C4" w14:textId="77777777" w:rsidR="00C671DA" w:rsidRPr="009E37DF" w:rsidRDefault="00C671DA" w:rsidP="00C36D4F">
            <w:pPr>
              <w:jc w:val="center"/>
            </w:pPr>
            <w:r w:rsidRPr="009E37DF">
              <w:t>Hourly Fee Adopted</w:t>
            </w:r>
          </w:p>
        </w:tc>
      </w:tr>
      <w:tr w:rsidR="00C671DA" w14:paraId="6E0A312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51EFE1E" w14:textId="77777777" w:rsidR="00C671DA" w:rsidRDefault="00C671DA" w:rsidP="00C36D4F">
            <w:pPr>
              <w:jc w:val="center"/>
            </w:pPr>
            <w:r w:rsidRPr="009E37DF">
              <w:t xml:space="preserve">Hayley </w:t>
            </w:r>
          </w:p>
        </w:tc>
        <w:tc>
          <w:tcPr>
            <w:tcW w:w="1417" w:type="dxa"/>
            <w:tcBorders>
              <w:top w:val="single" w:sz="4" w:space="0" w:color="auto"/>
              <w:left w:val="single" w:sz="4" w:space="0" w:color="auto"/>
              <w:bottom w:val="single" w:sz="4" w:space="0" w:color="auto"/>
              <w:right w:val="single" w:sz="4" w:space="0" w:color="auto"/>
            </w:tcBorders>
          </w:tcPr>
          <w:p w14:paraId="4107C83F" w14:textId="77777777" w:rsidR="00C671DA" w:rsidRDefault="00C671DA" w:rsidP="00C36D4F">
            <w:pPr>
              <w:jc w:val="center"/>
            </w:pPr>
            <w:r w:rsidRPr="009E37DF">
              <w:t>Goodson</w:t>
            </w:r>
          </w:p>
        </w:tc>
        <w:tc>
          <w:tcPr>
            <w:tcW w:w="1103" w:type="dxa"/>
            <w:tcBorders>
              <w:top w:val="single" w:sz="4" w:space="0" w:color="auto"/>
              <w:left w:val="single" w:sz="4" w:space="0" w:color="auto"/>
              <w:bottom w:val="single" w:sz="4" w:space="0" w:color="auto"/>
              <w:right w:val="single" w:sz="4" w:space="0" w:color="auto"/>
            </w:tcBorders>
          </w:tcPr>
          <w:p w14:paraId="629A02C2"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4968BF91"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5289F784" w14:textId="77777777" w:rsidR="00C671DA" w:rsidRDefault="00C671DA" w:rsidP="00C36D4F">
            <w:pPr>
              <w:jc w:val="center"/>
            </w:pPr>
            <w:r w:rsidRPr="009E37DF">
              <w:t>$355</w:t>
            </w:r>
          </w:p>
        </w:tc>
        <w:tc>
          <w:tcPr>
            <w:tcW w:w="1530" w:type="dxa"/>
            <w:tcBorders>
              <w:top w:val="single" w:sz="4" w:space="0" w:color="auto"/>
              <w:left w:val="single" w:sz="4" w:space="0" w:color="auto"/>
              <w:bottom w:val="single" w:sz="4" w:space="0" w:color="auto"/>
              <w:right w:val="single" w:sz="4" w:space="0" w:color="auto"/>
            </w:tcBorders>
          </w:tcPr>
          <w:p w14:paraId="11E954A1"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3F605784" w14:textId="77777777" w:rsidR="00C671DA" w:rsidRDefault="00C671DA" w:rsidP="00C36D4F">
            <w:pPr>
              <w:jc w:val="center"/>
            </w:pPr>
            <w:r w:rsidRPr="00932179">
              <w:t>$355</w:t>
            </w:r>
          </w:p>
        </w:tc>
      </w:tr>
      <w:tr w:rsidR="00C671DA" w14:paraId="382EE596"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180D7D77" w14:textId="77777777" w:rsidR="00C671DA" w:rsidRDefault="00C671DA" w:rsidP="00C36D4F">
            <w:pPr>
              <w:jc w:val="center"/>
            </w:pPr>
            <w:r w:rsidRPr="009E37DF">
              <w:t xml:space="preserve">Hayley </w:t>
            </w:r>
          </w:p>
        </w:tc>
        <w:tc>
          <w:tcPr>
            <w:tcW w:w="1417" w:type="dxa"/>
            <w:tcBorders>
              <w:top w:val="single" w:sz="4" w:space="0" w:color="auto"/>
              <w:left w:val="single" w:sz="4" w:space="0" w:color="auto"/>
              <w:bottom w:val="single" w:sz="4" w:space="0" w:color="auto"/>
              <w:right w:val="single" w:sz="4" w:space="0" w:color="auto"/>
            </w:tcBorders>
          </w:tcPr>
          <w:p w14:paraId="58930A48" w14:textId="77777777" w:rsidR="00C671DA" w:rsidRDefault="00C671DA" w:rsidP="00C36D4F">
            <w:pPr>
              <w:jc w:val="center"/>
            </w:pPr>
            <w:r w:rsidRPr="009E37DF">
              <w:t>Goodson</w:t>
            </w:r>
          </w:p>
        </w:tc>
        <w:tc>
          <w:tcPr>
            <w:tcW w:w="1103" w:type="dxa"/>
            <w:tcBorders>
              <w:top w:val="single" w:sz="4" w:space="0" w:color="auto"/>
              <w:left w:val="single" w:sz="4" w:space="0" w:color="auto"/>
              <w:bottom w:val="single" w:sz="4" w:space="0" w:color="auto"/>
              <w:right w:val="single" w:sz="4" w:space="0" w:color="auto"/>
            </w:tcBorders>
          </w:tcPr>
          <w:p w14:paraId="1BFE5402"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06E9A121"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BD71EA4" w14:textId="77777777" w:rsidR="00C671DA" w:rsidRDefault="00C671DA" w:rsidP="00C36D4F">
            <w:pPr>
              <w:jc w:val="center"/>
            </w:pPr>
            <w:r w:rsidRPr="009E37DF">
              <w:t>$380</w:t>
            </w:r>
          </w:p>
        </w:tc>
        <w:tc>
          <w:tcPr>
            <w:tcW w:w="1530" w:type="dxa"/>
            <w:tcBorders>
              <w:top w:val="single" w:sz="4" w:space="0" w:color="auto"/>
              <w:left w:val="single" w:sz="4" w:space="0" w:color="auto"/>
              <w:bottom w:val="single" w:sz="4" w:space="0" w:color="auto"/>
              <w:right w:val="single" w:sz="4" w:space="0" w:color="auto"/>
            </w:tcBorders>
          </w:tcPr>
          <w:p w14:paraId="16BF6780"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47F25EE2" w14:textId="77777777" w:rsidR="00C671DA" w:rsidRDefault="00C671DA" w:rsidP="00C36D4F">
            <w:pPr>
              <w:jc w:val="center"/>
            </w:pPr>
            <w:r w:rsidRPr="00932179">
              <w:t>$380</w:t>
            </w:r>
          </w:p>
        </w:tc>
      </w:tr>
      <w:tr w:rsidR="00C671DA" w14:paraId="23FA8347"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A2A6B07" w14:textId="77777777" w:rsidR="00C671DA" w:rsidRDefault="00C671DA" w:rsidP="00C36D4F">
            <w:pPr>
              <w:jc w:val="center"/>
            </w:pPr>
            <w:r w:rsidRPr="009E37DF">
              <w:t xml:space="preserve">Hayley </w:t>
            </w:r>
          </w:p>
        </w:tc>
        <w:tc>
          <w:tcPr>
            <w:tcW w:w="1417" w:type="dxa"/>
            <w:tcBorders>
              <w:top w:val="single" w:sz="4" w:space="0" w:color="auto"/>
              <w:left w:val="single" w:sz="4" w:space="0" w:color="auto"/>
              <w:bottom w:val="single" w:sz="4" w:space="0" w:color="auto"/>
              <w:right w:val="single" w:sz="4" w:space="0" w:color="auto"/>
            </w:tcBorders>
          </w:tcPr>
          <w:p w14:paraId="4858ECF2" w14:textId="77777777" w:rsidR="00C671DA" w:rsidRDefault="00C671DA" w:rsidP="00C36D4F">
            <w:pPr>
              <w:jc w:val="center"/>
            </w:pPr>
            <w:r w:rsidRPr="009E37DF">
              <w:t>Goodson</w:t>
            </w:r>
          </w:p>
        </w:tc>
        <w:tc>
          <w:tcPr>
            <w:tcW w:w="1103" w:type="dxa"/>
            <w:tcBorders>
              <w:top w:val="single" w:sz="4" w:space="0" w:color="auto"/>
              <w:left w:val="single" w:sz="4" w:space="0" w:color="auto"/>
              <w:bottom w:val="single" w:sz="4" w:space="0" w:color="auto"/>
              <w:right w:val="single" w:sz="4" w:space="0" w:color="auto"/>
            </w:tcBorders>
          </w:tcPr>
          <w:p w14:paraId="1686CE11"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4C9C26F6"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D8F7B78" w14:textId="77777777" w:rsidR="00C671DA" w:rsidRDefault="00C671DA" w:rsidP="00C36D4F">
            <w:pPr>
              <w:jc w:val="center"/>
            </w:pPr>
            <w:r w:rsidRPr="009E37DF">
              <w:t>$405</w:t>
            </w:r>
          </w:p>
        </w:tc>
        <w:tc>
          <w:tcPr>
            <w:tcW w:w="1530" w:type="dxa"/>
            <w:tcBorders>
              <w:top w:val="single" w:sz="4" w:space="0" w:color="auto"/>
              <w:left w:val="single" w:sz="4" w:space="0" w:color="auto"/>
              <w:bottom w:val="single" w:sz="4" w:space="0" w:color="auto"/>
              <w:right w:val="single" w:sz="4" w:space="0" w:color="auto"/>
            </w:tcBorders>
          </w:tcPr>
          <w:p w14:paraId="248064BD"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6CA57EB3" w14:textId="77777777" w:rsidR="00C671DA" w:rsidRDefault="00C671DA" w:rsidP="00C36D4F">
            <w:pPr>
              <w:jc w:val="center"/>
            </w:pPr>
            <w:r w:rsidRPr="00932179">
              <w:t>$405</w:t>
            </w:r>
          </w:p>
        </w:tc>
      </w:tr>
      <w:tr w:rsidR="00C671DA" w14:paraId="1E3E419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C8B0425" w14:textId="77777777" w:rsidR="00C671DA" w:rsidRDefault="00C671DA" w:rsidP="00C36D4F">
            <w:pPr>
              <w:jc w:val="center"/>
            </w:pPr>
            <w:r w:rsidRPr="009E37DF">
              <w:t xml:space="preserve">Robert </w:t>
            </w:r>
          </w:p>
        </w:tc>
        <w:tc>
          <w:tcPr>
            <w:tcW w:w="1417" w:type="dxa"/>
            <w:tcBorders>
              <w:top w:val="single" w:sz="4" w:space="0" w:color="auto"/>
              <w:left w:val="single" w:sz="4" w:space="0" w:color="auto"/>
              <w:bottom w:val="single" w:sz="4" w:space="0" w:color="auto"/>
              <w:right w:val="single" w:sz="4" w:space="0" w:color="auto"/>
            </w:tcBorders>
          </w:tcPr>
          <w:p w14:paraId="5C2AF8F9" w14:textId="77777777" w:rsidR="00C671DA" w:rsidRDefault="00C671DA" w:rsidP="00C36D4F">
            <w:pPr>
              <w:jc w:val="center"/>
            </w:pPr>
            <w:r w:rsidRPr="009E37DF">
              <w:t>Finkelstein</w:t>
            </w:r>
          </w:p>
        </w:tc>
        <w:tc>
          <w:tcPr>
            <w:tcW w:w="1103" w:type="dxa"/>
            <w:tcBorders>
              <w:top w:val="single" w:sz="4" w:space="0" w:color="auto"/>
              <w:left w:val="single" w:sz="4" w:space="0" w:color="auto"/>
              <w:bottom w:val="single" w:sz="4" w:space="0" w:color="auto"/>
              <w:right w:val="single" w:sz="4" w:space="0" w:color="auto"/>
            </w:tcBorders>
          </w:tcPr>
          <w:p w14:paraId="779E5A1F"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10F4462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06343FC8" w14:textId="77777777" w:rsidR="00C671DA" w:rsidRDefault="00C671DA" w:rsidP="00C36D4F">
            <w:pPr>
              <w:jc w:val="center"/>
            </w:pPr>
            <w:r w:rsidRPr="009E37DF">
              <w:t>$505</w:t>
            </w:r>
          </w:p>
        </w:tc>
        <w:tc>
          <w:tcPr>
            <w:tcW w:w="1530" w:type="dxa"/>
            <w:tcBorders>
              <w:top w:val="single" w:sz="4" w:space="0" w:color="auto"/>
              <w:left w:val="single" w:sz="4" w:space="0" w:color="auto"/>
              <w:bottom w:val="single" w:sz="4" w:space="0" w:color="auto"/>
              <w:right w:val="single" w:sz="4" w:space="0" w:color="auto"/>
            </w:tcBorders>
          </w:tcPr>
          <w:p w14:paraId="1D7F8791"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40808A16" w14:textId="77777777" w:rsidR="00C671DA" w:rsidRDefault="00C671DA" w:rsidP="00C36D4F">
            <w:pPr>
              <w:jc w:val="center"/>
            </w:pPr>
            <w:r w:rsidRPr="00932179">
              <w:t>$505</w:t>
            </w:r>
          </w:p>
        </w:tc>
      </w:tr>
      <w:tr w:rsidR="00C671DA" w14:paraId="5DC02829"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567F2C9" w14:textId="77777777" w:rsidR="00C671DA" w:rsidRDefault="00C671DA" w:rsidP="00C36D4F">
            <w:pPr>
              <w:jc w:val="center"/>
            </w:pPr>
            <w:r w:rsidRPr="009E37DF">
              <w:t xml:space="preserve">Robert </w:t>
            </w:r>
          </w:p>
        </w:tc>
        <w:tc>
          <w:tcPr>
            <w:tcW w:w="1417" w:type="dxa"/>
            <w:tcBorders>
              <w:top w:val="single" w:sz="4" w:space="0" w:color="auto"/>
              <w:left w:val="single" w:sz="4" w:space="0" w:color="auto"/>
              <w:bottom w:val="single" w:sz="4" w:space="0" w:color="auto"/>
              <w:right w:val="single" w:sz="4" w:space="0" w:color="auto"/>
            </w:tcBorders>
          </w:tcPr>
          <w:p w14:paraId="0FD9DF31" w14:textId="77777777" w:rsidR="00C671DA" w:rsidRDefault="00C671DA" w:rsidP="00C36D4F">
            <w:pPr>
              <w:jc w:val="center"/>
            </w:pPr>
            <w:r w:rsidRPr="009E37DF">
              <w:t>Finkelstein</w:t>
            </w:r>
          </w:p>
        </w:tc>
        <w:tc>
          <w:tcPr>
            <w:tcW w:w="1103" w:type="dxa"/>
            <w:tcBorders>
              <w:top w:val="single" w:sz="4" w:space="0" w:color="auto"/>
              <w:left w:val="single" w:sz="4" w:space="0" w:color="auto"/>
              <w:bottom w:val="single" w:sz="4" w:space="0" w:color="auto"/>
              <w:right w:val="single" w:sz="4" w:space="0" w:color="auto"/>
            </w:tcBorders>
          </w:tcPr>
          <w:p w14:paraId="345409EF"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170DD2F8"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08632FF7" w14:textId="77777777" w:rsidR="00C671DA" w:rsidRDefault="00C671DA" w:rsidP="00C36D4F">
            <w:pPr>
              <w:jc w:val="center"/>
            </w:pPr>
            <w:r w:rsidRPr="009E37DF">
              <w:t>$510</w:t>
            </w:r>
          </w:p>
        </w:tc>
        <w:tc>
          <w:tcPr>
            <w:tcW w:w="1530" w:type="dxa"/>
            <w:tcBorders>
              <w:top w:val="single" w:sz="4" w:space="0" w:color="auto"/>
              <w:left w:val="single" w:sz="4" w:space="0" w:color="auto"/>
              <w:bottom w:val="single" w:sz="4" w:space="0" w:color="auto"/>
              <w:right w:val="single" w:sz="4" w:space="0" w:color="auto"/>
            </w:tcBorders>
          </w:tcPr>
          <w:p w14:paraId="6033CF3A"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3EA1BC43" w14:textId="77777777" w:rsidR="00C671DA" w:rsidRDefault="00C671DA" w:rsidP="00C36D4F">
            <w:pPr>
              <w:jc w:val="center"/>
            </w:pPr>
            <w:r w:rsidRPr="00932179">
              <w:t>$510</w:t>
            </w:r>
          </w:p>
        </w:tc>
      </w:tr>
      <w:tr w:rsidR="00C671DA" w14:paraId="2FBF94BB"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2FD19439" w14:textId="77777777" w:rsidR="00C671DA" w:rsidRDefault="00C671DA" w:rsidP="00C36D4F">
            <w:pPr>
              <w:jc w:val="center"/>
            </w:pPr>
            <w:r w:rsidRPr="009E37DF">
              <w:t xml:space="preserve">Robert </w:t>
            </w:r>
          </w:p>
        </w:tc>
        <w:tc>
          <w:tcPr>
            <w:tcW w:w="1417" w:type="dxa"/>
            <w:tcBorders>
              <w:top w:val="single" w:sz="4" w:space="0" w:color="auto"/>
              <w:left w:val="single" w:sz="4" w:space="0" w:color="auto"/>
              <w:bottom w:val="single" w:sz="4" w:space="0" w:color="auto"/>
              <w:right w:val="single" w:sz="4" w:space="0" w:color="auto"/>
            </w:tcBorders>
          </w:tcPr>
          <w:p w14:paraId="163014B1" w14:textId="77777777" w:rsidR="00C671DA" w:rsidRDefault="00C671DA" w:rsidP="00C36D4F">
            <w:pPr>
              <w:jc w:val="center"/>
            </w:pPr>
            <w:r w:rsidRPr="009E37DF">
              <w:t>Finkelstein</w:t>
            </w:r>
          </w:p>
        </w:tc>
        <w:tc>
          <w:tcPr>
            <w:tcW w:w="1103" w:type="dxa"/>
            <w:tcBorders>
              <w:top w:val="single" w:sz="4" w:space="0" w:color="auto"/>
              <w:left w:val="single" w:sz="4" w:space="0" w:color="auto"/>
              <w:bottom w:val="single" w:sz="4" w:space="0" w:color="auto"/>
              <w:right w:val="single" w:sz="4" w:space="0" w:color="auto"/>
            </w:tcBorders>
          </w:tcPr>
          <w:p w14:paraId="4D9696CD"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252421C6"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76306099" w14:textId="77777777" w:rsidR="00C671DA" w:rsidRDefault="00C671DA" w:rsidP="00C36D4F">
            <w:pPr>
              <w:jc w:val="center"/>
            </w:pPr>
            <w:r w:rsidRPr="009E37DF">
              <w:t>$520</w:t>
            </w:r>
          </w:p>
        </w:tc>
        <w:tc>
          <w:tcPr>
            <w:tcW w:w="1530" w:type="dxa"/>
            <w:tcBorders>
              <w:top w:val="single" w:sz="4" w:space="0" w:color="auto"/>
              <w:left w:val="single" w:sz="4" w:space="0" w:color="auto"/>
              <w:bottom w:val="single" w:sz="4" w:space="0" w:color="auto"/>
              <w:right w:val="single" w:sz="4" w:space="0" w:color="auto"/>
            </w:tcBorders>
          </w:tcPr>
          <w:p w14:paraId="38F6CC36"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6F050C8E" w14:textId="77777777" w:rsidR="00C671DA" w:rsidRDefault="00C671DA" w:rsidP="00C36D4F">
            <w:pPr>
              <w:jc w:val="center"/>
            </w:pPr>
            <w:r w:rsidRPr="00932179">
              <w:t>$520</w:t>
            </w:r>
          </w:p>
        </w:tc>
      </w:tr>
      <w:tr w:rsidR="00C671DA" w14:paraId="042C22F3"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3B98832" w14:textId="77777777" w:rsidR="00C671DA" w:rsidRDefault="00C671DA" w:rsidP="00C36D4F">
            <w:pPr>
              <w:jc w:val="center"/>
            </w:pPr>
            <w:r w:rsidRPr="009E37DF">
              <w:t xml:space="preserve">Matthew </w:t>
            </w:r>
          </w:p>
        </w:tc>
        <w:tc>
          <w:tcPr>
            <w:tcW w:w="1417" w:type="dxa"/>
            <w:tcBorders>
              <w:top w:val="single" w:sz="4" w:space="0" w:color="auto"/>
              <w:left w:val="single" w:sz="4" w:space="0" w:color="auto"/>
              <w:bottom w:val="single" w:sz="4" w:space="0" w:color="auto"/>
              <w:right w:val="single" w:sz="4" w:space="0" w:color="auto"/>
            </w:tcBorders>
          </w:tcPr>
          <w:p w14:paraId="5FAAE431" w14:textId="77777777" w:rsidR="00C671DA" w:rsidRDefault="00C671DA" w:rsidP="00C36D4F">
            <w:pPr>
              <w:jc w:val="center"/>
            </w:pPr>
            <w:r w:rsidRPr="009E37DF">
              <w:t>Freedman</w:t>
            </w:r>
          </w:p>
        </w:tc>
        <w:tc>
          <w:tcPr>
            <w:tcW w:w="1103" w:type="dxa"/>
            <w:tcBorders>
              <w:top w:val="single" w:sz="4" w:space="0" w:color="auto"/>
              <w:left w:val="single" w:sz="4" w:space="0" w:color="auto"/>
              <w:bottom w:val="single" w:sz="4" w:space="0" w:color="auto"/>
              <w:right w:val="single" w:sz="4" w:space="0" w:color="auto"/>
            </w:tcBorders>
          </w:tcPr>
          <w:p w14:paraId="3A011992"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573ED3D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2052158F" w14:textId="77777777" w:rsidR="00C671DA" w:rsidRDefault="00C671DA" w:rsidP="00C36D4F">
            <w:pPr>
              <w:jc w:val="center"/>
            </w:pPr>
            <w:r w:rsidRPr="009E37DF">
              <w:t>$410</w:t>
            </w:r>
          </w:p>
        </w:tc>
        <w:tc>
          <w:tcPr>
            <w:tcW w:w="1530" w:type="dxa"/>
            <w:tcBorders>
              <w:top w:val="single" w:sz="4" w:space="0" w:color="auto"/>
              <w:left w:val="single" w:sz="4" w:space="0" w:color="auto"/>
              <w:bottom w:val="single" w:sz="4" w:space="0" w:color="auto"/>
              <w:right w:val="single" w:sz="4" w:space="0" w:color="auto"/>
            </w:tcBorders>
          </w:tcPr>
          <w:p w14:paraId="0811CDBE"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2E0EADBE" w14:textId="77777777" w:rsidR="00C671DA" w:rsidRDefault="00C671DA" w:rsidP="00C36D4F">
            <w:pPr>
              <w:jc w:val="center"/>
            </w:pPr>
            <w:r w:rsidRPr="00932179">
              <w:t>$410</w:t>
            </w:r>
          </w:p>
        </w:tc>
      </w:tr>
      <w:tr w:rsidR="00C671DA" w14:paraId="7B19CF5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2C457E59" w14:textId="77777777" w:rsidR="00C671DA" w:rsidRDefault="00C671DA" w:rsidP="00C36D4F">
            <w:pPr>
              <w:jc w:val="center"/>
            </w:pPr>
            <w:r w:rsidRPr="009E37DF">
              <w:t xml:space="preserve">Matthew </w:t>
            </w:r>
          </w:p>
        </w:tc>
        <w:tc>
          <w:tcPr>
            <w:tcW w:w="1417" w:type="dxa"/>
            <w:tcBorders>
              <w:top w:val="single" w:sz="4" w:space="0" w:color="auto"/>
              <w:left w:val="single" w:sz="4" w:space="0" w:color="auto"/>
              <w:bottom w:val="single" w:sz="4" w:space="0" w:color="auto"/>
              <w:right w:val="single" w:sz="4" w:space="0" w:color="auto"/>
            </w:tcBorders>
          </w:tcPr>
          <w:p w14:paraId="010CED69" w14:textId="77777777" w:rsidR="00C671DA" w:rsidRDefault="00C671DA" w:rsidP="00C36D4F">
            <w:pPr>
              <w:jc w:val="center"/>
            </w:pPr>
            <w:r w:rsidRPr="009E37DF">
              <w:t>Freedman</w:t>
            </w:r>
          </w:p>
        </w:tc>
        <w:tc>
          <w:tcPr>
            <w:tcW w:w="1103" w:type="dxa"/>
            <w:tcBorders>
              <w:top w:val="single" w:sz="4" w:space="0" w:color="auto"/>
              <w:left w:val="single" w:sz="4" w:space="0" w:color="auto"/>
              <w:bottom w:val="single" w:sz="4" w:space="0" w:color="auto"/>
              <w:right w:val="single" w:sz="4" w:space="0" w:color="auto"/>
            </w:tcBorders>
          </w:tcPr>
          <w:p w14:paraId="67FC76C9"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5B65EC37"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7023CE32" w14:textId="77777777" w:rsidR="00C671DA" w:rsidRDefault="00C671DA" w:rsidP="00C36D4F">
            <w:pPr>
              <w:jc w:val="center"/>
            </w:pPr>
            <w:r w:rsidRPr="009E37DF">
              <w:t>$415</w:t>
            </w:r>
          </w:p>
        </w:tc>
        <w:tc>
          <w:tcPr>
            <w:tcW w:w="1530" w:type="dxa"/>
            <w:tcBorders>
              <w:top w:val="single" w:sz="4" w:space="0" w:color="auto"/>
              <w:left w:val="single" w:sz="4" w:space="0" w:color="auto"/>
              <w:bottom w:val="single" w:sz="4" w:space="0" w:color="auto"/>
              <w:right w:val="single" w:sz="4" w:space="0" w:color="auto"/>
            </w:tcBorders>
          </w:tcPr>
          <w:p w14:paraId="28AA5AA9"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2A64E109" w14:textId="77777777" w:rsidR="00C671DA" w:rsidRDefault="00C671DA" w:rsidP="00C36D4F">
            <w:pPr>
              <w:jc w:val="center"/>
            </w:pPr>
            <w:r w:rsidRPr="00932179">
              <w:t>$415</w:t>
            </w:r>
          </w:p>
        </w:tc>
      </w:tr>
      <w:tr w:rsidR="00C671DA" w14:paraId="7E2EE089"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28350C5C" w14:textId="77777777" w:rsidR="00C671DA" w:rsidRDefault="00C671DA" w:rsidP="00C36D4F">
            <w:pPr>
              <w:jc w:val="center"/>
            </w:pPr>
            <w:r w:rsidRPr="009E37DF">
              <w:t xml:space="preserve">Marcel </w:t>
            </w:r>
          </w:p>
        </w:tc>
        <w:tc>
          <w:tcPr>
            <w:tcW w:w="1417" w:type="dxa"/>
            <w:tcBorders>
              <w:top w:val="single" w:sz="4" w:space="0" w:color="auto"/>
              <w:left w:val="single" w:sz="4" w:space="0" w:color="auto"/>
              <w:bottom w:val="single" w:sz="4" w:space="0" w:color="auto"/>
              <w:right w:val="single" w:sz="4" w:space="0" w:color="auto"/>
            </w:tcBorders>
          </w:tcPr>
          <w:p w14:paraId="1627FCB7" w14:textId="77777777" w:rsidR="00C671DA" w:rsidRDefault="00C671DA" w:rsidP="00C36D4F">
            <w:pPr>
              <w:jc w:val="center"/>
            </w:pPr>
            <w:proofErr w:type="spellStart"/>
            <w:r w:rsidRPr="009E37DF">
              <w:t>Hawiger</w:t>
            </w:r>
            <w:proofErr w:type="spellEnd"/>
          </w:p>
        </w:tc>
        <w:tc>
          <w:tcPr>
            <w:tcW w:w="1103" w:type="dxa"/>
            <w:tcBorders>
              <w:top w:val="single" w:sz="4" w:space="0" w:color="auto"/>
              <w:left w:val="single" w:sz="4" w:space="0" w:color="auto"/>
              <w:bottom w:val="single" w:sz="4" w:space="0" w:color="auto"/>
              <w:right w:val="single" w:sz="4" w:space="0" w:color="auto"/>
            </w:tcBorders>
          </w:tcPr>
          <w:p w14:paraId="1716C369"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5F535F32"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C77E904" w14:textId="77777777" w:rsidR="00C671DA" w:rsidRDefault="00C671DA" w:rsidP="00C36D4F">
            <w:pPr>
              <w:jc w:val="center"/>
            </w:pPr>
            <w:r w:rsidRPr="009E37DF">
              <w:t>$410</w:t>
            </w:r>
          </w:p>
        </w:tc>
        <w:tc>
          <w:tcPr>
            <w:tcW w:w="1530" w:type="dxa"/>
            <w:tcBorders>
              <w:top w:val="single" w:sz="4" w:space="0" w:color="auto"/>
              <w:left w:val="single" w:sz="4" w:space="0" w:color="auto"/>
              <w:bottom w:val="single" w:sz="4" w:space="0" w:color="auto"/>
              <w:right w:val="single" w:sz="4" w:space="0" w:color="auto"/>
            </w:tcBorders>
          </w:tcPr>
          <w:p w14:paraId="3F330EDA"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24CD9737" w14:textId="77777777" w:rsidR="00C671DA" w:rsidRDefault="00C671DA" w:rsidP="00C36D4F">
            <w:pPr>
              <w:jc w:val="center"/>
            </w:pPr>
            <w:r w:rsidRPr="00932179">
              <w:t>$410</w:t>
            </w:r>
          </w:p>
        </w:tc>
      </w:tr>
      <w:tr w:rsidR="00C671DA" w14:paraId="7D132421"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768D384" w14:textId="77777777" w:rsidR="00C671DA" w:rsidRDefault="00C671DA" w:rsidP="00C36D4F">
            <w:pPr>
              <w:jc w:val="center"/>
            </w:pPr>
            <w:r w:rsidRPr="009E37DF">
              <w:t xml:space="preserve">Marcel </w:t>
            </w:r>
          </w:p>
        </w:tc>
        <w:tc>
          <w:tcPr>
            <w:tcW w:w="1417" w:type="dxa"/>
            <w:tcBorders>
              <w:top w:val="single" w:sz="4" w:space="0" w:color="auto"/>
              <w:left w:val="single" w:sz="4" w:space="0" w:color="auto"/>
              <w:bottom w:val="single" w:sz="4" w:space="0" w:color="auto"/>
              <w:right w:val="single" w:sz="4" w:space="0" w:color="auto"/>
            </w:tcBorders>
          </w:tcPr>
          <w:p w14:paraId="3B875096" w14:textId="77777777" w:rsidR="00C671DA" w:rsidRDefault="00C671DA" w:rsidP="00C36D4F">
            <w:pPr>
              <w:jc w:val="center"/>
            </w:pPr>
            <w:proofErr w:type="spellStart"/>
            <w:r w:rsidRPr="009E37DF">
              <w:t>Hawiger</w:t>
            </w:r>
            <w:proofErr w:type="spellEnd"/>
          </w:p>
        </w:tc>
        <w:tc>
          <w:tcPr>
            <w:tcW w:w="1103" w:type="dxa"/>
            <w:tcBorders>
              <w:top w:val="single" w:sz="4" w:space="0" w:color="auto"/>
              <w:left w:val="single" w:sz="4" w:space="0" w:color="auto"/>
              <w:bottom w:val="single" w:sz="4" w:space="0" w:color="auto"/>
              <w:right w:val="single" w:sz="4" w:space="0" w:color="auto"/>
            </w:tcBorders>
          </w:tcPr>
          <w:p w14:paraId="512B57F8"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06DA97E5"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0B01D4A8" w14:textId="77777777" w:rsidR="00C671DA" w:rsidRDefault="00C671DA" w:rsidP="00C36D4F">
            <w:pPr>
              <w:jc w:val="center"/>
            </w:pPr>
            <w:r w:rsidRPr="009E37DF">
              <w:t>$415</w:t>
            </w:r>
          </w:p>
        </w:tc>
        <w:tc>
          <w:tcPr>
            <w:tcW w:w="1530" w:type="dxa"/>
            <w:tcBorders>
              <w:top w:val="single" w:sz="4" w:space="0" w:color="auto"/>
              <w:left w:val="single" w:sz="4" w:space="0" w:color="auto"/>
              <w:bottom w:val="single" w:sz="4" w:space="0" w:color="auto"/>
              <w:right w:val="single" w:sz="4" w:space="0" w:color="auto"/>
            </w:tcBorders>
          </w:tcPr>
          <w:p w14:paraId="6047E7CD"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41949B35" w14:textId="77777777" w:rsidR="00C671DA" w:rsidRDefault="00C671DA" w:rsidP="00C36D4F">
            <w:pPr>
              <w:jc w:val="center"/>
            </w:pPr>
            <w:r w:rsidRPr="00932179">
              <w:t>$415</w:t>
            </w:r>
          </w:p>
        </w:tc>
      </w:tr>
      <w:tr w:rsidR="00C671DA" w14:paraId="700AB66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25E0B0F" w14:textId="77777777" w:rsidR="00C671DA" w:rsidRDefault="00C671DA" w:rsidP="00C36D4F">
            <w:pPr>
              <w:jc w:val="center"/>
            </w:pPr>
            <w:r w:rsidRPr="009E37DF">
              <w:t xml:space="preserve">Marcel </w:t>
            </w:r>
          </w:p>
        </w:tc>
        <w:tc>
          <w:tcPr>
            <w:tcW w:w="1417" w:type="dxa"/>
            <w:tcBorders>
              <w:top w:val="single" w:sz="4" w:space="0" w:color="auto"/>
              <w:left w:val="single" w:sz="4" w:space="0" w:color="auto"/>
              <w:bottom w:val="single" w:sz="4" w:space="0" w:color="auto"/>
              <w:right w:val="single" w:sz="4" w:space="0" w:color="auto"/>
            </w:tcBorders>
          </w:tcPr>
          <w:p w14:paraId="4CDB2F11" w14:textId="77777777" w:rsidR="00C671DA" w:rsidRDefault="00C671DA" w:rsidP="00C36D4F">
            <w:pPr>
              <w:jc w:val="center"/>
            </w:pPr>
            <w:proofErr w:type="spellStart"/>
            <w:r w:rsidRPr="009E37DF">
              <w:t>Hawiger</w:t>
            </w:r>
            <w:proofErr w:type="spellEnd"/>
          </w:p>
        </w:tc>
        <w:tc>
          <w:tcPr>
            <w:tcW w:w="1103" w:type="dxa"/>
            <w:tcBorders>
              <w:top w:val="single" w:sz="4" w:space="0" w:color="auto"/>
              <w:left w:val="single" w:sz="4" w:space="0" w:color="auto"/>
              <w:bottom w:val="single" w:sz="4" w:space="0" w:color="auto"/>
              <w:right w:val="single" w:sz="4" w:space="0" w:color="auto"/>
            </w:tcBorders>
          </w:tcPr>
          <w:p w14:paraId="0FA9793E"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739CFFBC"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690BC2AF" w14:textId="77777777" w:rsidR="00C671DA" w:rsidRDefault="00C671DA" w:rsidP="00C36D4F">
            <w:pPr>
              <w:jc w:val="center"/>
            </w:pPr>
            <w:r w:rsidRPr="009E37DF">
              <w:t>$425</w:t>
            </w:r>
          </w:p>
        </w:tc>
        <w:tc>
          <w:tcPr>
            <w:tcW w:w="1530" w:type="dxa"/>
            <w:tcBorders>
              <w:top w:val="single" w:sz="4" w:space="0" w:color="auto"/>
              <w:left w:val="single" w:sz="4" w:space="0" w:color="auto"/>
              <w:bottom w:val="single" w:sz="4" w:space="0" w:color="auto"/>
              <w:right w:val="single" w:sz="4" w:space="0" w:color="auto"/>
            </w:tcBorders>
          </w:tcPr>
          <w:p w14:paraId="0338A94A"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2FC33D12" w14:textId="77777777" w:rsidR="00C671DA" w:rsidRDefault="00C671DA" w:rsidP="00C36D4F">
            <w:pPr>
              <w:jc w:val="center"/>
            </w:pPr>
            <w:r w:rsidRPr="00932179">
              <w:t>$425</w:t>
            </w:r>
          </w:p>
        </w:tc>
      </w:tr>
      <w:tr w:rsidR="00C671DA" w14:paraId="1CC10DE3"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605711A" w14:textId="77777777" w:rsidR="00C671DA" w:rsidRDefault="00C671DA" w:rsidP="00C36D4F">
            <w:pPr>
              <w:jc w:val="center"/>
            </w:pPr>
            <w:r w:rsidRPr="009E37DF">
              <w:t xml:space="preserve">Thomas </w:t>
            </w:r>
          </w:p>
        </w:tc>
        <w:tc>
          <w:tcPr>
            <w:tcW w:w="1417" w:type="dxa"/>
            <w:tcBorders>
              <w:top w:val="single" w:sz="4" w:space="0" w:color="auto"/>
              <w:left w:val="single" w:sz="4" w:space="0" w:color="auto"/>
              <w:bottom w:val="single" w:sz="4" w:space="0" w:color="auto"/>
              <w:right w:val="single" w:sz="4" w:space="0" w:color="auto"/>
            </w:tcBorders>
          </w:tcPr>
          <w:p w14:paraId="79D0D5DF" w14:textId="77777777" w:rsidR="00C671DA" w:rsidRDefault="00C671DA" w:rsidP="00C36D4F">
            <w:pPr>
              <w:jc w:val="center"/>
            </w:pPr>
            <w:r w:rsidRPr="009E37DF">
              <w:t>Long</w:t>
            </w:r>
          </w:p>
        </w:tc>
        <w:tc>
          <w:tcPr>
            <w:tcW w:w="1103" w:type="dxa"/>
            <w:tcBorders>
              <w:top w:val="single" w:sz="4" w:space="0" w:color="auto"/>
              <w:left w:val="single" w:sz="4" w:space="0" w:color="auto"/>
              <w:bottom w:val="single" w:sz="4" w:space="0" w:color="auto"/>
              <w:right w:val="single" w:sz="4" w:space="0" w:color="auto"/>
            </w:tcBorders>
          </w:tcPr>
          <w:p w14:paraId="5BA9CDA3"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1C42C95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9331AB9" w14:textId="77777777" w:rsidR="00C671DA" w:rsidRDefault="00C671DA" w:rsidP="00C36D4F">
            <w:pPr>
              <w:jc w:val="center"/>
            </w:pPr>
            <w:r w:rsidRPr="009E37DF">
              <w:t>$570</w:t>
            </w:r>
          </w:p>
        </w:tc>
        <w:tc>
          <w:tcPr>
            <w:tcW w:w="1530" w:type="dxa"/>
            <w:tcBorders>
              <w:top w:val="single" w:sz="4" w:space="0" w:color="auto"/>
              <w:left w:val="single" w:sz="4" w:space="0" w:color="auto"/>
              <w:bottom w:val="single" w:sz="4" w:space="0" w:color="auto"/>
              <w:right w:val="single" w:sz="4" w:space="0" w:color="auto"/>
            </w:tcBorders>
          </w:tcPr>
          <w:p w14:paraId="4894F84F"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1606C505" w14:textId="77777777" w:rsidR="00C671DA" w:rsidRDefault="00C671DA" w:rsidP="00C36D4F">
            <w:pPr>
              <w:jc w:val="center"/>
            </w:pPr>
            <w:r w:rsidRPr="00932179">
              <w:t>$570</w:t>
            </w:r>
          </w:p>
        </w:tc>
      </w:tr>
      <w:tr w:rsidR="00C671DA" w14:paraId="2093A5B7"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353E725D" w14:textId="77777777" w:rsidR="00C671DA" w:rsidRDefault="00C671DA" w:rsidP="00C36D4F">
            <w:pPr>
              <w:jc w:val="center"/>
            </w:pPr>
            <w:r w:rsidRPr="009E37DF">
              <w:t xml:space="preserve">Thomas </w:t>
            </w:r>
          </w:p>
        </w:tc>
        <w:tc>
          <w:tcPr>
            <w:tcW w:w="1417" w:type="dxa"/>
            <w:tcBorders>
              <w:top w:val="single" w:sz="4" w:space="0" w:color="auto"/>
              <w:left w:val="single" w:sz="4" w:space="0" w:color="auto"/>
              <w:bottom w:val="single" w:sz="4" w:space="0" w:color="auto"/>
              <w:right w:val="single" w:sz="4" w:space="0" w:color="auto"/>
            </w:tcBorders>
          </w:tcPr>
          <w:p w14:paraId="37B63CC4" w14:textId="77777777" w:rsidR="00C671DA" w:rsidRDefault="00C671DA" w:rsidP="00C36D4F">
            <w:pPr>
              <w:jc w:val="center"/>
            </w:pPr>
            <w:r w:rsidRPr="009E37DF">
              <w:t>Long</w:t>
            </w:r>
          </w:p>
        </w:tc>
        <w:tc>
          <w:tcPr>
            <w:tcW w:w="1103" w:type="dxa"/>
            <w:tcBorders>
              <w:top w:val="single" w:sz="4" w:space="0" w:color="auto"/>
              <w:left w:val="single" w:sz="4" w:space="0" w:color="auto"/>
              <w:bottom w:val="single" w:sz="4" w:space="0" w:color="auto"/>
              <w:right w:val="single" w:sz="4" w:space="0" w:color="auto"/>
            </w:tcBorders>
          </w:tcPr>
          <w:p w14:paraId="65460304"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49EEAC2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644F7676" w14:textId="77777777" w:rsidR="00C671DA" w:rsidRDefault="00C671DA" w:rsidP="00C36D4F">
            <w:pPr>
              <w:jc w:val="center"/>
            </w:pPr>
            <w:r w:rsidRPr="009E37DF">
              <w:t>$575</w:t>
            </w:r>
          </w:p>
        </w:tc>
        <w:tc>
          <w:tcPr>
            <w:tcW w:w="1530" w:type="dxa"/>
            <w:tcBorders>
              <w:top w:val="single" w:sz="4" w:space="0" w:color="auto"/>
              <w:left w:val="single" w:sz="4" w:space="0" w:color="auto"/>
              <w:bottom w:val="single" w:sz="4" w:space="0" w:color="auto"/>
              <w:right w:val="single" w:sz="4" w:space="0" w:color="auto"/>
            </w:tcBorders>
          </w:tcPr>
          <w:p w14:paraId="57807757"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766F22B6" w14:textId="77777777" w:rsidR="00C671DA" w:rsidRDefault="00C671DA" w:rsidP="00C36D4F">
            <w:pPr>
              <w:jc w:val="center"/>
            </w:pPr>
            <w:r w:rsidRPr="00932179">
              <w:t>$575</w:t>
            </w:r>
          </w:p>
        </w:tc>
      </w:tr>
      <w:tr w:rsidR="00C671DA" w14:paraId="49DA165C"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B493239" w14:textId="77777777" w:rsidR="00C671DA" w:rsidRDefault="00C671DA" w:rsidP="00C36D4F">
            <w:pPr>
              <w:jc w:val="center"/>
            </w:pPr>
            <w:r w:rsidRPr="009E37DF">
              <w:t xml:space="preserve">Thomas </w:t>
            </w:r>
          </w:p>
        </w:tc>
        <w:tc>
          <w:tcPr>
            <w:tcW w:w="1417" w:type="dxa"/>
            <w:tcBorders>
              <w:top w:val="single" w:sz="4" w:space="0" w:color="auto"/>
              <w:left w:val="single" w:sz="4" w:space="0" w:color="auto"/>
              <w:bottom w:val="single" w:sz="4" w:space="0" w:color="auto"/>
              <w:right w:val="single" w:sz="4" w:space="0" w:color="auto"/>
            </w:tcBorders>
          </w:tcPr>
          <w:p w14:paraId="22189F42" w14:textId="77777777" w:rsidR="00C671DA" w:rsidRDefault="00C671DA" w:rsidP="00C36D4F">
            <w:pPr>
              <w:jc w:val="center"/>
            </w:pPr>
            <w:r w:rsidRPr="009E37DF">
              <w:t>Long</w:t>
            </w:r>
          </w:p>
        </w:tc>
        <w:tc>
          <w:tcPr>
            <w:tcW w:w="1103" w:type="dxa"/>
            <w:tcBorders>
              <w:top w:val="single" w:sz="4" w:space="0" w:color="auto"/>
              <w:left w:val="single" w:sz="4" w:space="0" w:color="auto"/>
              <w:bottom w:val="single" w:sz="4" w:space="0" w:color="auto"/>
              <w:right w:val="single" w:sz="4" w:space="0" w:color="auto"/>
            </w:tcBorders>
          </w:tcPr>
          <w:p w14:paraId="25A265B2"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6224126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CE3418E" w14:textId="77777777" w:rsidR="00C671DA" w:rsidRDefault="00C671DA" w:rsidP="00C36D4F">
            <w:pPr>
              <w:jc w:val="center"/>
            </w:pPr>
            <w:r w:rsidRPr="009E37DF">
              <w:t>$585</w:t>
            </w:r>
          </w:p>
        </w:tc>
        <w:tc>
          <w:tcPr>
            <w:tcW w:w="1530" w:type="dxa"/>
            <w:tcBorders>
              <w:top w:val="single" w:sz="4" w:space="0" w:color="auto"/>
              <w:left w:val="single" w:sz="4" w:space="0" w:color="auto"/>
              <w:bottom w:val="single" w:sz="4" w:space="0" w:color="auto"/>
              <w:right w:val="single" w:sz="4" w:space="0" w:color="auto"/>
            </w:tcBorders>
          </w:tcPr>
          <w:p w14:paraId="55569E48"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770304BF" w14:textId="77777777" w:rsidR="00C671DA" w:rsidRDefault="00C671DA" w:rsidP="00C36D4F">
            <w:pPr>
              <w:jc w:val="center"/>
            </w:pPr>
            <w:r w:rsidRPr="00932179">
              <w:t>$585</w:t>
            </w:r>
          </w:p>
        </w:tc>
      </w:tr>
      <w:tr w:rsidR="00C671DA" w14:paraId="7EA4C05F"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4E98B4BE" w14:textId="77777777" w:rsidR="00C671DA" w:rsidRDefault="00C671DA" w:rsidP="00C36D4F">
            <w:pPr>
              <w:jc w:val="center"/>
            </w:pPr>
            <w:r w:rsidRPr="009E37DF">
              <w:t xml:space="preserve">Nina </w:t>
            </w:r>
          </w:p>
        </w:tc>
        <w:tc>
          <w:tcPr>
            <w:tcW w:w="1417" w:type="dxa"/>
            <w:tcBorders>
              <w:top w:val="single" w:sz="4" w:space="0" w:color="auto"/>
              <w:left w:val="single" w:sz="4" w:space="0" w:color="auto"/>
              <w:bottom w:val="single" w:sz="4" w:space="0" w:color="auto"/>
              <w:right w:val="single" w:sz="4" w:space="0" w:color="auto"/>
            </w:tcBorders>
          </w:tcPr>
          <w:p w14:paraId="535AB763" w14:textId="77777777" w:rsidR="00C671DA" w:rsidRDefault="00C671DA" w:rsidP="00C36D4F">
            <w:pPr>
              <w:jc w:val="center"/>
            </w:pPr>
            <w:proofErr w:type="spellStart"/>
            <w:r w:rsidRPr="009E37DF">
              <w:t>Suetake</w:t>
            </w:r>
            <w:proofErr w:type="spellEnd"/>
          </w:p>
        </w:tc>
        <w:tc>
          <w:tcPr>
            <w:tcW w:w="1103" w:type="dxa"/>
            <w:tcBorders>
              <w:top w:val="single" w:sz="4" w:space="0" w:color="auto"/>
              <w:left w:val="single" w:sz="4" w:space="0" w:color="auto"/>
              <w:bottom w:val="single" w:sz="4" w:space="0" w:color="auto"/>
              <w:right w:val="single" w:sz="4" w:space="0" w:color="auto"/>
            </w:tcBorders>
          </w:tcPr>
          <w:p w14:paraId="5A3A2D0D"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04DF2EA2"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010CA757" w14:textId="77777777" w:rsidR="00C671DA" w:rsidRDefault="00C671DA" w:rsidP="00C36D4F">
            <w:pPr>
              <w:jc w:val="center"/>
            </w:pPr>
            <w:r w:rsidRPr="009E37DF">
              <w:t>$350</w:t>
            </w:r>
          </w:p>
        </w:tc>
        <w:tc>
          <w:tcPr>
            <w:tcW w:w="1530" w:type="dxa"/>
            <w:tcBorders>
              <w:top w:val="single" w:sz="4" w:space="0" w:color="auto"/>
              <w:left w:val="single" w:sz="4" w:space="0" w:color="auto"/>
              <w:bottom w:val="single" w:sz="4" w:space="0" w:color="auto"/>
              <w:right w:val="single" w:sz="4" w:space="0" w:color="auto"/>
            </w:tcBorders>
          </w:tcPr>
          <w:p w14:paraId="5D7C67B5"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08A35FF4" w14:textId="77777777" w:rsidR="00C671DA" w:rsidRDefault="00C671DA" w:rsidP="00C36D4F">
            <w:pPr>
              <w:jc w:val="center"/>
            </w:pPr>
            <w:r w:rsidRPr="00932179">
              <w:t>$350</w:t>
            </w:r>
          </w:p>
        </w:tc>
      </w:tr>
      <w:tr w:rsidR="00C671DA" w14:paraId="6672847C"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1174E736" w14:textId="77777777" w:rsidR="00C671DA" w:rsidRDefault="00C671DA" w:rsidP="00C36D4F">
            <w:pPr>
              <w:jc w:val="center"/>
            </w:pPr>
            <w:r w:rsidRPr="009E37DF">
              <w:t xml:space="preserve">Elise </w:t>
            </w:r>
          </w:p>
        </w:tc>
        <w:tc>
          <w:tcPr>
            <w:tcW w:w="1417" w:type="dxa"/>
            <w:tcBorders>
              <w:top w:val="single" w:sz="4" w:space="0" w:color="auto"/>
              <w:left w:val="single" w:sz="4" w:space="0" w:color="auto"/>
              <w:bottom w:val="single" w:sz="4" w:space="0" w:color="auto"/>
              <w:right w:val="single" w:sz="4" w:space="0" w:color="auto"/>
            </w:tcBorders>
          </w:tcPr>
          <w:p w14:paraId="4CD6CF45" w14:textId="77777777" w:rsidR="00C671DA" w:rsidRDefault="00C671DA" w:rsidP="00C36D4F">
            <w:pPr>
              <w:jc w:val="center"/>
            </w:pPr>
            <w:r>
              <w:t>Torres</w:t>
            </w:r>
          </w:p>
        </w:tc>
        <w:tc>
          <w:tcPr>
            <w:tcW w:w="1103" w:type="dxa"/>
            <w:tcBorders>
              <w:top w:val="single" w:sz="4" w:space="0" w:color="auto"/>
              <w:left w:val="single" w:sz="4" w:space="0" w:color="auto"/>
              <w:bottom w:val="single" w:sz="4" w:space="0" w:color="auto"/>
              <w:right w:val="single" w:sz="4" w:space="0" w:color="auto"/>
            </w:tcBorders>
          </w:tcPr>
          <w:p w14:paraId="67DA5CEF"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3F2C38FB"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E92CE33" w14:textId="77777777" w:rsidR="00C671DA" w:rsidRDefault="00C671DA" w:rsidP="00C36D4F">
            <w:pPr>
              <w:jc w:val="center"/>
            </w:pPr>
            <w:r w:rsidRPr="009E37DF">
              <w:t>$215</w:t>
            </w:r>
          </w:p>
        </w:tc>
        <w:tc>
          <w:tcPr>
            <w:tcW w:w="1530" w:type="dxa"/>
            <w:tcBorders>
              <w:top w:val="single" w:sz="4" w:space="0" w:color="auto"/>
              <w:left w:val="single" w:sz="4" w:space="0" w:color="auto"/>
              <w:bottom w:val="single" w:sz="4" w:space="0" w:color="auto"/>
              <w:right w:val="single" w:sz="4" w:space="0" w:color="auto"/>
            </w:tcBorders>
          </w:tcPr>
          <w:p w14:paraId="00FD4C47"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1063F9CA" w14:textId="77777777" w:rsidR="00C671DA" w:rsidRDefault="00C671DA" w:rsidP="00C36D4F">
            <w:pPr>
              <w:jc w:val="center"/>
            </w:pPr>
            <w:r w:rsidRPr="00932179">
              <w:t>$215</w:t>
            </w:r>
          </w:p>
        </w:tc>
      </w:tr>
      <w:tr w:rsidR="00C671DA" w14:paraId="6E68CC3C"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251870A" w14:textId="77777777" w:rsidR="00C671DA" w:rsidRDefault="00C671DA" w:rsidP="00C36D4F">
            <w:pPr>
              <w:jc w:val="center"/>
            </w:pPr>
            <w:r w:rsidRPr="009E37DF">
              <w:t xml:space="preserve">Elise </w:t>
            </w:r>
          </w:p>
        </w:tc>
        <w:tc>
          <w:tcPr>
            <w:tcW w:w="1417" w:type="dxa"/>
            <w:tcBorders>
              <w:top w:val="single" w:sz="4" w:space="0" w:color="auto"/>
              <w:left w:val="single" w:sz="4" w:space="0" w:color="auto"/>
              <w:bottom w:val="single" w:sz="4" w:space="0" w:color="auto"/>
              <w:right w:val="single" w:sz="4" w:space="0" w:color="auto"/>
            </w:tcBorders>
          </w:tcPr>
          <w:p w14:paraId="1CB661B4" w14:textId="77777777" w:rsidR="00C671DA" w:rsidRDefault="00C671DA" w:rsidP="00C36D4F">
            <w:pPr>
              <w:jc w:val="center"/>
            </w:pPr>
            <w:r>
              <w:t>Torres</w:t>
            </w:r>
          </w:p>
        </w:tc>
        <w:tc>
          <w:tcPr>
            <w:tcW w:w="1103" w:type="dxa"/>
            <w:tcBorders>
              <w:top w:val="single" w:sz="4" w:space="0" w:color="auto"/>
              <w:left w:val="single" w:sz="4" w:space="0" w:color="auto"/>
              <w:bottom w:val="single" w:sz="4" w:space="0" w:color="auto"/>
              <w:right w:val="single" w:sz="4" w:space="0" w:color="auto"/>
            </w:tcBorders>
          </w:tcPr>
          <w:p w14:paraId="1BCEEC6B"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6C5076EC"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65EF2276" w14:textId="77777777" w:rsidR="00C671DA" w:rsidRDefault="00C671DA" w:rsidP="00C36D4F">
            <w:pPr>
              <w:jc w:val="center"/>
            </w:pPr>
            <w:r w:rsidRPr="009E37DF">
              <w:t>$230</w:t>
            </w:r>
          </w:p>
        </w:tc>
        <w:tc>
          <w:tcPr>
            <w:tcW w:w="1530" w:type="dxa"/>
            <w:tcBorders>
              <w:top w:val="single" w:sz="4" w:space="0" w:color="auto"/>
              <w:left w:val="single" w:sz="4" w:space="0" w:color="auto"/>
              <w:bottom w:val="single" w:sz="4" w:space="0" w:color="auto"/>
              <w:right w:val="single" w:sz="4" w:space="0" w:color="auto"/>
            </w:tcBorders>
          </w:tcPr>
          <w:p w14:paraId="2209E3E8"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7079095B" w14:textId="77777777" w:rsidR="00C671DA" w:rsidRDefault="00C671DA" w:rsidP="00C36D4F">
            <w:pPr>
              <w:jc w:val="center"/>
            </w:pPr>
            <w:r w:rsidRPr="00932179">
              <w:t>$230</w:t>
            </w:r>
          </w:p>
        </w:tc>
      </w:tr>
      <w:tr w:rsidR="00C671DA" w14:paraId="6CB51340"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45701474" w14:textId="77777777" w:rsidR="00C671DA" w:rsidRDefault="00C671DA" w:rsidP="00C36D4F">
            <w:pPr>
              <w:jc w:val="center"/>
            </w:pPr>
            <w:r w:rsidRPr="009E37DF">
              <w:t xml:space="preserve">Elise </w:t>
            </w:r>
          </w:p>
        </w:tc>
        <w:tc>
          <w:tcPr>
            <w:tcW w:w="1417" w:type="dxa"/>
            <w:tcBorders>
              <w:top w:val="single" w:sz="4" w:space="0" w:color="auto"/>
              <w:left w:val="single" w:sz="4" w:space="0" w:color="auto"/>
              <w:bottom w:val="single" w:sz="4" w:space="0" w:color="auto"/>
              <w:right w:val="single" w:sz="4" w:space="0" w:color="auto"/>
            </w:tcBorders>
          </w:tcPr>
          <w:p w14:paraId="77CD8D50" w14:textId="77777777" w:rsidR="00C671DA" w:rsidRDefault="00C671DA" w:rsidP="00C36D4F">
            <w:pPr>
              <w:jc w:val="center"/>
            </w:pPr>
            <w:r>
              <w:t>Torres</w:t>
            </w:r>
          </w:p>
        </w:tc>
        <w:tc>
          <w:tcPr>
            <w:tcW w:w="1103" w:type="dxa"/>
            <w:tcBorders>
              <w:top w:val="single" w:sz="4" w:space="0" w:color="auto"/>
              <w:left w:val="single" w:sz="4" w:space="0" w:color="auto"/>
              <w:bottom w:val="single" w:sz="4" w:space="0" w:color="auto"/>
              <w:right w:val="single" w:sz="4" w:space="0" w:color="auto"/>
            </w:tcBorders>
          </w:tcPr>
          <w:p w14:paraId="23B33AD6" w14:textId="77777777" w:rsidR="00C671DA" w:rsidRPr="009E37DF" w:rsidRDefault="00C671DA" w:rsidP="00C36D4F">
            <w:pPr>
              <w:jc w:val="center"/>
            </w:pPr>
            <w:r w:rsidRPr="009E37DF">
              <w:t>Attorney</w:t>
            </w:r>
          </w:p>
        </w:tc>
        <w:tc>
          <w:tcPr>
            <w:tcW w:w="1237" w:type="dxa"/>
            <w:tcBorders>
              <w:top w:val="single" w:sz="4" w:space="0" w:color="auto"/>
              <w:left w:val="single" w:sz="4" w:space="0" w:color="auto"/>
              <w:bottom w:val="single" w:sz="4" w:space="0" w:color="auto"/>
              <w:right w:val="single" w:sz="4" w:space="0" w:color="auto"/>
            </w:tcBorders>
          </w:tcPr>
          <w:p w14:paraId="2DE4F87D"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41D9798" w14:textId="77777777" w:rsidR="00C671DA" w:rsidRDefault="00C671DA" w:rsidP="00C36D4F">
            <w:pPr>
              <w:jc w:val="center"/>
            </w:pPr>
            <w:r w:rsidRPr="009E37DF">
              <w:t>$245</w:t>
            </w:r>
          </w:p>
        </w:tc>
        <w:tc>
          <w:tcPr>
            <w:tcW w:w="1530" w:type="dxa"/>
            <w:tcBorders>
              <w:top w:val="single" w:sz="4" w:space="0" w:color="auto"/>
              <w:left w:val="single" w:sz="4" w:space="0" w:color="auto"/>
              <w:bottom w:val="single" w:sz="4" w:space="0" w:color="auto"/>
              <w:right w:val="single" w:sz="4" w:space="0" w:color="auto"/>
            </w:tcBorders>
          </w:tcPr>
          <w:p w14:paraId="3E4D874C"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3F4C49B9" w14:textId="77777777" w:rsidR="00C671DA" w:rsidRDefault="00C671DA" w:rsidP="00C36D4F">
            <w:pPr>
              <w:jc w:val="center"/>
            </w:pPr>
            <w:r w:rsidRPr="00932179">
              <w:t>$</w:t>
            </w:r>
            <w:r>
              <w:t>245</w:t>
            </w:r>
          </w:p>
        </w:tc>
      </w:tr>
      <w:tr w:rsidR="00C671DA" w14:paraId="19A87BB3"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9B05E4E" w14:textId="77777777" w:rsidR="00C671DA" w:rsidRDefault="00C671DA" w:rsidP="00C36D4F">
            <w:pPr>
              <w:jc w:val="center"/>
            </w:pPr>
            <w:r w:rsidRPr="009E37DF">
              <w:t xml:space="preserve">Eric </w:t>
            </w:r>
          </w:p>
        </w:tc>
        <w:tc>
          <w:tcPr>
            <w:tcW w:w="1417" w:type="dxa"/>
            <w:tcBorders>
              <w:top w:val="single" w:sz="4" w:space="0" w:color="auto"/>
              <w:left w:val="single" w:sz="4" w:space="0" w:color="auto"/>
              <w:bottom w:val="single" w:sz="4" w:space="0" w:color="auto"/>
              <w:right w:val="single" w:sz="4" w:space="0" w:color="auto"/>
            </w:tcBorders>
          </w:tcPr>
          <w:p w14:paraId="7E1ED171" w14:textId="77777777" w:rsidR="00C671DA" w:rsidRDefault="00C671DA" w:rsidP="00C36D4F">
            <w:pPr>
              <w:jc w:val="center"/>
            </w:pPr>
            <w:r w:rsidRPr="009E37DF">
              <w:t>Borden</w:t>
            </w:r>
          </w:p>
        </w:tc>
        <w:tc>
          <w:tcPr>
            <w:tcW w:w="1103" w:type="dxa"/>
            <w:tcBorders>
              <w:top w:val="single" w:sz="4" w:space="0" w:color="auto"/>
              <w:left w:val="single" w:sz="4" w:space="0" w:color="auto"/>
              <w:bottom w:val="single" w:sz="4" w:space="0" w:color="auto"/>
              <w:right w:val="single" w:sz="4" w:space="0" w:color="auto"/>
            </w:tcBorders>
          </w:tcPr>
          <w:p w14:paraId="7F55C6AC"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18B3A09C"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3E253858" w14:textId="77777777" w:rsidR="00C671DA" w:rsidRDefault="00C671DA" w:rsidP="00C36D4F">
            <w:pPr>
              <w:jc w:val="center"/>
            </w:pPr>
            <w:r w:rsidRPr="009E37DF">
              <w:t>$180</w:t>
            </w:r>
          </w:p>
        </w:tc>
        <w:tc>
          <w:tcPr>
            <w:tcW w:w="1530" w:type="dxa"/>
            <w:tcBorders>
              <w:top w:val="single" w:sz="4" w:space="0" w:color="auto"/>
              <w:left w:val="single" w:sz="4" w:space="0" w:color="auto"/>
              <w:bottom w:val="single" w:sz="4" w:space="0" w:color="auto"/>
              <w:right w:val="single" w:sz="4" w:space="0" w:color="auto"/>
            </w:tcBorders>
          </w:tcPr>
          <w:p w14:paraId="34EF603C"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5E4BB696" w14:textId="77777777" w:rsidR="00C671DA" w:rsidRDefault="00C671DA" w:rsidP="00C36D4F">
            <w:pPr>
              <w:jc w:val="center"/>
            </w:pPr>
            <w:r w:rsidRPr="00932179">
              <w:t>$180</w:t>
            </w:r>
          </w:p>
        </w:tc>
      </w:tr>
      <w:tr w:rsidR="00C671DA" w14:paraId="359A96B9"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F9E4862" w14:textId="77777777" w:rsidR="00C671DA" w:rsidRDefault="00C671DA" w:rsidP="00C36D4F">
            <w:pPr>
              <w:jc w:val="center"/>
            </w:pPr>
            <w:r w:rsidRPr="009E37DF">
              <w:t xml:space="preserve">Eric </w:t>
            </w:r>
          </w:p>
        </w:tc>
        <w:tc>
          <w:tcPr>
            <w:tcW w:w="1417" w:type="dxa"/>
            <w:tcBorders>
              <w:top w:val="single" w:sz="4" w:space="0" w:color="auto"/>
              <w:left w:val="single" w:sz="4" w:space="0" w:color="auto"/>
              <w:bottom w:val="single" w:sz="4" w:space="0" w:color="auto"/>
              <w:right w:val="single" w:sz="4" w:space="0" w:color="auto"/>
            </w:tcBorders>
          </w:tcPr>
          <w:p w14:paraId="264BC6F2" w14:textId="77777777" w:rsidR="00C671DA" w:rsidRDefault="00C671DA" w:rsidP="00C36D4F">
            <w:pPr>
              <w:jc w:val="center"/>
            </w:pPr>
            <w:r w:rsidRPr="009E37DF">
              <w:t>Borden</w:t>
            </w:r>
          </w:p>
        </w:tc>
        <w:tc>
          <w:tcPr>
            <w:tcW w:w="1103" w:type="dxa"/>
            <w:tcBorders>
              <w:top w:val="single" w:sz="4" w:space="0" w:color="auto"/>
              <w:left w:val="single" w:sz="4" w:space="0" w:color="auto"/>
              <w:bottom w:val="single" w:sz="4" w:space="0" w:color="auto"/>
              <w:right w:val="single" w:sz="4" w:space="0" w:color="auto"/>
            </w:tcBorders>
          </w:tcPr>
          <w:p w14:paraId="441C08C2"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0288C1F6"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5385B8C8" w14:textId="77777777" w:rsidR="00C671DA" w:rsidRDefault="00C671DA" w:rsidP="00C36D4F">
            <w:pPr>
              <w:jc w:val="center"/>
            </w:pPr>
            <w:r w:rsidRPr="009E37DF">
              <w:t>$190</w:t>
            </w:r>
          </w:p>
        </w:tc>
        <w:tc>
          <w:tcPr>
            <w:tcW w:w="1530" w:type="dxa"/>
            <w:tcBorders>
              <w:top w:val="single" w:sz="4" w:space="0" w:color="auto"/>
              <w:left w:val="single" w:sz="4" w:space="0" w:color="auto"/>
              <w:bottom w:val="single" w:sz="4" w:space="0" w:color="auto"/>
              <w:right w:val="single" w:sz="4" w:space="0" w:color="auto"/>
            </w:tcBorders>
          </w:tcPr>
          <w:p w14:paraId="4C0EB643"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6B72FE81" w14:textId="77777777" w:rsidR="00C671DA" w:rsidRDefault="00C671DA" w:rsidP="00C36D4F">
            <w:pPr>
              <w:jc w:val="center"/>
            </w:pPr>
            <w:r w:rsidRPr="00932179">
              <w:t>$190</w:t>
            </w:r>
          </w:p>
        </w:tc>
      </w:tr>
      <w:tr w:rsidR="00C671DA" w14:paraId="5BA1DF2B"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0694F46D" w14:textId="77777777" w:rsidR="00C671DA" w:rsidRPr="009E37DF" w:rsidRDefault="00C671DA" w:rsidP="00C36D4F">
            <w:pPr>
              <w:jc w:val="center"/>
            </w:pPr>
            <w:r w:rsidRPr="009E37DF">
              <w:lastRenderedPageBreak/>
              <w:t xml:space="preserve">Paul </w:t>
            </w:r>
          </w:p>
        </w:tc>
        <w:tc>
          <w:tcPr>
            <w:tcW w:w="1417" w:type="dxa"/>
            <w:tcBorders>
              <w:top w:val="single" w:sz="4" w:space="0" w:color="auto"/>
              <w:left w:val="single" w:sz="4" w:space="0" w:color="auto"/>
              <w:bottom w:val="single" w:sz="4" w:space="0" w:color="auto"/>
              <w:right w:val="single" w:sz="4" w:space="0" w:color="auto"/>
            </w:tcBorders>
          </w:tcPr>
          <w:p w14:paraId="1B71BC70" w14:textId="77777777" w:rsidR="00C671DA" w:rsidRDefault="00C671DA" w:rsidP="00C36D4F">
            <w:pPr>
              <w:jc w:val="center"/>
            </w:pPr>
            <w:r w:rsidRPr="009E37DF">
              <w:t>Alvarez</w:t>
            </w:r>
          </w:p>
        </w:tc>
        <w:tc>
          <w:tcPr>
            <w:tcW w:w="1103" w:type="dxa"/>
            <w:tcBorders>
              <w:top w:val="single" w:sz="4" w:space="0" w:color="auto"/>
              <w:left w:val="single" w:sz="4" w:space="0" w:color="auto"/>
              <w:bottom w:val="single" w:sz="4" w:space="0" w:color="auto"/>
              <w:right w:val="single" w:sz="4" w:space="0" w:color="auto"/>
            </w:tcBorders>
          </w:tcPr>
          <w:p w14:paraId="7556C90F"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1D6C4361"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5D61AEB0" w14:textId="77777777" w:rsidR="00C671DA" w:rsidRDefault="00C671DA" w:rsidP="00C36D4F">
            <w:pPr>
              <w:jc w:val="center"/>
            </w:pPr>
            <w:r w:rsidRPr="009E37DF">
              <w:t>$275</w:t>
            </w:r>
          </w:p>
        </w:tc>
        <w:tc>
          <w:tcPr>
            <w:tcW w:w="1530" w:type="dxa"/>
            <w:tcBorders>
              <w:top w:val="single" w:sz="4" w:space="0" w:color="auto"/>
              <w:left w:val="single" w:sz="4" w:space="0" w:color="auto"/>
              <w:bottom w:val="single" w:sz="4" w:space="0" w:color="auto"/>
              <w:right w:val="single" w:sz="4" w:space="0" w:color="auto"/>
            </w:tcBorders>
          </w:tcPr>
          <w:p w14:paraId="07777699"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0D0D8B33" w14:textId="77777777" w:rsidR="00C671DA" w:rsidRDefault="00C671DA" w:rsidP="00C36D4F">
            <w:pPr>
              <w:jc w:val="center"/>
            </w:pPr>
            <w:r w:rsidRPr="00932179">
              <w:t>$</w:t>
            </w:r>
            <w:r>
              <w:t>275</w:t>
            </w:r>
          </w:p>
        </w:tc>
      </w:tr>
      <w:tr w:rsidR="00C671DA" w14:paraId="6AEF31D4"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BFB64F0" w14:textId="77777777" w:rsidR="00C671DA" w:rsidRPr="009E37DF" w:rsidRDefault="00C671DA" w:rsidP="00C36D4F">
            <w:pPr>
              <w:jc w:val="center"/>
            </w:pPr>
            <w:r w:rsidRPr="009E37DF">
              <w:t xml:space="preserve">Thomas </w:t>
            </w:r>
          </w:p>
        </w:tc>
        <w:tc>
          <w:tcPr>
            <w:tcW w:w="1417" w:type="dxa"/>
            <w:tcBorders>
              <w:top w:val="single" w:sz="4" w:space="0" w:color="auto"/>
              <w:left w:val="single" w:sz="4" w:space="0" w:color="auto"/>
              <w:bottom w:val="single" w:sz="4" w:space="0" w:color="auto"/>
              <w:right w:val="single" w:sz="4" w:space="0" w:color="auto"/>
            </w:tcBorders>
          </w:tcPr>
          <w:p w14:paraId="265C2FBE" w14:textId="77777777" w:rsidR="00C671DA" w:rsidRDefault="00C671DA" w:rsidP="00C36D4F">
            <w:pPr>
              <w:jc w:val="center"/>
            </w:pPr>
            <w:r w:rsidRPr="009E37DF">
              <w:t>Carter</w:t>
            </w:r>
          </w:p>
        </w:tc>
        <w:tc>
          <w:tcPr>
            <w:tcW w:w="1103" w:type="dxa"/>
            <w:tcBorders>
              <w:top w:val="single" w:sz="4" w:space="0" w:color="auto"/>
              <w:left w:val="single" w:sz="4" w:space="0" w:color="auto"/>
              <w:bottom w:val="single" w:sz="4" w:space="0" w:color="auto"/>
              <w:right w:val="single" w:sz="4" w:space="0" w:color="auto"/>
            </w:tcBorders>
          </w:tcPr>
          <w:p w14:paraId="39A05CDF"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5817B07A"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FDA0D84" w14:textId="77777777" w:rsidR="00C671DA" w:rsidRDefault="00C671DA" w:rsidP="00C36D4F">
            <w:pPr>
              <w:jc w:val="center"/>
            </w:pPr>
            <w:r w:rsidRPr="009E37DF">
              <w:t>$225</w:t>
            </w:r>
          </w:p>
        </w:tc>
        <w:tc>
          <w:tcPr>
            <w:tcW w:w="1530" w:type="dxa"/>
            <w:tcBorders>
              <w:top w:val="single" w:sz="4" w:space="0" w:color="auto"/>
              <w:left w:val="single" w:sz="4" w:space="0" w:color="auto"/>
              <w:bottom w:val="single" w:sz="4" w:space="0" w:color="auto"/>
              <w:right w:val="single" w:sz="4" w:space="0" w:color="auto"/>
            </w:tcBorders>
          </w:tcPr>
          <w:p w14:paraId="0B454897"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7BFE6ED7" w14:textId="77777777" w:rsidR="00C671DA" w:rsidRDefault="00C671DA" w:rsidP="00C36D4F">
            <w:pPr>
              <w:jc w:val="center"/>
            </w:pPr>
            <w:r w:rsidRPr="00932179">
              <w:t>$</w:t>
            </w:r>
            <w:r>
              <w:t>225</w:t>
            </w:r>
          </w:p>
        </w:tc>
      </w:tr>
      <w:tr w:rsidR="00C671DA" w14:paraId="7AA91982"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5577871" w14:textId="77777777" w:rsidR="00C671DA" w:rsidRPr="009E37DF" w:rsidRDefault="00C671DA" w:rsidP="00C36D4F">
            <w:pPr>
              <w:jc w:val="center"/>
            </w:pPr>
            <w:r w:rsidRPr="009E37DF">
              <w:t xml:space="preserve">Roger </w:t>
            </w:r>
          </w:p>
        </w:tc>
        <w:tc>
          <w:tcPr>
            <w:tcW w:w="1417" w:type="dxa"/>
            <w:tcBorders>
              <w:top w:val="single" w:sz="4" w:space="0" w:color="auto"/>
              <w:left w:val="single" w:sz="4" w:space="0" w:color="auto"/>
              <w:bottom w:val="single" w:sz="4" w:space="0" w:color="auto"/>
              <w:right w:val="single" w:sz="4" w:space="0" w:color="auto"/>
            </w:tcBorders>
          </w:tcPr>
          <w:p w14:paraId="37B46C94" w14:textId="77777777" w:rsidR="00C671DA" w:rsidRDefault="00C671DA" w:rsidP="00C36D4F">
            <w:pPr>
              <w:jc w:val="center"/>
            </w:pPr>
            <w:r w:rsidRPr="009E37DF">
              <w:t>Colton</w:t>
            </w:r>
          </w:p>
        </w:tc>
        <w:tc>
          <w:tcPr>
            <w:tcW w:w="1103" w:type="dxa"/>
            <w:tcBorders>
              <w:top w:val="single" w:sz="4" w:space="0" w:color="auto"/>
              <w:left w:val="single" w:sz="4" w:space="0" w:color="auto"/>
              <w:bottom w:val="single" w:sz="4" w:space="0" w:color="auto"/>
              <w:right w:val="single" w:sz="4" w:space="0" w:color="auto"/>
            </w:tcBorders>
          </w:tcPr>
          <w:p w14:paraId="1FB64867"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2F045AB4"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55188993" w14:textId="77777777" w:rsidR="00C671DA" w:rsidRDefault="00C671DA" w:rsidP="00C36D4F">
            <w:pPr>
              <w:jc w:val="center"/>
            </w:pPr>
            <w:r w:rsidRPr="009E37DF">
              <w:t>$250</w:t>
            </w:r>
          </w:p>
        </w:tc>
        <w:tc>
          <w:tcPr>
            <w:tcW w:w="1530" w:type="dxa"/>
            <w:tcBorders>
              <w:top w:val="single" w:sz="4" w:space="0" w:color="auto"/>
              <w:left w:val="single" w:sz="4" w:space="0" w:color="auto"/>
              <w:bottom w:val="single" w:sz="4" w:space="0" w:color="auto"/>
              <w:right w:val="single" w:sz="4" w:space="0" w:color="auto"/>
            </w:tcBorders>
          </w:tcPr>
          <w:p w14:paraId="2962B29B"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4A6AB4DB" w14:textId="77777777" w:rsidR="00C671DA" w:rsidRDefault="00C671DA" w:rsidP="00C36D4F">
            <w:pPr>
              <w:jc w:val="center"/>
            </w:pPr>
            <w:r w:rsidRPr="00932179">
              <w:t>$</w:t>
            </w:r>
            <w:r>
              <w:t>250</w:t>
            </w:r>
          </w:p>
        </w:tc>
      </w:tr>
      <w:tr w:rsidR="00C671DA" w14:paraId="3FE3726F"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44449C45" w14:textId="77777777" w:rsidR="00C671DA" w:rsidRPr="009E37DF" w:rsidRDefault="00C671DA" w:rsidP="00C36D4F">
            <w:pPr>
              <w:jc w:val="center"/>
            </w:pPr>
            <w:r w:rsidRPr="009E37DF">
              <w:t xml:space="preserve">Roger </w:t>
            </w:r>
          </w:p>
        </w:tc>
        <w:tc>
          <w:tcPr>
            <w:tcW w:w="1417" w:type="dxa"/>
            <w:tcBorders>
              <w:top w:val="single" w:sz="4" w:space="0" w:color="auto"/>
              <w:left w:val="single" w:sz="4" w:space="0" w:color="auto"/>
              <w:bottom w:val="single" w:sz="4" w:space="0" w:color="auto"/>
              <w:right w:val="single" w:sz="4" w:space="0" w:color="auto"/>
            </w:tcBorders>
          </w:tcPr>
          <w:p w14:paraId="172BC947" w14:textId="77777777" w:rsidR="00C671DA" w:rsidRDefault="00C671DA" w:rsidP="00C36D4F">
            <w:pPr>
              <w:jc w:val="center"/>
            </w:pPr>
            <w:r w:rsidRPr="009E37DF">
              <w:t>Colton</w:t>
            </w:r>
          </w:p>
        </w:tc>
        <w:tc>
          <w:tcPr>
            <w:tcW w:w="1103" w:type="dxa"/>
            <w:tcBorders>
              <w:top w:val="single" w:sz="4" w:space="0" w:color="auto"/>
              <w:left w:val="single" w:sz="4" w:space="0" w:color="auto"/>
              <w:bottom w:val="single" w:sz="4" w:space="0" w:color="auto"/>
              <w:right w:val="single" w:sz="4" w:space="0" w:color="auto"/>
            </w:tcBorders>
          </w:tcPr>
          <w:p w14:paraId="05D563D7"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6663E7AD"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21BBB702" w14:textId="77777777" w:rsidR="00C671DA" w:rsidRDefault="00C671DA" w:rsidP="00C36D4F">
            <w:pPr>
              <w:jc w:val="center"/>
            </w:pPr>
            <w:r w:rsidRPr="009E37DF">
              <w:t>$250</w:t>
            </w:r>
          </w:p>
        </w:tc>
        <w:tc>
          <w:tcPr>
            <w:tcW w:w="1530" w:type="dxa"/>
            <w:tcBorders>
              <w:top w:val="single" w:sz="4" w:space="0" w:color="auto"/>
              <w:left w:val="single" w:sz="4" w:space="0" w:color="auto"/>
              <w:bottom w:val="single" w:sz="4" w:space="0" w:color="auto"/>
              <w:right w:val="single" w:sz="4" w:space="0" w:color="auto"/>
            </w:tcBorders>
          </w:tcPr>
          <w:p w14:paraId="3968956E"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7C395E4C" w14:textId="77777777" w:rsidR="00C671DA" w:rsidRDefault="00C671DA" w:rsidP="00C36D4F">
            <w:pPr>
              <w:jc w:val="center"/>
            </w:pPr>
            <w:r w:rsidRPr="00932179">
              <w:t>$</w:t>
            </w:r>
            <w:r>
              <w:t>250</w:t>
            </w:r>
          </w:p>
        </w:tc>
      </w:tr>
      <w:tr w:rsidR="00C671DA" w14:paraId="5234639B"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13A9EAA9" w14:textId="77777777" w:rsidR="00C671DA" w:rsidRPr="009E37DF" w:rsidRDefault="00C671DA" w:rsidP="00C36D4F">
            <w:pPr>
              <w:jc w:val="center"/>
            </w:pPr>
            <w:r w:rsidRPr="009E37DF">
              <w:t xml:space="preserve">James </w:t>
            </w:r>
          </w:p>
        </w:tc>
        <w:tc>
          <w:tcPr>
            <w:tcW w:w="1417" w:type="dxa"/>
            <w:tcBorders>
              <w:top w:val="single" w:sz="4" w:space="0" w:color="auto"/>
              <w:left w:val="single" w:sz="4" w:space="0" w:color="auto"/>
              <w:bottom w:val="single" w:sz="4" w:space="0" w:color="auto"/>
              <w:right w:val="single" w:sz="4" w:space="0" w:color="auto"/>
            </w:tcBorders>
          </w:tcPr>
          <w:p w14:paraId="789C232B" w14:textId="77777777" w:rsidR="00C671DA" w:rsidRDefault="00C671DA" w:rsidP="00C36D4F">
            <w:pPr>
              <w:jc w:val="center"/>
            </w:pPr>
            <w:proofErr w:type="spellStart"/>
            <w:r w:rsidRPr="009E37DF">
              <w:t>Garren</w:t>
            </w:r>
            <w:proofErr w:type="spellEnd"/>
          </w:p>
        </w:tc>
        <w:tc>
          <w:tcPr>
            <w:tcW w:w="1103" w:type="dxa"/>
            <w:tcBorders>
              <w:top w:val="single" w:sz="4" w:space="0" w:color="auto"/>
              <w:left w:val="single" w:sz="4" w:space="0" w:color="auto"/>
              <w:bottom w:val="single" w:sz="4" w:space="0" w:color="auto"/>
              <w:right w:val="single" w:sz="4" w:space="0" w:color="auto"/>
            </w:tcBorders>
          </w:tcPr>
          <w:p w14:paraId="18FE174B"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66D056A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619976FF" w14:textId="77777777" w:rsidR="00C671DA" w:rsidRDefault="00C671DA" w:rsidP="00C36D4F">
            <w:pPr>
              <w:jc w:val="center"/>
            </w:pPr>
            <w:r w:rsidRPr="009E37DF">
              <w:t>$145</w:t>
            </w:r>
          </w:p>
        </w:tc>
        <w:tc>
          <w:tcPr>
            <w:tcW w:w="1530" w:type="dxa"/>
            <w:tcBorders>
              <w:top w:val="single" w:sz="4" w:space="0" w:color="auto"/>
              <w:left w:val="single" w:sz="4" w:space="0" w:color="auto"/>
              <w:bottom w:val="single" w:sz="4" w:space="0" w:color="auto"/>
              <w:right w:val="single" w:sz="4" w:space="0" w:color="auto"/>
            </w:tcBorders>
          </w:tcPr>
          <w:p w14:paraId="5776FA2A"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0A67FBD2" w14:textId="77777777" w:rsidR="00C671DA" w:rsidRDefault="00C671DA" w:rsidP="00C36D4F">
            <w:pPr>
              <w:jc w:val="center"/>
            </w:pPr>
            <w:r w:rsidRPr="00932179">
              <w:t>$</w:t>
            </w:r>
            <w:r>
              <w:t>145</w:t>
            </w:r>
          </w:p>
        </w:tc>
      </w:tr>
      <w:tr w:rsidR="00C671DA" w14:paraId="528325D5"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3EDE139D" w14:textId="77777777" w:rsidR="00C671DA" w:rsidRPr="009E37DF" w:rsidRDefault="00C671DA" w:rsidP="00C36D4F">
            <w:pPr>
              <w:jc w:val="center"/>
            </w:pPr>
            <w:r w:rsidRPr="009E37DF">
              <w:t xml:space="preserve">Garrick </w:t>
            </w:r>
          </w:p>
        </w:tc>
        <w:tc>
          <w:tcPr>
            <w:tcW w:w="1417" w:type="dxa"/>
            <w:tcBorders>
              <w:top w:val="single" w:sz="4" w:space="0" w:color="auto"/>
              <w:left w:val="single" w:sz="4" w:space="0" w:color="auto"/>
              <w:bottom w:val="single" w:sz="4" w:space="0" w:color="auto"/>
              <w:right w:val="single" w:sz="4" w:space="0" w:color="auto"/>
            </w:tcBorders>
          </w:tcPr>
          <w:p w14:paraId="68A353DC" w14:textId="77777777" w:rsidR="00C671DA" w:rsidRDefault="00C671DA" w:rsidP="00C36D4F">
            <w:pPr>
              <w:jc w:val="center"/>
            </w:pPr>
            <w:r w:rsidRPr="009E37DF">
              <w:t>Jones</w:t>
            </w:r>
          </w:p>
        </w:tc>
        <w:tc>
          <w:tcPr>
            <w:tcW w:w="1103" w:type="dxa"/>
            <w:tcBorders>
              <w:top w:val="single" w:sz="4" w:space="0" w:color="auto"/>
              <w:left w:val="single" w:sz="4" w:space="0" w:color="auto"/>
              <w:bottom w:val="single" w:sz="4" w:space="0" w:color="auto"/>
              <w:right w:val="single" w:sz="4" w:space="0" w:color="auto"/>
            </w:tcBorders>
          </w:tcPr>
          <w:p w14:paraId="5CD5195A"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763A8A40"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3ED6C36B" w14:textId="77777777" w:rsidR="00C671DA" w:rsidRDefault="00C671DA" w:rsidP="00C36D4F">
            <w:pPr>
              <w:jc w:val="center"/>
            </w:pPr>
            <w:r w:rsidRPr="009E37DF">
              <w:t>$180</w:t>
            </w:r>
          </w:p>
        </w:tc>
        <w:tc>
          <w:tcPr>
            <w:tcW w:w="1530" w:type="dxa"/>
            <w:tcBorders>
              <w:top w:val="single" w:sz="4" w:space="0" w:color="auto"/>
              <w:left w:val="single" w:sz="4" w:space="0" w:color="auto"/>
              <w:bottom w:val="single" w:sz="4" w:space="0" w:color="auto"/>
              <w:right w:val="single" w:sz="4" w:space="0" w:color="auto"/>
            </w:tcBorders>
          </w:tcPr>
          <w:p w14:paraId="5013B79D"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1F77D06A" w14:textId="77777777" w:rsidR="00C671DA" w:rsidRDefault="00C671DA" w:rsidP="00C36D4F">
            <w:pPr>
              <w:jc w:val="center"/>
            </w:pPr>
            <w:r w:rsidRPr="00932179">
              <w:t>$</w:t>
            </w:r>
            <w:r>
              <w:t>180</w:t>
            </w:r>
          </w:p>
        </w:tc>
      </w:tr>
      <w:tr w:rsidR="00C671DA" w14:paraId="21AE6A78"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0C4F467B" w14:textId="77777777" w:rsidR="00C671DA" w:rsidRPr="009E37DF" w:rsidRDefault="00C671DA" w:rsidP="00C36D4F">
            <w:pPr>
              <w:jc w:val="center"/>
            </w:pPr>
            <w:r w:rsidRPr="009E37DF">
              <w:t xml:space="preserve">Garrick </w:t>
            </w:r>
          </w:p>
        </w:tc>
        <w:tc>
          <w:tcPr>
            <w:tcW w:w="1417" w:type="dxa"/>
            <w:tcBorders>
              <w:top w:val="single" w:sz="4" w:space="0" w:color="auto"/>
              <w:left w:val="single" w:sz="4" w:space="0" w:color="auto"/>
              <w:bottom w:val="single" w:sz="4" w:space="0" w:color="auto"/>
              <w:right w:val="single" w:sz="4" w:space="0" w:color="auto"/>
            </w:tcBorders>
          </w:tcPr>
          <w:p w14:paraId="584F97F3" w14:textId="77777777" w:rsidR="00C671DA" w:rsidRDefault="00C671DA" w:rsidP="00C36D4F">
            <w:pPr>
              <w:jc w:val="center"/>
            </w:pPr>
            <w:r w:rsidRPr="009E37DF">
              <w:t>Jones</w:t>
            </w:r>
          </w:p>
        </w:tc>
        <w:tc>
          <w:tcPr>
            <w:tcW w:w="1103" w:type="dxa"/>
            <w:tcBorders>
              <w:top w:val="single" w:sz="4" w:space="0" w:color="auto"/>
              <w:left w:val="single" w:sz="4" w:space="0" w:color="auto"/>
              <w:bottom w:val="single" w:sz="4" w:space="0" w:color="auto"/>
              <w:right w:val="single" w:sz="4" w:space="0" w:color="auto"/>
            </w:tcBorders>
          </w:tcPr>
          <w:p w14:paraId="0085391F"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11ED06B3"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D26A97D" w14:textId="77777777" w:rsidR="00C671DA" w:rsidRDefault="00C671DA" w:rsidP="00C36D4F">
            <w:pPr>
              <w:jc w:val="center"/>
            </w:pPr>
            <w:r w:rsidRPr="009E37DF">
              <w:t>$190</w:t>
            </w:r>
          </w:p>
        </w:tc>
        <w:tc>
          <w:tcPr>
            <w:tcW w:w="1530" w:type="dxa"/>
            <w:tcBorders>
              <w:top w:val="single" w:sz="4" w:space="0" w:color="auto"/>
              <w:left w:val="single" w:sz="4" w:space="0" w:color="auto"/>
              <w:bottom w:val="single" w:sz="4" w:space="0" w:color="auto"/>
              <w:right w:val="single" w:sz="4" w:space="0" w:color="auto"/>
            </w:tcBorders>
          </w:tcPr>
          <w:p w14:paraId="5F41090C"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5D04F16A" w14:textId="77777777" w:rsidR="00C671DA" w:rsidRDefault="00C671DA" w:rsidP="00C36D4F">
            <w:pPr>
              <w:jc w:val="center"/>
            </w:pPr>
            <w:r w:rsidRPr="00932179">
              <w:t>$</w:t>
            </w:r>
            <w:r>
              <w:t>190</w:t>
            </w:r>
          </w:p>
        </w:tc>
      </w:tr>
      <w:tr w:rsidR="00C671DA" w14:paraId="052C103E"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3B3733D8" w14:textId="77777777" w:rsidR="00C671DA" w:rsidRPr="009E37DF" w:rsidRDefault="00C671DA" w:rsidP="00C36D4F">
            <w:pPr>
              <w:jc w:val="center"/>
            </w:pPr>
            <w:r w:rsidRPr="009E37DF">
              <w:t xml:space="preserve">Michael </w:t>
            </w:r>
          </w:p>
        </w:tc>
        <w:tc>
          <w:tcPr>
            <w:tcW w:w="1417" w:type="dxa"/>
            <w:tcBorders>
              <w:top w:val="single" w:sz="4" w:space="0" w:color="auto"/>
              <w:left w:val="single" w:sz="4" w:space="0" w:color="auto"/>
              <w:bottom w:val="single" w:sz="4" w:space="0" w:color="auto"/>
              <w:right w:val="single" w:sz="4" w:space="0" w:color="auto"/>
            </w:tcBorders>
          </w:tcPr>
          <w:p w14:paraId="4FCCAC6D" w14:textId="77777777" w:rsidR="00C671DA" w:rsidRDefault="00C671DA" w:rsidP="00C36D4F">
            <w:pPr>
              <w:jc w:val="center"/>
            </w:pPr>
            <w:proofErr w:type="spellStart"/>
            <w:r w:rsidRPr="009E37DF">
              <w:t>Majoros</w:t>
            </w:r>
            <w:proofErr w:type="spellEnd"/>
          </w:p>
        </w:tc>
        <w:tc>
          <w:tcPr>
            <w:tcW w:w="1103" w:type="dxa"/>
            <w:tcBorders>
              <w:top w:val="single" w:sz="4" w:space="0" w:color="auto"/>
              <w:left w:val="single" w:sz="4" w:space="0" w:color="auto"/>
              <w:bottom w:val="single" w:sz="4" w:space="0" w:color="auto"/>
              <w:right w:val="single" w:sz="4" w:space="0" w:color="auto"/>
            </w:tcBorders>
          </w:tcPr>
          <w:p w14:paraId="79FFABF5"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6074D874"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7DA0BD1E" w14:textId="77777777" w:rsidR="00C671DA" w:rsidRDefault="00C671DA" w:rsidP="00C36D4F">
            <w:pPr>
              <w:jc w:val="center"/>
            </w:pPr>
            <w:r w:rsidRPr="009E37DF">
              <w:t>$220</w:t>
            </w:r>
          </w:p>
        </w:tc>
        <w:tc>
          <w:tcPr>
            <w:tcW w:w="1530" w:type="dxa"/>
            <w:tcBorders>
              <w:top w:val="single" w:sz="4" w:space="0" w:color="auto"/>
              <w:left w:val="single" w:sz="4" w:space="0" w:color="auto"/>
              <w:bottom w:val="single" w:sz="4" w:space="0" w:color="auto"/>
              <w:right w:val="single" w:sz="4" w:space="0" w:color="auto"/>
            </w:tcBorders>
          </w:tcPr>
          <w:p w14:paraId="1A842615"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5AB5A29C" w14:textId="77777777" w:rsidR="00C671DA" w:rsidRDefault="00C671DA" w:rsidP="00C36D4F">
            <w:pPr>
              <w:jc w:val="center"/>
            </w:pPr>
            <w:r w:rsidRPr="00932179">
              <w:t>$</w:t>
            </w:r>
            <w:r>
              <w:t>220</w:t>
            </w:r>
          </w:p>
        </w:tc>
      </w:tr>
      <w:tr w:rsidR="00C671DA" w14:paraId="71EE0855"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0677DEA3" w14:textId="77777777" w:rsidR="00C671DA" w:rsidRPr="009E37DF" w:rsidRDefault="00C671DA" w:rsidP="00C36D4F">
            <w:pPr>
              <w:jc w:val="center"/>
            </w:pPr>
            <w:r w:rsidRPr="009E37DF">
              <w:t xml:space="preserve">William </w:t>
            </w:r>
          </w:p>
        </w:tc>
        <w:tc>
          <w:tcPr>
            <w:tcW w:w="1417" w:type="dxa"/>
            <w:tcBorders>
              <w:top w:val="single" w:sz="4" w:space="0" w:color="auto"/>
              <w:left w:val="single" w:sz="4" w:space="0" w:color="auto"/>
              <w:bottom w:val="single" w:sz="4" w:space="0" w:color="auto"/>
              <w:right w:val="single" w:sz="4" w:space="0" w:color="auto"/>
            </w:tcBorders>
          </w:tcPr>
          <w:p w14:paraId="3FA4CAF6" w14:textId="77777777" w:rsidR="00C671DA" w:rsidRDefault="00C671DA" w:rsidP="00C36D4F">
            <w:pPr>
              <w:jc w:val="center"/>
            </w:pPr>
            <w:proofErr w:type="spellStart"/>
            <w:r w:rsidRPr="009E37DF">
              <w:t>Perea</w:t>
            </w:r>
            <w:proofErr w:type="spellEnd"/>
            <w:r w:rsidRPr="009E37DF">
              <w:t xml:space="preserve"> Marcus</w:t>
            </w:r>
          </w:p>
        </w:tc>
        <w:tc>
          <w:tcPr>
            <w:tcW w:w="1103" w:type="dxa"/>
            <w:tcBorders>
              <w:top w:val="single" w:sz="4" w:space="0" w:color="auto"/>
              <w:left w:val="single" w:sz="4" w:space="0" w:color="auto"/>
              <w:bottom w:val="single" w:sz="4" w:space="0" w:color="auto"/>
              <w:right w:val="single" w:sz="4" w:space="0" w:color="auto"/>
            </w:tcBorders>
          </w:tcPr>
          <w:p w14:paraId="300B1E9A"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35A1CE9E"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B80409E" w14:textId="77777777" w:rsidR="00C671DA" w:rsidRDefault="00C671DA" w:rsidP="00C36D4F">
            <w:pPr>
              <w:jc w:val="center"/>
            </w:pPr>
            <w:r w:rsidRPr="009E37DF">
              <w:t>$280</w:t>
            </w:r>
          </w:p>
        </w:tc>
        <w:tc>
          <w:tcPr>
            <w:tcW w:w="1530" w:type="dxa"/>
            <w:tcBorders>
              <w:top w:val="single" w:sz="4" w:space="0" w:color="auto"/>
              <w:left w:val="single" w:sz="4" w:space="0" w:color="auto"/>
              <w:bottom w:val="single" w:sz="4" w:space="0" w:color="auto"/>
              <w:right w:val="single" w:sz="4" w:space="0" w:color="auto"/>
            </w:tcBorders>
          </w:tcPr>
          <w:p w14:paraId="223BB03D"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66E4C888" w14:textId="77777777" w:rsidR="00C671DA" w:rsidRDefault="00C671DA" w:rsidP="00C36D4F">
            <w:pPr>
              <w:jc w:val="center"/>
            </w:pPr>
            <w:r w:rsidRPr="00932179">
              <w:t>$280</w:t>
            </w:r>
          </w:p>
        </w:tc>
      </w:tr>
      <w:tr w:rsidR="00C671DA" w14:paraId="0502CD00"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3C2998B" w14:textId="77777777" w:rsidR="00C671DA" w:rsidRPr="009E37DF" w:rsidRDefault="00C671DA" w:rsidP="00C36D4F">
            <w:pPr>
              <w:jc w:val="center"/>
            </w:pPr>
            <w:r w:rsidRPr="009E37DF">
              <w:t xml:space="preserve">William </w:t>
            </w:r>
          </w:p>
        </w:tc>
        <w:tc>
          <w:tcPr>
            <w:tcW w:w="1417" w:type="dxa"/>
            <w:tcBorders>
              <w:top w:val="single" w:sz="4" w:space="0" w:color="auto"/>
              <w:left w:val="single" w:sz="4" w:space="0" w:color="auto"/>
              <w:bottom w:val="single" w:sz="4" w:space="0" w:color="auto"/>
              <w:right w:val="single" w:sz="4" w:space="0" w:color="auto"/>
            </w:tcBorders>
          </w:tcPr>
          <w:p w14:paraId="6B893C4A" w14:textId="77777777" w:rsidR="00C671DA" w:rsidRDefault="00C671DA" w:rsidP="00C36D4F">
            <w:pPr>
              <w:jc w:val="center"/>
            </w:pPr>
            <w:proofErr w:type="spellStart"/>
            <w:r w:rsidRPr="009E37DF">
              <w:t>Perea</w:t>
            </w:r>
            <w:proofErr w:type="spellEnd"/>
            <w:r w:rsidRPr="009E37DF">
              <w:t xml:space="preserve"> Marcus</w:t>
            </w:r>
          </w:p>
        </w:tc>
        <w:tc>
          <w:tcPr>
            <w:tcW w:w="1103" w:type="dxa"/>
            <w:tcBorders>
              <w:top w:val="single" w:sz="4" w:space="0" w:color="auto"/>
              <w:left w:val="single" w:sz="4" w:space="0" w:color="auto"/>
              <w:bottom w:val="single" w:sz="4" w:space="0" w:color="auto"/>
              <w:right w:val="single" w:sz="4" w:space="0" w:color="auto"/>
            </w:tcBorders>
          </w:tcPr>
          <w:p w14:paraId="0ADAD813"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08A007AE"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7E534937" w14:textId="77777777" w:rsidR="00C671DA" w:rsidRDefault="00C671DA" w:rsidP="00C36D4F">
            <w:pPr>
              <w:jc w:val="center"/>
            </w:pPr>
            <w:r w:rsidRPr="009E37DF">
              <w:t>$280</w:t>
            </w:r>
          </w:p>
        </w:tc>
        <w:tc>
          <w:tcPr>
            <w:tcW w:w="1530" w:type="dxa"/>
            <w:tcBorders>
              <w:top w:val="single" w:sz="4" w:space="0" w:color="auto"/>
              <w:left w:val="single" w:sz="4" w:space="0" w:color="auto"/>
              <w:bottom w:val="single" w:sz="4" w:space="0" w:color="auto"/>
              <w:right w:val="single" w:sz="4" w:space="0" w:color="auto"/>
            </w:tcBorders>
          </w:tcPr>
          <w:p w14:paraId="5C2CCD39"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3DC9E27E" w14:textId="77777777" w:rsidR="00C671DA" w:rsidRDefault="00C671DA" w:rsidP="00C36D4F">
            <w:pPr>
              <w:jc w:val="center"/>
            </w:pPr>
            <w:r w:rsidRPr="00932179">
              <w:t>$280</w:t>
            </w:r>
          </w:p>
        </w:tc>
      </w:tr>
      <w:tr w:rsidR="00C671DA" w14:paraId="4DE95969"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577F2894" w14:textId="77777777" w:rsidR="00C671DA" w:rsidRPr="009E37DF" w:rsidRDefault="00C671DA" w:rsidP="00C36D4F">
            <w:pPr>
              <w:jc w:val="center"/>
            </w:pPr>
            <w:r w:rsidRPr="009E37DF">
              <w:t xml:space="preserve">William </w:t>
            </w:r>
          </w:p>
        </w:tc>
        <w:tc>
          <w:tcPr>
            <w:tcW w:w="1417" w:type="dxa"/>
            <w:tcBorders>
              <w:top w:val="single" w:sz="4" w:space="0" w:color="auto"/>
              <w:left w:val="single" w:sz="4" w:space="0" w:color="auto"/>
              <w:bottom w:val="single" w:sz="4" w:space="0" w:color="auto"/>
              <w:right w:val="single" w:sz="4" w:space="0" w:color="auto"/>
            </w:tcBorders>
          </w:tcPr>
          <w:p w14:paraId="44449CB8" w14:textId="77777777" w:rsidR="00C671DA" w:rsidRDefault="00C671DA" w:rsidP="00C36D4F">
            <w:pPr>
              <w:jc w:val="center"/>
            </w:pPr>
            <w:proofErr w:type="spellStart"/>
            <w:r w:rsidRPr="009E37DF">
              <w:t>Perea</w:t>
            </w:r>
            <w:proofErr w:type="spellEnd"/>
            <w:r w:rsidRPr="009E37DF">
              <w:t xml:space="preserve"> Marcus</w:t>
            </w:r>
          </w:p>
        </w:tc>
        <w:tc>
          <w:tcPr>
            <w:tcW w:w="1103" w:type="dxa"/>
            <w:tcBorders>
              <w:top w:val="single" w:sz="4" w:space="0" w:color="auto"/>
              <w:left w:val="single" w:sz="4" w:space="0" w:color="auto"/>
              <w:bottom w:val="single" w:sz="4" w:space="0" w:color="auto"/>
              <w:right w:val="single" w:sz="4" w:space="0" w:color="auto"/>
            </w:tcBorders>
          </w:tcPr>
          <w:p w14:paraId="173D085A"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1B761F71"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DA0F51D" w14:textId="77777777" w:rsidR="00C671DA" w:rsidRDefault="00C671DA" w:rsidP="00C36D4F">
            <w:pPr>
              <w:jc w:val="center"/>
            </w:pPr>
            <w:r w:rsidRPr="009E37DF">
              <w:t>$280</w:t>
            </w:r>
          </w:p>
        </w:tc>
        <w:tc>
          <w:tcPr>
            <w:tcW w:w="1530" w:type="dxa"/>
            <w:tcBorders>
              <w:top w:val="single" w:sz="4" w:space="0" w:color="auto"/>
              <w:left w:val="single" w:sz="4" w:space="0" w:color="auto"/>
              <w:bottom w:val="single" w:sz="4" w:space="0" w:color="auto"/>
              <w:right w:val="single" w:sz="4" w:space="0" w:color="auto"/>
            </w:tcBorders>
          </w:tcPr>
          <w:p w14:paraId="42E822D1" w14:textId="77777777" w:rsidR="00C671DA" w:rsidRDefault="00C671DA" w:rsidP="00C36D4F">
            <w:pPr>
              <w:jc w:val="center"/>
            </w:pPr>
            <w:r w:rsidRPr="009E37DF">
              <w:t>2017</w:t>
            </w:r>
          </w:p>
        </w:tc>
        <w:tc>
          <w:tcPr>
            <w:tcW w:w="2430" w:type="dxa"/>
            <w:tcBorders>
              <w:top w:val="single" w:sz="4" w:space="0" w:color="auto"/>
              <w:left w:val="single" w:sz="4" w:space="0" w:color="auto"/>
              <w:bottom w:val="single" w:sz="4" w:space="0" w:color="auto"/>
              <w:right w:val="single" w:sz="4" w:space="0" w:color="auto"/>
            </w:tcBorders>
          </w:tcPr>
          <w:p w14:paraId="5E8C7820" w14:textId="77777777" w:rsidR="00C671DA" w:rsidRDefault="00C671DA" w:rsidP="00C36D4F">
            <w:pPr>
              <w:jc w:val="center"/>
            </w:pPr>
            <w:r w:rsidRPr="00932179">
              <w:t>$280</w:t>
            </w:r>
          </w:p>
        </w:tc>
      </w:tr>
      <w:tr w:rsidR="00C671DA" w14:paraId="0050A6DC"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0C17FFAB" w14:textId="77777777" w:rsidR="00C671DA" w:rsidRPr="009E37DF" w:rsidRDefault="00C671DA" w:rsidP="00C36D4F">
            <w:pPr>
              <w:jc w:val="center"/>
            </w:pPr>
            <w:r w:rsidRPr="009E37DF">
              <w:t>Jeffrey</w:t>
            </w:r>
          </w:p>
        </w:tc>
        <w:tc>
          <w:tcPr>
            <w:tcW w:w="1417" w:type="dxa"/>
            <w:tcBorders>
              <w:top w:val="single" w:sz="4" w:space="0" w:color="auto"/>
              <w:left w:val="single" w:sz="4" w:space="0" w:color="auto"/>
              <w:bottom w:val="single" w:sz="4" w:space="0" w:color="auto"/>
              <w:right w:val="single" w:sz="4" w:space="0" w:color="auto"/>
            </w:tcBorders>
          </w:tcPr>
          <w:p w14:paraId="0FB7F387" w14:textId="77777777" w:rsidR="00C671DA" w:rsidRDefault="00C671DA" w:rsidP="00C36D4F">
            <w:pPr>
              <w:jc w:val="center"/>
            </w:pPr>
            <w:proofErr w:type="spellStart"/>
            <w:r w:rsidRPr="009E37DF">
              <w:t>Nahigian</w:t>
            </w:r>
            <w:proofErr w:type="spellEnd"/>
          </w:p>
        </w:tc>
        <w:tc>
          <w:tcPr>
            <w:tcW w:w="1103" w:type="dxa"/>
            <w:tcBorders>
              <w:top w:val="single" w:sz="4" w:space="0" w:color="auto"/>
              <w:left w:val="single" w:sz="4" w:space="0" w:color="auto"/>
              <w:bottom w:val="single" w:sz="4" w:space="0" w:color="auto"/>
              <w:right w:val="single" w:sz="4" w:space="0" w:color="auto"/>
            </w:tcBorders>
          </w:tcPr>
          <w:p w14:paraId="1F06428F"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4E342A7C"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24EBC46" w14:textId="77777777" w:rsidR="00C671DA" w:rsidRDefault="00C671DA" w:rsidP="00C36D4F">
            <w:pPr>
              <w:jc w:val="center"/>
            </w:pPr>
            <w:r w:rsidRPr="009E37DF">
              <w:t>$215</w:t>
            </w:r>
          </w:p>
        </w:tc>
        <w:tc>
          <w:tcPr>
            <w:tcW w:w="1530" w:type="dxa"/>
            <w:tcBorders>
              <w:top w:val="single" w:sz="4" w:space="0" w:color="auto"/>
              <w:left w:val="single" w:sz="4" w:space="0" w:color="auto"/>
              <w:bottom w:val="single" w:sz="4" w:space="0" w:color="auto"/>
              <w:right w:val="single" w:sz="4" w:space="0" w:color="auto"/>
            </w:tcBorders>
          </w:tcPr>
          <w:p w14:paraId="6199B27A"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6060E57C" w14:textId="77777777" w:rsidR="00C671DA" w:rsidRDefault="00C671DA" w:rsidP="00C36D4F">
            <w:pPr>
              <w:jc w:val="center"/>
            </w:pPr>
            <w:r w:rsidRPr="00932179">
              <w:t>$</w:t>
            </w:r>
            <w:r>
              <w:t>215</w:t>
            </w:r>
          </w:p>
        </w:tc>
      </w:tr>
      <w:tr w:rsidR="00C671DA" w14:paraId="4F49ED50"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311DED1C" w14:textId="77777777" w:rsidR="00C671DA" w:rsidRPr="009E37DF" w:rsidRDefault="00C671DA" w:rsidP="00C36D4F">
            <w:pPr>
              <w:jc w:val="center"/>
            </w:pPr>
            <w:r w:rsidRPr="009E37DF">
              <w:t>Jeffrey</w:t>
            </w:r>
          </w:p>
        </w:tc>
        <w:tc>
          <w:tcPr>
            <w:tcW w:w="1417" w:type="dxa"/>
            <w:tcBorders>
              <w:top w:val="single" w:sz="4" w:space="0" w:color="auto"/>
              <w:left w:val="single" w:sz="4" w:space="0" w:color="auto"/>
              <w:bottom w:val="single" w:sz="4" w:space="0" w:color="auto"/>
              <w:right w:val="single" w:sz="4" w:space="0" w:color="auto"/>
            </w:tcBorders>
          </w:tcPr>
          <w:p w14:paraId="641E24F0" w14:textId="77777777" w:rsidR="00C671DA" w:rsidRDefault="00C671DA" w:rsidP="00C36D4F">
            <w:pPr>
              <w:jc w:val="center"/>
            </w:pPr>
            <w:proofErr w:type="spellStart"/>
            <w:r w:rsidRPr="009E37DF">
              <w:t>Nahigian</w:t>
            </w:r>
            <w:proofErr w:type="spellEnd"/>
          </w:p>
        </w:tc>
        <w:tc>
          <w:tcPr>
            <w:tcW w:w="1103" w:type="dxa"/>
            <w:tcBorders>
              <w:top w:val="single" w:sz="4" w:space="0" w:color="auto"/>
              <w:left w:val="single" w:sz="4" w:space="0" w:color="auto"/>
              <w:bottom w:val="single" w:sz="4" w:space="0" w:color="auto"/>
              <w:right w:val="single" w:sz="4" w:space="0" w:color="auto"/>
            </w:tcBorders>
          </w:tcPr>
          <w:p w14:paraId="737BE446" w14:textId="77777777" w:rsidR="00C671DA" w:rsidRPr="009E37DF" w:rsidRDefault="00C671DA" w:rsidP="00C36D4F">
            <w:pPr>
              <w:jc w:val="center"/>
            </w:pPr>
            <w:r w:rsidRPr="009E37DF">
              <w:t>Expert</w:t>
            </w:r>
          </w:p>
        </w:tc>
        <w:tc>
          <w:tcPr>
            <w:tcW w:w="1237" w:type="dxa"/>
            <w:tcBorders>
              <w:top w:val="single" w:sz="4" w:space="0" w:color="auto"/>
              <w:left w:val="single" w:sz="4" w:space="0" w:color="auto"/>
              <w:bottom w:val="single" w:sz="4" w:space="0" w:color="auto"/>
              <w:right w:val="single" w:sz="4" w:space="0" w:color="auto"/>
            </w:tcBorders>
          </w:tcPr>
          <w:p w14:paraId="72F15081"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2EAA6777" w14:textId="77777777" w:rsidR="00C671DA" w:rsidRDefault="00C671DA" w:rsidP="00C36D4F">
            <w:pPr>
              <w:jc w:val="center"/>
            </w:pPr>
            <w:r w:rsidRPr="009E37DF">
              <w:t>$215</w:t>
            </w:r>
          </w:p>
        </w:tc>
        <w:tc>
          <w:tcPr>
            <w:tcW w:w="1530" w:type="dxa"/>
            <w:tcBorders>
              <w:top w:val="single" w:sz="4" w:space="0" w:color="auto"/>
              <w:left w:val="single" w:sz="4" w:space="0" w:color="auto"/>
              <w:bottom w:val="single" w:sz="4" w:space="0" w:color="auto"/>
              <w:right w:val="single" w:sz="4" w:space="0" w:color="auto"/>
            </w:tcBorders>
          </w:tcPr>
          <w:p w14:paraId="5A500AC8"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4BBA9098" w14:textId="77777777" w:rsidR="00C671DA" w:rsidRDefault="00C671DA" w:rsidP="00C36D4F">
            <w:pPr>
              <w:jc w:val="center"/>
            </w:pPr>
            <w:r w:rsidRPr="00932179">
              <w:t>$</w:t>
            </w:r>
            <w:r>
              <w:t>215</w:t>
            </w:r>
          </w:p>
        </w:tc>
      </w:tr>
      <w:tr w:rsidR="00C671DA" w14:paraId="0C0224F8"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6221E496" w14:textId="77777777" w:rsidR="00C671DA" w:rsidRPr="009E37DF" w:rsidRDefault="00C671DA" w:rsidP="00C36D4F">
            <w:pPr>
              <w:jc w:val="center"/>
            </w:pPr>
            <w:r w:rsidRPr="009E37DF">
              <w:t xml:space="preserve">Greg </w:t>
            </w:r>
          </w:p>
        </w:tc>
        <w:tc>
          <w:tcPr>
            <w:tcW w:w="1417" w:type="dxa"/>
            <w:tcBorders>
              <w:top w:val="single" w:sz="4" w:space="0" w:color="auto"/>
              <w:left w:val="single" w:sz="4" w:space="0" w:color="auto"/>
              <w:bottom w:val="single" w:sz="4" w:space="0" w:color="auto"/>
              <w:right w:val="single" w:sz="4" w:space="0" w:color="auto"/>
            </w:tcBorders>
          </w:tcPr>
          <w:p w14:paraId="494B361E" w14:textId="77777777" w:rsidR="00C671DA" w:rsidRDefault="00C671DA" w:rsidP="00C36D4F">
            <w:pPr>
              <w:jc w:val="center"/>
            </w:pPr>
            <w:proofErr w:type="spellStart"/>
            <w:r w:rsidRPr="009E37DF">
              <w:t>Ruszovan</w:t>
            </w:r>
            <w:proofErr w:type="spellEnd"/>
          </w:p>
        </w:tc>
        <w:tc>
          <w:tcPr>
            <w:tcW w:w="1103" w:type="dxa"/>
            <w:tcBorders>
              <w:top w:val="single" w:sz="4" w:space="0" w:color="auto"/>
              <w:left w:val="single" w:sz="4" w:space="0" w:color="auto"/>
              <w:bottom w:val="single" w:sz="4" w:space="0" w:color="auto"/>
              <w:right w:val="single" w:sz="4" w:space="0" w:color="auto"/>
            </w:tcBorders>
          </w:tcPr>
          <w:p w14:paraId="6567FEC1"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61A5147E"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5101292" w14:textId="77777777" w:rsidR="00C671DA" w:rsidRDefault="00C671DA" w:rsidP="00C36D4F">
            <w:pPr>
              <w:jc w:val="center"/>
            </w:pPr>
            <w:r w:rsidRPr="009E37DF">
              <w:t>$215</w:t>
            </w:r>
          </w:p>
        </w:tc>
        <w:tc>
          <w:tcPr>
            <w:tcW w:w="1530" w:type="dxa"/>
            <w:tcBorders>
              <w:top w:val="single" w:sz="4" w:space="0" w:color="auto"/>
              <w:left w:val="single" w:sz="4" w:space="0" w:color="auto"/>
              <w:bottom w:val="single" w:sz="4" w:space="0" w:color="auto"/>
              <w:right w:val="single" w:sz="4" w:space="0" w:color="auto"/>
            </w:tcBorders>
          </w:tcPr>
          <w:p w14:paraId="24A53AFD"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71D4CE7A" w14:textId="77777777" w:rsidR="00C671DA" w:rsidRDefault="00C671DA" w:rsidP="00C36D4F">
            <w:pPr>
              <w:jc w:val="center"/>
            </w:pPr>
            <w:r w:rsidRPr="00932179">
              <w:t>$215</w:t>
            </w:r>
          </w:p>
        </w:tc>
      </w:tr>
      <w:tr w:rsidR="00C671DA" w14:paraId="15FBE63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4951014E" w14:textId="77777777" w:rsidR="00C671DA" w:rsidRPr="009E37DF" w:rsidRDefault="00C671DA" w:rsidP="00C36D4F">
            <w:pPr>
              <w:jc w:val="center"/>
            </w:pPr>
            <w:r w:rsidRPr="009E37DF">
              <w:t xml:space="preserve">Greg </w:t>
            </w:r>
          </w:p>
        </w:tc>
        <w:tc>
          <w:tcPr>
            <w:tcW w:w="1417" w:type="dxa"/>
            <w:tcBorders>
              <w:top w:val="single" w:sz="4" w:space="0" w:color="auto"/>
              <w:left w:val="single" w:sz="4" w:space="0" w:color="auto"/>
              <w:bottom w:val="single" w:sz="4" w:space="0" w:color="auto"/>
              <w:right w:val="single" w:sz="4" w:space="0" w:color="auto"/>
            </w:tcBorders>
          </w:tcPr>
          <w:p w14:paraId="43ABE48D" w14:textId="77777777" w:rsidR="00C671DA" w:rsidRDefault="00C671DA" w:rsidP="00C36D4F">
            <w:pPr>
              <w:jc w:val="center"/>
            </w:pPr>
            <w:proofErr w:type="spellStart"/>
            <w:r w:rsidRPr="009E37DF">
              <w:t>Ruszovan</w:t>
            </w:r>
            <w:proofErr w:type="spellEnd"/>
          </w:p>
        </w:tc>
        <w:tc>
          <w:tcPr>
            <w:tcW w:w="1103" w:type="dxa"/>
            <w:tcBorders>
              <w:top w:val="single" w:sz="4" w:space="0" w:color="auto"/>
              <w:left w:val="single" w:sz="4" w:space="0" w:color="auto"/>
              <w:bottom w:val="single" w:sz="4" w:space="0" w:color="auto"/>
              <w:right w:val="single" w:sz="4" w:space="0" w:color="auto"/>
            </w:tcBorders>
          </w:tcPr>
          <w:p w14:paraId="346BDF8C"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296BCE09"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27CBF062" w14:textId="77777777" w:rsidR="00C671DA" w:rsidRDefault="00C671DA" w:rsidP="00C36D4F">
            <w:pPr>
              <w:jc w:val="center"/>
            </w:pPr>
            <w:r w:rsidRPr="009E37DF">
              <w:t>$215</w:t>
            </w:r>
          </w:p>
        </w:tc>
        <w:tc>
          <w:tcPr>
            <w:tcW w:w="1530" w:type="dxa"/>
            <w:tcBorders>
              <w:top w:val="single" w:sz="4" w:space="0" w:color="auto"/>
              <w:left w:val="single" w:sz="4" w:space="0" w:color="auto"/>
              <w:bottom w:val="single" w:sz="4" w:space="0" w:color="auto"/>
              <w:right w:val="single" w:sz="4" w:space="0" w:color="auto"/>
            </w:tcBorders>
          </w:tcPr>
          <w:p w14:paraId="55D1B385"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68E0DFF0" w14:textId="77777777" w:rsidR="00C671DA" w:rsidRDefault="00C671DA" w:rsidP="00C36D4F">
            <w:pPr>
              <w:jc w:val="center"/>
            </w:pPr>
            <w:r w:rsidRPr="00932179">
              <w:t>$215</w:t>
            </w:r>
          </w:p>
        </w:tc>
      </w:tr>
      <w:tr w:rsidR="00C671DA" w14:paraId="6BEE25C6"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BBC62C9" w14:textId="77777777" w:rsidR="00C671DA" w:rsidRPr="009E37DF" w:rsidRDefault="00C671DA" w:rsidP="00C36D4F">
            <w:pPr>
              <w:jc w:val="center"/>
            </w:pPr>
            <w:r w:rsidRPr="009E37DF">
              <w:t xml:space="preserve">Dennis </w:t>
            </w:r>
          </w:p>
        </w:tc>
        <w:tc>
          <w:tcPr>
            <w:tcW w:w="1417" w:type="dxa"/>
            <w:tcBorders>
              <w:top w:val="single" w:sz="4" w:space="0" w:color="auto"/>
              <w:left w:val="single" w:sz="4" w:space="0" w:color="auto"/>
              <w:bottom w:val="single" w:sz="4" w:space="0" w:color="auto"/>
              <w:right w:val="single" w:sz="4" w:space="0" w:color="auto"/>
            </w:tcBorders>
          </w:tcPr>
          <w:p w14:paraId="0526B4CE" w14:textId="77777777" w:rsidR="00C671DA" w:rsidRDefault="00C671DA" w:rsidP="00C36D4F">
            <w:pPr>
              <w:jc w:val="center"/>
            </w:pPr>
            <w:r w:rsidRPr="009E37DF">
              <w:t>Stephens</w:t>
            </w:r>
          </w:p>
        </w:tc>
        <w:tc>
          <w:tcPr>
            <w:tcW w:w="1103" w:type="dxa"/>
            <w:tcBorders>
              <w:top w:val="single" w:sz="4" w:space="0" w:color="auto"/>
              <w:left w:val="single" w:sz="4" w:space="0" w:color="auto"/>
              <w:bottom w:val="single" w:sz="4" w:space="0" w:color="auto"/>
              <w:right w:val="single" w:sz="4" w:space="0" w:color="auto"/>
            </w:tcBorders>
          </w:tcPr>
          <w:p w14:paraId="38F2F903"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5C47A814"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4407E5C0" w14:textId="77777777" w:rsidR="00C671DA" w:rsidRDefault="00C671DA" w:rsidP="00C36D4F">
            <w:pPr>
              <w:jc w:val="center"/>
            </w:pPr>
            <w:r w:rsidRPr="009E37DF">
              <w:t>$225</w:t>
            </w:r>
          </w:p>
        </w:tc>
        <w:tc>
          <w:tcPr>
            <w:tcW w:w="1530" w:type="dxa"/>
            <w:tcBorders>
              <w:top w:val="single" w:sz="4" w:space="0" w:color="auto"/>
              <w:left w:val="single" w:sz="4" w:space="0" w:color="auto"/>
              <w:bottom w:val="single" w:sz="4" w:space="0" w:color="auto"/>
              <w:right w:val="single" w:sz="4" w:space="0" w:color="auto"/>
            </w:tcBorders>
          </w:tcPr>
          <w:p w14:paraId="7E05D275"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4067DF4B" w14:textId="77777777" w:rsidR="00C671DA" w:rsidRDefault="00C671DA" w:rsidP="00C36D4F">
            <w:pPr>
              <w:jc w:val="center"/>
            </w:pPr>
            <w:r w:rsidRPr="00932179">
              <w:t>$</w:t>
            </w:r>
            <w:r>
              <w:t>225</w:t>
            </w:r>
          </w:p>
        </w:tc>
      </w:tr>
      <w:tr w:rsidR="00C671DA" w14:paraId="348E3D0A"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2A2BFB7E" w14:textId="77777777" w:rsidR="00C671DA" w:rsidRPr="009E37DF" w:rsidRDefault="00C671DA" w:rsidP="00C36D4F">
            <w:pPr>
              <w:jc w:val="center"/>
            </w:pPr>
            <w:r w:rsidRPr="009E37DF">
              <w:t xml:space="preserve">John </w:t>
            </w:r>
          </w:p>
        </w:tc>
        <w:tc>
          <w:tcPr>
            <w:tcW w:w="1417" w:type="dxa"/>
            <w:tcBorders>
              <w:top w:val="single" w:sz="4" w:space="0" w:color="auto"/>
              <w:left w:val="single" w:sz="4" w:space="0" w:color="auto"/>
              <w:bottom w:val="single" w:sz="4" w:space="0" w:color="auto"/>
              <w:right w:val="single" w:sz="4" w:space="0" w:color="auto"/>
            </w:tcBorders>
          </w:tcPr>
          <w:p w14:paraId="745BCD3D" w14:textId="77777777" w:rsidR="00C671DA" w:rsidRDefault="00C671DA" w:rsidP="00C36D4F">
            <w:pPr>
              <w:jc w:val="center"/>
            </w:pPr>
            <w:r w:rsidRPr="009E37DF">
              <w:t>Sugar</w:t>
            </w:r>
          </w:p>
        </w:tc>
        <w:tc>
          <w:tcPr>
            <w:tcW w:w="1103" w:type="dxa"/>
            <w:tcBorders>
              <w:top w:val="single" w:sz="4" w:space="0" w:color="auto"/>
              <w:left w:val="single" w:sz="4" w:space="0" w:color="auto"/>
              <w:bottom w:val="single" w:sz="4" w:space="0" w:color="auto"/>
              <w:right w:val="single" w:sz="4" w:space="0" w:color="auto"/>
            </w:tcBorders>
          </w:tcPr>
          <w:p w14:paraId="00DD8D68"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4E868627"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19D568ED" w14:textId="77777777" w:rsidR="00C671DA" w:rsidRDefault="00C671DA" w:rsidP="00C36D4F">
            <w:pPr>
              <w:jc w:val="center"/>
            </w:pPr>
            <w:r w:rsidRPr="009E37DF">
              <w:t>$220</w:t>
            </w:r>
          </w:p>
        </w:tc>
        <w:tc>
          <w:tcPr>
            <w:tcW w:w="1530" w:type="dxa"/>
            <w:tcBorders>
              <w:top w:val="single" w:sz="4" w:space="0" w:color="auto"/>
              <w:left w:val="single" w:sz="4" w:space="0" w:color="auto"/>
              <w:bottom w:val="single" w:sz="4" w:space="0" w:color="auto"/>
              <w:right w:val="single" w:sz="4" w:space="0" w:color="auto"/>
            </w:tcBorders>
          </w:tcPr>
          <w:p w14:paraId="2B271A79"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162F6DA6" w14:textId="77777777" w:rsidR="00C671DA" w:rsidRDefault="00C671DA" w:rsidP="00C36D4F">
            <w:pPr>
              <w:jc w:val="center"/>
            </w:pPr>
            <w:r w:rsidRPr="00932179">
              <w:t>$220</w:t>
            </w:r>
          </w:p>
        </w:tc>
      </w:tr>
      <w:tr w:rsidR="00C671DA" w14:paraId="61847855"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4FC88A44" w14:textId="77777777" w:rsidR="00C671DA" w:rsidRPr="009E37DF" w:rsidRDefault="00C671DA" w:rsidP="00C36D4F">
            <w:pPr>
              <w:jc w:val="center"/>
            </w:pPr>
            <w:r w:rsidRPr="009E37DF">
              <w:t xml:space="preserve">John </w:t>
            </w:r>
          </w:p>
        </w:tc>
        <w:tc>
          <w:tcPr>
            <w:tcW w:w="1417" w:type="dxa"/>
            <w:tcBorders>
              <w:top w:val="single" w:sz="4" w:space="0" w:color="auto"/>
              <w:left w:val="single" w:sz="4" w:space="0" w:color="auto"/>
              <w:bottom w:val="single" w:sz="4" w:space="0" w:color="auto"/>
              <w:right w:val="single" w:sz="4" w:space="0" w:color="auto"/>
            </w:tcBorders>
          </w:tcPr>
          <w:p w14:paraId="5B6D202D" w14:textId="77777777" w:rsidR="00C671DA" w:rsidRDefault="00C671DA" w:rsidP="00C36D4F">
            <w:pPr>
              <w:jc w:val="center"/>
            </w:pPr>
            <w:r w:rsidRPr="009E37DF">
              <w:t>Sugar</w:t>
            </w:r>
          </w:p>
        </w:tc>
        <w:tc>
          <w:tcPr>
            <w:tcW w:w="1103" w:type="dxa"/>
            <w:tcBorders>
              <w:top w:val="single" w:sz="4" w:space="0" w:color="auto"/>
              <w:left w:val="single" w:sz="4" w:space="0" w:color="auto"/>
              <w:bottom w:val="single" w:sz="4" w:space="0" w:color="auto"/>
              <w:right w:val="single" w:sz="4" w:space="0" w:color="auto"/>
            </w:tcBorders>
          </w:tcPr>
          <w:p w14:paraId="04785783"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17C1E50E"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047D00DD" w14:textId="77777777" w:rsidR="00C671DA" w:rsidRDefault="00C671DA" w:rsidP="00C36D4F">
            <w:pPr>
              <w:jc w:val="center"/>
            </w:pPr>
            <w:r w:rsidRPr="009E37DF">
              <w:t>$220</w:t>
            </w:r>
          </w:p>
        </w:tc>
        <w:tc>
          <w:tcPr>
            <w:tcW w:w="1530" w:type="dxa"/>
            <w:tcBorders>
              <w:top w:val="single" w:sz="4" w:space="0" w:color="auto"/>
              <w:left w:val="single" w:sz="4" w:space="0" w:color="auto"/>
              <w:bottom w:val="single" w:sz="4" w:space="0" w:color="auto"/>
              <w:right w:val="single" w:sz="4" w:space="0" w:color="auto"/>
            </w:tcBorders>
          </w:tcPr>
          <w:p w14:paraId="4A96C94B"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15B52621" w14:textId="77777777" w:rsidR="00C671DA" w:rsidRDefault="00C671DA" w:rsidP="00C36D4F">
            <w:pPr>
              <w:jc w:val="center"/>
            </w:pPr>
            <w:r w:rsidRPr="00932179">
              <w:t>$220</w:t>
            </w:r>
          </w:p>
        </w:tc>
      </w:tr>
      <w:tr w:rsidR="00C671DA" w14:paraId="40BEE2DD"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3209457F" w14:textId="77777777" w:rsidR="00C671DA" w:rsidRPr="009E37DF" w:rsidRDefault="00C671DA" w:rsidP="00C36D4F">
            <w:pPr>
              <w:jc w:val="center"/>
            </w:pPr>
            <w:r w:rsidRPr="009E37DF">
              <w:t xml:space="preserve">Catherine </w:t>
            </w:r>
          </w:p>
        </w:tc>
        <w:tc>
          <w:tcPr>
            <w:tcW w:w="1417" w:type="dxa"/>
            <w:tcBorders>
              <w:top w:val="single" w:sz="4" w:space="0" w:color="auto"/>
              <w:left w:val="single" w:sz="4" w:space="0" w:color="auto"/>
              <w:bottom w:val="single" w:sz="4" w:space="0" w:color="auto"/>
              <w:right w:val="single" w:sz="4" w:space="0" w:color="auto"/>
            </w:tcBorders>
          </w:tcPr>
          <w:p w14:paraId="28BBF334" w14:textId="77777777" w:rsidR="00C671DA" w:rsidRDefault="00C671DA" w:rsidP="00C36D4F">
            <w:pPr>
              <w:jc w:val="center"/>
            </w:pPr>
            <w:r w:rsidRPr="009E37DF">
              <w:t>Yap</w:t>
            </w:r>
          </w:p>
        </w:tc>
        <w:tc>
          <w:tcPr>
            <w:tcW w:w="1103" w:type="dxa"/>
            <w:tcBorders>
              <w:top w:val="single" w:sz="4" w:space="0" w:color="auto"/>
              <w:left w:val="single" w:sz="4" w:space="0" w:color="auto"/>
              <w:bottom w:val="single" w:sz="4" w:space="0" w:color="auto"/>
              <w:right w:val="single" w:sz="4" w:space="0" w:color="auto"/>
            </w:tcBorders>
          </w:tcPr>
          <w:p w14:paraId="4D6DD21B"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092222D7"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7D9F3B16" w14:textId="77777777" w:rsidR="00C671DA" w:rsidRDefault="00C671DA" w:rsidP="00C36D4F">
            <w:pPr>
              <w:jc w:val="center"/>
            </w:pPr>
            <w:r w:rsidRPr="009E37DF">
              <w:t>$280</w:t>
            </w:r>
          </w:p>
        </w:tc>
        <w:tc>
          <w:tcPr>
            <w:tcW w:w="1530" w:type="dxa"/>
            <w:tcBorders>
              <w:top w:val="single" w:sz="4" w:space="0" w:color="auto"/>
              <w:left w:val="single" w:sz="4" w:space="0" w:color="auto"/>
              <w:bottom w:val="single" w:sz="4" w:space="0" w:color="auto"/>
              <w:right w:val="single" w:sz="4" w:space="0" w:color="auto"/>
            </w:tcBorders>
          </w:tcPr>
          <w:p w14:paraId="60AAC8E8" w14:textId="77777777" w:rsidR="00C671DA" w:rsidRDefault="00C671DA" w:rsidP="00C36D4F">
            <w:pPr>
              <w:jc w:val="center"/>
            </w:pPr>
            <w:r w:rsidRPr="009E37DF">
              <w:t>2015</w:t>
            </w:r>
          </w:p>
        </w:tc>
        <w:tc>
          <w:tcPr>
            <w:tcW w:w="2430" w:type="dxa"/>
            <w:tcBorders>
              <w:top w:val="single" w:sz="4" w:space="0" w:color="auto"/>
              <w:left w:val="single" w:sz="4" w:space="0" w:color="auto"/>
              <w:bottom w:val="single" w:sz="4" w:space="0" w:color="auto"/>
              <w:right w:val="single" w:sz="4" w:space="0" w:color="auto"/>
            </w:tcBorders>
          </w:tcPr>
          <w:p w14:paraId="12EA4752" w14:textId="77777777" w:rsidR="00C671DA" w:rsidRDefault="00C671DA" w:rsidP="00C36D4F">
            <w:pPr>
              <w:jc w:val="center"/>
            </w:pPr>
            <w:r w:rsidRPr="00932179">
              <w:t>$280</w:t>
            </w:r>
          </w:p>
        </w:tc>
      </w:tr>
      <w:tr w:rsidR="00C671DA" w14:paraId="3855CBB7" w14:textId="77777777" w:rsidTr="00C36D4F">
        <w:trPr>
          <w:trHeight w:val="288"/>
        </w:trPr>
        <w:tc>
          <w:tcPr>
            <w:tcW w:w="1260" w:type="dxa"/>
            <w:tcBorders>
              <w:top w:val="single" w:sz="4" w:space="0" w:color="auto"/>
              <w:left w:val="single" w:sz="4" w:space="0" w:color="auto"/>
              <w:bottom w:val="single" w:sz="4" w:space="0" w:color="auto"/>
              <w:right w:val="single" w:sz="4" w:space="0" w:color="auto"/>
            </w:tcBorders>
          </w:tcPr>
          <w:p w14:paraId="76121C76" w14:textId="77777777" w:rsidR="00C671DA" w:rsidRPr="009E37DF" w:rsidRDefault="00C671DA" w:rsidP="00C36D4F">
            <w:pPr>
              <w:jc w:val="center"/>
            </w:pPr>
            <w:r w:rsidRPr="009E37DF">
              <w:t>Catherine</w:t>
            </w:r>
          </w:p>
        </w:tc>
        <w:tc>
          <w:tcPr>
            <w:tcW w:w="1417" w:type="dxa"/>
            <w:tcBorders>
              <w:top w:val="single" w:sz="4" w:space="0" w:color="auto"/>
              <w:left w:val="single" w:sz="4" w:space="0" w:color="auto"/>
              <w:bottom w:val="single" w:sz="4" w:space="0" w:color="auto"/>
              <w:right w:val="single" w:sz="4" w:space="0" w:color="auto"/>
            </w:tcBorders>
          </w:tcPr>
          <w:p w14:paraId="2FDAD574" w14:textId="77777777" w:rsidR="00C671DA" w:rsidRDefault="00C671DA" w:rsidP="00C36D4F">
            <w:pPr>
              <w:jc w:val="center"/>
            </w:pPr>
            <w:r w:rsidRPr="009E37DF">
              <w:t>Yap</w:t>
            </w:r>
          </w:p>
        </w:tc>
        <w:tc>
          <w:tcPr>
            <w:tcW w:w="1103" w:type="dxa"/>
            <w:tcBorders>
              <w:top w:val="single" w:sz="4" w:space="0" w:color="auto"/>
              <w:left w:val="single" w:sz="4" w:space="0" w:color="auto"/>
              <w:bottom w:val="single" w:sz="4" w:space="0" w:color="auto"/>
              <w:right w:val="single" w:sz="4" w:space="0" w:color="auto"/>
            </w:tcBorders>
          </w:tcPr>
          <w:p w14:paraId="793B7CE8" w14:textId="77777777" w:rsidR="00C671DA" w:rsidRPr="009E37DF" w:rsidRDefault="00C671DA" w:rsidP="00C36D4F">
            <w:pPr>
              <w:jc w:val="center"/>
            </w:pPr>
            <w:r>
              <w:t>Expert</w:t>
            </w:r>
          </w:p>
        </w:tc>
        <w:tc>
          <w:tcPr>
            <w:tcW w:w="1237" w:type="dxa"/>
            <w:tcBorders>
              <w:top w:val="single" w:sz="4" w:space="0" w:color="auto"/>
              <w:left w:val="single" w:sz="4" w:space="0" w:color="auto"/>
              <w:bottom w:val="single" w:sz="4" w:space="0" w:color="auto"/>
              <w:right w:val="single" w:sz="4" w:space="0" w:color="auto"/>
            </w:tcBorders>
          </w:tcPr>
          <w:p w14:paraId="7A33D234" w14:textId="77777777" w:rsidR="00C671DA" w:rsidRDefault="00C671DA" w:rsidP="00C36D4F">
            <w:pPr>
              <w:jc w:val="center"/>
            </w:pPr>
            <w:r>
              <w:t>TURN</w:t>
            </w:r>
          </w:p>
        </w:tc>
        <w:tc>
          <w:tcPr>
            <w:tcW w:w="1620" w:type="dxa"/>
            <w:tcBorders>
              <w:top w:val="single" w:sz="4" w:space="0" w:color="auto"/>
              <w:left w:val="single" w:sz="4" w:space="0" w:color="auto"/>
              <w:bottom w:val="single" w:sz="4" w:space="0" w:color="auto"/>
              <w:right w:val="single" w:sz="4" w:space="0" w:color="auto"/>
            </w:tcBorders>
          </w:tcPr>
          <w:p w14:paraId="311413E5" w14:textId="77777777" w:rsidR="00C671DA" w:rsidRDefault="00C671DA" w:rsidP="00C36D4F">
            <w:pPr>
              <w:jc w:val="center"/>
            </w:pPr>
            <w:r w:rsidRPr="009E37DF">
              <w:t>$280</w:t>
            </w:r>
          </w:p>
        </w:tc>
        <w:tc>
          <w:tcPr>
            <w:tcW w:w="1530" w:type="dxa"/>
            <w:tcBorders>
              <w:top w:val="single" w:sz="4" w:space="0" w:color="auto"/>
              <w:left w:val="single" w:sz="4" w:space="0" w:color="auto"/>
              <w:bottom w:val="single" w:sz="4" w:space="0" w:color="auto"/>
              <w:right w:val="single" w:sz="4" w:space="0" w:color="auto"/>
            </w:tcBorders>
          </w:tcPr>
          <w:p w14:paraId="6A4C0D88" w14:textId="77777777" w:rsidR="00C671DA" w:rsidRDefault="00C671DA" w:rsidP="00C36D4F">
            <w:pPr>
              <w:jc w:val="center"/>
            </w:pPr>
            <w:r w:rsidRPr="009E37DF">
              <w:t>2016</w:t>
            </w:r>
          </w:p>
        </w:tc>
        <w:tc>
          <w:tcPr>
            <w:tcW w:w="2430" w:type="dxa"/>
            <w:tcBorders>
              <w:top w:val="single" w:sz="4" w:space="0" w:color="auto"/>
              <w:left w:val="single" w:sz="4" w:space="0" w:color="auto"/>
              <w:bottom w:val="single" w:sz="4" w:space="0" w:color="auto"/>
              <w:right w:val="single" w:sz="4" w:space="0" w:color="auto"/>
            </w:tcBorders>
          </w:tcPr>
          <w:p w14:paraId="02B01657" w14:textId="77777777" w:rsidR="00C671DA" w:rsidRDefault="00C671DA" w:rsidP="00C36D4F">
            <w:pPr>
              <w:jc w:val="center"/>
            </w:pPr>
            <w:r w:rsidRPr="00932179">
              <w:t>$280</w:t>
            </w:r>
          </w:p>
        </w:tc>
      </w:tr>
    </w:tbl>
    <w:p w14:paraId="4E750998" w14:textId="77777777" w:rsidR="00C671DA" w:rsidRDefault="00C671DA" w:rsidP="00C671DA">
      <w:pPr>
        <w:spacing w:line="360" w:lineRule="auto"/>
        <w:rPr>
          <w:b/>
        </w:rPr>
      </w:pPr>
    </w:p>
    <w:p w14:paraId="7AFDDC17" w14:textId="77777777" w:rsidR="00C671DA" w:rsidRDefault="00C671DA" w:rsidP="00C671DA">
      <w:pPr>
        <w:jc w:val="center"/>
      </w:pPr>
      <w:r>
        <w:rPr>
          <w:rFonts w:ascii="Helvetica" w:hAnsi="Helvetica"/>
          <w:b/>
        </w:rPr>
        <w:t xml:space="preserve">(END OF </w:t>
      </w:r>
      <w:r>
        <w:rPr>
          <w:rFonts w:ascii="Helvetica" w:hAnsi="Helvetica"/>
          <w:b/>
          <w:szCs w:val="26"/>
        </w:rPr>
        <w:t>APPENDIX</w:t>
      </w:r>
      <w:r>
        <w:rPr>
          <w:rFonts w:ascii="Helvetica" w:hAnsi="Helvetica"/>
          <w:b/>
        </w:rPr>
        <w:t>)</w:t>
      </w:r>
    </w:p>
    <w:p w14:paraId="662A0C29" w14:textId="77777777" w:rsidR="00C671DA" w:rsidRPr="007F620E" w:rsidRDefault="00C671DA">
      <w:pPr>
        <w:suppressAutoHyphens/>
        <w:rPr>
          <w:color w:val="000000"/>
        </w:rPr>
      </w:pPr>
    </w:p>
    <w:sectPr w:rsidR="00C671DA" w:rsidRPr="007F620E" w:rsidSect="004215CF">
      <w:headerReference w:type="default" r:id="rId14"/>
      <w:footerReference w:type="default" r:id="rId15"/>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F2ED" w14:textId="77777777" w:rsidR="008D602C" w:rsidRDefault="008D602C" w:rsidP="00885956">
      <w:r>
        <w:separator/>
      </w:r>
    </w:p>
  </w:endnote>
  <w:endnote w:type="continuationSeparator" w:id="0">
    <w:p w14:paraId="0CE537CC" w14:textId="77777777" w:rsidR="008D602C" w:rsidRDefault="008D602C"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204050205050503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011373127"/>
      <w:docPartObj>
        <w:docPartGallery w:val="Page Numbers (Bottom of Page)"/>
        <w:docPartUnique/>
      </w:docPartObj>
    </w:sdtPr>
    <w:sdtEndPr/>
    <w:sdtContent>
      <w:p w14:paraId="3344BB2C" w14:textId="77777777" w:rsidR="00C671DA" w:rsidRPr="00AD6434" w:rsidRDefault="00C671DA" w:rsidP="00AD6434">
        <w:pPr>
          <w:pStyle w:val="Footer"/>
          <w:rPr>
            <w:sz w:val="26"/>
            <w:szCs w:val="26"/>
          </w:rPr>
        </w:pPr>
        <w:r w:rsidRPr="00AD6434">
          <w:rPr>
            <w:sz w:val="16"/>
            <w:szCs w:val="16"/>
          </w:rPr>
          <w:t>262918448</w:t>
        </w:r>
        <w:r w:rsidRPr="00AD6434">
          <w:rPr>
            <w:sz w:val="26"/>
            <w:szCs w:val="26"/>
          </w:rPr>
          <w:tab/>
        </w:r>
        <w:r w:rsidRPr="00AD6434">
          <w:rPr>
            <w:sz w:val="26"/>
            <w:szCs w:val="26"/>
          </w:rPr>
          <w:fldChar w:fldCharType="begin"/>
        </w:r>
        <w:r w:rsidRPr="00AD6434">
          <w:rPr>
            <w:sz w:val="26"/>
            <w:szCs w:val="26"/>
          </w:rPr>
          <w:instrText xml:space="preserve"> PAGE   \* MERGEFORMAT </w:instrText>
        </w:r>
        <w:r w:rsidRPr="00AD6434">
          <w:rPr>
            <w:sz w:val="26"/>
            <w:szCs w:val="26"/>
          </w:rPr>
          <w:fldChar w:fldCharType="separate"/>
        </w:r>
        <w:r w:rsidRPr="00AD6434">
          <w:rPr>
            <w:sz w:val="26"/>
            <w:szCs w:val="26"/>
          </w:rPr>
          <w:t>2</w:t>
        </w:r>
        <w:r w:rsidRPr="00AD6434">
          <w:rPr>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49329"/>
      <w:docPartObj>
        <w:docPartGallery w:val="Page Numbers (Bottom of Page)"/>
        <w:docPartUnique/>
      </w:docPartObj>
    </w:sdtPr>
    <w:sdtEndPr>
      <w:rPr>
        <w:noProof/>
      </w:rPr>
    </w:sdtEndPr>
    <w:sdtContent>
      <w:p w14:paraId="4F607A69" w14:textId="77777777" w:rsidR="00C671DA" w:rsidRDefault="00C671DA">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4344FADE" w14:textId="77777777" w:rsidR="00C671DA" w:rsidRDefault="00C67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612936"/>
      <w:docPartObj>
        <w:docPartGallery w:val="Page Numbers (Bottom of Page)"/>
        <w:docPartUnique/>
      </w:docPartObj>
    </w:sdtPr>
    <w:sdtEndPr>
      <w:rPr>
        <w:sz w:val="26"/>
        <w:szCs w:val="26"/>
      </w:rPr>
    </w:sdtEndPr>
    <w:sdtContent>
      <w:p w14:paraId="386396C7" w14:textId="77777777" w:rsidR="00C671DA" w:rsidRPr="00AD6434" w:rsidRDefault="00C671DA">
        <w:pPr>
          <w:pStyle w:val="Footer"/>
          <w:jc w:val="center"/>
          <w:rPr>
            <w:sz w:val="26"/>
            <w:szCs w:val="26"/>
          </w:rPr>
        </w:pPr>
        <w:r w:rsidRPr="00AD6434">
          <w:rPr>
            <w:sz w:val="26"/>
            <w:szCs w:val="26"/>
          </w:rPr>
          <w:fldChar w:fldCharType="begin"/>
        </w:r>
        <w:r w:rsidRPr="00AD6434">
          <w:rPr>
            <w:sz w:val="26"/>
            <w:szCs w:val="26"/>
          </w:rPr>
          <w:instrText xml:space="preserve"> PAGE   \* MERGEFORMAT </w:instrText>
        </w:r>
        <w:r w:rsidRPr="00AD6434">
          <w:rPr>
            <w:sz w:val="26"/>
            <w:szCs w:val="26"/>
          </w:rPr>
          <w:fldChar w:fldCharType="separate"/>
        </w:r>
        <w:r w:rsidRPr="00AD6434">
          <w:rPr>
            <w:sz w:val="26"/>
            <w:szCs w:val="26"/>
          </w:rPr>
          <w:t>2</w:t>
        </w:r>
        <w:r w:rsidRPr="00AD6434">
          <w:rPr>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6C9B" w14:textId="4BF52957" w:rsidR="00703F39" w:rsidRPr="00AD6434" w:rsidRDefault="004215CF">
    <w:pPr>
      <w:pStyle w:val="Footer"/>
      <w:jc w:val="center"/>
      <w:rPr>
        <w:sz w:val="26"/>
        <w:szCs w:val="26"/>
      </w:rPr>
    </w:pPr>
    <w:r w:rsidRPr="004215CF">
      <w:rPr>
        <w:sz w:val="26"/>
        <w:szCs w:val="26"/>
      </w:rPr>
      <w:fldChar w:fldCharType="begin"/>
    </w:r>
    <w:r w:rsidRPr="004215CF">
      <w:rPr>
        <w:sz w:val="26"/>
        <w:szCs w:val="26"/>
      </w:rPr>
      <w:instrText xml:space="preserve"> PAGE   \* MERGEFORMAT </w:instrText>
    </w:r>
    <w:r w:rsidRPr="004215CF">
      <w:rPr>
        <w:sz w:val="26"/>
        <w:szCs w:val="26"/>
      </w:rPr>
      <w:fldChar w:fldCharType="separate"/>
    </w:r>
    <w:r w:rsidRPr="004215CF">
      <w:rPr>
        <w:noProof/>
        <w:sz w:val="26"/>
        <w:szCs w:val="26"/>
      </w:rPr>
      <w:t>1</w:t>
    </w:r>
    <w:r w:rsidRPr="004215CF">
      <w:rPr>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489E" w14:textId="77777777" w:rsidR="008D602C" w:rsidRDefault="008D602C" w:rsidP="00885956">
      <w:r>
        <w:separator/>
      </w:r>
    </w:p>
  </w:footnote>
  <w:footnote w:type="continuationSeparator" w:id="0">
    <w:p w14:paraId="14119C8D" w14:textId="77777777" w:rsidR="008D602C" w:rsidRDefault="008D602C" w:rsidP="00885956">
      <w:r>
        <w:continuationSeparator/>
      </w:r>
    </w:p>
  </w:footnote>
  <w:footnote w:id="1">
    <w:p w14:paraId="3498A6DF" w14:textId="77777777" w:rsidR="00C671DA" w:rsidRDefault="00C671DA" w:rsidP="00C671DA">
      <w:pPr>
        <w:pStyle w:val="FootnoteText"/>
      </w:pPr>
      <w:r>
        <w:rPr>
          <w:rStyle w:val="FootnoteReference"/>
        </w:rPr>
        <w:footnoteRef/>
      </w:r>
      <w:r>
        <w:t xml:space="preserve"> The revenue requirement impacts of this adjustment are offset by the Settlement Agreement provision increasing FLISR installations in response to CUE’s position by $8.5 million.  See Settlement Agreement, Attachment A, at 11 of 18.</w:t>
      </w:r>
    </w:p>
  </w:footnote>
  <w:footnote w:id="2">
    <w:p w14:paraId="5F468FB4" w14:textId="1C0B8704" w:rsidR="00C671DA" w:rsidRDefault="00C671DA" w:rsidP="00C671DA">
      <w:pPr>
        <w:pStyle w:val="FootnoteText"/>
      </w:pPr>
      <w:r>
        <w:rPr>
          <w:rStyle w:val="FootnoteReference"/>
        </w:rPr>
        <w:footnoteRef/>
      </w:r>
      <w:r>
        <w:t xml:space="preserve"> The Office of Ratepayer Advocates (ORA) was renamed the Public Advocate’s Office at the California Public Utilities Commission, pursuant to Senate Bill No. 854, which the Governor approved on June</w:t>
      </w:r>
      <w:r w:rsidR="00AC430F">
        <w:t> </w:t>
      </w:r>
      <w:r>
        <w:t>27,</w:t>
      </w:r>
      <w:r w:rsidR="00AC430F">
        <w:t> </w:t>
      </w:r>
      <w:r>
        <w:t>2018.</w:t>
      </w:r>
    </w:p>
  </w:footnote>
  <w:footnote w:id="3">
    <w:p w14:paraId="3103CC4D" w14:textId="77777777" w:rsidR="00C671DA" w:rsidRDefault="00C671DA" w:rsidP="00C671DA">
      <w:pPr>
        <w:pStyle w:val="FootnoteText"/>
      </w:pPr>
      <w:r>
        <w:rPr>
          <w:rStyle w:val="FootnoteReference"/>
        </w:rPr>
        <w:footnoteRef/>
      </w:r>
      <w:r>
        <w:t xml:space="preserve"> TURN provides these calculations in the section above discussing TURN’s substantial contribution on the Overall Revenue Requirement for 2017, 2018, and 2019.  In sum, $750 million = ($231 million x 3 years) + ($25 million x 2 years) + ($7 million x 1 year).</w:t>
      </w:r>
    </w:p>
  </w:footnote>
  <w:footnote w:id="4">
    <w:p w14:paraId="79C16CA0" w14:textId="77777777" w:rsidR="00C671DA" w:rsidRDefault="00C671DA" w:rsidP="00C671DA">
      <w:pPr>
        <w:pStyle w:val="FootnoteText"/>
      </w:pPr>
      <w:r>
        <w:rPr>
          <w:rStyle w:val="FootnoteReference"/>
        </w:rPr>
        <w:footnoteRef/>
      </w:r>
      <w:r>
        <w:t xml:space="preserve"> TURN presented 13 volumes of testimony sponsored by 12 witnesses here.  In the PG&amp;E 2014 GRC, TURN presented 10 volumes of testimony sponsored by 9 witnesses.  In the SCE 2015 GRC, TURN presented 9 volumes of testimony sponsored by 8 witnesses.</w:t>
      </w:r>
    </w:p>
  </w:footnote>
  <w:footnote w:id="5">
    <w:p w14:paraId="0C714158" w14:textId="77777777" w:rsidR="00C671DA" w:rsidRDefault="00C671DA" w:rsidP="00C671DA">
      <w:pPr>
        <w:pStyle w:val="FootnoteText"/>
      </w:pPr>
      <w:r>
        <w:rPr>
          <w:rStyle w:val="FootnoteReference"/>
        </w:rPr>
        <w:footnoteRef/>
      </w:r>
      <w:r>
        <w:t xml:space="preserve"> </w:t>
      </w:r>
      <w:r w:rsidRPr="00C875C9">
        <w:rPr>
          <w:i/>
        </w:rPr>
        <w:t>See</w:t>
      </w:r>
      <w:r>
        <w:t xml:space="preserve"> D.</w:t>
      </w:r>
      <w:r w:rsidRPr="00C875C9">
        <w:t>18</w:t>
      </w:r>
      <w:r>
        <w:t>-</w:t>
      </w:r>
      <w:r w:rsidRPr="00C875C9">
        <w:t>01</w:t>
      </w:r>
      <w:r>
        <w:t>-</w:t>
      </w:r>
      <w:r w:rsidRPr="00C875C9">
        <w:t>020</w:t>
      </w:r>
    </w:p>
  </w:footnote>
  <w:footnote w:id="6">
    <w:p w14:paraId="6FE49353" w14:textId="77777777" w:rsidR="00C671DA" w:rsidRDefault="00C671DA" w:rsidP="00C671DA">
      <w:pPr>
        <w:pStyle w:val="FootnoteText"/>
        <w:spacing w:after="120"/>
      </w:pPr>
      <w:r>
        <w:rPr>
          <w:rStyle w:val="FootnoteReference"/>
        </w:rPr>
        <w:footnoteRef/>
      </w:r>
      <w:r>
        <w:t xml:space="preserve">  </w:t>
      </w:r>
      <w:r w:rsidRPr="00C875C9">
        <w:rPr>
          <w:i/>
        </w:rPr>
        <w:t>See</w:t>
      </w:r>
      <w:r>
        <w:t xml:space="preserve"> D.</w:t>
      </w:r>
      <w:r w:rsidRPr="00C875C9">
        <w:t>17</w:t>
      </w:r>
      <w:r>
        <w:t>-</w:t>
      </w:r>
      <w:r w:rsidRPr="00C875C9">
        <w:t>11</w:t>
      </w:r>
      <w:r>
        <w:t>-</w:t>
      </w:r>
      <w:r w:rsidRPr="00C875C9">
        <w:t>032</w:t>
      </w:r>
    </w:p>
  </w:footnote>
  <w:footnote w:id="7">
    <w:p w14:paraId="2EF4C67F" w14:textId="77777777" w:rsidR="00C671DA" w:rsidRDefault="00C671DA" w:rsidP="00C671DA">
      <w:pPr>
        <w:pStyle w:val="FootnoteText"/>
        <w:spacing w:after="120"/>
      </w:pPr>
      <w:r>
        <w:rPr>
          <w:rStyle w:val="FootnoteReference"/>
        </w:rPr>
        <w:footnoteRef/>
      </w:r>
      <w:r>
        <w:t xml:space="preserve">  </w:t>
      </w:r>
      <w:r w:rsidRPr="00C875C9">
        <w:rPr>
          <w:i/>
        </w:rPr>
        <w:t>See</w:t>
      </w:r>
      <w:r>
        <w:t xml:space="preserve"> D.17-11-032</w:t>
      </w:r>
    </w:p>
  </w:footnote>
  <w:footnote w:id="8">
    <w:p w14:paraId="7F6FCCFA" w14:textId="77777777" w:rsidR="00C671DA" w:rsidRDefault="00C671DA" w:rsidP="00C671DA">
      <w:pPr>
        <w:pStyle w:val="FootnoteText"/>
        <w:spacing w:after="120"/>
      </w:pPr>
      <w:r>
        <w:rPr>
          <w:rStyle w:val="FootnoteReference"/>
        </w:rPr>
        <w:footnoteRef/>
      </w:r>
      <w:r>
        <w:t xml:space="preserve">  </w:t>
      </w:r>
      <w:r w:rsidRPr="002A4735">
        <w:rPr>
          <w:i/>
        </w:rPr>
        <w:t>See</w:t>
      </w:r>
      <w:r>
        <w:t xml:space="preserve"> D.18-01-018</w:t>
      </w:r>
    </w:p>
  </w:footnote>
  <w:footnote w:id="9">
    <w:p w14:paraId="7F1780A9" w14:textId="77777777" w:rsidR="00C671DA" w:rsidRDefault="00C671DA" w:rsidP="00C671DA">
      <w:pPr>
        <w:pStyle w:val="FootnoteText"/>
        <w:spacing w:after="120"/>
      </w:pPr>
      <w:r>
        <w:rPr>
          <w:rStyle w:val="FootnoteReference"/>
        </w:rPr>
        <w:footnoteRef/>
      </w:r>
      <w:r>
        <w:t xml:space="preserve">  </w:t>
      </w:r>
      <w:r w:rsidRPr="002A4735">
        <w:rPr>
          <w:i/>
        </w:rPr>
        <w:t>See</w:t>
      </w:r>
      <w:r>
        <w:t xml:space="preserve"> D.18-04-021</w:t>
      </w:r>
    </w:p>
  </w:footnote>
  <w:footnote w:id="10">
    <w:p w14:paraId="43AFDEB0" w14:textId="77777777" w:rsidR="00C671DA" w:rsidRDefault="00C671DA" w:rsidP="00C671DA">
      <w:pPr>
        <w:pStyle w:val="FootnoteText"/>
        <w:spacing w:after="120"/>
      </w:pPr>
      <w:r>
        <w:rPr>
          <w:rStyle w:val="FootnoteReference"/>
        </w:rPr>
        <w:footnoteRef/>
      </w:r>
      <w:r>
        <w:t xml:space="preserve">  Application of Res. ALJ-345 – 2.14% Cost of Living Adjustment and second five percent step increase for attorneys with 3-4 years of experience</w:t>
      </w:r>
    </w:p>
  </w:footnote>
  <w:footnote w:id="11">
    <w:p w14:paraId="4CFED330" w14:textId="77777777" w:rsidR="00C671DA" w:rsidRDefault="00C671DA" w:rsidP="00C671DA">
      <w:pPr>
        <w:pStyle w:val="FootnoteText"/>
        <w:spacing w:after="120"/>
      </w:pPr>
      <w:r>
        <w:rPr>
          <w:rStyle w:val="FootnoteReference"/>
        </w:rPr>
        <w:footnoteRef/>
      </w:r>
      <w:r>
        <w:t xml:space="preserve">  Application of first five percent step increase for experts with </w:t>
      </w:r>
      <w:r>
        <w:rPr>
          <w:color w:val="000000"/>
        </w:rPr>
        <w:t xml:space="preserve">13+ year experience </w:t>
      </w:r>
      <w:r>
        <w:t>to previously approved hourly rate of $205 authorized in D.16-04-011</w:t>
      </w:r>
    </w:p>
  </w:footnote>
  <w:footnote w:id="12">
    <w:p w14:paraId="66F8BCB1" w14:textId="77777777" w:rsidR="00C671DA" w:rsidRPr="00DE3A5D" w:rsidRDefault="00C671DA" w:rsidP="00C671DA">
      <w:pPr>
        <w:pStyle w:val="ListParagraph"/>
        <w:spacing w:after="120"/>
        <w:ind w:left="0"/>
      </w:pPr>
      <w:r w:rsidRPr="00DE3A5D">
        <w:rPr>
          <w:rStyle w:val="FootnoteReference"/>
          <w:sz w:val="20"/>
          <w:szCs w:val="20"/>
        </w:rPr>
        <w:footnoteRef/>
      </w:r>
      <w:r w:rsidRPr="00DE3A5D">
        <w:t xml:space="preserve"> </w:t>
      </w:r>
      <w:r>
        <w:t xml:space="preserve"> </w:t>
      </w:r>
      <w:r w:rsidRPr="00DE3A5D">
        <w:rPr>
          <w:sz w:val="20"/>
          <w:szCs w:val="20"/>
        </w:rPr>
        <w:t xml:space="preserve">This information may be </w:t>
      </w:r>
      <w:r w:rsidRPr="00DE3A5D">
        <w:rPr>
          <w:color w:val="000000"/>
          <w:sz w:val="20"/>
          <w:szCs w:val="20"/>
        </w:rPr>
        <w:t>obtain</w:t>
      </w:r>
      <w:r>
        <w:rPr>
          <w:color w:val="000000"/>
          <w:sz w:val="20"/>
          <w:szCs w:val="20"/>
        </w:rPr>
        <w:t xml:space="preserve">ed through the State Bar of California’s website at </w:t>
      </w:r>
      <w:hyperlink r:id="rId1" w:history="1">
        <w:r w:rsidRPr="00915118">
          <w:rPr>
            <w:rStyle w:val="Hyperlink"/>
            <w:sz w:val="20"/>
            <w:szCs w:val="20"/>
          </w:rPr>
          <w:t>http://members.calbar.ca.gov/fal/MemberSearch/QuickSearch</w:t>
        </w:r>
      </w:hyperlink>
      <w:r>
        <w:rPr>
          <w:color w:val="000000"/>
          <w:sz w:val="20"/>
          <w:szCs w:val="20"/>
        </w:rPr>
        <w:t xml:space="preserve"> .</w:t>
      </w:r>
    </w:p>
  </w:footnote>
  <w:footnote w:id="13">
    <w:p w14:paraId="6F6BAD7C" w14:textId="77777777" w:rsidR="00C671DA" w:rsidRPr="003075E1" w:rsidRDefault="00C671DA" w:rsidP="00C671DA">
      <w:pPr>
        <w:pStyle w:val="p1"/>
        <w:spacing w:after="120"/>
        <w:rPr>
          <w:sz w:val="15"/>
          <w:szCs w:val="15"/>
        </w:rPr>
      </w:pPr>
      <w:r>
        <w:rPr>
          <w:rStyle w:val="FootnoteReference"/>
        </w:rPr>
        <w:footnoteRef/>
      </w:r>
      <w:r>
        <w:t xml:space="preserve"> </w:t>
      </w:r>
      <w:r w:rsidRPr="003075E1">
        <w:rPr>
          <w:sz w:val="15"/>
          <w:szCs w:val="15"/>
        </w:rPr>
        <w:t> </w:t>
      </w:r>
      <w:r w:rsidRPr="003075E1">
        <w:rPr>
          <w:rFonts w:ascii="Times New Roman" w:hAnsi="Times New Roman"/>
          <w:sz w:val="22"/>
          <w:szCs w:val="22"/>
        </w:rPr>
        <w:t xml:space="preserve">$320 times 1.0256 equals $328.19. </w:t>
      </w:r>
      <w:r>
        <w:rPr>
          <w:rFonts w:ascii="Times New Roman" w:hAnsi="Times New Roman"/>
          <w:sz w:val="22"/>
          <w:szCs w:val="22"/>
        </w:rPr>
        <w:t xml:space="preserve"> </w:t>
      </w:r>
      <w:r w:rsidRPr="003075E1">
        <w:rPr>
          <w:rFonts w:ascii="Times New Roman" w:hAnsi="Times New Roman"/>
          <w:sz w:val="22"/>
          <w:szCs w:val="22"/>
        </w:rPr>
        <w:t>The compensation awards that included 2014 hours for Ms.</w:t>
      </w:r>
      <w:r>
        <w:rPr>
          <w:rFonts w:ascii="Times New Roman" w:hAnsi="Times New Roman"/>
          <w:sz w:val="22"/>
          <w:szCs w:val="22"/>
        </w:rPr>
        <w:t> </w:t>
      </w:r>
      <w:r w:rsidRPr="003075E1">
        <w:rPr>
          <w:rFonts w:ascii="Times New Roman" w:hAnsi="Times New Roman"/>
          <w:sz w:val="22"/>
          <w:szCs w:val="22"/>
        </w:rPr>
        <w:t xml:space="preserve">Suetake used her 2013 authorized rate without a COLA increase because TURN tends to use the previous year’s authorized rate where the number of hours in the following year is relatively small. </w:t>
      </w:r>
      <w:r>
        <w:rPr>
          <w:rFonts w:ascii="Times New Roman" w:hAnsi="Times New Roman"/>
          <w:sz w:val="22"/>
          <w:szCs w:val="22"/>
        </w:rPr>
        <w:t xml:space="preserve"> (</w:t>
      </w:r>
      <w:r w:rsidRPr="003075E1">
        <w:rPr>
          <w:rFonts w:ascii="Times New Roman" w:hAnsi="Times New Roman"/>
          <w:sz w:val="22"/>
          <w:szCs w:val="22"/>
        </w:rPr>
        <w:t>D.15-08-016.</w:t>
      </w:r>
      <w:r>
        <w:rPr>
          <w:rFonts w:ascii="Times New Roman" w:hAnsi="Times New Roman"/>
          <w:sz w:val="22"/>
          <w:szCs w:val="22"/>
        </w:rPr>
        <w:t>)</w:t>
      </w:r>
    </w:p>
  </w:footnote>
  <w:footnote w:id="14">
    <w:p w14:paraId="10EB706D" w14:textId="77777777" w:rsidR="00C671DA" w:rsidRPr="003075E1" w:rsidRDefault="00C671DA" w:rsidP="00C671DA">
      <w:pPr>
        <w:pStyle w:val="p1"/>
        <w:spacing w:after="120"/>
        <w:rPr>
          <w:sz w:val="15"/>
          <w:szCs w:val="15"/>
        </w:rPr>
      </w:pPr>
      <w:r>
        <w:rPr>
          <w:rStyle w:val="FootnoteReference"/>
        </w:rPr>
        <w:footnoteRef/>
      </w:r>
      <w:r>
        <w:t xml:space="preserve"> </w:t>
      </w:r>
      <w:r w:rsidRPr="003075E1">
        <w:rPr>
          <w:sz w:val="15"/>
          <w:szCs w:val="15"/>
        </w:rPr>
        <w:t> </w:t>
      </w:r>
      <w:r w:rsidRPr="003075E1">
        <w:rPr>
          <w:rFonts w:ascii="Times New Roman" w:hAnsi="Times New Roman"/>
          <w:sz w:val="22"/>
          <w:szCs w:val="22"/>
        </w:rPr>
        <w:t>$330 times 1.0628 equals $350.72.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78BB" w14:textId="77777777" w:rsidR="00C671DA" w:rsidRPr="00141A4E" w:rsidRDefault="00C671DA">
    <w:pPr>
      <w:pStyle w:val="Header"/>
      <w:rPr>
        <w:color w:val="7F7F7F"/>
      </w:rPr>
    </w:pPr>
    <w:r w:rsidRPr="00141A4E">
      <w:rPr>
        <w:color w:val="7F7F7F"/>
      </w:rPr>
      <w:t>Revised March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FA2F" w14:textId="77777777" w:rsidR="00C671DA" w:rsidRPr="00AD6434" w:rsidRDefault="00C671DA">
    <w:pPr>
      <w:pStyle w:val="Header"/>
      <w:rPr>
        <w:b/>
        <w:sz w:val="26"/>
        <w:szCs w:val="26"/>
      </w:rPr>
    </w:pPr>
    <w:r w:rsidRPr="00AD6434">
      <w:rPr>
        <w:sz w:val="26"/>
        <w:szCs w:val="26"/>
      </w:rPr>
      <w:t>A.15-09-</w:t>
    </w:r>
    <w:proofErr w:type="gramStart"/>
    <w:r w:rsidRPr="00AD6434">
      <w:rPr>
        <w:sz w:val="26"/>
        <w:szCs w:val="26"/>
      </w:rPr>
      <w:t>001  ALJ</w:t>
    </w:r>
    <w:proofErr w:type="gramEnd"/>
    <w:r w:rsidRPr="00AD6434">
      <w:rPr>
        <w:sz w:val="26"/>
        <w:szCs w:val="26"/>
      </w:rPr>
      <w:t>/SCR/</w:t>
    </w:r>
    <w:proofErr w:type="spellStart"/>
    <w:r w:rsidRPr="00AD6434">
      <w:rPr>
        <w:sz w:val="26"/>
        <w:szCs w:val="26"/>
      </w:rPr>
      <w:t>avs</w:t>
    </w:r>
    <w:proofErr w:type="spellEnd"/>
    <w:r w:rsidRPr="00AD6434">
      <w:rPr>
        <w:sz w:val="26"/>
        <w:szCs w:val="26"/>
      </w:rPr>
      <w:tab/>
    </w:r>
    <w:r w:rsidRPr="00AD6434">
      <w:rPr>
        <w:sz w:val="26"/>
        <w:szCs w:val="26"/>
      </w:rPr>
      <w:tab/>
    </w:r>
    <w:r w:rsidRPr="00AD6434">
      <w:rPr>
        <w:b/>
        <w:sz w:val="26"/>
        <w:szCs w:val="26"/>
      </w:rPr>
      <w:t>PROPOSED DECISION\</w:t>
    </w:r>
  </w:p>
  <w:p w14:paraId="3F95969F" w14:textId="77777777" w:rsidR="00C671DA" w:rsidRPr="00AD6434" w:rsidRDefault="00C671DA">
    <w:pPr>
      <w:pStyle w:val="Header"/>
      <w:rPr>
        <w:sz w:val="26"/>
        <w:szCs w:val="26"/>
      </w:rPr>
    </w:pPr>
  </w:p>
  <w:p w14:paraId="68C0186B" w14:textId="77777777" w:rsidR="00C671DA" w:rsidRPr="00AD6434" w:rsidRDefault="00C671DA">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FC64" w14:textId="10811F61" w:rsidR="00703F39" w:rsidRPr="00AD6434" w:rsidRDefault="00703F39">
    <w:pPr>
      <w:pStyle w:val="Header"/>
      <w:rPr>
        <w:b/>
        <w:sz w:val="26"/>
        <w:szCs w:val="26"/>
      </w:rPr>
    </w:pPr>
    <w:r w:rsidRPr="00AD6434">
      <w:rPr>
        <w:sz w:val="26"/>
        <w:szCs w:val="26"/>
      </w:rPr>
      <w:t>A.15-09-</w:t>
    </w:r>
    <w:proofErr w:type="gramStart"/>
    <w:r w:rsidRPr="00AD6434">
      <w:rPr>
        <w:sz w:val="26"/>
        <w:szCs w:val="26"/>
      </w:rPr>
      <w:t>001  ALJ</w:t>
    </w:r>
    <w:proofErr w:type="gramEnd"/>
    <w:r w:rsidRPr="00AD6434">
      <w:rPr>
        <w:sz w:val="26"/>
        <w:szCs w:val="26"/>
      </w:rPr>
      <w:t>/SCR/</w:t>
    </w:r>
    <w:proofErr w:type="spellStart"/>
    <w:r w:rsidRPr="00AD6434">
      <w:rPr>
        <w:sz w:val="26"/>
        <w:szCs w:val="26"/>
      </w:rPr>
      <w:t>avs</w:t>
    </w:r>
    <w:proofErr w:type="spellEnd"/>
    <w:r w:rsidRPr="00AD6434">
      <w:rPr>
        <w:sz w:val="26"/>
        <w:szCs w:val="26"/>
      </w:rPr>
      <w:tab/>
    </w:r>
    <w:r w:rsidRPr="00AD6434">
      <w:rPr>
        <w:sz w:val="26"/>
        <w:szCs w:val="26"/>
      </w:rPr>
      <w:tab/>
    </w:r>
  </w:p>
  <w:p w14:paraId="544F537B" w14:textId="77777777" w:rsidR="00703F39" w:rsidRPr="00AD6434" w:rsidRDefault="00703F39">
    <w:pPr>
      <w:pStyle w:val="Header"/>
      <w:rPr>
        <w:sz w:val="26"/>
        <w:szCs w:val="26"/>
      </w:rPr>
    </w:pPr>
  </w:p>
  <w:p w14:paraId="024276A5" w14:textId="77777777" w:rsidR="00703F39" w:rsidRPr="00AD6434" w:rsidRDefault="00703F39">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F6386"/>
    <w:multiLevelType w:val="hybridMultilevel"/>
    <w:tmpl w:val="8FE8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73A9"/>
    <w:multiLevelType w:val="hybridMultilevel"/>
    <w:tmpl w:val="DEBE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8ED"/>
    <w:multiLevelType w:val="hybridMultilevel"/>
    <w:tmpl w:val="3038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4D57"/>
    <w:multiLevelType w:val="hybridMultilevel"/>
    <w:tmpl w:val="886AE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975CE"/>
    <w:multiLevelType w:val="hybridMultilevel"/>
    <w:tmpl w:val="171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7EE0BC7"/>
    <w:multiLevelType w:val="hybridMultilevel"/>
    <w:tmpl w:val="17C8B27A"/>
    <w:lvl w:ilvl="0" w:tplc="0409000F">
      <w:start w:val="1"/>
      <w:numFmt w:val="decimal"/>
      <w:lvlText w:val="%1."/>
      <w:lvlJc w:val="left"/>
      <w:pPr>
        <w:tabs>
          <w:tab w:val="num" w:pos="900"/>
        </w:tabs>
        <w:ind w:left="900" w:hanging="360"/>
      </w:pPr>
    </w:lvl>
    <w:lvl w:ilvl="1" w:tplc="A2982BDA">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0F1538A"/>
    <w:multiLevelType w:val="hybridMultilevel"/>
    <w:tmpl w:val="481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737B1"/>
    <w:multiLevelType w:val="hybridMultilevel"/>
    <w:tmpl w:val="E55236BA"/>
    <w:lvl w:ilvl="0" w:tplc="7B3657A2">
      <w:start w:val="1"/>
      <w:numFmt w:val="upperLetter"/>
      <w:lvlText w:val="%1."/>
      <w:lvlJc w:val="left"/>
      <w:pPr>
        <w:tabs>
          <w:tab w:val="num" w:pos="900"/>
        </w:tabs>
        <w:ind w:left="900" w:hanging="360"/>
      </w:pPr>
      <w:rPr>
        <w:rFonts w:hint="default"/>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1"/>
  </w:num>
  <w:num w:numId="4">
    <w:abstractNumId w:val="7"/>
  </w:num>
  <w:num w:numId="5">
    <w:abstractNumId w:val="6"/>
  </w:num>
  <w:num w:numId="6">
    <w:abstractNumId w:val="8"/>
  </w:num>
  <w:num w:numId="7">
    <w:abstractNumId w:val="9"/>
  </w:num>
  <w:num w:numId="8">
    <w:abstractNumId w:val="2"/>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0510B"/>
    <w:rsid w:val="00006C14"/>
    <w:rsid w:val="00007A81"/>
    <w:rsid w:val="000110EC"/>
    <w:rsid w:val="00012706"/>
    <w:rsid w:val="00017F51"/>
    <w:rsid w:val="00020775"/>
    <w:rsid w:val="00021CC6"/>
    <w:rsid w:val="00026986"/>
    <w:rsid w:val="00026A15"/>
    <w:rsid w:val="00031A26"/>
    <w:rsid w:val="00034492"/>
    <w:rsid w:val="00036804"/>
    <w:rsid w:val="00036F54"/>
    <w:rsid w:val="0004268F"/>
    <w:rsid w:val="00050D82"/>
    <w:rsid w:val="0006016D"/>
    <w:rsid w:val="0006042A"/>
    <w:rsid w:val="00063BC1"/>
    <w:rsid w:val="0006784F"/>
    <w:rsid w:val="00071DF6"/>
    <w:rsid w:val="00072C81"/>
    <w:rsid w:val="00081EAD"/>
    <w:rsid w:val="00083FBA"/>
    <w:rsid w:val="00085AD9"/>
    <w:rsid w:val="00090D27"/>
    <w:rsid w:val="00091245"/>
    <w:rsid w:val="00092340"/>
    <w:rsid w:val="000962CE"/>
    <w:rsid w:val="000A2F0E"/>
    <w:rsid w:val="000A36CF"/>
    <w:rsid w:val="000A6194"/>
    <w:rsid w:val="000B154F"/>
    <w:rsid w:val="000B41E8"/>
    <w:rsid w:val="000C7288"/>
    <w:rsid w:val="000D5A2B"/>
    <w:rsid w:val="000D5BE0"/>
    <w:rsid w:val="000D6CA0"/>
    <w:rsid w:val="000D6DF8"/>
    <w:rsid w:val="000D6FF4"/>
    <w:rsid w:val="000E18AC"/>
    <w:rsid w:val="000E1ABD"/>
    <w:rsid w:val="000E41CB"/>
    <w:rsid w:val="000E6ABD"/>
    <w:rsid w:val="000E76A1"/>
    <w:rsid w:val="000F0613"/>
    <w:rsid w:val="000F0837"/>
    <w:rsid w:val="000F449F"/>
    <w:rsid w:val="000F595C"/>
    <w:rsid w:val="000F7670"/>
    <w:rsid w:val="001003F6"/>
    <w:rsid w:val="00103E5C"/>
    <w:rsid w:val="001057E9"/>
    <w:rsid w:val="001063CA"/>
    <w:rsid w:val="001069D0"/>
    <w:rsid w:val="00106EBF"/>
    <w:rsid w:val="00110D89"/>
    <w:rsid w:val="0011636D"/>
    <w:rsid w:val="00116EDB"/>
    <w:rsid w:val="00121C58"/>
    <w:rsid w:val="00123103"/>
    <w:rsid w:val="00123A95"/>
    <w:rsid w:val="00124478"/>
    <w:rsid w:val="00125492"/>
    <w:rsid w:val="00134531"/>
    <w:rsid w:val="00135152"/>
    <w:rsid w:val="001361A7"/>
    <w:rsid w:val="00140C06"/>
    <w:rsid w:val="00141A4E"/>
    <w:rsid w:val="001451CF"/>
    <w:rsid w:val="00146617"/>
    <w:rsid w:val="001507ED"/>
    <w:rsid w:val="00151AA8"/>
    <w:rsid w:val="00152F94"/>
    <w:rsid w:val="001566E6"/>
    <w:rsid w:val="00161DD9"/>
    <w:rsid w:val="00164E72"/>
    <w:rsid w:val="001659E8"/>
    <w:rsid w:val="001676B3"/>
    <w:rsid w:val="00173B49"/>
    <w:rsid w:val="00175865"/>
    <w:rsid w:val="001829D4"/>
    <w:rsid w:val="001932E5"/>
    <w:rsid w:val="00193FD4"/>
    <w:rsid w:val="001962EB"/>
    <w:rsid w:val="00196BA2"/>
    <w:rsid w:val="001970F7"/>
    <w:rsid w:val="001A0A64"/>
    <w:rsid w:val="001A221D"/>
    <w:rsid w:val="001A6341"/>
    <w:rsid w:val="001B58C9"/>
    <w:rsid w:val="001B7F43"/>
    <w:rsid w:val="001C21AE"/>
    <w:rsid w:val="001C541D"/>
    <w:rsid w:val="001D3ED2"/>
    <w:rsid w:val="001E61A5"/>
    <w:rsid w:val="001E74D7"/>
    <w:rsid w:val="001E77CF"/>
    <w:rsid w:val="001F238E"/>
    <w:rsid w:val="001F2E33"/>
    <w:rsid w:val="00204E3A"/>
    <w:rsid w:val="002065DB"/>
    <w:rsid w:val="002116B5"/>
    <w:rsid w:val="00212D94"/>
    <w:rsid w:val="00212E10"/>
    <w:rsid w:val="002146E0"/>
    <w:rsid w:val="00214B22"/>
    <w:rsid w:val="00217224"/>
    <w:rsid w:val="0022085A"/>
    <w:rsid w:val="00221CCB"/>
    <w:rsid w:val="00232C0D"/>
    <w:rsid w:val="00234B5E"/>
    <w:rsid w:val="002415DC"/>
    <w:rsid w:val="0024465C"/>
    <w:rsid w:val="002466F8"/>
    <w:rsid w:val="00247292"/>
    <w:rsid w:val="00251276"/>
    <w:rsid w:val="00252DBB"/>
    <w:rsid w:val="00260518"/>
    <w:rsid w:val="00261C26"/>
    <w:rsid w:val="002626B5"/>
    <w:rsid w:val="00264333"/>
    <w:rsid w:val="00270E2E"/>
    <w:rsid w:val="00272C69"/>
    <w:rsid w:val="00273208"/>
    <w:rsid w:val="00273E74"/>
    <w:rsid w:val="00277F8A"/>
    <w:rsid w:val="00280962"/>
    <w:rsid w:val="002925EB"/>
    <w:rsid w:val="00293198"/>
    <w:rsid w:val="00295820"/>
    <w:rsid w:val="00296C59"/>
    <w:rsid w:val="002A4735"/>
    <w:rsid w:val="002A6C07"/>
    <w:rsid w:val="002B2726"/>
    <w:rsid w:val="002C2696"/>
    <w:rsid w:val="002D52E2"/>
    <w:rsid w:val="002D722F"/>
    <w:rsid w:val="002E0C2A"/>
    <w:rsid w:val="002E3669"/>
    <w:rsid w:val="002E58EC"/>
    <w:rsid w:val="002E5F83"/>
    <w:rsid w:val="002F4880"/>
    <w:rsid w:val="002F67A5"/>
    <w:rsid w:val="002F78F0"/>
    <w:rsid w:val="00303C2B"/>
    <w:rsid w:val="00306F34"/>
    <w:rsid w:val="003075E1"/>
    <w:rsid w:val="00312F22"/>
    <w:rsid w:val="003157CB"/>
    <w:rsid w:val="00324585"/>
    <w:rsid w:val="0034394D"/>
    <w:rsid w:val="00347E1D"/>
    <w:rsid w:val="003500FE"/>
    <w:rsid w:val="003501DD"/>
    <w:rsid w:val="00350C3E"/>
    <w:rsid w:val="003547FF"/>
    <w:rsid w:val="00357F1A"/>
    <w:rsid w:val="00366301"/>
    <w:rsid w:val="00371578"/>
    <w:rsid w:val="003747A2"/>
    <w:rsid w:val="00374FD1"/>
    <w:rsid w:val="00375EE1"/>
    <w:rsid w:val="00376581"/>
    <w:rsid w:val="00377884"/>
    <w:rsid w:val="00377C07"/>
    <w:rsid w:val="00380703"/>
    <w:rsid w:val="00381409"/>
    <w:rsid w:val="003827ED"/>
    <w:rsid w:val="003850CE"/>
    <w:rsid w:val="00385A64"/>
    <w:rsid w:val="00386541"/>
    <w:rsid w:val="003A05DC"/>
    <w:rsid w:val="003A2E02"/>
    <w:rsid w:val="003B1782"/>
    <w:rsid w:val="003B3109"/>
    <w:rsid w:val="003B36D3"/>
    <w:rsid w:val="003B38A8"/>
    <w:rsid w:val="003C608A"/>
    <w:rsid w:val="003D12A7"/>
    <w:rsid w:val="003D3EA5"/>
    <w:rsid w:val="003E2F72"/>
    <w:rsid w:val="003E34FD"/>
    <w:rsid w:val="003E387C"/>
    <w:rsid w:val="003F06F4"/>
    <w:rsid w:val="003F0B63"/>
    <w:rsid w:val="00401AF0"/>
    <w:rsid w:val="00413881"/>
    <w:rsid w:val="00420593"/>
    <w:rsid w:val="00420E2D"/>
    <w:rsid w:val="004215CF"/>
    <w:rsid w:val="00421EFA"/>
    <w:rsid w:val="00425EC2"/>
    <w:rsid w:val="0042672B"/>
    <w:rsid w:val="00427F5D"/>
    <w:rsid w:val="00433AF7"/>
    <w:rsid w:val="00436C8B"/>
    <w:rsid w:val="0044027B"/>
    <w:rsid w:val="0044072A"/>
    <w:rsid w:val="004433A8"/>
    <w:rsid w:val="0044400C"/>
    <w:rsid w:val="00444AAA"/>
    <w:rsid w:val="00446967"/>
    <w:rsid w:val="004526D7"/>
    <w:rsid w:val="004529EC"/>
    <w:rsid w:val="00452D0D"/>
    <w:rsid w:val="004534E7"/>
    <w:rsid w:val="0045739B"/>
    <w:rsid w:val="00460761"/>
    <w:rsid w:val="0046236C"/>
    <w:rsid w:val="00465DAA"/>
    <w:rsid w:val="00474CF9"/>
    <w:rsid w:val="00480398"/>
    <w:rsid w:val="00481169"/>
    <w:rsid w:val="00482799"/>
    <w:rsid w:val="00491837"/>
    <w:rsid w:val="00496DC8"/>
    <w:rsid w:val="004A0E7A"/>
    <w:rsid w:val="004A2D78"/>
    <w:rsid w:val="004A6A91"/>
    <w:rsid w:val="004B4565"/>
    <w:rsid w:val="004B518F"/>
    <w:rsid w:val="004B7CE2"/>
    <w:rsid w:val="004C0961"/>
    <w:rsid w:val="004C0CFD"/>
    <w:rsid w:val="004C2B8C"/>
    <w:rsid w:val="004C39A1"/>
    <w:rsid w:val="004D1C7A"/>
    <w:rsid w:val="004D5C67"/>
    <w:rsid w:val="004D6B6D"/>
    <w:rsid w:val="004E0395"/>
    <w:rsid w:val="004E2367"/>
    <w:rsid w:val="004E3939"/>
    <w:rsid w:val="004E3D93"/>
    <w:rsid w:val="004E54F7"/>
    <w:rsid w:val="004E6F58"/>
    <w:rsid w:val="004E71B4"/>
    <w:rsid w:val="004F1505"/>
    <w:rsid w:val="004F5327"/>
    <w:rsid w:val="00514A64"/>
    <w:rsid w:val="00516CE7"/>
    <w:rsid w:val="005215EF"/>
    <w:rsid w:val="00521B86"/>
    <w:rsid w:val="00524BD2"/>
    <w:rsid w:val="00524F40"/>
    <w:rsid w:val="00526D4D"/>
    <w:rsid w:val="005278CF"/>
    <w:rsid w:val="00532A22"/>
    <w:rsid w:val="0053314B"/>
    <w:rsid w:val="00543318"/>
    <w:rsid w:val="00543B33"/>
    <w:rsid w:val="00544591"/>
    <w:rsid w:val="00545E71"/>
    <w:rsid w:val="00547145"/>
    <w:rsid w:val="00547C71"/>
    <w:rsid w:val="00551967"/>
    <w:rsid w:val="00555229"/>
    <w:rsid w:val="00563B59"/>
    <w:rsid w:val="00565E11"/>
    <w:rsid w:val="00570F35"/>
    <w:rsid w:val="00582315"/>
    <w:rsid w:val="005878CA"/>
    <w:rsid w:val="00587AD3"/>
    <w:rsid w:val="005912FA"/>
    <w:rsid w:val="00593D4A"/>
    <w:rsid w:val="005A07C6"/>
    <w:rsid w:val="005A4CD3"/>
    <w:rsid w:val="005A53F1"/>
    <w:rsid w:val="005A63D4"/>
    <w:rsid w:val="005A65C2"/>
    <w:rsid w:val="005B008D"/>
    <w:rsid w:val="005B1FBE"/>
    <w:rsid w:val="005B3709"/>
    <w:rsid w:val="005B3CC2"/>
    <w:rsid w:val="005B4271"/>
    <w:rsid w:val="005B666C"/>
    <w:rsid w:val="005C327F"/>
    <w:rsid w:val="005C6F2D"/>
    <w:rsid w:val="005D10FF"/>
    <w:rsid w:val="005D15D8"/>
    <w:rsid w:val="005D2093"/>
    <w:rsid w:val="005D2B38"/>
    <w:rsid w:val="005D552F"/>
    <w:rsid w:val="005D69EF"/>
    <w:rsid w:val="005E1417"/>
    <w:rsid w:val="005F32C4"/>
    <w:rsid w:val="005F4D82"/>
    <w:rsid w:val="005F6140"/>
    <w:rsid w:val="006011FB"/>
    <w:rsid w:val="0060264D"/>
    <w:rsid w:val="00610353"/>
    <w:rsid w:val="0061307E"/>
    <w:rsid w:val="00613417"/>
    <w:rsid w:val="00614A2B"/>
    <w:rsid w:val="00614DD5"/>
    <w:rsid w:val="006154DF"/>
    <w:rsid w:val="00616302"/>
    <w:rsid w:val="00616976"/>
    <w:rsid w:val="00622832"/>
    <w:rsid w:val="00624D3D"/>
    <w:rsid w:val="00630A7E"/>
    <w:rsid w:val="00630FD0"/>
    <w:rsid w:val="006313CE"/>
    <w:rsid w:val="00636C7C"/>
    <w:rsid w:val="00641D98"/>
    <w:rsid w:val="00644336"/>
    <w:rsid w:val="00647B3A"/>
    <w:rsid w:val="00647E2B"/>
    <w:rsid w:val="0065087E"/>
    <w:rsid w:val="0065235E"/>
    <w:rsid w:val="0065679D"/>
    <w:rsid w:val="00660D7E"/>
    <w:rsid w:val="006637D2"/>
    <w:rsid w:val="00673595"/>
    <w:rsid w:val="00673EB1"/>
    <w:rsid w:val="0067505F"/>
    <w:rsid w:val="00681CD4"/>
    <w:rsid w:val="00683238"/>
    <w:rsid w:val="00683CFD"/>
    <w:rsid w:val="00692738"/>
    <w:rsid w:val="006A5FE0"/>
    <w:rsid w:val="006A712B"/>
    <w:rsid w:val="006A7272"/>
    <w:rsid w:val="006B226E"/>
    <w:rsid w:val="006B24E5"/>
    <w:rsid w:val="006B2BA1"/>
    <w:rsid w:val="006B434C"/>
    <w:rsid w:val="006B7375"/>
    <w:rsid w:val="006C1D1B"/>
    <w:rsid w:val="006C263F"/>
    <w:rsid w:val="006C5D04"/>
    <w:rsid w:val="006D1BE0"/>
    <w:rsid w:val="006D4B0E"/>
    <w:rsid w:val="006D5F75"/>
    <w:rsid w:val="006D7B51"/>
    <w:rsid w:val="006E3921"/>
    <w:rsid w:val="006E5431"/>
    <w:rsid w:val="006F0052"/>
    <w:rsid w:val="006F2A97"/>
    <w:rsid w:val="006F4FEE"/>
    <w:rsid w:val="0070152B"/>
    <w:rsid w:val="00703D5A"/>
    <w:rsid w:val="00703F39"/>
    <w:rsid w:val="00706D67"/>
    <w:rsid w:val="00706DE0"/>
    <w:rsid w:val="00710E7B"/>
    <w:rsid w:val="0071433F"/>
    <w:rsid w:val="00722122"/>
    <w:rsid w:val="007226FE"/>
    <w:rsid w:val="007231EC"/>
    <w:rsid w:val="00742B44"/>
    <w:rsid w:val="00743A07"/>
    <w:rsid w:val="00744CEB"/>
    <w:rsid w:val="0074620B"/>
    <w:rsid w:val="00746E55"/>
    <w:rsid w:val="007511F8"/>
    <w:rsid w:val="00752C81"/>
    <w:rsid w:val="00755359"/>
    <w:rsid w:val="00756174"/>
    <w:rsid w:val="0076182E"/>
    <w:rsid w:val="00763F25"/>
    <w:rsid w:val="00765B3F"/>
    <w:rsid w:val="00767408"/>
    <w:rsid w:val="00774B08"/>
    <w:rsid w:val="00780195"/>
    <w:rsid w:val="00780602"/>
    <w:rsid w:val="00781FBF"/>
    <w:rsid w:val="007834EB"/>
    <w:rsid w:val="0078360D"/>
    <w:rsid w:val="00783D05"/>
    <w:rsid w:val="0078665F"/>
    <w:rsid w:val="00786C9D"/>
    <w:rsid w:val="00791180"/>
    <w:rsid w:val="00791BE4"/>
    <w:rsid w:val="00794725"/>
    <w:rsid w:val="00794B0E"/>
    <w:rsid w:val="00797E24"/>
    <w:rsid w:val="007A1829"/>
    <w:rsid w:val="007B6110"/>
    <w:rsid w:val="007B684B"/>
    <w:rsid w:val="007C1B69"/>
    <w:rsid w:val="007C4939"/>
    <w:rsid w:val="007C642A"/>
    <w:rsid w:val="007C7F30"/>
    <w:rsid w:val="007E6132"/>
    <w:rsid w:val="007E71C3"/>
    <w:rsid w:val="007F0712"/>
    <w:rsid w:val="007F2742"/>
    <w:rsid w:val="007F620E"/>
    <w:rsid w:val="00800212"/>
    <w:rsid w:val="00802101"/>
    <w:rsid w:val="00802701"/>
    <w:rsid w:val="008058F7"/>
    <w:rsid w:val="00815F1F"/>
    <w:rsid w:val="00820E92"/>
    <w:rsid w:val="0082384F"/>
    <w:rsid w:val="00825BC2"/>
    <w:rsid w:val="00826E1D"/>
    <w:rsid w:val="00830EC4"/>
    <w:rsid w:val="0083350A"/>
    <w:rsid w:val="00835CBE"/>
    <w:rsid w:val="008401F0"/>
    <w:rsid w:val="0084251A"/>
    <w:rsid w:val="00843F98"/>
    <w:rsid w:val="00851F29"/>
    <w:rsid w:val="00855A13"/>
    <w:rsid w:val="00866238"/>
    <w:rsid w:val="00875C56"/>
    <w:rsid w:val="0088098C"/>
    <w:rsid w:val="008844B6"/>
    <w:rsid w:val="00884ECE"/>
    <w:rsid w:val="00885956"/>
    <w:rsid w:val="008865E7"/>
    <w:rsid w:val="00890221"/>
    <w:rsid w:val="0089198F"/>
    <w:rsid w:val="00891C27"/>
    <w:rsid w:val="00895A79"/>
    <w:rsid w:val="00897A3A"/>
    <w:rsid w:val="008A7756"/>
    <w:rsid w:val="008B4FB2"/>
    <w:rsid w:val="008B67E2"/>
    <w:rsid w:val="008C0975"/>
    <w:rsid w:val="008C2208"/>
    <w:rsid w:val="008C6C45"/>
    <w:rsid w:val="008D14F9"/>
    <w:rsid w:val="008D47E8"/>
    <w:rsid w:val="008D602C"/>
    <w:rsid w:val="008E048E"/>
    <w:rsid w:val="008E04B3"/>
    <w:rsid w:val="008E2D73"/>
    <w:rsid w:val="008E3450"/>
    <w:rsid w:val="008F01FF"/>
    <w:rsid w:val="008F3B96"/>
    <w:rsid w:val="008F6BDF"/>
    <w:rsid w:val="00900BB3"/>
    <w:rsid w:val="009014ED"/>
    <w:rsid w:val="0090197B"/>
    <w:rsid w:val="009037AD"/>
    <w:rsid w:val="009102A4"/>
    <w:rsid w:val="009145B8"/>
    <w:rsid w:val="00915118"/>
    <w:rsid w:val="00920457"/>
    <w:rsid w:val="009206F1"/>
    <w:rsid w:val="00925267"/>
    <w:rsid w:val="00925ECA"/>
    <w:rsid w:val="00925FAB"/>
    <w:rsid w:val="00932179"/>
    <w:rsid w:val="0093332C"/>
    <w:rsid w:val="0093652A"/>
    <w:rsid w:val="00937B49"/>
    <w:rsid w:val="009427A3"/>
    <w:rsid w:val="009522B7"/>
    <w:rsid w:val="00963058"/>
    <w:rsid w:val="00963EEF"/>
    <w:rsid w:val="00963F6E"/>
    <w:rsid w:val="00966AA1"/>
    <w:rsid w:val="00971B14"/>
    <w:rsid w:val="009723D0"/>
    <w:rsid w:val="0097431A"/>
    <w:rsid w:val="00975764"/>
    <w:rsid w:val="009815BD"/>
    <w:rsid w:val="009843D8"/>
    <w:rsid w:val="00987415"/>
    <w:rsid w:val="0099616D"/>
    <w:rsid w:val="009A2930"/>
    <w:rsid w:val="009A3052"/>
    <w:rsid w:val="009B0967"/>
    <w:rsid w:val="009B3DC1"/>
    <w:rsid w:val="009B4AB9"/>
    <w:rsid w:val="009C43F8"/>
    <w:rsid w:val="009C646D"/>
    <w:rsid w:val="009E37DF"/>
    <w:rsid w:val="009E38F2"/>
    <w:rsid w:val="009E637E"/>
    <w:rsid w:val="009F1196"/>
    <w:rsid w:val="00A0421D"/>
    <w:rsid w:val="00A05021"/>
    <w:rsid w:val="00A05549"/>
    <w:rsid w:val="00A05CA0"/>
    <w:rsid w:val="00A07737"/>
    <w:rsid w:val="00A07A96"/>
    <w:rsid w:val="00A10120"/>
    <w:rsid w:val="00A13B60"/>
    <w:rsid w:val="00A14071"/>
    <w:rsid w:val="00A22F80"/>
    <w:rsid w:val="00A24E8A"/>
    <w:rsid w:val="00A319DE"/>
    <w:rsid w:val="00A3238E"/>
    <w:rsid w:val="00A3654C"/>
    <w:rsid w:val="00A37684"/>
    <w:rsid w:val="00A37A07"/>
    <w:rsid w:val="00A4568C"/>
    <w:rsid w:val="00A61FE1"/>
    <w:rsid w:val="00A64E15"/>
    <w:rsid w:val="00A67CFD"/>
    <w:rsid w:val="00A67E89"/>
    <w:rsid w:val="00A67FC0"/>
    <w:rsid w:val="00A67FE1"/>
    <w:rsid w:val="00A734D5"/>
    <w:rsid w:val="00A75458"/>
    <w:rsid w:val="00A75D2D"/>
    <w:rsid w:val="00A75E20"/>
    <w:rsid w:val="00A80255"/>
    <w:rsid w:val="00A804C7"/>
    <w:rsid w:val="00A826F6"/>
    <w:rsid w:val="00A86988"/>
    <w:rsid w:val="00A910F1"/>
    <w:rsid w:val="00A91251"/>
    <w:rsid w:val="00A9209F"/>
    <w:rsid w:val="00A929BE"/>
    <w:rsid w:val="00A92D0B"/>
    <w:rsid w:val="00A93BB0"/>
    <w:rsid w:val="00AA13EF"/>
    <w:rsid w:val="00AA1740"/>
    <w:rsid w:val="00AA6690"/>
    <w:rsid w:val="00AA6E78"/>
    <w:rsid w:val="00AA7E45"/>
    <w:rsid w:val="00AB1959"/>
    <w:rsid w:val="00AB2164"/>
    <w:rsid w:val="00AB2F7F"/>
    <w:rsid w:val="00AB325B"/>
    <w:rsid w:val="00AB3787"/>
    <w:rsid w:val="00AB62A7"/>
    <w:rsid w:val="00AB772A"/>
    <w:rsid w:val="00AC430F"/>
    <w:rsid w:val="00AC52AB"/>
    <w:rsid w:val="00AC5A4B"/>
    <w:rsid w:val="00AC7D23"/>
    <w:rsid w:val="00AD09FE"/>
    <w:rsid w:val="00AD0DF1"/>
    <w:rsid w:val="00AD21E8"/>
    <w:rsid w:val="00AD22CF"/>
    <w:rsid w:val="00AD4A16"/>
    <w:rsid w:val="00AD53AD"/>
    <w:rsid w:val="00AD6434"/>
    <w:rsid w:val="00AD742A"/>
    <w:rsid w:val="00AD7787"/>
    <w:rsid w:val="00AE0381"/>
    <w:rsid w:val="00AE19C3"/>
    <w:rsid w:val="00AE429F"/>
    <w:rsid w:val="00AF295C"/>
    <w:rsid w:val="00AF469F"/>
    <w:rsid w:val="00B00BCD"/>
    <w:rsid w:val="00B0113D"/>
    <w:rsid w:val="00B01FFD"/>
    <w:rsid w:val="00B03618"/>
    <w:rsid w:val="00B05675"/>
    <w:rsid w:val="00B1593B"/>
    <w:rsid w:val="00B15F85"/>
    <w:rsid w:val="00B20D98"/>
    <w:rsid w:val="00B23620"/>
    <w:rsid w:val="00B2484B"/>
    <w:rsid w:val="00B312DA"/>
    <w:rsid w:val="00B313BC"/>
    <w:rsid w:val="00B31565"/>
    <w:rsid w:val="00B32439"/>
    <w:rsid w:val="00B414A0"/>
    <w:rsid w:val="00B416C4"/>
    <w:rsid w:val="00B45FBA"/>
    <w:rsid w:val="00B51C2B"/>
    <w:rsid w:val="00B540AB"/>
    <w:rsid w:val="00B54991"/>
    <w:rsid w:val="00B55CCD"/>
    <w:rsid w:val="00B62AC0"/>
    <w:rsid w:val="00B66267"/>
    <w:rsid w:val="00B66CF5"/>
    <w:rsid w:val="00B66FA1"/>
    <w:rsid w:val="00B74C9A"/>
    <w:rsid w:val="00B75B1D"/>
    <w:rsid w:val="00B83B5C"/>
    <w:rsid w:val="00B862C7"/>
    <w:rsid w:val="00B8681A"/>
    <w:rsid w:val="00B96261"/>
    <w:rsid w:val="00BA2B9B"/>
    <w:rsid w:val="00BA3005"/>
    <w:rsid w:val="00BA3145"/>
    <w:rsid w:val="00BA548C"/>
    <w:rsid w:val="00BA574F"/>
    <w:rsid w:val="00BB49BB"/>
    <w:rsid w:val="00BB5183"/>
    <w:rsid w:val="00BB718A"/>
    <w:rsid w:val="00BC1B28"/>
    <w:rsid w:val="00BC2235"/>
    <w:rsid w:val="00BC2341"/>
    <w:rsid w:val="00BC3C26"/>
    <w:rsid w:val="00BC59B8"/>
    <w:rsid w:val="00BD037E"/>
    <w:rsid w:val="00BD23C8"/>
    <w:rsid w:val="00BD2F7C"/>
    <w:rsid w:val="00BD49EF"/>
    <w:rsid w:val="00BD5632"/>
    <w:rsid w:val="00BD5B9F"/>
    <w:rsid w:val="00BE35E5"/>
    <w:rsid w:val="00BE37D6"/>
    <w:rsid w:val="00BE3BFF"/>
    <w:rsid w:val="00BE45D0"/>
    <w:rsid w:val="00BE508A"/>
    <w:rsid w:val="00BE5BBC"/>
    <w:rsid w:val="00BF181C"/>
    <w:rsid w:val="00BF2F45"/>
    <w:rsid w:val="00C00065"/>
    <w:rsid w:val="00C0471D"/>
    <w:rsid w:val="00C05BAD"/>
    <w:rsid w:val="00C06BD3"/>
    <w:rsid w:val="00C10453"/>
    <w:rsid w:val="00C12BE7"/>
    <w:rsid w:val="00C15B7B"/>
    <w:rsid w:val="00C15C20"/>
    <w:rsid w:val="00C16981"/>
    <w:rsid w:val="00C24680"/>
    <w:rsid w:val="00C30B06"/>
    <w:rsid w:val="00C372E0"/>
    <w:rsid w:val="00C426D3"/>
    <w:rsid w:val="00C671DA"/>
    <w:rsid w:val="00C7184D"/>
    <w:rsid w:val="00C71C0D"/>
    <w:rsid w:val="00C742D7"/>
    <w:rsid w:val="00C765A2"/>
    <w:rsid w:val="00C80771"/>
    <w:rsid w:val="00C86A40"/>
    <w:rsid w:val="00C875C9"/>
    <w:rsid w:val="00C9233A"/>
    <w:rsid w:val="00C97FDC"/>
    <w:rsid w:val="00CA2BF9"/>
    <w:rsid w:val="00CA4788"/>
    <w:rsid w:val="00CC0778"/>
    <w:rsid w:val="00CC3BA1"/>
    <w:rsid w:val="00CC47A8"/>
    <w:rsid w:val="00CC4B40"/>
    <w:rsid w:val="00CD4E00"/>
    <w:rsid w:val="00CD6886"/>
    <w:rsid w:val="00CD73A1"/>
    <w:rsid w:val="00CD7D17"/>
    <w:rsid w:val="00CE0C10"/>
    <w:rsid w:val="00CE33FC"/>
    <w:rsid w:val="00CE3B9F"/>
    <w:rsid w:val="00CE3CF6"/>
    <w:rsid w:val="00CE402C"/>
    <w:rsid w:val="00CF1129"/>
    <w:rsid w:val="00CF2BF3"/>
    <w:rsid w:val="00CF2FBD"/>
    <w:rsid w:val="00CF4602"/>
    <w:rsid w:val="00CF624C"/>
    <w:rsid w:val="00D01D8E"/>
    <w:rsid w:val="00D0226B"/>
    <w:rsid w:val="00D029C8"/>
    <w:rsid w:val="00D02E86"/>
    <w:rsid w:val="00D0445F"/>
    <w:rsid w:val="00D04462"/>
    <w:rsid w:val="00D05615"/>
    <w:rsid w:val="00D06F7C"/>
    <w:rsid w:val="00D075B1"/>
    <w:rsid w:val="00D10372"/>
    <w:rsid w:val="00D14A41"/>
    <w:rsid w:val="00D17DCE"/>
    <w:rsid w:val="00D22E9E"/>
    <w:rsid w:val="00D23253"/>
    <w:rsid w:val="00D23BB0"/>
    <w:rsid w:val="00D23E89"/>
    <w:rsid w:val="00D271FB"/>
    <w:rsid w:val="00D27D5F"/>
    <w:rsid w:val="00D30C4F"/>
    <w:rsid w:val="00D36884"/>
    <w:rsid w:val="00D36927"/>
    <w:rsid w:val="00D37995"/>
    <w:rsid w:val="00D42483"/>
    <w:rsid w:val="00D44DCB"/>
    <w:rsid w:val="00D5090F"/>
    <w:rsid w:val="00D517C7"/>
    <w:rsid w:val="00D530BF"/>
    <w:rsid w:val="00D53BEF"/>
    <w:rsid w:val="00D54FDE"/>
    <w:rsid w:val="00D56BCA"/>
    <w:rsid w:val="00D573BC"/>
    <w:rsid w:val="00D60D01"/>
    <w:rsid w:val="00D61623"/>
    <w:rsid w:val="00D74F4E"/>
    <w:rsid w:val="00D75AA5"/>
    <w:rsid w:val="00D800FE"/>
    <w:rsid w:val="00D80783"/>
    <w:rsid w:val="00D84F94"/>
    <w:rsid w:val="00D87387"/>
    <w:rsid w:val="00D8769E"/>
    <w:rsid w:val="00D93453"/>
    <w:rsid w:val="00D93CF2"/>
    <w:rsid w:val="00D94292"/>
    <w:rsid w:val="00DA23E5"/>
    <w:rsid w:val="00DA3629"/>
    <w:rsid w:val="00DA3AEE"/>
    <w:rsid w:val="00DB3842"/>
    <w:rsid w:val="00DB7EE8"/>
    <w:rsid w:val="00DC2326"/>
    <w:rsid w:val="00DC4A0A"/>
    <w:rsid w:val="00DC5774"/>
    <w:rsid w:val="00DD0DB2"/>
    <w:rsid w:val="00DD52BB"/>
    <w:rsid w:val="00DD6EAD"/>
    <w:rsid w:val="00DE1275"/>
    <w:rsid w:val="00DE3A5D"/>
    <w:rsid w:val="00DE3D17"/>
    <w:rsid w:val="00DE441F"/>
    <w:rsid w:val="00DE4732"/>
    <w:rsid w:val="00DE5A3D"/>
    <w:rsid w:val="00DE600A"/>
    <w:rsid w:val="00DE683D"/>
    <w:rsid w:val="00DF16C6"/>
    <w:rsid w:val="00E00990"/>
    <w:rsid w:val="00E00FCE"/>
    <w:rsid w:val="00E01BBF"/>
    <w:rsid w:val="00E05C17"/>
    <w:rsid w:val="00E146CD"/>
    <w:rsid w:val="00E15DC3"/>
    <w:rsid w:val="00E20C9D"/>
    <w:rsid w:val="00E21463"/>
    <w:rsid w:val="00E21EA5"/>
    <w:rsid w:val="00E23E9A"/>
    <w:rsid w:val="00E35C96"/>
    <w:rsid w:val="00E3786F"/>
    <w:rsid w:val="00E40140"/>
    <w:rsid w:val="00E40BB2"/>
    <w:rsid w:val="00E43097"/>
    <w:rsid w:val="00E474BF"/>
    <w:rsid w:val="00E52992"/>
    <w:rsid w:val="00E552BC"/>
    <w:rsid w:val="00E5585A"/>
    <w:rsid w:val="00E56D27"/>
    <w:rsid w:val="00E60942"/>
    <w:rsid w:val="00E60E21"/>
    <w:rsid w:val="00E71506"/>
    <w:rsid w:val="00E73B70"/>
    <w:rsid w:val="00E73F10"/>
    <w:rsid w:val="00E75E09"/>
    <w:rsid w:val="00E8139B"/>
    <w:rsid w:val="00E825B6"/>
    <w:rsid w:val="00E827A5"/>
    <w:rsid w:val="00E839D2"/>
    <w:rsid w:val="00E9312E"/>
    <w:rsid w:val="00E9366A"/>
    <w:rsid w:val="00E959A0"/>
    <w:rsid w:val="00E95C55"/>
    <w:rsid w:val="00EA4A57"/>
    <w:rsid w:val="00EA6385"/>
    <w:rsid w:val="00EB25F8"/>
    <w:rsid w:val="00EB653C"/>
    <w:rsid w:val="00ED1206"/>
    <w:rsid w:val="00ED322D"/>
    <w:rsid w:val="00ED5B58"/>
    <w:rsid w:val="00ED6B6B"/>
    <w:rsid w:val="00ED75E6"/>
    <w:rsid w:val="00EE3739"/>
    <w:rsid w:val="00EE50DD"/>
    <w:rsid w:val="00EE6875"/>
    <w:rsid w:val="00EF01FA"/>
    <w:rsid w:val="00EF2525"/>
    <w:rsid w:val="00EF2728"/>
    <w:rsid w:val="00EF6249"/>
    <w:rsid w:val="00F04904"/>
    <w:rsid w:val="00F0538F"/>
    <w:rsid w:val="00F13447"/>
    <w:rsid w:val="00F16BE3"/>
    <w:rsid w:val="00F1725E"/>
    <w:rsid w:val="00F17809"/>
    <w:rsid w:val="00F20061"/>
    <w:rsid w:val="00F21CD3"/>
    <w:rsid w:val="00F2260B"/>
    <w:rsid w:val="00F2411A"/>
    <w:rsid w:val="00F26371"/>
    <w:rsid w:val="00F26F48"/>
    <w:rsid w:val="00F30DA8"/>
    <w:rsid w:val="00F34C1F"/>
    <w:rsid w:val="00F36891"/>
    <w:rsid w:val="00F36DD3"/>
    <w:rsid w:val="00F3772B"/>
    <w:rsid w:val="00F44053"/>
    <w:rsid w:val="00F47E87"/>
    <w:rsid w:val="00F5042E"/>
    <w:rsid w:val="00F50F05"/>
    <w:rsid w:val="00F55ED2"/>
    <w:rsid w:val="00F574BC"/>
    <w:rsid w:val="00F613D6"/>
    <w:rsid w:val="00F63C29"/>
    <w:rsid w:val="00F66660"/>
    <w:rsid w:val="00F71042"/>
    <w:rsid w:val="00F73ACC"/>
    <w:rsid w:val="00F74F8C"/>
    <w:rsid w:val="00F77ABD"/>
    <w:rsid w:val="00F81778"/>
    <w:rsid w:val="00F866D9"/>
    <w:rsid w:val="00F92304"/>
    <w:rsid w:val="00F93DF7"/>
    <w:rsid w:val="00F93ED5"/>
    <w:rsid w:val="00F96057"/>
    <w:rsid w:val="00F965C9"/>
    <w:rsid w:val="00FA040D"/>
    <w:rsid w:val="00FA2665"/>
    <w:rsid w:val="00FA4732"/>
    <w:rsid w:val="00FA5E54"/>
    <w:rsid w:val="00FA6095"/>
    <w:rsid w:val="00FB029A"/>
    <w:rsid w:val="00FB35CB"/>
    <w:rsid w:val="00FB5520"/>
    <w:rsid w:val="00FB62AE"/>
    <w:rsid w:val="00FC3AF0"/>
    <w:rsid w:val="00FC72B7"/>
    <w:rsid w:val="00FD041F"/>
    <w:rsid w:val="00FD18D1"/>
    <w:rsid w:val="00FD72BD"/>
    <w:rsid w:val="00FE41A0"/>
    <w:rsid w:val="00FE75B4"/>
    <w:rsid w:val="00FE7C56"/>
    <w:rsid w:val="00FF39F1"/>
    <w:rsid w:val="00FF6F39"/>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6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07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5B666C"/>
    <w:pPr>
      <w:ind w:left="720"/>
    </w:pPr>
    <w:rPr>
      <w:rFonts w:eastAsia="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rsid w:val="00B00BCD"/>
    <w:pPr>
      <w:tabs>
        <w:tab w:val="center" w:pos="4680"/>
        <w:tab w:val="right" w:pos="9360"/>
      </w:tabs>
    </w:pPr>
  </w:style>
  <w:style w:type="character" w:customStyle="1" w:styleId="HeaderChar">
    <w:name w:val="Header Char"/>
    <w:link w:val="Header"/>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paragraph" w:styleId="BlockText">
    <w:name w:val="Block Text"/>
    <w:basedOn w:val="Normal"/>
    <w:link w:val="BlockTextChar"/>
    <w:rsid w:val="007B6110"/>
    <w:pPr>
      <w:spacing w:after="120"/>
      <w:ind w:left="1440" w:right="1440"/>
    </w:pPr>
  </w:style>
  <w:style w:type="character" w:customStyle="1" w:styleId="BlockTextChar">
    <w:name w:val="Block Text Char"/>
    <w:link w:val="BlockText"/>
    <w:rsid w:val="007B6110"/>
    <w:rPr>
      <w:sz w:val="24"/>
      <w:szCs w:val="24"/>
    </w:rPr>
  </w:style>
  <w:style w:type="paragraph" w:customStyle="1" w:styleId="p1">
    <w:name w:val="p1"/>
    <w:basedOn w:val="Normal"/>
    <w:rsid w:val="003075E1"/>
    <w:rPr>
      <w:rFonts w:ascii="Helvetica" w:hAnsi="Helvetica"/>
      <w:sz w:val="17"/>
      <w:szCs w:val="17"/>
    </w:rPr>
  </w:style>
  <w:style w:type="character" w:customStyle="1" w:styleId="s1">
    <w:name w:val="s1"/>
    <w:basedOn w:val="DefaultParagraphFont"/>
    <w:rsid w:val="003075E1"/>
    <w:rPr>
      <w:rFonts w:ascii="Helvetica" w:hAnsi="Helvetica" w:hint="default"/>
      <w:sz w:val="11"/>
      <w:szCs w:val="11"/>
    </w:rPr>
  </w:style>
  <w:style w:type="character" w:customStyle="1" w:styleId="s2">
    <w:name w:val="s2"/>
    <w:basedOn w:val="DefaultParagraphFont"/>
    <w:rsid w:val="003075E1"/>
    <w:rPr>
      <w:rFonts w:ascii="Helvetica" w:hAnsi="Helvetica" w:hint="default"/>
      <w:sz w:val="18"/>
      <w:szCs w:val="18"/>
    </w:rPr>
  </w:style>
  <w:style w:type="character" w:customStyle="1" w:styleId="apple-converted-space">
    <w:name w:val="apple-converted-space"/>
    <w:basedOn w:val="DefaultParagraphFont"/>
    <w:rsid w:val="003075E1"/>
  </w:style>
  <w:style w:type="paragraph" w:customStyle="1" w:styleId="pleading">
    <w:name w:val="pleading"/>
    <w:basedOn w:val="Normal"/>
    <w:rsid w:val="000E1ABD"/>
    <w:pPr>
      <w:overflowPunct w:val="0"/>
      <w:autoSpaceDE w:val="0"/>
      <w:autoSpaceDN w:val="0"/>
      <w:adjustRightInd w:val="0"/>
      <w:spacing w:line="480" w:lineRule="auto"/>
      <w:ind w:firstLine="720"/>
      <w:textAlignment w:val="baseline"/>
    </w:pPr>
    <w:rPr>
      <w:rFonts w:cs="Arial"/>
      <w:szCs w:val="20"/>
    </w:rPr>
  </w:style>
  <w:style w:type="paragraph" w:customStyle="1" w:styleId="p2">
    <w:name w:val="p2"/>
    <w:basedOn w:val="Normal"/>
    <w:rsid w:val="00452D0D"/>
    <w:rPr>
      <w:rFonts w:ascii="Helvetica" w:hAnsi="Helvetica"/>
      <w:sz w:val="18"/>
      <w:szCs w:val="18"/>
    </w:rPr>
  </w:style>
  <w:style w:type="character" w:customStyle="1" w:styleId="standardChar">
    <w:name w:val="standard Char"/>
    <w:link w:val="standard"/>
    <w:locked/>
    <w:rsid w:val="00ED1206"/>
    <w:rPr>
      <w:rFonts w:ascii="Palatino" w:hAnsi="Palatino"/>
      <w:sz w:val="26"/>
    </w:rPr>
  </w:style>
  <w:style w:type="paragraph" w:customStyle="1" w:styleId="standard">
    <w:name w:val="standard"/>
    <w:basedOn w:val="Normal"/>
    <w:link w:val="standardChar"/>
    <w:rsid w:val="00ED1206"/>
    <w:pPr>
      <w:spacing w:line="360" w:lineRule="auto"/>
      <w:ind w:firstLine="720"/>
    </w:pPr>
    <w:rPr>
      <w:rFonts w:ascii="Palatino" w:hAnsi="Palatino"/>
      <w:sz w:val="26"/>
      <w:szCs w:val="20"/>
    </w:rPr>
  </w:style>
  <w:style w:type="paragraph" w:customStyle="1" w:styleId="xmsonormal">
    <w:name w:val="x_msonormal"/>
    <w:basedOn w:val="Normal"/>
    <w:rsid w:val="00D029C8"/>
    <w:pPr>
      <w:spacing w:before="100" w:beforeAutospacing="1" w:after="100" w:afterAutospacing="1"/>
    </w:pPr>
  </w:style>
  <w:style w:type="character" w:customStyle="1" w:styleId="highlight">
    <w:name w:val="highlight"/>
    <w:basedOn w:val="DefaultParagraphFont"/>
    <w:rsid w:val="00D0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2011">
      <w:bodyDiv w:val="1"/>
      <w:marLeft w:val="0"/>
      <w:marRight w:val="0"/>
      <w:marTop w:val="0"/>
      <w:marBottom w:val="0"/>
      <w:divBdr>
        <w:top w:val="none" w:sz="0" w:space="0" w:color="auto"/>
        <w:left w:val="none" w:sz="0" w:space="0" w:color="auto"/>
        <w:bottom w:val="none" w:sz="0" w:space="0" w:color="auto"/>
        <w:right w:val="none" w:sz="0" w:space="0" w:color="auto"/>
      </w:divBdr>
    </w:div>
    <w:div w:id="129060760">
      <w:bodyDiv w:val="1"/>
      <w:marLeft w:val="0"/>
      <w:marRight w:val="0"/>
      <w:marTop w:val="0"/>
      <w:marBottom w:val="0"/>
      <w:divBdr>
        <w:top w:val="none" w:sz="0" w:space="0" w:color="auto"/>
        <w:left w:val="none" w:sz="0" w:space="0" w:color="auto"/>
        <w:bottom w:val="none" w:sz="0" w:space="0" w:color="auto"/>
        <w:right w:val="none" w:sz="0" w:space="0" w:color="auto"/>
      </w:divBdr>
    </w:div>
    <w:div w:id="178469097">
      <w:bodyDiv w:val="1"/>
      <w:marLeft w:val="0"/>
      <w:marRight w:val="0"/>
      <w:marTop w:val="0"/>
      <w:marBottom w:val="0"/>
      <w:divBdr>
        <w:top w:val="none" w:sz="0" w:space="0" w:color="auto"/>
        <w:left w:val="none" w:sz="0" w:space="0" w:color="auto"/>
        <w:bottom w:val="none" w:sz="0" w:space="0" w:color="auto"/>
        <w:right w:val="none" w:sz="0" w:space="0" w:color="auto"/>
      </w:divBdr>
    </w:div>
    <w:div w:id="255015101">
      <w:bodyDiv w:val="1"/>
      <w:marLeft w:val="0"/>
      <w:marRight w:val="0"/>
      <w:marTop w:val="0"/>
      <w:marBottom w:val="0"/>
      <w:divBdr>
        <w:top w:val="none" w:sz="0" w:space="0" w:color="auto"/>
        <w:left w:val="none" w:sz="0" w:space="0" w:color="auto"/>
        <w:bottom w:val="none" w:sz="0" w:space="0" w:color="auto"/>
        <w:right w:val="none" w:sz="0" w:space="0" w:color="auto"/>
      </w:divBdr>
    </w:div>
    <w:div w:id="258492076">
      <w:bodyDiv w:val="1"/>
      <w:marLeft w:val="0"/>
      <w:marRight w:val="0"/>
      <w:marTop w:val="0"/>
      <w:marBottom w:val="0"/>
      <w:divBdr>
        <w:top w:val="none" w:sz="0" w:space="0" w:color="auto"/>
        <w:left w:val="none" w:sz="0" w:space="0" w:color="auto"/>
        <w:bottom w:val="none" w:sz="0" w:space="0" w:color="auto"/>
        <w:right w:val="none" w:sz="0" w:space="0" w:color="auto"/>
      </w:divBdr>
    </w:div>
    <w:div w:id="269822414">
      <w:bodyDiv w:val="1"/>
      <w:marLeft w:val="0"/>
      <w:marRight w:val="0"/>
      <w:marTop w:val="0"/>
      <w:marBottom w:val="0"/>
      <w:divBdr>
        <w:top w:val="none" w:sz="0" w:space="0" w:color="auto"/>
        <w:left w:val="none" w:sz="0" w:space="0" w:color="auto"/>
        <w:bottom w:val="none" w:sz="0" w:space="0" w:color="auto"/>
        <w:right w:val="none" w:sz="0" w:space="0" w:color="auto"/>
      </w:divBdr>
    </w:div>
    <w:div w:id="307326170">
      <w:bodyDiv w:val="1"/>
      <w:marLeft w:val="0"/>
      <w:marRight w:val="0"/>
      <w:marTop w:val="0"/>
      <w:marBottom w:val="0"/>
      <w:divBdr>
        <w:top w:val="none" w:sz="0" w:space="0" w:color="auto"/>
        <w:left w:val="none" w:sz="0" w:space="0" w:color="auto"/>
        <w:bottom w:val="none" w:sz="0" w:space="0" w:color="auto"/>
        <w:right w:val="none" w:sz="0" w:space="0" w:color="auto"/>
      </w:divBdr>
    </w:div>
    <w:div w:id="433326308">
      <w:bodyDiv w:val="1"/>
      <w:marLeft w:val="0"/>
      <w:marRight w:val="0"/>
      <w:marTop w:val="0"/>
      <w:marBottom w:val="0"/>
      <w:divBdr>
        <w:top w:val="none" w:sz="0" w:space="0" w:color="auto"/>
        <w:left w:val="none" w:sz="0" w:space="0" w:color="auto"/>
        <w:bottom w:val="none" w:sz="0" w:space="0" w:color="auto"/>
        <w:right w:val="none" w:sz="0" w:space="0" w:color="auto"/>
      </w:divBdr>
    </w:div>
    <w:div w:id="446848502">
      <w:bodyDiv w:val="1"/>
      <w:marLeft w:val="0"/>
      <w:marRight w:val="0"/>
      <w:marTop w:val="0"/>
      <w:marBottom w:val="0"/>
      <w:divBdr>
        <w:top w:val="none" w:sz="0" w:space="0" w:color="auto"/>
        <w:left w:val="none" w:sz="0" w:space="0" w:color="auto"/>
        <w:bottom w:val="none" w:sz="0" w:space="0" w:color="auto"/>
        <w:right w:val="none" w:sz="0" w:space="0" w:color="auto"/>
      </w:divBdr>
    </w:div>
    <w:div w:id="470097180">
      <w:bodyDiv w:val="1"/>
      <w:marLeft w:val="0"/>
      <w:marRight w:val="0"/>
      <w:marTop w:val="0"/>
      <w:marBottom w:val="0"/>
      <w:divBdr>
        <w:top w:val="none" w:sz="0" w:space="0" w:color="auto"/>
        <w:left w:val="none" w:sz="0" w:space="0" w:color="auto"/>
        <w:bottom w:val="none" w:sz="0" w:space="0" w:color="auto"/>
        <w:right w:val="none" w:sz="0" w:space="0" w:color="auto"/>
      </w:divBdr>
    </w:div>
    <w:div w:id="558592571">
      <w:bodyDiv w:val="1"/>
      <w:marLeft w:val="0"/>
      <w:marRight w:val="0"/>
      <w:marTop w:val="0"/>
      <w:marBottom w:val="0"/>
      <w:divBdr>
        <w:top w:val="none" w:sz="0" w:space="0" w:color="auto"/>
        <w:left w:val="none" w:sz="0" w:space="0" w:color="auto"/>
        <w:bottom w:val="none" w:sz="0" w:space="0" w:color="auto"/>
        <w:right w:val="none" w:sz="0" w:space="0" w:color="auto"/>
      </w:divBdr>
    </w:div>
    <w:div w:id="597562634">
      <w:bodyDiv w:val="1"/>
      <w:marLeft w:val="0"/>
      <w:marRight w:val="0"/>
      <w:marTop w:val="0"/>
      <w:marBottom w:val="0"/>
      <w:divBdr>
        <w:top w:val="none" w:sz="0" w:space="0" w:color="auto"/>
        <w:left w:val="none" w:sz="0" w:space="0" w:color="auto"/>
        <w:bottom w:val="none" w:sz="0" w:space="0" w:color="auto"/>
        <w:right w:val="none" w:sz="0" w:space="0" w:color="auto"/>
      </w:divBdr>
    </w:div>
    <w:div w:id="639043814">
      <w:bodyDiv w:val="1"/>
      <w:marLeft w:val="0"/>
      <w:marRight w:val="0"/>
      <w:marTop w:val="0"/>
      <w:marBottom w:val="0"/>
      <w:divBdr>
        <w:top w:val="none" w:sz="0" w:space="0" w:color="auto"/>
        <w:left w:val="none" w:sz="0" w:space="0" w:color="auto"/>
        <w:bottom w:val="none" w:sz="0" w:space="0" w:color="auto"/>
        <w:right w:val="none" w:sz="0" w:space="0" w:color="auto"/>
      </w:divBdr>
    </w:div>
    <w:div w:id="713969408">
      <w:bodyDiv w:val="1"/>
      <w:marLeft w:val="0"/>
      <w:marRight w:val="0"/>
      <w:marTop w:val="0"/>
      <w:marBottom w:val="0"/>
      <w:divBdr>
        <w:top w:val="none" w:sz="0" w:space="0" w:color="auto"/>
        <w:left w:val="none" w:sz="0" w:space="0" w:color="auto"/>
        <w:bottom w:val="none" w:sz="0" w:space="0" w:color="auto"/>
        <w:right w:val="none" w:sz="0" w:space="0" w:color="auto"/>
      </w:divBdr>
    </w:div>
    <w:div w:id="725832348">
      <w:bodyDiv w:val="1"/>
      <w:marLeft w:val="0"/>
      <w:marRight w:val="0"/>
      <w:marTop w:val="0"/>
      <w:marBottom w:val="0"/>
      <w:divBdr>
        <w:top w:val="none" w:sz="0" w:space="0" w:color="auto"/>
        <w:left w:val="none" w:sz="0" w:space="0" w:color="auto"/>
        <w:bottom w:val="none" w:sz="0" w:space="0" w:color="auto"/>
        <w:right w:val="none" w:sz="0" w:space="0" w:color="auto"/>
      </w:divBdr>
    </w:div>
    <w:div w:id="814448146">
      <w:bodyDiv w:val="1"/>
      <w:marLeft w:val="0"/>
      <w:marRight w:val="0"/>
      <w:marTop w:val="0"/>
      <w:marBottom w:val="0"/>
      <w:divBdr>
        <w:top w:val="none" w:sz="0" w:space="0" w:color="auto"/>
        <w:left w:val="none" w:sz="0" w:space="0" w:color="auto"/>
        <w:bottom w:val="none" w:sz="0" w:space="0" w:color="auto"/>
        <w:right w:val="none" w:sz="0" w:space="0" w:color="auto"/>
      </w:divBdr>
    </w:div>
    <w:div w:id="824202204">
      <w:bodyDiv w:val="1"/>
      <w:marLeft w:val="0"/>
      <w:marRight w:val="0"/>
      <w:marTop w:val="0"/>
      <w:marBottom w:val="0"/>
      <w:divBdr>
        <w:top w:val="none" w:sz="0" w:space="0" w:color="auto"/>
        <w:left w:val="none" w:sz="0" w:space="0" w:color="auto"/>
        <w:bottom w:val="none" w:sz="0" w:space="0" w:color="auto"/>
        <w:right w:val="none" w:sz="0" w:space="0" w:color="auto"/>
      </w:divBdr>
    </w:div>
    <w:div w:id="922298593">
      <w:bodyDiv w:val="1"/>
      <w:marLeft w:val="0"/>
      <w:marRight w:val="0"/>
      <w:marTop w:val="0"/>
      <w:marBottom w:val="0"/>
      <w:divBdr>
        <w:top w:val="none" w:sz="0" w:space="0" w:color="auto"/>
        <w:left w:val="none" w:sz="0" w:space="0" w:color="auto"/>
        <w:bottom w:val="none" w:sz="0" w:space="0" w:color="auto"/>
        <w:right w:val="none" w:sz="0" w:space="0" w:color="auto"/>
      </w:divBdr>
    </w:div>
    <w:div w:id="1042941272">
      <w:bodyDiv w:val="1"/>
      <w:marLeft w:val="0"/>
      <w:marRight w:val="0"/>
      <w:marTop w:val="0"/>
      <w:marBottom w:val="0"/>
      <w:divBdr>
        <w:top w:val="none" w:sz="0" w:space="0" w:color="auto"/>
        <w:left w:val="none" w:sz="0" w:space="0" w:color="auto"/>
        <w:bottom w:val="none" w:sz="0" w:space="0" w:color="auto"/>
        <w:right w:val="none" w:sz="0" w:space="0" w:color="auto"/>
      </w:divBdr>
    </w:div>
    <w:div w:id="1047686300">
      <w:bodyDiv w:val="1"/>
      <w:marLeft w:val="0"/>
      <w:marRight w:val="0"/>
      <w:marTop w:val="0"/>
      <w:marBottom w:val="0"/>
      <w:divBdr>
        <w:top w:val="none" w:sz="0" w:space="0" w:color="auto"/>
        <w:left w:val="none" w:sz="0" w:space="0" w:color="auto"/>
        <w:bottom w:val="none" w:sz="0" w:space="0" w:color="auto"/>
        <w:right w:val="none" w:sz="0" w:space="0" w:color="auto"/>
      </w:divBdr>
    </w:div>
    <w:div w:id="1063481601">
      <w:bodyDiv w:val="1"/>
      <w:marLeft w:val="0"/>
      <w:marRight w:val="0"/>
      <w:marTop w:val="0"/>
      <w:marBottom w:val="0"/>
      <w:divBdr>
        <w:top w:val="none" w:sz="0" w:space="0" w:color="auto"/>
        <w:left w:val="none" w:sz="0" w:space="0" w:color="auto"/>
        <w:bottom w:val="none" w:sz="0" w:space="0" w:color="auto"/>
        <w:right w:val="none" w:sz="0" w:space="0" w:color="auto"/>
      </w:divBdr>
    </w:div>
    <w:div w:id="1065645912">
      <w:bodyDiv w:val="1"/>
      <w:marLeft w:val="0"/>
      <w:marRight w:val="0"/>
      <w:marTop w:val="0"/>
      <w:marBottom w:val="0"/>
      <w:divBdr>
        <w:top w:val="none" w:sz="0" w:space="0" w:color="auto"/>
        <w:left w:val="none" w:sz="0" w:space="0" w:color="auto"/>
        <w:bottom w:val="none" w:sz="0" w:space="0" w:color="auto"/>
        <w:right w:val="none" w:sz="0" w:space="0" w:color="auto"/>
      </w:divBdr>
    </w:div>
    <w:div w:id="1104493495">
      <w:bodyDiv w:val="1"/>
      <w:marLeft w:val="0"/>
      <w:marRight w:val="0"/>
      <w:marTop w:val="0"/>
      <w:marBottom w:val="0"/>
      <w:divBdr>
        <w:top w:val="none" w:sz="0" w:space="0" w:color="auto"/>
        <w:left w:val="none" w:sz="0" w:space="0" w:color="auto"/>
        <w:bottom w:val="none" w:sz="0" w:space="0" w:color="auto"/>
        <w:right w:val="none" w:sz="0" w:space="0" w:color="auto"/>
      </w:divBdr>
    </w:div>
    <w:div w:id="1136795348">
      <w:bodyDiv w:val="1"/>
      <w:marLeft w:val="0"/>
      <w:marRight w:val="0"/>
      <w:marTop w:val="0"/>
      <w:marBottom w:val="0"/>
      <w:divBdr>
        <w:top w:val="none" w:sz="0" w:space="0" w:color="auto"/>
        <w:left w:val="none" w:sz="0" w:space="0" w:color="auto"/>
        <w:bottom w:val="none" w:sz="0" w:space="0" w:color="auto"/>
        <w:right w:val="none" w:sz="0" w:space="0" w:color="auto"/>
      </w:divBdr>
    </w:div>
    <w:div w:id="1212422152">
      <w:bodyDiv w:val="1"/>
      <w:marLeft w:val="0"/>
      <w:marRight w:val="0"/>
      <w:marTop w:val="0"/>
      <w:marBottom w:val="0"/>
      <w:divBdr>
        <w:top w:val="none" w:sz="0" w:space="0" w:color="auto"/>
        <w:left w:val="none" w:sz="0" w:space="0" w:color="auto"/>
        <w:bottom w:val="none" w:sz="0" w:space="0" w:color="auto"/>
        <w:right w:val="none" w:sz="0" w:space="0" w:color="auto"/>
      </w:divBdr>
    </w:div>
    <w:div w:id="1258561707">
      <w:bodyDiv w:val="1"/>
      <w:marLeft w:val="0"/>
      <w:marRight w:val="0"/>
      <w:marTop w:val="0"/>
      <w:marBottom w:val="0"/>
      <w:divBdr>
        <w:top w:val="none" w:sz="0" w:space="0" w:color="auto"/>
        <w:left w:val="none" w:sz="0" w:space="0" w:color="auto"/>
        <w:bottom w:val="none" w:sz="0" w:space="0" w:color="auto"/>
        <w:right w:val="none" w:sz="0" w:space="0" w:color="auto"/>
      </w:divBdr>
    </w:div>
    <w:div w:id="1278294799">
      <w:bodyDiv w:val="1"/>
      <w:marLeft w:val="0"/>
      <w:marRight w:val="0"/>
      <w:marTop w:val="0"/>
      <w:marBottom w:val="0"/>
      <w:divBdr>
        <w:top w:val="none" w:sz="0" w:space="0" w:color="auto"/>
        <w:left w:val="none" w:sz="0" w:space="0" w:color="auto"/>
        <w:bottom w:val="none" w:sz="0" w:space="0" w:color="auto"/>
        <w:right w:val="none" w:sz="0" w:space="0" w:color="auto"/>
      </w:divBdr>
    </w:div>
    <w:div w:id="1294213500">
      <w:bodyDiv w:val="1"/>
      <w:marLeft w:val="0"/>
      <w:marRight w:val="0"/>
      <w:marTop w:val="0"/>
      <w:marBottom w:val="0"/>
      <w:divBdr>
        <w:top w:val="none" w:sz="0" w:space="0" w:color="auto"/>
        <w:left w:val="none" w:sz="0" w:space="0" w:color="auto"/>
        <w:bottom w:val="none" w:sz="0" w:space="0" w:color="auto"/>
        <w:right w:val="none" w:sz="0" w:space="0" w:color="auto"/>
      </w:divBdr>
    </w:div>
    <w:div w:id="1311321525">
      <w:bodyDiv w:val="1"/>
      <w:marLeft w:val="0"/>
      <w:marRight w:val="0"/>
      <w:marTop w:val="0"/>
      <w:marBottom w:val="0"/>
      <w:divBdr>
        <w:top w:val="none" w:sz="0" w:space="0" w:color="auto"/>
        <w:left w:val="none" w:sz="0" w:space="0" w:color="auto"/>
        <w:bottom w:val="none" w:sz="0" w:space="0" w:color="auto"/>
        <w:right w:val="none" w:sz="0" w:space="0" w:color="auto"/>
      </w:divBdr>
    </w:div>
    <w:div w:id="1345788705">
      <w:bodyDiv w:val="1"/>
      <w:marLeft w:val="0"/>
      <w:marRight w:val="0"/>
      <w:marTop w:val="0"/>
      <w:marBottom w:val="0"/>
      <w:divBdr>
        <w:top w:val="none" w:sz="0" w:space="0" w:color="auto"/>
        <w:left w:val="none" w:sz="0" w:space="0" w:color="auto"/>
        <w:bottom w:val="none" w:sz="0" w:space="0" w:color="auto"/>
        <w:right w:val="none" w:sz="0" w:space="0" w:color="auto"/>
      </w:divBdr>
    </w:div>
    <w:div w:id="1348553915">
      <w:bodyDiv w:val="1"/>
      <w:marLeft w:val="0"/>
      <w:marRight w:val="0"/>
      <w:marTop w:val="0"/>
      <w:marBottom w:val="0"/>
      <w:divBdr>
        <w:top w:val="none" w:sz="0" w:space="0" w:color="auto"/>
        <w:left w:val="none" w:sz="0" w:space="0" w:color="auto"/>
        <w:bottom w:val="none" w:sz="0" w:space="0" w:color="auto"/>
        <w:right w:val="none" w:sz="0" w:space="0" w:color="auto"/>
      </w:divBdr>
    </w:div>
    <w:div w:id="1374309968">
      <w:bodyDiv w:val="1"/>
      <w:marLeft w:val="0"/>
      <w:marRight w:val="0"/>
      <w:marTop w:val="0"/>
      <w:marBottom w:val="0"/>
      <w:divBdr>
        <w:top w:val="none" w:sz="0" w:space="0" w:color="auto"/>
        <w:left w:val="none" w:sz="0" w:space="0" w:color="auto"/>
        <w:bottom w:val="none" w:sz="0" w:space="0" w:color="auto"/>
        <w:right w:val="none" w:sz="0" w:space="0" w:color="auto"/>
      </w:divBdr>
    </w:div>
    <w:div w:id="1375887193">
      <w:bodyDiv w:val="1"/>
      <w:marLeft w:val="0"/>
      <w:marRight w:val="0"/>
      <w:marTop w:val="0"/>
      <w:marBottom w:val="0"/>
      <w:divBdr>
        <w:top w:val="none" w:sz="0" w:space="0" w:color="auto"/>
        <w:left w:val="none" w:sz="0" w:space="0" w:color="auto"/>
        <w:bottom w:val="none" w:sz="0" w:space="0" w:color="auto"/>
        <w:right w:val="none" w:sz="0" w:space="0" w:color="auto"/>
      </w:divBdr>
    </w:div>
    <w:div w:id="1431044276">
      <w:bodyDiv w:val="1"/>
      <w:marLeft w:val="0"/>
      <w:marRight w:val="0"/>
      <w:marTop w:val="0"/>
      <w:marBottom w:val="0"/>
      <w:divBdr>
        <w:top w:val="none" w:sz="0" w:space="0" w:color="auto"/>
        <w:left w:val="none" w:sz="0" w:space="0" w:color="auto"/>
        <w:bottom w:val="none" w:sz="0" w:space="0" w:color="auto"/>
        <w:right w:val="none" w:sz="0" w:space="0" w:color="auto"/>
      </w:divBdr>
    </w:div>
    <w:div w:id="1459911447">
      <w:bodyDiv w:val="1"/>
      <w:marLeft w:val="0"/>
      <w:marRight w:val="0"/>
      <w:marTop w:val="0"/>
      <w:marBottom w:val="0"/>
      <w:divBdr>
        <w:top w:val="none" w:sz="0" w:space="0" w:color="auto"/>
        <w:left w:val="none" w:sz="0" w:space="0" w:color="auto"/>
        <w:bottom w:val="none" w:sz="0" w:space="0" w:color="auto"/>
        <w:right w:val="none" w:sz="0" w:space="0" w:color="auto"/>
      </w:divBdr>
    </w:div>
    <w:div w:id="1489709986">
      <w:bodyDiv w:val="1"/>
      <w:marLeft w:val="0"/>
      <w:marRight w:val="0"/>
      <w:marTop w:val="0"/>
      <w:marBottom w:val="0"/>
      <w:divBdr>
        <w:top w:val="none" w:sz="0" w:space="0" w:color="auto"/>
        <w:left w:val="none" w:sz="0" w:space="0" w:color="auto"/>
        <w:bottom w:val="none" w:sz="0" w:space="0" w:color="auto"/>
        <w:right w:val="none" w:sz="0" w:space="0" w:color="auto"/>
      </w:divBdr>
    </w:div>
    <w:div w:id="1513180341">
      <w:bodyDiv w:val="1"/>
      <w:marLeft w:val="0"/>
      <w:marRight w:val="0"/>
      <w:marTop w:val="0"/>
      <w:marBottom w:val="0"/>
      <w:divBdr>
        <w:top w:val="none" w:sz="0" w:space="0" w:color="auto"/>
        <w:left w:val="none" w:sz="0" w:space="0" w:color="auto"/>
        <w:bottom w:val="none" w:sz="0" w:space="0" w:color="auto"/>
        <w:right w:val="none" w:sz="0" w:space="0" w:color="auto"/>
      </w:divBdr>
    </w:div>
    <w:div w:id="1518538897">
      <w:bodyDiv w:val="1"/>
      <w:marLeft w:val="0"/>
      <w:marRight w:val="0"/>
      <w:marTop w:val="0"/>
      <w:marBottom w:val="0"/>
      <w:divBdr>
        <w:top w:val="none" w:sz="0" w:space="0" w:color="auto"/>
        <w:left w:val="none" w:sz="0" w:space="0" w:color="auto"/>
        <w:bottom w:val="none" w:sz="0" w:space="0" w:color="auto"/>
        <w:right w:val="none" w:sz="0" w:space="0" w:color="auto"/>
      </w:divBdr>
    </w:div>
    <w:div w:id="1535344112">
      <w:bodyDiv w:val="1"/>
      <w:marLeft w:val="0"/>
      <w:marRight w:val="0"/>
      <w:marTop w:val="0"/>
      <w:marBottom w:val="0"/>
      <w:divBdr>
        <w:top w:val="none" w:sz="0" w:space="0" w:color="auto"/>
        <w:left w:val="none" w:sz="0" w:space="0" w:color="auto"/>
        <w:bottom w:val="none" w:sz="0" w:space="0" w:color="auto"/>
        <w:right w:val="none" w:sz="0" w:space="0" w:color="auto"/>
      </w:divBdr>
    </w:div>
    <w:div w:id="1584333028">
      <w:bodyDiv w:val="1"/>
      <w:marLeft w:val="0"/>
      <w:marRight w:val="0"/>
      <w:marTop w:val="0"/>
      <w:marBottom w:val="0"/>
      <w:divBdr>
        <w:top w:val="none" w:sz="0" w:space="0" w:color="auto"/>
        <w:left w:val="none" w:sz="0" w:space="0" w:color="auto"/>
        <w:bottom w:val="none" w:sz="0" w:space="0" w:color="auto"/>
        <w:right w:val="none" w:sz="0" w:space="0" w:color="auto"/>
      </w:divBdr>
    </w:div>
    <w:div w:id="1624841927">
      <w:bodyDiv w:val="1"/>
      <w:marLeft w:val="0"/>
      <w:marRight w:val="0"/>
      <w:marTop w:val="0"/>
      <w:marBottom w:val="0"/>
      <w:divBdr>
        <w:top w:val="none" w:sz="0" w:space="0" w:color="auto"/>
        <w:left w:val="none" w:sz="0" w:space="0" w:color="auto"/>
        <w:bottom w:val="none" w:sz="0" w:space="0" w:color="auto"/>
        <w:right w:val="none" w:sz="0" w:space="0" w:color="auto"/>
      </w:divBdr>
    </w:div>
    <w:div w:id="1669862710">
      <w:bodyDiv w:val="1"/>
      <w:marLeft w:val="0"/>
      <w:marRight w:val="0"/>
      <w:marTop w:val="0"/>
      <w:marBottom w:val="0"/>
      <w:divBdr>
        <w:top w:val="none" w:sz="0" w:space="0" w:color="auto"/>
        <w:left w:val="none" w:sz="0" w:space="0" w:color="auto"/>
        <w:bottom w:val="none" w:sz="0" w:space="0" w:color="auto"/>
        <w:right w:val="none" w:sz="0" w:space="0" w:color="auto"/>
      </w:divBdr>
    </w:div>
    <w:div w:id="1823962106">
      <w:bodyDiv w:val="1"/>
      <w:marLeft w:val="0"/>
      <w:marRight w:val="0"/>
      <w:marTop w:val="0"/>
      <w:marBottom w:val="0"/>
      <w:divBdr>
        <w:top w:val="none" w:sz="0" w:space="0" w:color="auto"/>
        <w:left w:val="none" w:sz="0" w:space="0" w:color="auto"/>
        <w:bottom w:val="none" w:sz="0" w:space="0" w:color="auto"/>
        <w:right w:val="none" w:sz="0" w:space="0" w:color="auto"/>
      </w:divBdr>
    </w:div>
    <w:div w:id="1855723510">
      <w:bodyDiv w:val="1"/>
      <w:marLeft w:val="0"/>
      <w:marRight w:val="0"/>
      <w:marTop w:val="0"/>
      <w:marBottom w:val="0"/>
      <w:divBdr>
        <w:top w:val="none" w:sz="0" w:space="0" w:color="auto"/>
        <w:left w:val="none" w:sz="0" w:space="0" w:color="auto"/>
        <w:bottom w:val="none" w:sz="0" w:space="0" w:color="auto"/>
        <w:right w:val="none" w:sz="0" w:space="0" w:color="auto"/>
      </w:divBdr>
    </w:div>
    <w:div w:id="1881630166">
      <w:bodyDiv w:val="1"/>
      <w:marLeft w:val="0"/>
      <w:marRight w:val="0"/>
      <w:marTop w:val="0"/>
      <w:marBottom w:val="0"/>
      <w:divBdr>
        <w:top w:val="none" w:sz="0" w:space="0" w:color="auto"/>
        <w:left w:val="none" w:sz="0" w:space="0" w:color="auto"/>
        <w:bottom w:val="none" w:sz="0" w:space="0" w:color="auto"/>
        <w:right w:val="none" w:sz="0" w:space="0" w:color="auto"/>
      </w:divBdr>
    </w:div>
    <w:div w:id="1902207810">
      <w:bodyDiv w:val="1"/>
      <w:marLeft w:val="0"/>
      <w:marRight w:val="0"/>
      <w:marTop w:val="0"/>
      <w:marBottom w:val="0"/>
      <w:divBdr>
        <w:top w:val="none" w:sz="0" w:space="0" w:color="auto"/>
        <w:left w:val="none" w:sz="0" w:space="0" w:color="auto"/>
        <w:bottom w:val="none" w:sz="0" w:space="0" w:color="auto"/>
        <w:right w:val="none" w:sz="0" w:space="0" w:color="auto"/>
      </w:divBdr>
    </w:div>
    <w:div w:id="1968313191">
      <w:bodyDiv w:val="1"/>
      <w:marLeft w:val="0"/>
      <w:marRight w:val="0"/>
      <w:marTop w:val="0"/>
      <w:marBottom w:val="0"/>
      <w:divBdr>
        <w:top w:val="none" w:sz="0" w:space="0" w:color="auto"/>
        <w:left w:val="none" w:sz="0" w:space="0" w:color="auto"/>
        <w:bottom w:val="none" w:sz="0" w:space="0" w:color="auto"/>
        <w:right w:val="none" w:sz="0" w:space="0" w:color="auto"/>
      </w:divBdr>
    </w:div>
    <w:div w:id="2031225160">
      <w:bodyDiv w:val="1"/>
      <w:marLeft w:val="0"/>
      <w:marRight w:val="0"/>
      <w:marTop w:val="0"/>
      <w:marBottom w:val="0"/>
      <w:divBdr>
        <w:top w:val="none" w:sz="0" w:space="0" w:color="auto"/>
        <w:left w:val="none" w:sz="0" w:space="0" w:color="auto"/>
        <w:bottom w:val="none" w:sz="0" w:space="0" w:color="auto"/>
        <w:right w:val="none" w:sz="0" w:space="0" w:color="auto"/>
      </w:divBdr>
    </w:div>
    <w:div w:id="2083478940">
      <w:bodyDiv w:val="1"/>
      <w:marLeft w:val="0"/>
      <w:marRight w:val="0"/>
      <w:marTop w:val="0"/>
      <w:marBottom w:val="0"/>
      <w:divBdr>
        <w:top w:val="none" w:sz="0" w:space="0" w:color="auto"/>
        <w:left w:val="none" w:sz="0" w:space="0" w:color="auto"/>
        <w:bottom w:val="none" w:sz="0" w:space="0" w:color="auto"/>
        <w:right w:val="none" w:sz="0" w:space="0" w:color="auto"/>
      </w:divBdr>
    </w:div>
    <w:div w:id="2084713682">
      <w:bodyDiv w:val="1"/>
      <w:marLeft w:val="0"/>
      <w:marRight w:val="0"/>
      <w:marTop w:val="0"/>
      <w:marBottom w:val="0"/>
      <w:divBdr>
        <w:top w:val="none" w:sz="0" w:space="0" w:color="auto"/>
        <w:left w:val="none" w:sz="0" w:space="0" w:color="auto"/>
        <w:bottom w:val="none" w:sz="0" w:space="0" w:color="auto"/>
        <w:right w:val="none" w:sz="0" w:space="0" w:color="auto"/>
      </w:divBdr>
    </w:div>
    <w:div w:id="2094348873">
      <w:bodyDiv w:val="1"/>
      <w:marLeft w:val="0"/>
      <w:marRight w:val="0"/>
      <w:marTop w:val="0"/>
      <w:marBottom w:val="0"/>
      <w:divBdr>
        <w:top w:val="none" w:sz="0" w:space="0" w:color="auto"/>
        <w:left w:val="none" w:sz="0" w:space="0" w:color="auto"/>
        <w:bottom w:val="none" w:sz="0" w:space="0" w:color="auto"/>
        <w:right w:val="none" w:sz="0" w:space="0" w:color="auto"/>
      </w:divBdr>
    </w:div>
    <w:div w:id="2108691873">
      <w:bodyDiv w:val="1"/>
      <w:marLeft w:val="0"/>
      <w:marRight w:val="0"/>
      <w:marTop w:val="0"/>
      <w:marBottom w:val="0"/>
      <w:divBdr>
        <w:top w:val="none" w:sz="0" w:space="0" w:color="auto"/>
        <w:left w:val="none" w:sz="0" w:space="0" w:color="auto"/>
        <w:bottom w:val="none" w:sz="0" w:space="0" w:color="auto"/>
        <w:right w:val="none" w:sz="0" w:space="0" w:color="auto"/>
      </w:divBdr>
    </w:div>
    <w:div w:id="2128967304">
      <w:bodyDiv w:val="1"/>
      <w:marLeft w:val="0"/>
      <w:marRight w:val="0"/>
      <w:marTop w:val="0"/>
      <w:marBottom w:val="0"/>
      <w:divBdr>
        <w:top w:val="none" w:sz="0" w:space="0" w:color="auto"/>
        <w:left w:val="none" w:sz="0" w:space="0" w:color="auto"/>
        <w:bottom w:val="none" w:sz="0" w:space="0" w:color="auto"/>
        <w:right w:val="none" w:sz="0" w:space="0" w:color="auto"/>
      </w:divBdr>
    </w:div>
    <w:div w:id="21300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F152-DEDC-47ED-95C7-55EB1192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16060</Words>
  <Characters>91542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Icomp Claim Form</vt:lpstr>
    </vt:vector>
  </TitlesOfParts>
  <LinksUpToDate>false</LinksUpToDate>
  <CharactersWithSpaces>107388</CharactersWithSpaces>
  <SharedDoc>false</SharedDoc>
  <HyperlinkBase> </HyperlinkBase>
  <HLinks>
    <vt:vector size="12" baseType="variant">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Icomp Claim Form</dc:title>
  <dc:subject>Icomp Claim Form.</dc:subject>
  <dc:creator/>
  <dc:description>Icomp Claim Form.</dc:description>
  <cp:lastModifiedBy/>
  <cp:revision>1</cp:revision>
  <cp:lastPrinted>2013-07-15T17:59:00Z</cp:lastPrinted>
  <dcterms:created xsi:type="dcterms:W3CDTF">2019-01-29T20:27:00Z</dcterms:created>
  <dcterms:modified xsi:type="dcterms:W3CDTF">2019-02-05T17:59:00Z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://www.cpuc.ca.gov/DownloadAsset.aspx?id=2655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Icomp Claim Form.</vt:lpwstr>
  </property>
  <property fmtid="{D5CDD505-2E9C-101B-9397-08002B2CF9AE}" pid="8" name="EktExpiryDate">
    <vt:filetime>2016-02-02T19:55:00Z</vt:filetime>
  </property>
  <property fmtid="{D5CDD505-2E9C-101B-9397-08002B2CF9AE}" pid="9" name="EktExpiryType">
    <vt:i4>3</vt:i4>
  </property>
  <property fmtid="{D5CDD505-2E9C-101B-9397-08002B2CF9AE}" pid="10" name="EktDateCreated">
    <vt:filetime>2015-10-12T16:17:45Z</vt:filetime>
  </property>
  <property fmtid="{D5CDD505-2E9C-101B-9397-08002B2CF9AE}" pid="11" name="EktDateModified">
    <vt:filetime>2015-11-04T19:54:18Z</vt:filetime>
  </property>
  <property fmtid="{D5CDD505-2E9C-101B-9397-08002B2CF9AE}" pid="12" name="EktTaxCategory">
    <vt:lpwstr> #eksep# \Business Units\Administrative Law Judges #eksep# </vt:lpwstr>
  </property>
  <property fmtid="{D5CDD505-2E9C-101B-9397-08002B2CF9AE}" pid="13" name="EktDisabledTaxCategory">
    <vt:lpwstr/>
  </property>
  <property fmtid="{D5CDD505-2E9C-101B-9397-08002B2CF9AE}" pid="14" name="EktCmsSize">
    <vt:i4>139776</vt:i4>
  </property>
  <property fmtid="{D5CDD505-2E9C-101B-9397-08002B2CF9AE}" pid="15" name="EktSearchable">
    <vt:i4>1</vt:i4>
  </property>
  <property fmtid="{D5CDD505-2E9C-101B-9397-08002B2CF9AE}" pid="16" name="EktEDescription">
    <vt:lpwstr>Summary Icomp Claim Form.</vt:lpwstr>
  </property>
  <property fmtid="{D5CDD505-2E9C-101B-9397-08002B2CF9AE}" pid="17" name="ekttaxonomyenabled">
    <vt:i4>1</vt:i4>
  </property>
</Properties>
</file>