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E09E0" w14:textId="5CAC2471" w:rsidR="003064F5" w:rsidRPr="00AE23F5" w:rsidRDefault="003064F5" w:rsidP="003064F5">
      <w:pPr>
        <w:pStyle w:val="Header"/>
        <w:tabs>
          <w:tab w:val="clear" w:pos="4320"/>
          <w:tab w:val="clear" w:pos="8640"/>
          <w:tab w:val="center" w:pos="4680"/>
          <w:tab w:val="right" w:pos="9360"/>
        </w:tabs>
        <w:rPr>
          <w:b/>
        </w:rPr>
      </w:pPr>
      <w:r>
        <w:t>ALJ</w:t>
      </w:r>
      <w:r w:rsidRPr="00703DFA">
        <w:t>/</w:t>
      </w:r>
      <w:r w:rsidR="004A7549">
        <w:t>BRC</w:t>
      </w:r>
      <w:r>
        <w:t>/</w:t>
      </w:r>
      <w:proofErr w:type="spellStart"/>
      <w:r>
        <w:t>ilz</w:t>
      </w:r>
      <w:proofErr w:type="spellEnd"/>
      <w:r>
        <w:rPr>
          <w:rFonts w:ascii="Helvetica" w:hAnsi="Helvetica"/>
          <w:b/>
          <w:sz w:val="28"/>
        </w:rPr>
        <w:tab/>
      </w:r>
      <w:r w:rsidRPr="00F6589F">
        <w:tab/>
      </w:r>
      <w:r w:rsidR="00A31746">
        <w:rPr>
          <w:b/>
          <w:bCs/>
        </w:rPr>
        <w:t>Date of Issuance  2/2</w:t>
      </w:r>
      <w:r w:rsidR="00A039D0">
        <w:rPr>
          <w:b/>
          <w:bCs/>
        </w:rPr>
        <w:t>6</w:t>
      </w:r>
      <w:bookmarkStart w:id="0" w:name="_GoBack"/>
      <w:bookmarkEnd w:id="0"/>
      <w:r w:rsidR="00A31746">
        <w:rPr>
          <w:b/>
          <w:bCs/>
        </w:rPr>
        <w:t>/2019</w:t>
      </w:r>
    </w:p>
    <w:p w14:paraId="052DD8D4" w14:textId="6F58F0C5" w:rsidR="003064F5" w:rsidRPr="00AE23F5" w:rsidRDefault="003064F5" w:rsidP="003064F5">
      <w:pPr>
        <w:tabs>
          <w:tab w:val="center" w:pos="4320"/>
          <w:tab w:val="right" w:pos="9360"/>
        </w:tabs>
        <w:rPr>
          <w:b/>
        </w:rPr>
      </w:pPr>
      <w:r w:rsidRPr="00AE23F5">
        <w:rPr>
          <w:b/>
        </w:rPr>
        <w:tab/>
      </w:r>
      <w:r w:rsidRPr="00AE23F5">
        <w:rPr>
          <w:b/>
        </w:rPr>
        <w:tab/>
      </w:r>
    </w:p>
    <w:p w14:paraId="4AE3F9A2" w14:textId="77777777" w:rsidR="003064F5" w:rsidRPr="00AE23F5" w:rsidRDefault="003064F5" w:rsidP="003064F5">
      <w:pPr>
        <w:tabs>
          <w:tab w:val="center" w:pos="4680"/>
          <w:tab w:val="right" w:pos="9360"/>
        </w:tabs>
        <w:jc w:val="right"/>
        <w:rPr>
          <w:b/>
        </w:rPr>
      </w:pPr>
    </w:p>
    <w:p w14:paraId="26EC93AB" w14:textId="5DC3D9E4" w:rsidR="003064F5" w:rsidRDefault="003064F5" w:rsidP="003064F5">
      <w:pPr>
        <w:suppressAutoHyphens/>
      </w:pPr>
      <w:r w:rsidRPr="00F6589F">
        <w:t xml:space="preserve">Decision </w:t>
      </w:r>
      <w:r w:rsidR="00A31746">
        <w:t>19-02-</w:t>
      </w:r>
      <w:proofErr w:type="gramStart"/>
      <w:r w:rsidR="00A31746">
        <w:t>015  February</w:t>
      </w:r>
      <w:proofErr w:type="gramEnd"/>
      <w:r w:rsidR="00A31746">
        <w:t xml:space="preserve"> 21, 2019</w:t>
      </w:r>
    </w:p>
    <w:p w14:paraId="5CE9DC77" w14:textId="77777777" w:rsidR="003064F5" w:rsidRPr="00F6589F" w:rsidRDefault="003064F5" w:rsidP="003064F5">
      <w:pPr>
        <w:suppressAutoHyphens/>
      </w:pPr>
    </w:p>
    <w:p w14:paraId="7497DC32" w14:textId="77777777" w:rsidR="00B30FF9" w:rsidRDefault="00B30FF9">
      <w:pPr>
        <w:rPr>
          <w:rFonts w:ascii="Helvetica" w:hAnsi="Helvetica"/>
          <w:b/>
          <w:bCs/>
          <w:sz w:val="24"/>
        </w:rPr>
      </w:pPr>
      <w:r>
        <w:rPr>
          <w:rFonts w:ascii="Helvetica" w:hAnsi="Helvetica"/>
          <w:b/>
          <w:bCs/>
          <w:sz w:val="24"/>
        </w:rPr>
        <w:t>BEFORE THE PUBLIC UTILITIES COMMISSION OF THE STATE OF CALIFORNIA</w:t>
      </w:r>
    </w:p>
    <w:p w14:paraId="00E74FC5" w14:textId="77777777" w:rsidR="00B30FF9" w:rsidRDefault="00B30FF9">
      <w:pPr>
        <w:suppressAutoHyphens/>
      </w:pPr>
    </w:p>
    <w:tbl>
      <w:tblPr>
        <w:tblW w:w="0" w:type="auto"/>
        <w:tblLayout w:type="fixed"/>
        <w:tblLook w:val="0000" w:firstRow="0" w:lastRow="0" w:firstColumn="0" w:lastColumn="0" w:noHBand="0" w:noVBand="0"/>
      </w:tblPr>
      <w:tblGrid>
        <w:gridCol w:w="5148"/>
        <w:gridCol w:w="4320"/>
      </w:tblGrid>
      <w:tr w:rsidR="00B30FF9" w14:paraId="51E0F783" w14:textId="77777777">
        <w:tc>
          <w:tcPr>
            <w:tcW w:w="5148" w:type="dxa"/>
            <w:tcBorders>
              <w:bottom w:val="single" w:sz="6" w:space="0" w:color="auto"/>
              <w:right w:val="single" w:sz="6" w:space="0" w:color="auto"/>
            </w:tcBorders>
          </w:tcPr>
          <w:p w14:paraId="7E42FAFE" w14:textId="77777777" w:rsidR="00B30FF9" w:rsidRDefault="00A15C02">
            <w:r w:rsidRPr="00A15C02">
              <w:t>Application of PACIFIC GAS AND ELECTRIC COMPANY, a California corporation, for a Permit to Construct the Fulton-Fitch Mountain Reconductoring Project (U39E).</w:t>
            </w:r>
          </w:p>
          <w:p w14:paraId="44EBF7BB" w14:textId="02FB5044" w:rsidR="00A15C02" w:rsidRDefault="00A15C02"/>
        </w:tc>
        <w:tc>
          <w:tcPr>
            <w:tcW w:w="4320" w:type="dxa"/>
            <w:tcBorders>
              <w:left w:val="nil"/>
            </w:tcBorders>
          </w:tcPr>
          <w:p w14:paraId="3732EDCB" w14:textId="77777777" w:rsidR="00A15C02" w:rsidRDefault="00A15C02">
            <w:pPr>
              <w:jc w:val="center"/>
            </w:pPr>
          </w:p>
          <w:p w14:paraId="164F01F5" w14:textId="77777777" w:rsidR="009E1B11" w:rsidRDefault="009E1B11">
            <w:pPr>
              <w:jc w:val="center"/>
            </w:pPr>
          </w:p>
          <w:p w14:paraId="2B8B9F7F" w14:textId="54FD1B75" w:rsidR="00B30FF9" w:rsidRDefault="00A15C02">
            <w:pPr>
              <w:jc w:val="center"/>
            </w:pPr>
            <w:r>
              <w:t>Application 15-12-005</w:t>
            </w:r>
          </w:p>
          <w:p w14:paraId="147B1BAA" w14:textId="77777777" w:rsidR="00B30FF9" w:rsidRDefault="00B30FF9">
            <w:pPr>
              <w:jc w:val="center"/>
            </w:pPr>
          </w:p>
        </w:tc>
      </w:tr>
    </w:tbl>
    <w:p w14:paraId="3E84439E" w14:textId="77777777" w:rsidR="00B30FF9" w:rsidRDefault="00B30FF9">
      <w:pPr>
        <w:suppressAutoHyphens/>
      </w:pPr>
    </w:p>
    <w:p w14:paraId="22695F83" w14:textId="63DF7D53" w:rsidR="00134E7B" w:rsidRPr="003064F5" w:rsidRDefault="00A15C02" w:rsidP="003064F5">
      <w:pPr>
        <w:pStyle w:val="Heading1"/>
        <w:numPr>
          <w:ilvl w:val="0"/>
          <w:numId w:val="0"/>
        </w:numPr>
        <w:ind w:left="720" w:hanging="720"/>
        <w:jc w:val="center"/>
        <w:rPr>
          <w:b w:val="0"/>
        </w:rPr>
      </w:pPr>
      <w:r>
        <w:t xml:space="preserve">DECISION GRANTING </w:t>
      </w:r>
      <w:r w:rsidR="00953554">
        <w:br/>
      </w:r>
      <w:r w:rsidR="00B042F4">
        <w:t xml:space="preserve">PETITION FOR MODIFICATION OF DECISION </w:t>
      </w:r>
      <w:r w:rsidR="004F4DA3">
        <w:t>17-12-012</w:t>
      </w:r>
    </w:p>
    <w:p w14:paraId="3F81F151" w14:textId="77777777" w:rsidR="007E72FD" w:rsidRDefault="007E72FD" w:rsidP="007E72FD">
      <w:pPr>
        <w:pStyle w:val="Heading1"/>
        <w:numPr>
          <w:ilvl w:val="0"/>
          <w:numId w:val="0"/>
        </w:numPr>
        <w:ind w:left="720" w:hanging="720"/>
      </w:pPr>
      <w:r>
        <w:t>Summary</w:t>
      </w:r>
    </w:p>
    <w:p w14:paraId="50E6AA6E" w14:textId="24CE9293" w:rsidR="00391800" w:rsidRDefault="00391800" w:rsidP="00391800">
      <w:pPr>
        <w:pStyle w:val="standard"/>
      </w:pPr>
      <w:r>
        <w:t xml:space="preserve">This decision grants </w:t>
      </w:r>
      <w:r w:rsidR="00E41DD3">
        <w:t xml:space="preserve">Pacific Gas and Electric Company’s (PG&amp;E) unopposed October 31, 2018 </w:t>
      </w:r>
      <w:r>
        <w:t xml:space="preserve">Petition for Modification </w:t>
      </w:r>
      <w:r w:rsidR="006931E7">
        <w:t xml:space="preserve">(PFM) </w:t>
      </w:r>
      <w:r>
        <w:t>of Decision</w:t>
      </w:r>
      <w:r w:rsidR="001A3E8B">
        <w:t> </w:t>
      </w:r>
      <w:r>
        <w:t>17</w:t>
      </w:r>
      <w:r w:rsidR="00112864">
        <w:noBreakHyphen/>
      </w:r>
      <w:r>
        <w:t>12</w:t>
      </w:r>
      <w:r w:rsidR="00112864">
        <w:noBreakHyphen/>
      </w:r>
      <w:r>
        <w:t>012</w:t>
      </w:r>
      <w:r w:rsidR="00E41DD3">
        <w:t xml:space="preserve">.  PG&amp;E asks </w:t>
      </w:r>
      <w:r>
        <w:t xml:space="preserve">to change the access road to </w:t>
      </w:r>
      <w:r w:rsidR="00E41DD3">
        <w:t>a</w:t>
      </w:r>
      <w:r>
        <w:t xml:space="preserve"> </w:t>
      </w:r>
      <w:r w:rsidR="00E41DD3">
        <w:t xml:space="preserve">staging </w:t>
      </w:r>
      <w:r>
        <w:t>area for its Fulton-Fitch Mountain Reconductoring Project</w:t>
      </w:r>
      <w:r w:rsidR="00351F27">
        <w:t xml:space="preserve"> (Project)</w:t>
      </w:r>
      <w:r>
        <w:t xml:space="preserve">.  </w:t>
      </w:r>
      <w:r w:rsidR="00351F27" w:rsidRPr="00351F27">
        <w:t xml:space="preserve">PG&amp;E filed its PFM after </w:t>
      </w:r>
      <w:r w:rsidR="00F055C0">
        <w:t xml:space="preserve">identifying </w:t>
      </w:r>
      <w:r w:rsidR="00FD6947">
        <w:t>a preferred alternate access road to the staging area that would reduce impacts on a private road and homeowner disruptions.</w:t>
      </w:r>
      <w:r w:rsidR="00351F27" w:rsidRPr="00351F27">
        <w:t xml:space="preserve">  PG&amp;E asks to change the access road</w:t>
      </w:r>
      <w:r w:rsidR="00351F27">
        <w:t xml:space="preserve"> to a nearby existing gravel road</w:t>
      </w:r>
      <w:r w:rsidR="009F5C96">
        <w:t xml:space="preserve"> to which it has access, an easement and landowner permission</w:t>
      </w:r>
      <w:r w:rsidR="00351F27">
        <w:t xml:space="preserve">.  </w:t>
      </w:r>
      <w:r w:rsidR="00FD6947">
        <w:t xml:space="preserve">The proposed access road is located outside of the </w:t>
      </w:r>
      <w:r w:rsidR="00495BD0">
        <w:t xml:space="preserve">project </w:t>
      </w:r>
      <w:r w:rsidR="00FD6947">
        <w:t>study area identified in the</w:t>
      </w:r>
      <w:r w:rsidR="0069554E">
        <w:t xml:space="preserve"> Initial Study/</w:t>
      </w:r>
      <w:r w:rsidR="00FD6947">
        <w:t xml:space="preserve">Mitigated Negative Declaration prepared for the project; therefore, PG&amp;E was required to submit a PFM requesting the change. </w:t>
      </w:r>
      <w:r>
        <w:t>We have studied the potential environmental impact of the change</w:t>
      </w:r>
      <w:r w:rsidR="00351F27">
        <w:t xml:space="preserve"> </w:t>
      </w:r>
      <w:r>
        <w:t xml:space="preserve">and find no adverse effects.  </w:t>
      </w:r>
      <w:r w:rsidR="00351F27">
        <w:t>Thus, it is in the public interest to grant the PFM.</w:t>
      </w:r>
      <w:r w:rsidR="00AA4116">
        <w:t xml:space="preserve">  </w:t>
      </w:r>
      <w:r w:rsidR="005E6CA8">
        <w:t xml:space="preserve">  </w:t>
      </w:r>
    </w:p>
    <w:p w14:paraId="781FCD58" w14:textId="77777777" w:rsidR="00391800" w:rsidRDefault="00391800" w:rsidP="00351F27">
      <w:pPr>
        <w:pStyle w:val="Heading1"/>
      </w:pPr>
      <w:r>
        <w:lastRenderedPageBreak/>
        <w:t>Background</w:t>
      </w:r>
    </w:p>
    <w:p w14:paraId="51BA3973" w14:textId="60A92068" w:rsidR="00391800" w:rsidRDefault="00391800" w:rsidP="0030281E">
      <w:pPr>
        <w:pStyle w:val="standard"/>
      </w:pPr>
      <w:r>
        <w:t>On December 14, 2017, the</w:t>
      </w:r>
      <w:r w:rsidR="00953554">
        <w:t xml:space="preserve"> California Public Utilities</w:t>
      </w:r>
      <w:r>
        <w:t xml:space="preserve"> Commission</w:t>
      </w:r>
      <w:r w:rsidR="00953554">
        <w:t xml:space="preserve"> (Commission)</w:t>
      </w:r>
      <w:r>
        <w:t xml:space="preserve"> approved D</w:t>
      </w:r>
      <w:r w:rsidR="004E5C67">
        <w:t xml:space="preserve">ecision </w:t>
      </w:r>
      <w:r w:rsidR="00BB5F11">
        <w:t>(D.)</w:t>
      </w:r>
      <w:r w:rsidR="009622E6">
        <w:t xml:space="preserve"> </w:t>
      </w:r>
      <w:r>
        <w:t>17-12-012,</w:t>
      </w:r>
      <w:r w:rsidR="00351F27">
        <w:rPr>
          <w:rStyle w:val="FootnoteReference"/>
        </w:rPr>
        <w:footnoteReference w:id="2"/>
      </w:r>
      <w:r>
        <w:t xml:space="preserve"> which granted</w:t>
      </w:r>
      <w:r w:rsidR="00351F27">
        <w:t xml:space="preserve"> </w:t>
      </w:r>
      <w:r w:rsidR="004E5C67">
        <w:t>Pacific Gas and Electric Company</w:t>
      </w:r>
      <w:r>
        <w:t>’s</w:t>
      </w:r>
      <w:r w:rsidR="00BB5F11">
        <w:t xml:space="preserve"> (PG&amp;E)</w:t>
      </w:r>
      <w:r>
        <w:t xml:space="preserve"> request for a </w:t>
      </w:r>
      <w:r w:rsidR="00D418F8">
        <w:t>P</w:t>
      </w:r>
      <w:r>
        <w:t xml:space="preserve">ermit to </w:t>
      </w:r>
      <w:r w:rsidR="00D418F8">
        <w:t>C</w:t>
      </w:r>
      <w:r>
        <w:t xml:space="preserve">onstruct (PTC) the Project. </w:t>
      </w:r>
      <w:r w:rsidR="005E6CA8">
        <w:t xml:space="preserve"> </w:t>
      </w:r>
      <w:r>
        <w:t>The PTC approved PG&amp;E’s plan to reinforce the electric transmission</w:t>
      </w:r>
      <w:r w:rsidR="00351F27">
        <w:t xml:space="preserve"> </w:t>
      </w:r>
      <w:r>
        <w:t xml:space="preserve">system in central Sonoma County by replacing </w:t>
      </w:r>
      <w:r w:rsidR="00351F27">
        <w:t xml:space="preserve">poles and </w:t>
      </w:r>
      <w:r>
        <w:t>conductors on the</w:t>
      </w:r>
      <w:r w:rsidR="00351F27">
        <w:t xml:space="preserve"> </w:t>
      </w:r>
      <w:r>
        <w:t>Fulton</w:t>
      </w:r>
      <w:r w:rsidR="001133EA">
        <w:noBreakHyphen/>
      </w:r>
      <w:r>
        <w:t>Hopland 60-k</w:t>
      </w:r>
      <w:r w:rsidR="00BB5F11">
        <w:t>ilovolt</w:t>
      </w:r>
      <w:r>
        <w:t xml:space="preserve"> Power Line and</w:t>
      </w:r>
      <w:r w:rsidR="00351F27">
        <w:t xml:space="preserve"> </w:t>
      </w:r>
      <w:r>
        <w:t>replacing conductor on 1.4 miles of the Geysers #12 Fulton 230-</w:t>
      </w:r>
      <w:r w:rsidR="00BC515A">
        <w:t>kilovolt</w:t>
      </w:r>
      <w:r>
        <w:t xml:space="preserve"> Transmission Line. </w:t>
      </w:r>
      <w:r w:rsidR="005E6CA8">
        <w:t xml:space="preserve"> </w:t>
      </w:r>
      <w:r>
        <w:t xml:space="preserve">The proposed project </w:t>
      </w:r>
      <w:r w:rsidR="00351F27">
        <w:t>is</w:t>
      </w:r>
      <w:r>
        <w:t xml:space="preserve"> located primarily in</w:t>
      </w:r>
      <w:r w:rsidR="00351F27">
        <w:t xml:space="preserve"> </w:t>
      </w:r>
      <w:r>
        <w:t>unincorporated Sonoma County and a small portion of the Town of Windsor, between Larkfield-</w:t>
      </w:r>
      <w:proofErr w:type="spellStart"/>
      <w:r>
        <w:t>Wikiup</w:t>
      </w:r>
      <w:proofErr w:type="spellEnd"/>
      <w:r>
        <w:t xml:space="preserve"> and the Russian River.</w:t>
      </w:r>
      <w:r w:rsidR="005E6CA8">
        <w:t xml:space="preserve">  </w:t>
      </w:r>
    </w:p>
    <w:p w14:paraId="7AB6397B" w14:textId="5C0B52C1" w:rsidR="00E842E3" w:rsidRDefault="00391800" w:rsidP="0030281E">
      <w:pPr>
        <w:pStyle w:val="standard"/>
      </w:pPr>
      <w:r>
        <w:t>In its</w:t>
      </w:r>
      <w:r w:rsidR="00E842E3">
        <w:t xml:space="preserve"> original </w:t>
      </w:r>
      <w:r>
        <w:t xml:space="preserve">application, PG&amp;E proposed to locate a staging area and landing zone </w:t>
      </w:r>
      <w:r w:rsidR="00A40294">
        <w:t xml:space="preserve">to support </w:t>
      </w:r>
      <w:r w:rsidR="00847F64">
        <w:t xml:space="preserve">Project construction </w:t>
      </w:r>
      <w:r>
        <w:t>on</w:t>
      </w:r>
      <w:r w:rsidR="00351F27">
        <w:t xml:space="preserve"> </w:t>
      </w:r>
      <w:r>
        <w:t>property north of the community of Larkfield-Wikiup in unincorporated Sonoma County.</w:t>
      </w:r>
      <w:r w:rsidR="00351F27">
        <w:t xml:space="preserve">  </w:t>
      </w:r>
      <w:r>
        <w:t>Access was proposed along an existing gravel road extending from Shiloh Ridge Road, a private,</w:t>
      </w:r>
      <w:r w:rsidR="00351F27">
        <w:t xml:space="preserve"> </w:t>
      </w:r>
      <w:r>
        <w:t>paved road with access to the Mayacama Golf Course and residences within two homeowners’</w:t>
      </w:r>
      <w:r w:rsidR="00351F27">
        <w:t xml:space="preserve"> </w:t>
      </w:r>
      <w:r>
        <w:t xml:space="preserve">associations. </w:t>
      </w:r>
      <w:r w:rsidR="00847F64">
        <w:t xml:space="preserve"> </w:t>
      </w:r>
      <w:r>
        <w:t>PG&amp;E has existing access easements for utility maintenance over these roadways.</w:t>
      </w:r>
      <w:r w:rsidR="00351F27">
        <w:t xml:space="preserve">  </w:t>
      </w:r>
    </w:p>
    <w:p w14:paraId="4758298A" w14:textId="3E364D84" w:rsidR="00391800" w:rsidRDefault="00351F27" w:rsidP="00391800">
      <w:pPr>
        <w:pStyle w:val="standard"/>
      </w:pPr>
      <w:r>
        <w:t>However, t</w:t>
      </w:r>
      <w:r w:rsidR="00391800">
        <w:t>he Shiloh Home Owners Associations (SHOA) has objected to PG&amp;E’s use of the Shiloh</w:t>
      </w:r>
      <w:r>
        <w:t xml:space="preserve"> </w:t>
      </w:r>
      <w:r w:rsidR="00391800">
        <w:t>Ridge Road for this project and has urged PG&amp;E to use a nearby alternate access, an existing</w:t>
      </w:r>
      <w:r>
        <w:t xml:space="preserve"> </w:t>
      </w:r>
      <w:r w:rsidR="00391800">
        <w:t>gravel road that extends</w:t>
      </w:r>
      <w:r w:rsidR="00847F64">
        <w:t xml:space="preserve"> from</w:t>
      </w:r>
      <w:r w:rsidR="00CB3511">
        <w:t xml:space="preserve"> </w:t>
      </w:r>
      <w:proofErr w:type="spellStart"/>
      <w:r w:rsidR="00CB3511">
        <w:t>Faught</w:t>
      </w:r>
      <w:proofErr w:type="spellEnd"/>
      <w:r w:rsidR="00CB3511">
        <w:t xml:space="preserve"> </w:t>
      </w:r>
      <w:r w:rsidR="0069554E" w:rsidRPr="00B20304">
        <w:t>Road</w:t>
      </w:r>
      <w:r w:rsidR="0069554E">
        <w:t xml:space="preserve">, a </w:t>
      </w:r>
      <w:r w:rsidR="00391800">
        <w:t>public</w:t>
      </w:r>
      <w:r w:rsidR="0069554E">
        <w:t>, paved</w:t>
      </w:r>
      <w:r w:rsidR="00391800">
        <w:t xml:space="preserve"> road. The SHOA has expressed concerns</w:t>
      </w:r>
      <w:r>
        <w:t xml:space="preserve"> </w:t>
      </w:r>
      <w:r w:rsidR="00391800">
        <w:t xml:space="preserve">with traffic impacts, dirt/mud </w:t>
      </w:r>
      <w:proofErr w:type="spellStart"/>
      <w:r w:rsidR="0069554E">
        <w:t>trackout</w:t>
      </w:r>
      <w:proofErr w:type="spellEnd"/>
      <w:r w:rsidR="0069554E">
        <w:t xml:space="preserve"> </w:t>
      </w:r>
      <w:r w:rsidR="00391800">
        <w:t>and truck damage to the paved road surface due to use of</w:t>
      </w:r>
      <w:r>
        <w:t xml:space="preserve"> </w:t>
      </w:r>
      <w:r w:rsidR="00391800">
        <w:t xml:space="preserve">the approved project access road. </w:t>
      </w:r>
      <w:r w:rsidR="00AA4116">
        <w:t xml:space="preserve"> </w:t>
      </w:r>
      <w:r>
        <w:t>According to PG&amp;E, t</w:t>
      </w:r>
      <w:r w:rsidR="00391800">
        <w:t xml:space="preserve">he proposed </w:t>
      </w:r>
      <w:r w:rsidR="009F5C96">
        <w:t xml:space="preserve">new </w:t>
      </w:r>
      <w:r w:rsidR="00391800">
        <w:t xml:space="preserve">access </w:t>
      </w:r>
      <w:r w:rsidR="00391800">
        <w:lastRenderedPageBreak/>
        <w:t>road will address the homeowners’</w:t>
      </w:r>
      <w:r>
        <w:t xml:space="preserve"> </w:t>
      </w:r>
      <w:r w:rsidR="00391800">
        <w:t>association’s concerns by curtailing the need for project vehicles to travel on Shiloh Ridge Road.</w:t>
      </w:r>
    </w:p>
    <w:p w14:paraId="1E974CBF" w14:textId="4E60C20F" w:rsidR="009F5C96" w:rsidRDefault="00E842E3" w:rsidP="009F5C96">
      <w:pPr>
        <w:pStyle w:val="standard"/>
      </w:pPr>
      <w:r>
        <w:t>The alternate route is an 845</w:t>
      </w:r>
      <w:r>
        <w:rPr>
          <w:rFonts w:ascii="Cambria Math" w:hAnsi="Cambria Math" w:cs="Cambria Math"/>
        </w:rPr>
        <w:t>‐</w:t>
      </w:r>
      <w:r>
        <w:t xml:space="preserve">foot long gravel road that connects to </w:t>
      </w:r>
      <w:r w:rsidR="009622E6">
        <w:t>Fought </w:t>
      </w:r>
      <w:r>
        <w:t xml:space="preserve">Road north of Shiloh Ridge Road. PG&amp;E will use the proposed access road to facilitate approved access and staging area activities described in the </w:t>
      </w:r>
      <w:r w:rsidR="009622E6">
        <w:t>Mitigated Negative Declaration (</w:t>
      </w:r>
      <w:r>
        <w:t>IS/MND</w:t>
      </w:r>
      <w:r w:rsidR="009622E6">
        <w:t>)</w:t>
      </w:r>
      <w:r>
        <w:t>, including transporting and storing construction materials and equipment, parking vehicles, and transporting workers.</w:t>
      </w:r>
      <w:r w:rsidR="009F5C96">
        <w:t xml:space="preserve">  PG&amp;E will remove or trim vegetation within 8 feet of the road centerline and up to 14 feet in height to accommodate access for large construction vehicles.  PG&amp;E will trim approximately three oak trees with branches that overhang the access road to accommodate project vehicles and equipment.  It will place gravel on the road bed and road shoulder </w:t>
      </w:r>
      <w:r w:rsidR="00D418F8">
        <w:t>but</w:t>
      </w:r>
      <w:r w:rsidR="009F5C96">
        <w:t xml:space="preserve"> will conduct no surface grading.  A new gate will be installed in an existing fence at the northern end of the access road that is similar in character to other ranch gates found in the area.</w:t>
      </w:r>
    </w:p>
    <w:p w14:paraId="052AB62B" w14:textId="64260B89" w:rsidR="00E842E3" w:rsidRDefault="009F5C96" w:rsidP="009F5C96">
      <w:pPr>
        <w:pStyle w:val="standard"/>
      </w:pPr>
      <w:r>
        <w:t>PG&amp;E has existing easement rights to access the power line alignment and has received</w:t>
      </w:r>
      <w:r w:rsidR="000E131B">
        <w:t xml:space="preserve"> </w:t>
      </w:r>
      <w:r>
        <w:t>landowner permission to use the proposed access road.</w:t>
      </w:r>
    </w:p>
    <w:p w14:paraId="3AC657C9" w14:textId="2180D406" w:rsidR="00E842E3" w:rsidRPr="00AA4116" w:rsidRDefault="00AA4116" w:rsidP="0048364E">
      <w:pPr>
        <w:pStyle w:val="Heading1"/>
      </w:pPr>
      <w:r>
        <w:t xml:space="preserve">Decision 17-12-012 Grant of Limited </w:t>
      </w:r>
      <w:r w:rsidR="00FC18DA">
        <w:t>Authority</w:t>
      </w:r>
      <w:r w:rsidR="00953554">
        <w:br/>
      </w:r>
      <w:r>
        <w:t>to Modify Access Roads</w:t>
      </w:r>
    </w:p>
    <w:p w14:paraId="05F22E08" w14:textId="67CB2D65" w:rsidR="00AB7CF5" w:rsidRDefault="00D418F8" w:rsidP="00AB7CF5">
      <w:pPr>
        <w:pStyle w:val="standard"/>
      </w:pPr>
      <w:r>
        <w:t xml:space="preserve">The Commission </w:t>
      </w:r>
      <w:r w:rsidR="00E02C72">
        <w:t xml:space="preserve">included </w:t>
      </w:r>
      <w:r>
        <w:t>p</w:t>
      </w:r>
      <w:r w:rsidR="005E076E" w:rsidRPr="005E076E">
        <w:t xml:space="preserve">rocedures for reviewing </w:t>
      </w:r>
      <w:r>
        <w:t xml:space="preserve">included </w:t>
      </w:r>
      <w:r w:rsidR="005E076E" w:rsidRPr="005E076E">
        <w:t>refinements</w:t>
      </w:r>
      <w:r>
        <w:t xml:space="preserve"> such as the one PG&amp;E proposed here </w:t>
      </w:r>
      <w:r w:rsidR="005E076E" w:rsidRPr="005E076E">
        <w:t xml:space="preserve">in the adopted Mitigation Monitoring and Compliance Program (MMRP). </w:t>
      </w:r>
      <w:r w:rsidR="001133EA">
        <w:t xml:space="preserve"> </w:t>
      </w:r>
      <w:r w:rsidR="005E076E" w:rsidRPr="005E076E">
        <w:t>These procedures were further developed and described in the Mitigation Monitoring, Compliance, and Reporting Plan that was prepared pursuant to the MMRP.</w:t>
      </w:r>
      <w:r w:rsidR="006A542F">
        <w:t xml:space="preserve">  </w:t>
      </w:r>
      <w:r w:rsidR="005E076E">
        <w:t>Section 4.4 of the MM</w:t>
      </w:r>
      <w:r w:rsidR="003866D4">
        <w:t>RP</w:t>
      </w:r>
      <w:r w:rsidR="005E076E">
        <w:t xml:space="preserve"> states the following:</w:t>
      </w:r>
    </w:p>
    <w:p w14:paraId="2E59973C" w14:textId="7F3CF34B" w:rsidR="005E076E" w:rsidRDefault="005E076E" w:rsidP="009103E5">
      <w:pPr>
        <w:pStyle w:val="standard"/>
        <w:keepNext/>
        <w:keepLines/>
        <w:spacing w:line="240" w:lineRule="auto"/>
        <w:ind w:left="720" w:right="1440" w:firstLine="0"/>
      </w:pPr>
      <w:r>
        <w:lastRenderedPageBreak/>
        <w:t>The</w:t>
      </w:r>
      <w:r w:rsidR="00D418F8">
        <w:t xml:space="preserve"> [California Public Utilities Commission]</w:t>
      </w:r>
      <w:r>
        <w:t xml:space="preserve"> CPUC, along with the CPUC’s designated Project Manager and environmental monitor, would evaluate any proposed deviations from the CPUC-approved project to ensure they are consistent with CEQA</w:t>
      </w:r>
      <w:r w:rsidR="00B20304">
        <w:t xml:space="preserve"> </w:t>
      </w:r>
      <w:r>
        <w:t>requirements.</w:t>
      </w:r>
      <w:r w:rsidR="006A542F">
        <w:t xml:space="preserve">  </w:t>
      </w:r>
      <w:r>
        <w:t>Depending on the nature and extent, a proposed deviation would be processed as a Minor Project Refinement or be the subject of a Petition for Modification that PG&amp;E would submit to the CPUC.</w:t>
      </w:r>
      <w:r w:rsidR="006A542F">
        <w:t xml:space="preserve">  </w:t>
      </w:r>
      <w:r>
        <w:t>Minor Project Refinements would be strictly limited to minor deviations that do not trigger additional permit requirements, do not increase the severity of a significant impact, or create a new significant impact, and are within the geographic scope evaluated in the IS/MND.</w:t>
      </w:r>
      <w:r w:rsidR="006A542F">
        <w:t xml:space="preserve">  </w:t>
      </w:r>
    </w:p>
    <w:p w14:paraId="2837B845" w14:textId="77777777" w:rsidR="00565EF4" w:rsidRDefault="00565EF4" w:rsidP="00D0635D">
      <w:pPr>
        <w:pStyle w:val="standard"/>
        <w:spacing w:line="240" w:lineRule="auto"/>
        <w:ind w:left="720" w:firstLine="0"/>
      </w:pPr>
    </w:p>
    <w:p w14:paraId="5E311068" w14:textId="2202CD49" w:rsidR="00565EF4" w:rsidRDefault="005E076E" w:rsidP="00BB5F11">
      <w:pPr>
        <w:pStyle w:val="standard"/>
        <w:spacing w:after="240" w:line="240" w:lineRule="auto"/>
        <w:ind w:left="720" w:right="1440" w:firstLine="0"/>
      </w:pPr>
      <w:r>
        <w:t>If a project refinement would create or have the potential to create a new significant impact, increase the severity of a significant impact, or occur outside the geographic area evaluated in the IS/MND, PG&amp;E would be required to submit a Petition for Modification.</w:t>
      </w:r>
      <w:r w:rsidR="006A542F">
        <w:t xml:space="preserve">  </w:t>
      </w:r>
      <w:r>
        <w:t>The CPUC would evaluate the Petition for Modification under CEQA, as appropriate, to determine what form of supplemental environmental review would be required.</w:t>
      </w:r>
      <w:r w:rsidR="006A542F">
        <w:t xml:space="preserve">  </w:t>
      </w:r>
    </w:p>
    <w:p w14:paraId="6340967F" w14:textId="29A59024" w:rsidR="00565EF4" w:rsidRDefault="00565EF4" w:rsidP="00F65225">
      <w:pPr>
        <w:pStyle w:val="standard"/>
      </w:pPr>
      <w:r>
        <w:t>The proposed alternate access road is partially outside of the geographic area evaluated in the IS/MND; therefore, PG&amp;E was required to submit a PFM</w:t>
      </w:r>
      <w:r w:rsidR="003866D4">
        <w:t xml:space="preserve"> as described in the MMRP</w:t>
      </w:r>
      <w:r>
        <w:t xml:space="preserve">. </w:t>
      </w:r>
    </w:p>
    <w:p w14:paraId="4ACC91BA" w14:textId="61838857" w:rsidR="00056A8F" w:rsidRDefault="00056A8F">
      <w:pPr>
        <w:pStyle w:val="Heading1"/>
      </w:pPr>
      <w:r>
        <w:t>C</w:t>
      </w:r>
      <w:r w:rsidR="004A7549">
        <w:t xml:space="preserve">alifornia </w:t>
      </w:r>
      <w:r w:rsidR="00E842E3">
        <w:t>E</w:t>
      </w:r>
      <w:r w:rsidR="004A7549">
        <w:t xml:space="preserve">nvironmental </w:t>
      </w:r>
      <w:r w:rsidR="00E842E3">
        <w:t>Q</w:t>
      </w:r>
      <w:r w:rsidR="004A7549">
        <w:t xml:space="preserve">uality </w:t>
      </w:r>
      <w:r w:rsidR="00E842E3">
        <w:t>A</w:t>
      </w:r>
      <w:r w:rsidR="004A7549">
        <w:t>ct</w:t>
      </w:r>
      <w:r w:rsidR="00D418F8">
        <w:t xml:space="preserve"> (CEQA)</w:t>
      </w:r>
    </w:p>
    <w:p w14:paraId="6FFDF625" w14:textId="703B36B2" w:rsidR="009F5C96" w:rsidRDefault="00E842E3" w:rsidP="00D418F8">
      <w:pPr>
        <w:spacing w:line="360" w:lineRule="auto"/>
        <w:ind w:firstLine="720"/>
      </w:pPr>
      <w:r>
        <w:t>T</w:t>
      </w:r>
      <w:r w:rsidR="00056A8F">
        <w:t xml:space="preserve">he </w:t>
      </w:r>
      <w:r w:rsidR="004762C9">
        <w:t>C</w:t>
      </w:r>
      <w:r>
        <w:t xml:space="preserve">ommission studied the proposed change and found no impact under CEQA.  We prepared the Addendum to the IS/MND attached to this decision as Attachment A.  </w:t>
      </w:r>
      <w:r w:rsidR="009F5C96">
        <w:t xml:space="preserve">According to the Addendum, the access road will be used in the same manner as the approved access roads identified in the IS/MND.  All construction procedures involving access; site development; erosion, sediment, and pollution control; traffic control; and cleanup and restoration will remain the </w:t>
      </w:r>
      <w:r w:rsidR="009F5C96">
        <w:lastRenderedPageBreak/>
        <w:t>same.  No new construction activities or equipment will be introduced. Access will be restricted to the defined road width (approximately 16 feet).</w:t>
      </w:r>
    </w:p>
    <w:p w14:paraId="09D40565" w14:textId="415DAD69" w:rsidR="00847F64" w:rsidRDefault="000E131B" w:rsidP="000E131B">
      <w:pPr>
        <w:spacing w:line="360" w:lineRule="auto"/>
        <w:ind w:firstLine="720"/>
      </w:pPr>
      <w:r>
        <w:t>The Addendum finds no impacts in the areas</w:t>
      </w:r>
      <w:r w:rsidR="00847F64">
        <w:t xml:space="preserve"> of</w:t>
      </w:r>
      <w:r>
        <w:t xml:space="preserve"> Aesthetics; Agriculture and Forestry Resources; Air Quality; Biological Resources; Cultural and </w:t>
      </w:r>
      <w:r w:rsidR="00AB7CF5">
        <w:br/>
      </w:r>
      <w:r>
        <w:t xml:space="preserve">Tribal Cultural Resources; Geology, Soils, and Mineral Resources; </w:t>
      </w:r>
      <w:r w:rsidRPr="00AB7CF5">
        <w:t>Greenhouse</w:t>
      </w:r>
      <w:r w:rsidR="00AB7CF5">
        <w:t> </w:t>
      </w:r>
      <w:r w:rsidRPr="00AB7CF5">
        <w:t>Gas</w:t>
      </w:r>
      <w:r>
        <w:t xml:space="preserve"> Emissions; Hazards and Hazardous Materials; Hydrology and Water Quality; Land Use and Planning; Noise; Paleontological Resources; Population and Housing</w:t>
      </w:r>
      <w:r w:rsidR="00847F64">
        <w:t xml:space="preserve">; </w:t>
      </w:r>
      <w:r>
        <w:t>Recreation</w:t>
      </w:r>
      <w:r w:rsidR="00847F64">
        <w:t xml:space="preserve">; </w:t>
      </w:r>
      <w:r>
        <w:t>Transportation and Traffic</w:t>
      </w:r>
      <w:r w:rsidR="00847F64">
        <w:t xml:space="preserve">; or </w:t>
      </w:r>
      <w:r w:rsidR="00AB7CF5">
        <w:br/>
      </w:r>
      <w:r>
        <w:t>Utilities and Public Services</w:t>
      </w:r>
      <w:r w:rsidR="00847F64">
        <w:t xml:space="preserve">.  The </w:t>
      </w:r>
      <w:r w:rsidR="00FC18DA">
        <w:t>Addendum</w:t>
      </w:r>
      <w:r w:rsidR="00847F64">
        <w:t xml:space="preserve"> concludes: </w:t>
      </w:r>
    </w:p>
    <w:p w14:paraId="126D13A8" w14:textId="248A8C06" w:rsidR="00847F64" w:rsidRDefault="00847F64" w:rsidP="00BB5F11">
      <w:pPr>
        <w:ind w:left="720" w:right="1440"/>
      </w:pPr>
      <w:r>
        <w:t xml:space="preserve">The proposed modification to the project that includes the use of an alternate access road </w:t>
      </w:r>
      <w:r w:rsidR="00B849D5">
        <w:t xml:space="preserve">... </w:t>
      </w:r>
      <w:r>
        <w:t>would not result in new significant impacts or substantially increase the severity of</w:t>
      </w:r>
      <w:r w:rsidR="00B849D5">
        <w:t xml:space="preserve"> </w:t>
      </w:r>
      <w:r>
        <w:t xml:space="preserve">previously identified impacts on the environment. No new </w:t>
      </w:r>
      <w:r w:rsidR="00B849D5">
        <w:t xml:space="preserve">[mitigation measures] </w:t>
      </w:r>
      <w:r>
        <w:t>are required to ensure that</w:t>
      </w:r>
      <w:r w:rsidR="00B849D5">
        <w:t xml:space="preserve"> </w:t>
      </w:r>
      <w:r>
        <w:t xml:space="preserve">impacts will remain less than significant. </w:t>
      </w:r>
      <w:r w:rsidR="00B849D5">
        <w:t xml:space="preserve"> </w:t>
      </w:r>
      <w:r>
        <w:t>No new information of substantial importance has</w:t>
      </w:r>
      <w:r w:rsidR="00B849D5">
        <w:t xml:space="preserve"> </w:t>
      </w:r>
      <w:r>
        <w:t>been identified, and none of the conditions described in Sections 15162 and 15163 of the CEQA</w:t>
      </w:r>
      <w:r w:rsidR="00B849D5">
        <w:t xml:space="preserve"> </w:t>
      </w:r>
      <w:r>
        <w:t xml:space="preserve">Guidelines that call for preparation of a subsequent </w:t>
      </w:r>
      <w:r w:rsidR="003866D4">
        <w:t xml:space="preserve">[or supplemental] </w:t>
      </w:r>
      <w:r>
        <w:t>CEQA document are present.</w:t>
      </w:r>
      <w:r w:rsidR="00B849D5">
        <w:t xml:space="preserve">  Addendum, Attachment A, at 4-1.</w:t>
      </w:r>
    </w:p>
    <w:p w14:paraId="479E2199" w14:textId="6304DEBA" w:rsidR="00B849D5" w:rsidRPr="001133EA" w:rsidRDefault="00B849D5" w:rsidP="00015EFC">
      <w:pPr>
        <w:rPr>
          <w:sz w:val="12"/>
          <w:szCs w:val="12"/>
        </w:rPr>
      </w:pPr>
    </w:p>
    <w:p w14:paraId="684C1326" w14:textId="614056E9" w:rsidR="00B849D5" w:rsidRDefault="00B849D5" w:rsidP="00B849D5">
      <w:pPr>
        <w:pStyle w:val="standard"/>
      </w:pPr>
      <w:r>
        <w:t xml:space="preserve">Therefore, the change PG&amp;E requests complies with CEQA and PG&amp;E’s </w:t>
      </w:r>
      <w:r w:rsidR="006931E7">
        <w:t>PFM</w:t>
      </w:r>
      <w:r>
        <w:t xml:space="preserve"> should be granted.</w:t>
      </w:r>
    </w:p>
    <w:p w14:paraId="04CE7A64" w14:textId="499533E2" w:rsidR="000F05F7" w:rsidRPr="00AC5B91" w:rsidRDefault="000F05F7" w:rsidP="00E842E3">
      <w:pPr>
        <w:pStyle w:val="Heading1"/>
      </w:pPr>
      <w:r w:rsidRPr="00AC5B91">
        <w:t>Waiver of Comment Period</w:t>
      </w:r>
    </w:p>
    <w:p w14:paraId="179D27E8" w14:textId="5FB41AD8" w:rsidR="000F05F7" w:rsidRDefault="000F05F7" w:rsidP="000F05F7">
      <w:pPr>
        <w:pStyle w:val="standard"/>
      </w:pPr>
      <w:r w:rsidRPr="00AC5B91">
        <w:t>This is an uncontested matter in which the decision grants the relief requested.  Accordingly, pursuant to Section 311(g)(2) of the Public Utilities Code and Rule 14.6(c)(2) of the Commission’s Rules of Practice and Procedure, the otherwise applicable 30-day period for public review and comment is waived.</w:t>
      </w:r>
    </w:p>
    <w:p w14:paraId="761CA4F9" w14:textId="77777777" w:rsidR="00B30FF9" w:rsidRDefault="00B30FF9">
      <w:pPr>
        <w:pStyle w:val="Heading1"/>
      </w:pPr>
      <w:r>
        <w:lastRenderedPageBreak/>
        <w:t>Assignment of Proceeding</w:t>
      </w:r>
    </w:p>
    <w:p w14:paraId="3EF3C551" w14:textId="4E484A39" w:rsidR="001A3E8B" w:rsidRPr="00BB5F11" w:rsidRDefault="009D64A6" w:rsidP="00BB5F11">
      <w:pPr>
        <w:pStyle w:val="standard"/>
      </w:pPr>
      <w:r>
        <w:t>Clifford Rechtschaffen</w:t>
      </w:r>
      <w:r w:rsidR="003B246E">
        <w:t xml:space="preserve"> </w:t>
      </w:r>
      <w:r w:rsidR="00B30FF9">
        <w:t xml:space="preserve">is the assigned Commissioner and </w:t>
      </w:r>
      <w:r w:rsidR="00AA4116">
        <w:t xml:space="preserve">Brian Stevens </w:t>
      </w:r>
      <w:r w:rsidR="00B30FF9">
        <w:t>is the assigned Administrative Law Judge in this proceeding.</w:t>
      </w:r>
      <w:bookmarkStart w:id="1" w:name="_Toc450990219"/>
      <w:bookmarkStart w:id="2" w:name="_Toc451151266"/>
    </w:p>
    <w:p w14:paraId="332B6A24" w14:textId="09DEAF32" w:rsidR="00B30FF9" w:rsidRDefault="00B30FF9">
      <w:pPr>
        <w:pStyle w:val="dummy"/>
      </w:pPr>
      <w:r>
        <w:t>Findings of Fact</w:t>
      </w:r>
      <w:bookmarkEnd w:id="1"/>
      <w:bookmarkEnd w:id="2"/>
    </w:p>
    <w:p w14:paraId="139EA6EC" w14:textId="77777777" w:rsidR="00B849D5" w:rsidRDefault="00B849D5" w:rsidP="005A7E62">
      <w:pPr>
        <w:pStyle w:val="num1"/>
        <w:numPr>
          <w:ilvl w:val="0"/>
          <w:numId w:val="2"/>
        </w:numPr>
      </w:pPr>
      <w:r>
        <w:t>The homeowners’ association affected by the current access road location has objected to the road’s use.</w:t>
      </w:r>
    </w:p>
    <w:p w14:paraId="10931904" w14:textId="0EA693DF" w:rsidR="00B849D5" w:rsidRDefault="00B849D5" w:rsidP="005A7E62">
      <w:pPr>
        <w:pStyle w:val="num1"/>
        <w:numPr>
          <w:ilvl w:val="0"/>
          <w:numId w:val="2"/>
        </w:numPr>
      </w:pPr>
      <w:r>
        <w:t xml:space="preserve">PG&amp;E has the landowner’s permission to use the </w:t>
      </w:r>
      <w:r w:rsidR="00EA23D6">
        <w:t xml:space="preserve">proposed </w:t>
      </w:r>
      <w:r w:rsidR="0030281E">
        <w:t xml:space="preserve">alternative access </w:t>
      </w:r>
      <w:r>
        <w:t>road.</w:t>
      </w:r>
    </w:p>
    <w:p w14:paraId="2393B5C1" w14:textId="7C531DAE" w:rsidR="00442915" w:rsidRDefault="00B849D5" w:rsidP="005A7E62">
      <w:pPr>
        <w:pStyle w:val="num1"/>
        <w:numPr>
          <w:ilvl w:val="0"/>
          <w:numId w:val="2"/>
        </w:numPr>
      </w:pPr>
      <w:r>
        <w:t xml:space="preserve">The use of the new road will not differ from the use of the original access road:  access to a staging area and landing </w:t>
      </w:r>
      <w:r w:rsidR="00EA23D6">
        <w:t xml:space="preserve">zone </w:t>
      </w:r>
      <w:r>
        <w:t xml:space="preserve">to facilitate construction of the Project. </w:t>
      </w:r>
    </w:p>
    <w:p w14:paraId="74B07C4F" w14:textId="0CF3901C" w:rsidR="00DA4BDA" w:rsidRDefault="00B849D5" w:rsidP="00DA4BDA">
      <w:pPr>
        <w:pStyle w:val="num1"/>
        <w:numPr>
          <w:ilvl w:val="0"/>
          <w:numId w:val="2"/>
        </w:numPr>
      </w:pPr>
      <w:r>
        <w:t xml:space="preserve">The change in access roads has no impact on the environment </w:t>
      </w:r>
      <w:r w:rsidR="00DA4BDA" w:rsidRPr="00DA4BDA">
        <w:t xml:space="preserve">with respect to </w:t>
      </w:r>
      <w:r>
        <w:t>Aesthetics; Agriculture and Forestry Resources; Air Quality; Biological Resources; Cultural and Tribal Cultural Resources; Geology, Soils, and Mineral Resources; Greenhouse Gas Emissions; Hazards and Hazardous Materials; Hydrology and Water Quality; Land Use and Planning; Noise; Paleontological Resources; Population and Housing; Recreation; Transportation and Traffic; or Utilities and Public Services</w:t>
      </w:r>
      <w:r w:rsidR="0030281E">
        <w:t xml:space="preserve">.  </w:t>
      </w:r>
    </w:p>
    <w:p w14:paraId="0D02F82F" w14:textId="77777777" w:rsidR="00B30FF9" w:rsidRDefault="00B30FF9">
      <w:pPr>
        <w:pStyle w:val="dummy"/>
      </w:pPr>
      <w:bookmarkStart w:id="3" w:name="_Toc370798914"/>
      <w:bookmarkStart w:id="4" w:name="_Toc450990220"/>
      <w:bookmarkStart w:id="5" w:name="_Toc451151267"/>
      <w:r>
        <w:t>Conclusions of Law</w:t>
      </w:r>
      <w:bookmarkEnd w:id="3"/>
      <w:bookmarkEnd w:id="4"/>
      <w:bookmarkEnd w:id="5"/>
    </w:p>
    <w:p w14:paraId="45F7E024" w14:textId="7D37128A" w:rsidR="00B30FF9" w:rsidRDefault="00D97AC8" w:rsidP="00442915">
      <w:pPr>
        <w:pStyle w:val="num1"/>
        <w:numPr>
          <w:ilvl w:val="0"/>
          <w:numId w:val="13"/>
        </w:numPr>
      </w:pPr>
      <w:r>
        <w:t>P</w:t>
      </w:r>
      <w:r w:rsidR="00313205">
        <w:t>G&amp;E</w:t>
      </w:r>
      <w:r w:rsidR="00B849D5">
        <w:t>’s PFM should be granted to allow the change in access roads.</w:t>
      </w:r>
      <w:r w:rsidR="0048364E">
        <w:t xml:space="preserve">  </w:t>
      </w:r>
    </w:p>
    <w:p w14:paraId="39FC10E2" w14:textId="297D99BB" w:rsidR="00B849D5" w:rsidRDefault="00B849D5" w:rsidP="00442915">
      <w:pPr>
        <w:pStyle w:val="num1"/>
        <w:numPr>
          <w:ilvl w:val="0"/>
          <w:numId w:val="13"/>
        </w:numPr>
      </w:pPr>
      <w:r>
        <w:t>An Addendum is appropriate under CEQA.</w:t>
      </w:r>
      <w:r w:rsidR="0048364E">
        <w:t xml:space="preserve">  </w:t>
      </w:r>
    </w:p>
    <w:p w14:paraId="3467F856" w14:textId="37543A99" w:rsidR="00B849D5" w:rsidRDefault="00B849D5" w:rsidP="00442915">
      <w:pPr>
        <w:pStyle w:val="num1"/>
        <w:numPr>
          <w:ilvl w:val="0"/>
          <w:numId w:val="13"/>
        </w:numPr>
      </w:pPr>
      <w:r>
        <w:t>The change proposed in the PFM complies with CEQA.</w:t>
      </w:r>
      <w:r w:rsidR="0048364E">
        <w:t xml:space="preserve">  </w:t>
      </w:r>
    </w:p>
    <w:p w14:paraId="36391ECA" w14:textId="426AFF7D" w:rsidR="000F05F7" w:rsidRPr="0030281E" w:rsidRDefault="00BD0D6F" w:rsidP="0030281E">
      <w:pPr>
        <w:pStyle w:val="num1"/>
        <w:numPr>
          <w:ilvl w:val="0"/>
          <w:numId w:val="13"/>
        </w:numPr>
      </w:pPr>
      <w:r>
        <w:t>This order should be effective immediately.</w:t>
      </w:r>
      <w:bookmarkStart w:id="6" w:name="_Toc370798915"/>
      <w:bookmarkStart w:id="7" w:name="_Toc450990221"/>
      <w:bookmarkStart w:id="8" w:name="_Toc451151268"/>
      <w:bookmarkStart w:id="9" w:name="OLE_LINK1"/>
      <w:bookmarkStart w:id="10" w:name="OLE_LINK2"/>
      <w:r w:rsidR="0048364E">
        <w:t xml:space="preserve">  </w:t>
      </w:r>
    </w:p>
    <w:p w14:paraId="3CFD7FA8" w14:textId="6BD60B5C" w:rsidR="00442915" w:rsidRDefault="00B30FF9" w:rsidP="00A650EA">
      <w:pPr>
        <w:pStyle w:val="mainex"/>
        <w:keepNext/>
        <w:keepLines/>
        <w:spacing w:before="120" w:after="120"/>
      </w:pPr>
      <w:r>
        <w:lastRenderedPageBreak/>
        <w:t>ORDER</w:t>
      </w:r>
      <w:bookmarkEnd w:id="6"/>
      <w:bookmarkEnd w:id="7"/>
      <w:bookmarkEnd w:id="8"/>
      <w:bookmarkEnd w:id="9"/>
      <w:bookmarkEnd w:id="10"/>
    </w:p>
    <w:p w14:paraId="64172A2B" w14:textId="77777777" w:rsidR="00B30FF9" w:rsidRDefault="00B30FF9" w:rsidP="00C8101E">
      <w:pPr>
        <w:pStyle w:val="standard"/>
        <w:keepNext/>
        <w:keepLines/>
        <w:spacing w:before="120"/>
      </w:pPr>
      <w:r>
        <w:rPr>
          <w:b/>
        </w:rPr>
        <w:t>IT IS ORDERED</w:t>
      </w:r>
      <w:r>
        <w:t xml:space="preserve"> that:</w:t>
      </w:r>
    </w:p>
    <w:p w14:paraId="67B9A12A" w14:textId="69D5D8BF" w:rsidR="00285625" w:rsidRDefault="0045127E" w:rsidP="00C8101E">
      <w:pPr>
        <w:pStyle w:val="num1"/>
        <w:keepNext/>
        <w:keepLines/>
        <w:numPr>
          <w:ilvl w:val="0"/>
          <w:numId w:val="3"/>
        </w:numPr>
      </w:pPr>
      <w:r>
        <w:t>Pacific Gas and Electric Company</w:t>
      </w:r>
      <w:r w:rsidR="00B849D5">
        <w:t xml:space="preserve">’s October 31, 2018 Petition for Modification </w:t>
      </w:r>
      <w:r w:rsidR="00FE5E08">
        <w:t xml:space="preserve">is </w:t>
      </w:r>
      <w:r>
        <w:t>granted</w:t>
      </w:r>
      <w:r w:rsidR="00B849D5">
        <w:t>.</w:t>
      </w:r>
      <w:r w:rsidR="0048364E">
        <w:t xml:space="preserve">  </w:t>
      </w:r>
    </w:p>
    <w:p w14:paraId="5768B786" w14:textId="2D903DAD" w:rsidR="0045127E" w:rsidRDefault="0045127E" w:rsidP="00313205">
      <w:pPr>
        <w:pStyle w:val="num1"/>
        <w:numPr>
          <w:ilvl w:val="0"/>
          <w:numId w:val="3"/>
        </w:numPr>
      </w:pPr>
      <w:r>
        <w:t xml:space="preserve">The </w:t>
      </w:r>
      <w:r w:rsidR="00B849D5">
        <w:t>Addendum attached to this decision as Attachment A is adopted</w:t>
      </w:r>
      <w:r w:rsidRPr="0045127E">
        <w:t>.</w:t>
      </w:r>
    </w:p>
    <w:p w14:paraId="25494FA5" w14:textId="46FE9BC1" w:rsidR="00B30FF9" w:rsidRDefault="00B30FF9" w:rsidP="008D4F39">
      <w:pPr>
        <w:pStyle w:val="num1"/>
        <w:keepNext/>
        <w:keepLines/>
        <w:numPr>
          <w:ilvl w:val="0"/>
          <w:numId w:val="3"/>
        </w:numPr>
      </w:pPr>
      <w:r>
        <w:t>Application</w:t>
      </w:r>
      <w:r w:rsidR="00D94D9A">
        <w:t xml:space="preserve"> 15-12-005</w:t>
      </w:r>
      <w:r>
        <w:t xml:space="preserve"> is closed.</w:t>
      </w:r>
      <w:r w:rsidR="0048364E">
        <w:t xml:space="preserve">  </w:t>
      </w:r>
    </w:p>
    <w:p w14:paraId="08812165" w14:textId="06D33340" w:rsidR="00B30FF9" w:rsidRDefault="00B30FF9" w:rsidP="008D4F39">
      <w:pPr>
        <w:pStyle w:val="standard"/>
        <w:keepNext/>
        <w:keepLines/>
      </w:pPr>
      <w:r>
        <w:t>This order is effective today.</w:t>
      </w:r>
      <w:r w:rsidR="0048364E">
        <w:t xml:space="preserve">  </w:t>
      </w:r>
    </w:p>
    <w:p w14:paraId="4415C957" w14:textId="1AD79A35" w:rsidR="008102C4" w:rsidRDefault="00B30FF9" w:rsidP="00254D88">
      <w:pPr>
        <w:pStyle w:val="standard"/>
        <w:tabs>
          <w:tab w:val="left" w:pos="5040"/>
        </w:tabs>
      </w:pPr>
      <w:r>
        <w:t xml:space="preserve">Dated </w:t>
      </w:r>
      <w:r w:rsidR="00A31746">
        <w:t>February 21, 2019,</w:t>
      </w:r>
      <w:r>
        <w:t xml:space="preserve"> at San Francisco, California. </w:t>
      </w:r>
    </w:p>
    <w:p w14:paraId="5C43A99C" w14:textId="2ACEB504" w:rsidR="00A31746" w:rsidRDefault="00A31746" w:rsidP="00254D88">
      <w:pPr>
        <w:pStyle w:val="standard"/>
        <w:tabs>
          <w:tab w:val="left" w:pos="5040"/>
        </w:tabs>
      </w:pPr>
    </w:p>
    <w:p w14:paraId="530E6915" w14:textId="77777777" w:rsidR="00A31746" w:rsidRDefault="00A31746" w:rsidP="00A31746">
      <w:pPr>
        <w:autoSpaceDE w:val="0"/>
        <w:autoSpaceDN w:val="0"/>
        <w:adjustRightInd w:val="0"/>
        <w:ind w:left="4320"/>
        <w:jc w:val="both"/>
        <w:rPr>
          <w:rFonts w:cs="Palatino"/>
          <w:szCs w:val="26"/>
        </w:rPr>
      </w:pPr>
      <w:r w:rsidRPr="008B63F2">
        <w:rPr>
          <w:rFonts w:cs="Courier New"/>
          <w:szCs w:val="26"/>
        </w:rPr>
        <w:t>MICHAEL PICKER</w:t>
      </w:r>
    </w:p>
    <w:p w14:paraId="6AE21BA0" w14:textId="77777777" w:rsidR="00A31746" w:rsidRDefault="00A31746" w:rsidP="00A31746">
      <w:pPr>
        <w:autoSpaceDE w:val="0"/>
        <w:autoSpaceDN w:val="0"/>
        <w:adjustRightInd w:val="0"/>
        <w:ind w:firstLine="720"/>
        <w:jc w:val="both"/>
        <w:rPr>
          <w:rFonts w:cs="Palatino"/>
          <w:szCs w:val="26"/>
        </w:rPr>
      </w:pPr>
      <w:r>
        <w:rPr>
          <w:rFonts w:cs="Palatino"/>
          <w:szCs w:val="26"/>
        </w:rPr>
        <w:tab/>
      </w:r>
      <w:r>
        <w:rPr>
          <w:rFonts w:cs="Palatino"/>
          <w:szCs w:val="26"/>
        </w:rPr>
        <w:tab/>
      </w:r>
      <w:r>
        <w:rPr>
          <w:rFonts w:cs="Palatino"/>
          <w:szCs w:val="26"/>
        </w:rPr>
        <w:tab/>
      </w:r>
      <w:r>
        <w:rPr>
          <w:rFonts w:cs="Palatino"/>
          <w:szCs w:val="26"/>
        </w:rPr>
        <w:tab/>
      </w:r>
      <w:r>
        <w:rPr>
          <w:rFonts w:cs="Palatino"/>
          <w:szCs w:val="26"/>
        </w:rPr>
        <w:tab/>
        <w:t xml:space="preserve">                       President</w:t>
      </w:r>
    </w:p>
    <w:p w14:paraId="7F4AB086" w14:textId="77777777" w:rsidR="00A31746" w:rsidRDefault="00A31746" w:rsidP="00A31746">
      <w:pPr>
        <w:autoSpaceDE w:val="0"/>
        <w:autoSpaceDN w:val="0"/>
        <w:adjustRightInd w:val="0"/>
        <w:ind w:left="4320"/>
        <w:jc w:val="both"/>
        <w:rPr>
          <w:rFonts w:cs="Courier New"/>
          <w:szCs w:val="26"/>
        </w:rPr>
      </w:pPr>
      <w:r>
        <w:rPr>
          <w:rFonts w:cs="Courier New"/>
          <w:szCs w:val="26"/>
        </w:rPr>
        <w:t>LIANE M. RANDOLPH</w:t>
      </w:r>
    </w:p>
    <w:p w14:paraId="6F62F7FE" w14:textId="77777777" w:rsidR="00A31746" w:rsidRDefault="00A31746" w:rsidP="00A31746">
      <w:pPr>
        <w:autoSpaceDE w:val="0"/>
        <w:autoSpaceDN w:val="0"/>
        <w:adjustRightInd w:val="0"/>
        <w:ind w:left="4320"/>
        <w:jc w:val="both"/>
        <w:rPr>
          <w:rFonts w:ascii="Times New Roman" w:hAnsi="Times New Roman"/>
          <w:sz w:val="28"/>
          <w:szCs w:val="28"/>
        </w:rPr>
      </w:pPr>
      <w:r>
        <w:rPr>
          <w:rFonts w:ascii="Times New Roman" w:hAnsi="Times New Roman"/>
          <w:sz w:val="28"/>
          <w:szCs w:val="28"/>
        </w:rPr>
        <w:t>MARTHA GUZMAN ACEVES</w:t>
      </w:r>
    </w:p>
    <w:p w14:paraId="42D0BA18" w14:textId="77777777" w:rsidR="00A31746" w:rsidRDefault="00A31746" w:rsidP="00A31746">
      <w:pPr>
        <w:autoSpaceDE w:val="0"/>
        <w:autoSpaceDN w:val="0"/>
        <w:adjustRightInd w:val="0"/>
        <w:ind w:left="4320"/>
        <w:jc w:val="both"/>
        <w:rPr>
          <w:sz w:val="28"/>
          <w:szCs w:val="28"/>
        </w:rPr>
      </w:pPr>
      <w:r>
        <w:rPr>
          <w:sz w:val="28"/>
          <w:szCs w:val="28"/>
        </w:rPr>
        <w:t>CLIFFORD RECHTSCHAFFEN</w:t>
      </w:r>
    </w:p>
    <w:p w14:paraId="5C7FF712" w14:textId="77777777" w:rsidR="00A31746" w:rsidRPr="00620FCB" w:rsidRDefault="00A31746" w:rsidP="00A31746">
      <w:pPr>
        <w:autoSpaceDE w:val="0"/>
        <w:autoSpaceDN w:val="0"/>
        <w:adjustRightInd w:val="0"/>
        <w:ind w:left="4320"/>
        <w:jc w:val="both"/>
        <w:rPr>
          <w:sz w:val="28"/>
          <w:szCs w:val="28"/>
        </w:rPr>
      </w:pPr>
      <w:r w:rsidRPr="00620FCB">
        <w:rPr>
          <w:sz w:val="28"/>
          <w:szCs w:val="28"/>
        </w:rPr>
        <w:t>GENEVIEVE SHIROMA</w:t>
      </w:r>
    </w:p>
    <w:p w14:paraId="34364AE7" w14:textId="77777777" w:rsidR="00A31746" w:rsidRDefault="00A31746" w:rsidP="00A31746">
      <w:pPr>
        <w:autoSpaceDE w:val="0"/>
        <w:autoSpaceDN w:val="0"/>
        <w:adjustRightInd w:val="0"/>
        <w:ind w:left="4320" w:firstLine="720"/>
        <w:jc w:val="both"/>
        <w:rPr>
          <w:rFonts w:cs="Palatino"/>
          <w:szCs w:val="26"/>
        </w:rPr>
      </w:pPr>
      <w:r>
        <w:rPr>
          <w:rFonts w:cs="Palatino"/>
          <w:szCs w:val="26"/>
        </w:rPr>
        <w:t xml:space="preserve">                 Commissioners</w:t>
      </w:r>
    </w:p>
    <w:p w14:paraId="57033125" w14:textId="77777777" w:rsidR="00A31746" w:rsidRPr="008102C4" w:rsidRDefault="00A31746" w:rsidP="00254D88">
      <w:pPr>
        <w:pStyle w:val="standard"/>
        <w:tabs>
          <w:tab w:val="left" w:pos="5040"/>
        </w:tabs>
        <w:rPr>
          <w:rFonts w:ascii="Times New Roman" w:hAnsi="Times New Roman"/>
          <w:b/>
          <w:sz w:val="48"/>
          <w:szCs w:val="48"/>
        </w:rPr>
      </w:pPr>
    </w:p>
    <w:sectPr w:rsidR="00A31746" w:rsidRPr="008102C4" w:rsidSect="008D4F39">
      <w:headerReference w:type="default" r:id="rId8"/>
      <w:footerReference w:type="default" r:id="rId9"/>
      <w:headerReference w:type="first" r:id="rId10"/>
      <w:footerReference w:type="first" r:id="rId11"/>
      <w:pgSz w:w="12240" w:h="15840" w:code="1"/>
      <w:pgMar w:top="1152" w:right="1440" w:bottom="1440" w:left="1440"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03CB9" w14:textId="77777777" w:rsidR="00EF0042" w:rsidRDefault="00EF0042">
      <w:r>
        <w:separator/>
      </w:r>
    </w:p>
  </w:endnote>
  <w:endnote w:type="continuationSeparator" w:id="0">
    <w:p w14:paraId="41F9BE85" w14:textId="77777777" w:rsidR="00EF0042" w:rsidRDefault="00EF0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42400" w14:textId="78332EB9" w:rsidR="00A650EA" w:rsidRDefault="008D4F39">
    <w:pPr>
      <w:pStyle w:val="Footer"/>
    </w:pPr>
    <w:r>
      <w:t xml:space="preserve">- </w:t>
    </w:r>
    <w:r>
      <w:fldChar w:fldCharType="begin"/>
    </w:r>
    <w:r>
      <w:instrText xml:space="preserve"> PAGE   \* MERGEFORMAT </w:instrText>
    </w:r>
    <w:r>
      <w:fldChar w:fldCharType="separate"/>
    </w:r>
    <w:r>
      <w:rPr>
        <w:noProof/>
      </w:rPr>
      <w:t>1</w:t>
    </w:r>
    <w:r>
      <w:rPr>
        <w:noProof/>
      </w:rPr>
      <w:fldChar w:fldCharType="end"/>
    </w:r>
    <w:r>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5337C" w14:textId="72D4E200" w:rsidR="008102C4" w:rsidRPr="008102C4" w:rsidRDefault="00A31746" w:rsidP="00A650EA">
    <w:pPr>
      <w:pStyle w:val="Footer"/>
      <w:jc w:val="left"/>
    </w:pPr>
    <w:r w:rsidRPr="00A31746">
      <w:rPr>
        <w:rFonts w:ascii="Tahoma" w:hAnsi="Tahoma" w:cs="Tahoma"/>
        <w:sz w:val="17"/>
        <w:szCs w:val="17"/>
      </w:rPr>
      <w:t>268439196</w:t>
    </w:r>
    <w:r w:rsidR="00A650EA">
      <w:rPr>
        <w:rFonts w:ascii="Tahoma" w:hAnsi="Tahoma" w:cs="Tahoma"/>
        <w:sz w:val="17"/>
        <w:szCs w:val="17"/>
      </w:rPr>
      <w:tab/>
    </w:r>
    <w:r w:rsidR="00A650EA">
      <w:t xml:space="preserve">- </w:t>
    </w:r>
    <w:r w:rsidR="00A650EA">
      <w:fldChar w:fldCharType="begin"/>
    </w:r>
    <w:r w:rsidR="00A650EA">
      <w:instrText xml:space="preserve"> PAGE   \* MERGEFORMAT </w:instrText>
    </w:r>
    <w:r w:rsidR="00A650EA">
      <w:fldChar w:fldCharType="separate"/>
    </w:r>
    <w:r w:rsidR="00A650EA">
      <w:rPr>
        <w:noProof/>
      </w:rPr>
      <w:t>1</w:t>
    </w:r>
    <w:r w:rsidR="00A650EA">
      <w:rPr>
        <w:noProof/>
      </w:rPr>
      <w:fldChar w:fldCharType="end"/>
    </w:r>
    <w:r w:rsidR="00A650EA">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E9CEE" w14:textId="77777777" w:rsidR="00EF0042" w:rsidRDefault="00EF0042">
      <w:r>
        <w:separator/>
      </w:r>
    </w:p>
  </w:footnote>
  <w:footnote w:type="continuationSeparator" w:id="0">
    <w:p w14:paraId="7E021B41" w14:textId="77777777" w:rsidR="00EF0042" w:rsidRDefault="00EF0042">
      <w:r>
        <w:continuationSeparator/>
      </w:r>
    </w:p>
  </w:footnote>
  <w:footnote w:type="continuationNotice" w:id="1">
    <w:p w14:paraId="757D5ACF" w14:textId="77777777" w:rsidR="00EF0042" w:rsidRDefault="00EF0042">
      <w:pPr>
        <w:rPr>
          <w:sz w:val="22"/>
        </w:rPr>
      </w:pPr>
    </w:p>
    <w:p w14:paraId="6511B7ED" w14:textId="77777777" w:rsidR="00EF0042" w:rsidRDefault="00EF0042">
      <w:pPr>
        <w:jc w:val="right"/>
        <w:rPr>
          <w:sz w:val="22"/>
        </w:rPr>
      </w:pPr>
      <w:r>
        <w:rPr>
          <w:i/>
          <w:sz w:val="22"/>
        </w:rPr>
        <w:t>Footnote continued on next page</w:t>
      </w:r>
    </w:p>
  </w:footnote>
  <w:footnote w:id="2">
    <w:p w14:paraId="43A96068" w14:textId="42BA3146" w:rsidR="00351F27" w:rsidRPr="001133EA" w:rsidRDefault="00351F27">
      <w:pPr>
        <w:pStyle w:val="FootnoteText"/>
        <w:rPr>
          <w:sz w:val="22"/>
          <w:szCs w:val="22"/>
        </w:rPr>
      </w:pPr>
      <w:r>
        <w:rPr>
          <w:rStyle w:val="FootnoteReference"/>
        </w:rPr>
        <w:footnoteRef/>
      </w:r>
      <w:r>
        <w:t xml:space="preserve"> </w:t>
      </w:r>
      <w:r w:rsidR="005E6CA8">
        <w:t xml:space="preserve"> </w:t>
      </w:r>
      <w:r w:rsidRPr="001133EA">
        <w:rPr>
          <w:sz w:val="22"/>
          <w:szCs w:val="22"/>
        </w:rPr>
        <w:t>D</w:t>
      </w:r>
      <w:r w:rsidR="003064F5" w:rsidRPr="001133EA">
        <w:rPr>
          <w:sz w:val="22"/>
          <w:szCs w:val="22"/>
        </w:rPr>
        <w:t>.</w:t>
      </w:r>
      <w:r w:rsidRPr="001133EA">
        <w:rPr>
          <w:sz w:val="22"/>
          <w:szCs w:val="22"/>
        </w:rPr>
        <w:t>18-04-029 modified D.17-12-012 in a manner not pertinent to this decision.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B1176" w14:textId="15D6DB78" w:rsidR="00A650EA" w:rsidRDefault="00A650EA" w:rsidP="00A650EA">
    <w:pPr>
      <w:pStyle w:val="Header"/>
    </w:pPr>
    <w:r>
      <w:t>A.15-12-</w:t>
    </w:r>
    <w:proofErr w:type="gramStart"/>
    <w:r>
      <w:t>005  ALJ</w:t>
    </w:r>
    <w:proofErr w:type="gramEnd"/>
    <w:r>
      <w:t>/BRC/</w:t>
    </w:r>
    <w:proofErr w:type="spellStart"/>
    <w:r>
      <w:t>ilz</w:t>
    </w:r>
    <w:proofErr w:type="spellEnd"/>
    <w:r>
      <w:tab/>
    </w:r>
    <w:r>
      <w:tab/>
    </w:r>
  </w:p>
  <w:p w14:paraId="0D072028" w14:textId="1239C6CB" w:rsidR="00A650EA" w:rsidRDefault="00A650EA">
    <w:pPr>
      <w:pStyle w:val="Header"/>
    </w:pPr>
  </w:p>
  <w:p w14:paraId="4D8C1504" w14:textId="77777777" w:rsidR="00A650EA" w:rsidRDefault="00A650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E5F52" w14:textId="642B8BA7" w:rsidR="00F63FF0" w:rsidRDefault="00F63FF0">
    <w:pPr>
      <w:pStyle w:val="Header"/>
    </w:pPr>
  </w:p>
  <w:p w14:paraId="75996EB7" w14:textId="77777777" w:rsidR="00F63FF0" w:rsidRDefault="00F63F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EBC05C4"/>
    <w:lvl w:ilvl="0">
      <w:start w:val="1"/>
      <w:numFmt w:val="decimal"/>
      <w:pStyle w:val="Heading1"/>
      <w:lvlText w:val="%1."/>
      <w:legacy w:legacy="1" w:legacySpace="0" w:legacyIndent="720"/>
      <w:lvlJc w:val="left"/>
      <w:pPr>
        <w:ind w:left="720" w:hanging="720"/>
      </w:pPr>
      <w:rPr>
        <w:b/>
      </w:r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4140" w:hanging="720"/>
      </w:pPr>
      <w:rPr>
        <w:rFonts w:ascii="Helvetica" w:hAnsi="Helvetica" w:cs="Times New Roman" w:hint="default"/>
        <w:sz w:val="26"/>
        <w:szCs w:val="26"/>
      </w:rPr>
    </w:lvl>
    <w:lvl w:ilvl="5">
      <w:start w:val="1"/>
      <w:numFmt w:val="decimal"/>
      <w:pStyle w:val="Heading6"/>
      <w:lvlText w:val="%1.%2.%3.%4.%5.%6."/>
      <w:legacy w:legacy="1" w:legacySpace="0" w:legacyIndent="720"/>
      <w:lvlJc w:val="left"/>
      <w:pPr>
        <w:ind w:left="4320" w:hanging="720"/>
      </w:pPr>
      <w:rPr>
        <w:b/>
        <w:i w:val="0"/>
        <w:sz w:val="26"/>
        <w:szCs w:val="26"/>
      </w:rPr>
    </w:lvl>
    <w:lvl w:ilvl="6">
      <w:start w:val="1"/>
      <w:numFmt w:val="decimal"/>
      <w:pStyle w:val="Heading7"/>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C250785"/>
    <w:multiLevelType w:val="hybridMultilevel"/>
    <w:tmpl w:val="1084E490"/>
    <w:lvl w:ilvl="0" w:tplc="ED5CA712">
      <w:numFmt w:val="bullet"/>
      <w:lvlText w:val="-"/>
      <w:lvlJc w:val="left"/>
      <w:pPr>
        <w:ind w:left="720" w:hanging="360"/>
      </w:pPr>
      <w:rPr>
        <w:rFonts w:ascii="Palatino" w:eastAsia="Times New Roman"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B381E"/>
    <w:multiLevelType w:val="singleLevel"/>
    <w:tmpl w:val="2FB6A734"/>
    <w:lvl w:ilvl="0">
      <w:start w:val="1"/>
      <w:numFmt w:val="decimal"/>
      <w:lvlText w:val="%1."/>
      <w:legacy w:legacy="1" w:legacySpace="144" w:legacyIndent="0"/>
      <w:lvlJc w:val="left"/>
    </w:lvl>
  </w:abstractNum>
  <w:abstractNum w:abstractNumId="3" w15:restartNumberingAfterBreak="0">
    <w:nsid w:val="2DD46003"/>
    <w:multiLevelType w:val="singleLevel"/>
    <w:tmpl w:val="408002C8"/>
    <w:lvl w:ilvl="0">
      <w:start w:val="1"/>
      <w:numFmt w:val="decimal"/>
      <w:lvlText w:val="%1."/>
      <w:legacy w:legacy="1" w:legacySpace="144" w:legacyIndent="0"/>
      <w:lvlJc w:val="left"/>
    </w:lvl>
  </w:abstractNum>
  <w:abstractNum w:abstractNumId="4" w15:restartNumberingAfterBreak="0">
    <w:nsid w:val="33394DA9"/>
    <w:multiLevelType w:val="hybridMultilevel"/>
    <w:tmpl w:val="301275F8"/>
    <w:lvl w:ilvl="0" w:tplc="2468F054">
      <w:start w:val="1"/>
      <w:numFmt w:val="bullet"/>
      <w:pStyle w:val="bullet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5454EAF"/>
    <w:multiLevelType w:val="hybridMultilevel"/>
    <w:tmpl w:val="8D184B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6D37F8C"/>
    <w:multiLevelType w:val="multilevel"/>
    <w:tmpl w:val="DAD268B6"/>
    <w:lvl w:ilvl="0">
      <w:start w:val="1"/>
      <w:numFmt w:val="decimal"/>
      <w:lvlText w:val="%1."/>
      <w:lvlJc w:val="left"/>
      <w:pPr>
        <w:tabs>
          <w:tab w:val="num" w:pos="1440"/>
        </w:tabs>
        <w:ind w:left="1080" w:hanging="360"/>
      </w:pPr>
      <w:rPr>
        <w:rFonts w:hint="default"/>
      </w:rPr>
    </w:lvl>
    <w:lvl w:ilvl="1">
      <w:start w:val="1"/>
      <w:numFmt w:val="decimal"/>
      <w:lvlText w:val="%1.%2."/>
      <w:lvlJc w:val="left"/>
      <w:pPr>
        <w:tabs>
          <w:tab w:val="num" w:pos="2160"/>
        </w:tabs>
        <w:ind w:left="1512" w:hanging="432"/>
      </w:pPr>
      <w:rPr>
        <w:rFonts w:hint="default"/>
      </w:rPr>
    </w:lvl>
    <w:lvl w:ilvl="2">
      <w:start w:val="1"/>
      <w:numFmt w:val="decimal"/>
      <w:lvlText w:val="%1.%2.%3."/>
      <w:lvlJc w:val="left"/>
      <w:pPr>
        <w:tabs>
          <w:tab w:val="num" w:pos="2880"/>
        </w:tabs>
        <w:ind w:left="1944" w:hanging="504"/>
      </w:pPr>
      <w:rPr>
        <w:rFonts w:hint="default"/>
      </w:rPr>
    </w:lvl>
    <w:lvl w:ilvl="3">
      <w:start w:val="1"/>
      <w:numFmt w:val="decimal"/>
      <w:lvlText w:val="%1.%2.%3.%4."/>
      <w:lvlJc w:val="left"/>
      <w:pPr>
        <w:tabs>
          <w:tab w:val="num" w:pos="3600"/>
        </w:tabs>
        <w:ind w:left="2448" w:hanging="648"/>
      </w:pPr>
      <w:rPr>
        <w:rFonts w:hint="default"/>
      </w:rPr>
    </w:lvl>
    <w:lvl w:ilvl="4">
      <w:start w:val="1"/>
      <w:numFmt w:val="decimal"/>
      <w:lvlText w:val="%1.%2.%3.%4.%5."/>
      <w:lvlJc w:val="left"/>
      <w:pPr>
        <w:tabs>
          <w:tab w:val="num" w:pos="4680"/>
        </w:tabs>
        <w:ind w:left="2952" w:hanging="792"/>
      </w:pPr>
      <w:rPr>
        <w:rFonts w:hint="default"/>
      </w:rPr>
    </w:lvl>
    <w:lvl w:ilvl="5">
      <w:start w:val="1"/>
      <w:numFmt w:val="decimal"/>
      <w:pStyle w:val="StyleHeading6Left05Hanging106"/>
      <w:lvlText w:val="%1.%2.%3.%4.%5.%6."/>
      <w:lvlJc w:val="left"/>
      <w:pPr>
        <w:tabs>
          <w:tab w:val="num" w:pos="5400"/>
        </w:tabs>
        <w:ind w:left="3456" w:hanging="936"/>
      </w:pPr>
      <w:rPr>
        <w:rFonts w:hint="default"/>
      </w:rPr>
    </w:lvl>
    <w:lvl w:ilvl="6">
      <w:start w:val="1"/>
      <w:numFmt w:val="decimal"/>
      <w:lvlText w:val="%1.%2.%3.%4.%5.%6.%7."/>
      <w:lvlJc w:val="left"/>
      <w:pPr>
        <w:tabs>
          <w:tab w:val="num" w:pos="612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7920"/>
        </w:tabs>
        <w:ind w:left="5040" w:hanging="1440"/>
      </w:pPr>
      <w:rPr>
        <w:rFonts w:hint="default"/>
      </w:rPr>
    </w:lvl>
  </w:abstractNum>
  <w:abstractNum w:abstractNumId="7" w15:restartNumberingAfterBreak="0">
    <w:nsid w:val="3C00172B"/>
    <w:multiLevelType w:val="hybridMultilevel"/>
    <w:tmpl w:val="B65EEAAA"/>
    <w:lvl w:ilvl="0" w:tplc="0409000F">
      <w:start w:val="1"/>
      <w:numFmt w:val="decimal"/>
      <w:lvlText w:val="%1."/>
      <w:lvlJc w:val="left"/>
      <w:pPr>
        <w:tabs>
          <w:tab w:val="num" w:pos="720"/>
        </w:tabs>
        <w:ind w:left="720" w:hanging="360"/>
      </w:pPr>
    </w:lvl>
    <w:lvl w:ilvl="1" w:tplc="2148272C">
      <w:start w:val="1"/>
      <w:numFmt w:val="lowerLetter"/>
      <w:pStyle w:val="a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E37559"/>
    <w:multiLevelType w:val="hybridMultilevel"/>
    <w:tmpl w:val="2FF433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A66DA5"/>
    <w:multiLevelType w:val="hybridMultilevel"/>
    <w:tmpl w:val="21C285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ED84097"/>
    <w:multiLevelType w:val="hybridMultilevel"/>
    <w:tmpl w:val="41FA7668"/>
    <w:lvl w:ilvl="0" w:tplc="12F0C3F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F1A2413"/>
    <w:multiLevelType w:val="hybridMultilevel"/>
    <w:tmpl w:val="FC8AF61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3D726F"/>
    <w:multiLevelType w:val="singleLevel"/>
    <w:tmpl w:val="2FB6A734"/>
    <w:lvl w:ilvl="0">
      <w:start w:val="1"/>
      <w:numFmt w:val="decimal"/>
      <w:lvlText w:val="%1."/>
      <w:legacy w:legacy="1" w:legacySpace="144" w:legacyIndent="0"/>
      <w:lvlJc w:val="left"/>
    </w:lvl>
  </w:abstractNum>
  <w:abstractNum w:abstractNumId="13" w15:restartNumberingAfterBreak="0">
    <w:nsid w:val="7B1C30FD"/>
    <w:multiLevelType w:val="singleLevel"/>
    <w:tmpl w:val="2FB6A734"/>
    <w:lvl w:ilvl="0">
      <w:start w:val="1"/>
      <w:numFmt w:val="decimal"/>
      <w:lvlText w:val="%1."/>
      <w:legacy w:legacy="1" w:legacySpace="144" w:legacyIndent="0"/>
      <w:lvlJc w:val="left"/>
    </w:lvl>
  </w:abstractNum>
  <w:num w:numId="1">
    <w:abstractNumId w:val="3"/>
  </w:num>
  <w:num w:numId="2">
    <w:abstractNumId w:val="2"/>
  </w:num>
  <w:num w:numId="3">
    <w:abstractNumId w:val="13"/>
  </w:num>
  <w:num w:numId="4">
    <w:abstractNumId w:val="4"/>
  </w:num>
  <w:num w:numId="5">
    <w:abstractNumId w:val="7"/>
  </w:num>
  <w:num w:numId="6">
    <w:abstractNumId w:val="0"/>
  </w:num>
  <w:num w:numId="7">
    <w:abstractNumId w:val="6"/>
  </w:num>
  <w:num w:numId="8">
    <w:abstractNumId w:val="0"/>
  </w:num>
  <w:num w:numId="9">
    <w:abstractNumId w:val="0"/>
  </w:num>
  <w:num w:numId="10">
    <w:abstractNumId w:val="11"/>
  </w:num>
  <w:num w:numId="11">
    <w:abstractNumId w:val="10"/>
  </w:num>
  <w:num w:numId="12">
    <w:abstractNumId w:val="0"/>
    <w:lvlOverride w:ilvl="0">
      <w:startOverride w:val="1"/>
    </w:lvlOverride>
  </w:num>
  <w:num w:numId="13">
    <w:abstractNumId w:val="1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5"/>
  </w:num>
  <w:num w:numId="17">
    <w:abstractNumId w:val="8"/>
  </w:num>
  <w:num w:numId="18">
    <w:abstractNumId w:val="1"/>
  </w:num>
  <w:num w:numId="19">
    <w:abstractNumId w:val="0"/>
  </w:num>
  <w:num w:numId="2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D7"/>
    <w:rsid w:val="00015EFC"/>
    <w:rsid w:val="00030C4B"/>
    <w:rsid w:val="000355E8"/>
    <w:rsid w:val="0004487F"/>
    <w:rsid w:val="000508F5"/>
    <w:rsid w:val="00055FC7"/>
    <w:rsid w:val="00056A8F"/>
    <w:rsid w:val="000608C7"/>
    <w:rsid w:val="0007598F"/>
    <w:rsid w:val="00095999"/>
    <w:rsid w:val="000A060F"/>
    <w:rsid w:val="000A185D"/>
    <w:rsid w:val="000A5C4F"/>
    <w:rsid w:val="000B4592"/>
    <w:rsid w:val="000B6B6E"/>
    <w:rsid w:val="000C19A6"/>
    <w:rsid w:val="000C4ABE"/>
    <w:rsid w:val="000C6417"/>
    <w:rsid w:val="000E131B"/>
    <w:rsid w:val="000F05F7"/>
    <w:rsid w:val="000F16F1"/>
    <w:rsid w:val="00102368"/>
    <w:rsid w:val="00102B31"/>
    <w:rsid w:val="00103F0A"/>
    <w:rsid w:val="00112864"/>
    <w:rsid w:val="001133EA"/>
    <w:rsid w:val="001349FC"/>
    <w:rsid w:val="00134E7B"/>
    <w:rsid w:val="00135117"/>
    <w:rsid w:val="001457D7"/>
    <w:rsid w:val="00152387"/>
    <w:rsid w:val="00164D7F"/>
    <w:rsid w:val="00180C17"/>
    <w:rsid w:val="00183A73"/>
    <w:rsid w:val="001A3E8B"/>
    <w:rsid w:val="001B3316"/>
    <w:rsid w:val="001D17E5"/>
    <w:rsid w:val="001D2FAA"/>
    <w:rsid w:val="001E7470"/>
    <w:rsid w:val="001F0DD1"/>
    <w:rsid w:val="00201837"/>
    <w:rsid w:val="0020613A"/>
    <w:rsid w:val="00216B84"/>
    <w:rsid w:val="00221DD2"/>
    <w:rsid w:val="00223393"/>
    <w:rsid w:val="002265DB"/>
    <w:rsid w:val="00230723"/>
    <w:rsid w:val="00231862"/>
    <w:rsid w:val="00240AD7"/>
    <w:rsid w:val="00246EAD"/>
    <w:rsid w:val="00254D88"/>
    <w:rsid w:val="00255631"/>
    <w:rsid w:val="00272265"/>
    <w:rsid w:val="0027357C"/>
    <w:rsid w:val="002753A9"/>
    <w:rsid w:val="00285625"/>
    <w:rsid w:val="00286371"/>
    <w:rsid w:val="002B03CD"/>
    <w:rsid w:val="002C0710"/>
    <w:rsid w:val="002C6596"/>
    <w:rsid w:val="002D05DA"/>
    <w:rsid w:val="002D1102"/>
    <w:rsid w:val="002E340F"/>
    <w:rsid w:val="002E5E87"/>
    <w:rsid w:val="0030281E"/>
    <w:rsid w:val="0030439C"/>
    <w:rsid w:val="00304A73"/>
    <w:rsid w:val="003064F5"/>
    <w:rsid w:val="00313205"/>
    <w:rsid w:val="003139B0"/>
    <w:rsid w:val="00317F57"/>
    <w:rsid w:val="003379EA"/>
    <w:rsid w:val="0034457E"/>
    <w:rsid w:val="00351F27"/>
    <w:rsid w:val="00363CB2"/>
    <w:rsid w:val="00366842"/>
    <w:rsid w:val="00375B6A"/>
    <w:rsid w:val="003866D4"/>
    <w:rsid w:val="00391488"/>
    <w:rsid w:val="00391800"/>
    <w:rsid w:val="00391913"/>
    <w:rsid w:val="003B1C05"/>
    <w:rsid w:val="003B246E"/>
    <w:rsid w:val="003B3F85"/>
    <w:rsid w:val="003C2EBD"/>
    <w:rsid w:val="003C775E"/>
    <w:rsid w:val="003D2C4D"/>
    <w:rsid w:val="003E6DEC"/>
    <w:rsid w:val="003F39B0"/>
    <w:rsid w:val="00403B19"/>
    <w:rsid w:val="00405DC2"/>
    <w:rsid w:val="00410237"/>
    <w:rsid w:val="00411D16"/>
    <w:rsid w:val="0041249C"/>
    <w:rsid w:val="0042336B"/>
    <w:rsid w:val="00426E70"/>
    <w:rsid w:val="00442915"/>
    <w:rsid w:val="00442E99"/>
    <w:rsid w:val="00443408"/>
    <w:rsid w:val="0045127E"/>
    <w:rsid w:val="00465FD8"/>
    <w:rsid w:val="004742A9"/>
    <w:rsid w:val="004762C9"/>
    <w:rsid w:val="00476AB4"/>
    <w:rsid w:val="00480738"/>
    <w:rsid w:val="0048107D"/>
    <w:rsid w:val="0048364E"/>
    <w:rsid w:val="004877C5"/>
    <w:rsid w:val="00495BD0"/>
    <w:rsid w:val="004A7549"/>
    <w:rsid w:val="004B4A1C"/>
    <w:rsid w:val="004D76AF"/>
    <w:rsid w:val="004E5C67"/>
    <w:rsid w:val="004F4DA3"/>
    <w:rsid w:val="0050165C"/>
    <w:rsid w:val="00504D3F"/>
    <w:rsid w:val="00507B2E"/>
    <w:rsid w:val="00507BC3"/>
    <w:rsid w:val="00510A98"/>
    <w:rsid w:val="00562D9D"/>
    <w:rsid w:val="00563454"/>
    <w:rsid w:val="0056562E"/>
    <w:rsid w:val="00565EF4"/>
    <w:rsid w:val="005744C5"/>
    <w:rsid w:val="00581C19"/>
    <w:rsid w:val="00583456"/>
    <w:rsid w:val="00592AC0"/>
    <w:rsid w:val="005A1F1F"/>
    <w:rsid w:val="005A49A2"/>
    <w:rsid w:val="005A7E62"/>
    <w:rsid w:val="005B42CA"/>
    <w:rsid w:val="005D5207"/>
    <w:rsid w:val="005E076E"/>
    <w:rsid w:val="005E6CA8"/>
    <w:rsid w:val="005F3AAA"/>
    <w:rsid w:val="00621BE8"/>
    <w:rsid w:val="00631599"/>
    <w:rsid w:val="006536A2"/>
    <w:rsid w:val="00661C05"/>
    <w:rsid w:val="00673CD5"/>
    <w:rsid w:val="006929B1"/>
    <w:rsid w:val="006931E7"/>
    <w:rsid w:val="0069554E"/>
    <w:rsid w:val="0069573A"/>
    <w:rsid w:val="006967F8"/>
    <w:rsid w:val="006A0E70"/>
    <w:rsid w:val="006A542F"/>
    <w:rsid w:val="006B3A48"/>
    <w:rsid w:val="006E2A8B"/>
    <w:rsid w:val="006E6E8E"/>
    <w:rsid w:val="006E7486"/>
    <w:rsid w:val="0070642F"/>
    <w:rsid w:val="00724BB3"/>
    <w:rsid w:val="00730EA2"/>
    <w:rsid w:val="00746D75"/>
    <w:rsid w:val="00750DF1"/>
    <w:rsid w:val="00752F93"/>
    <w:rsid w:val="0077003A"/>
    <w:rsid w:val="00770A09"/>
    <w:rsid w:val="0077247A"/>
    <w:rsid w:val="00777FA1"/>
    <w:rsid w:val="007829D5"/>
    <w:rsid w:val="00783573"/>
    <w:rsid w:val="007A3D8E"/>
    <w:rsid w:val="007B02D0"/>
    <w:rsid w:val="007B1E8E"/>
    <w:rsid w:val="007B7711"/>
    <w:rsid w:val="007C4995"/>
    <w:rsid w:val="007E032C"/>
    <w:rsid w:val="007E6E0C"/>
    <w:rsid w:val="007E72FD"/>
    <w:rsid w:val="008102C4"/>
    <w:rsid w:val="00847B09"/>
    <w:rsid w:val="00847F64"/>
    <w:rsid w:val="00852ED9"/>
    <w:rsid w:val="00853DC8"/>
    <w:rsid w:val="00865B05"/>
    <w:rsid w:val="00894374"/>
    <w:rsid w:val="008C317D"/>
    <w:rsid w:val="008D0DFE"/>
    <w:rsid w:val="008D4F39"/>
    <w:rsid w:val="008E5BF7"/>
    <w:rsid w:val="008E70B9"/>
    <w:rsid w:val="008F135D"/>
    <w:rsid w:val="008F4556"/>
    <w:rsid w:val="008F62A7"/>
    <w:rsid w:val="008F67FD"/>
    <w:rsid w:val="00907568"/>
    <w:rsid w:val="009103E5"/>
    <w:rsid w:val="0092064D"/>
    <w:rsid w:val="0092162C"/>
    <w:rsid w:val="00950C2F"/>
    <w:rsid w:val="00952D74"/>
    <w:rsid w:val="00953554"/>
    <w:rsid w:val="00955A69"/>
    <w:rsid w:val="00955FE3"/>
    <w:rsid w:val="00960F27"/>
    <w:rsid w:val="009622E6"/>
    <w:rsid w:val="00972AF8"/>
    <w:rsid w:val="0097619E"/>
    <w:rsid w:val="0098368C"/>
    <w:rsid w:val="009A486B"/>
    <w:rsid w:val="009B0993"/>
    <w:rsid w:val="009B4CCD"/>
    <w:rsid w:val="009C28BF"/>
    <w:rsid w:val="009C48BB"/>
    <w:rsid w:val="009C7EAF"/>
    <w:rsid w:val="009D64A6"/>
    <w:rsid w:val="009E1B11"/>
    <w:rsid w:val="009F5C96"/>
    <w:rsid w:val="00A039D0"/>
    <w:rsid w:val="00A15C02"/>
    <w:rsid w:val="00A27DAC"/>
    <w:rsid w:val="00A31746"/>
    <w:rsid w:val="00A34F0D"/>
    <w:rsid w:val="00A40294"/>
    <w:rsid w:val="00A53AFC"/>
    <w:rsid w:val="00A55BA2"/>
    <w:rsid w:val="00A650EA"/>
    <w:rsid w:val="00A76DEE"/>
    <w:rsid w:val="00A8564C"/>
    <w:rsid w:val="00A94389"/>
    <w:rsid w:val="00A961FD"/>
    <w:rsid w:val="00AA4116"/>
    <w:rsid w:val="00AA70AD"/>
    <w:rsid w:val="00AB2C43"/>
    <w:rsid w:val="00AB6109"/>
    <w:rsid w:val="00AB7CF5"/>
    <w:rsid w:val="00AC5B91"/>
    <w:rsid w:val="00AE0F0A"/>
    <w:rsid w:val="00AF6125"/>
    <w:rsid w:val="00AF67AF"/>
    <w:rsid w:val="00B02D60"/>
    <w:rsid w:val="00B042F4"/>
    <w:rsid w:val="00B20304"/>
    <w:rsid w:val="00B20B56"/>
    <w:rsid w:val="00B30FF9"/>
    <w:rsid w:val="00B35E54"/>
    <w:rsid w:val="00B4180A"/>
    <w:rsid w:val="00B42B16"/>
    <w:rsid w:val="00B439EF"/>
    <w:rsid w:val="00B50200"/>
    <w:rsid w:val="00B54AD8"/>
    <w:rsid w:val="00B76B7A"/>
    <w:rsid w:val="00B849D5"/>
    <w:rsid w:val="00B97B8C"/>
    <w:rsid w:val="00BB5F11"/>
    <w:rsid w:val="00BB670F"/>
    <w:rsid w:val="00BC515A"/>
    <w:rsid w:val="00BD0D6F"/>
    <w:rsid w:val="00BF56D6"/>
    <w:rsid w:val="00BF5D1F"/>
    <w:rsid w:val="00C1075E"/>
    <w:rsid w:val="00C11687"/>
    <w:rsid w:val="00C23D35"/>
    <w:rsid w:val="00C2402A"/>
    <w:rsid w:val="00C40E49"/>
    <w:rsid w:val="00C46F71"/>
    <w:rsid w:val="00C516DB"/>
    <w:rsid w:val="00C544D4"/>
    <w:rsid w:val="00C551D4"/>
    <w:rsid w:val="00C57F4D"/>
    <w:rsid w:val="00C6211F"/>
    <w:rsid w:val="00C6268C"/>
    <w:rsid w:val="00C8101E"/>
    <w:rsid w:val="00C8470C"/>
    <w:rsid w:val="00C851B0"/>
    <w:rsid w:val="00C86CD8"/>
    <w:rsid w:val="00C915C4"/>
    <w:rsid w:val="00C96618"/>
    <w:rsid w:val="00CA192E"/>
    <w:rsid w:val="00CA35E9"/>
    <w:rsid w:val="00CA375C"/>
    <w:rsid w:val="00CA4876"/>
    <w:rsid w:val="00CA538F"/>
    <w:rsid w:val="00CB3511"/>
    <w:rsid w:val="00CB6393"/>
    <w:rsid w:val="00CB7A70"/>
    <w:rsid w:val="00CC17CA"/>
    <w:rsid w:val="00CC1EBB"/>
    <w:rsid w:val="00CD335B"/>
    <w:rsid w:val="00CD3D54"/>
    <w:rsid w:val="00CF4167"/>
    <w:rsid w:val="00CF71D3"/>
    <w:rsid w:val="00D0635D"/>
    <w:rsid w:val="00D302D3"/>
    <w:rsid w:val="00D31FE4"/>
    <w:rsid w:val="00D3568E"/>
    <w:rsid w:val="00D36A18"/>
    <w:rsid w:val="00D418F8"/>
    <w:rsid w:val="00D441D1"/>
    <w:rsid w:val="00D513C6"/>
    <w:rsid w:val="00D578F0"/>
    <w:rsid w:val="00D63D66"/>
    <w:rsid w:val="00D8114D"/>
    <w:rsid w:val="00D82C59"/>
    <w:rsid w:val="00D8716A"/>
    <w:rsid w:val="00D93FB8"/>
    <w:rsid w:val="00D94A1B"/>
    <w:rsid w:val="00D94D9A"/>
    <w:rsid w:val="00D955F6"/>
    <w:rsid w:val="00D96FA9"/>
    <w:rsid w:val="00D97AC8"/>
    <w:rsid w:val="00DA4BDA"/>
    <w:rsid w:val="00DA787A"/>
    <w:rsid w:val="00DE5FFF"/>
    <w:rsid w:val="00DF070A"/>
    <w:rsid w:val="00DF76DE"/>
    <w:rsid w:val="00E02C72"/>
    <w:rsid w:val="00E05AB5"/>
    <w:rsid w:val="00E123B9"/>
    <w:rsid w:val="00E126B0"/>
    <w:rsid w:val="00E2305F"/>
    <w:rsid w:val="00E34CF0"/>
    <w:rsid w:val="00E35F9A"/>
    <w:rsid w:val="00E41DD3"/>
    <w:rsid w:val="00E539E8"/>
    <w:rsid w:val="00E557B1"/>
    <w:rsid w:val="00E6300F"/>
    <w:rsid w:val="00E63703"/>
    <w:rsid w:val="00E842E3"/>
    <w:rsid w:val="00EA0762"/>
    <w:rsid w:val="00EA23D6"/>
    <w:rsid w:val="00EC06D1"/>
    <w:rsid w:val="00ED2FC5"/>
    <w:rsid w:val="00EE0938"/>
    <w:rsid w:val="00EF0042"/>
    <w:rsid w:val="00EF76F6"/>
    <w:rsid w:val="00F0198D"/>
    <w:rsid w:val="00F01DDC"/>
    <w:rsid w:val="00F055C0"/>
    <w:rsid w:val="00F1047B"/>
    <w:rsid w:val="00F10EC1"/>
    <w:rsid w:val="00F17D56"/>
    <w:rsid w:val="00F24449"/>
    <w:rsid w:val="00F36F73"/>
    <w:rsid w:val="00F516B5"/>
    <w:rsid w:val="00F5340A"/>
    <w:rsid w:val="00F54C3E"/>
    <w:rsid w:val="00F6006F"/>
    <w:rsid w:val="00F63FF0"/>
    <w:rsid w:val="00F65225"/>
    <w:rsid w:val="00F65E78"/>
    <w:rsid w:val="00F662F0"/>
    <w:rsid w:val="00F74E70"/>
    <w:rsid w:val="00F768C8"/>
    <w:rsid w:val="00F77F8A"/>
    <w:rsid w:val="00F81A0F"/>
    <w:rsid w:val="00F93006"/>
    <w:rsid w:val="00FB237D"/>
    <w:rsid w:val="00FB3596"/>
    <w:rsid w:val="00FC18DA"/>
    <w:rsid w:val="00FC53E2"/>
    <w:rsid w:val="00FD4FC2"/>
    <w:rsid w:val="00FD6947"/>
    <w:rsid w:val="00FD7430"/>
    <w:rsid w:val="00FE5E08"/>
    <w:rsid w:val="00FF3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9CE9FE"/>
  <w15:docId w15:val="{F6A8F51A-5BE2-4776-AF30-2E16182D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Palatino" w:hAnsi="Palatino"/>
      <w:sz w:val="26"/>
    </w:rPr>
  </w:style>
  <w:style w:type="paragraph" w:styleId="Heading1">
    <w:name w:val="heading 1"/>
    <w:basedOn w:val="Normal"/>
    <w:next w:val="standard"/>
    <w:qFormat/>
    <w:pPr>
      <w:keepNext/>
      <w:numPr>
        <w:numId w:val="9"/>
      </w:numPr>
      <w:spacing w:before="120" w:after="120"/>
      <w:outlineLvl w:val="0"/>
    </w:pPr>
    <w:rPr>
      <w:rFonts w:ascii="Helvetica" w:hAnsi="Helvetica"/>
      <w:b/>
      <w:kern w:val="28"/>
      <w:szCs w:val="26"/>
    </w:rPr>
  </w:style>
  <w:style w:type="paragraph" w:styleId="Heading2">
    <w:name w:val="heading 2"/>
    <w:basedOn w:val="Normal"/>
    <w:next w:val="standard"/>
    <w:qFormat/>
    <w:pPr>
      <w:keepNext/>
      <w:numPr>
        <w:ilvl w:val="1"/>
        <w:numId w:val="9"/>
      </w:numPr>
      <w:spacing w:before="120" w:after="120"/>
      <w:outlineLvl w:val="1"/>
    </w:pPr>
    <w:rPr>
      <w:rFonts w:ascii="Helvetica" w:hAnsi="Helvetica"/>
      <w:b/>
      <w:szCs w:val="26"/>
    </w:rPr>
  </w:style>
  <w:style w:type="paragraph" w:styleId="Heading3">
    <w:name w:val="heading 3"/>
    <w:basedOn w:val="Normal"/>
    <w:next w:val="standard"/>
    <w:qFormat/>
    <w:pPr>
      <w:keepNext/>
      <w:numPr>
        <w:ilvl w:val="2"/>
        <w:numId w:val="9"/>
      </w:numPr>
      <w:tabs>
        <w:tab w:val="left" w:pos="1620"/>
      </w:tabs>
      <w:spacing w:before="120" w:after="120"/>
      <w:ind w:left="1620" w:hanging="900"/>
      <w:outlineLvl w:val="2"/>
    </w:pPr>
    <w:rPr>
      <w:rFonts w:ascii="Helvetica" w:hAnsi="Helvetica"/>
      <w:b/>
      <w:szCs w:val="26"/>
    </w:rPr>
  </w:style>
  <w:style w:type="paragraph" w:styleId="Heading4">
    <w:name w:val="heading 4"/>
    <w:basedOn w:val="Normal"/>
    <w:next w:val="standard"/>
    <w:qFormat/>
    <w:pPr>
      <w:keepNext/>
      <w:numPr>
        <w:ilvl w:val="3"/>
        <w:numId w:val="9"/>
      </w:numPr>
      <w:tabs>
        <w:tab w:val="left" w:pos="1800"/>
      </w:tabs>
      <w:spacing w:before="120" w:after="120"/>
      <w:ind w:left="1800" w:hanging="1080"/>
      <w:outlineLvl w:val="3"/>
    </w:pPr>
    <w:rPr>
      <w:rFonts w:ascii="Helvetica" w:hAnsi="Helvetica"/>
      <w:b/>
      <w:szCs w:val="26"/>
    </w:rPr>
  </w:style>
  <w:style w:type="paragraph" w:styleId="Heading5">
    <w:name w:val="heading 5"/>
    <w:basedOn w:val="Normal"/>
    <w:next w:val="standard"/>
    <w:qFormat/>
    <w:pPr>
      <w:numPr>
        <w:ilvl w:val="4"/>
        <w:numId w:val="9"/>
      </w:numPr>
      <w:tabs>
        <w:tab w:val="left" w:pos="1980"/>
      </w:tabs>
      <w:spacing w:before="120" w:after="120"/>
      <w:ind w:left="1980" w:hanging="1260"/>
      <w:outlineLvl w:val="4"/>
    </w:pPr>
    <w:rPr>
      <w:rFonts w:ascii="Helvetica" w:hAnsi="Helvetica"/>
      <w:b/>
      <w:szCs w:val="26"/>
    </w:rPr>
  </w:style>
  <w:style w:type="paragraph" w:styleId="Heading6">
    <w:name w:val="heading 6"/>
    <w:basedOn w:val="Normal"/>
    <w:next w:val="standard"/>
    <w:qFormat/>
    <w:pPr>
      <w:numPr>
        <w:ilvl w:val="5"/>
        <w:numId w:val="9"/>
      </w:numPr>
      <w:tabs>
        <w:tab w:val="left" w:pos="2250"/>
      </w:tabs>
      <w:spacing w:before="120" w:after="120"/>
      <w:ind w:left="2250" w:hanging="1530"/>
      <w:outlineLvl w:val="5"/>
    </w:pPr>
    <w:rPr>
      <w:rFonts w:ascii="Helvetica" w:hAnsi="Helvetica" w:cs="Arial"/>
      <w:b/>
      <w:bCs/>
      <w:szCs w:val="26"/>
    </w:rPr>
  </w:style>
  <w:style w:type="paragraph" w:styleId="Heading7">
    <w:name w:val="heading 7"/>
    <w:basedOn w:val="Normal"/>
    <w:next w:val="standard"/>
    <w:qFormat/>
    <w:pPr>
      <w:numPr>
        <w:ilvl w:val="6"/>
        <w:numId w:val="9"/>
      </w:numPr>
      <w:tabs>
        <w:tab w:val="left" w:pos="2520"/>
      </w:tabs>
      <w:spacing w:before="120" w:after="120"/>
      <w:ind w:left="2520" w:hanging="1800"/>
      <w:outlineLvl w:val="6"/>
    </w:pPr>
    <w:rPr>
      <w:rFonts w:ascii="Helvetica" w:hAnsi="Helvetica"/>
      <w:b/>
    </w:rPr>
  </w:style>
  <w:style w:type="paragraph" w:styleId="Heading8">
    <w:name w:val="heading 8"/>
    <w:basedOn w:val="Heading9"/>
    <w:next w:val="standard"/>
    <w:qFormat/>
    <w:pPr>
      <w:outlineLvl w:val="7"/>
    </w:pPr>
  </w:style>
  <w:style w:type="paragraph" w:styleId="Heading9">
    <w:name w:val="heading 9"/>
    <w:basedOn w:val="Normal"/>
    <w:next w:val="standard"/>
    <w:autoRedefine/>
    <w:qFormat/>
    <w:pPr>
      <w:numPr>
        <w:ilvl w:val="8"/>
        <w:numId w:val="9"/>
      </w:numPr>
      <w:tabs>
        <w:tab w:val="left" w:pos="2880"/>
      </w:tabs>
      <w:spacing w:before="120" w:after="120"/>
      <w:ind w:left="2880" w:hanging="2160"/>
      <w:outlineLvl w:val="8"/>
    </w:pPr>
    <w:rPr>
      <w:rFonts w:ascii="Helvetica" w:hAnsi="Helvetica"/>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link w:val="standardChar"/>
    <w:pPr>
      <w:spacing w:line="360" w:lineRule="auto"/>
      <w:ind w:firstLine="720"/>
    </w:pPr>
  </w:style>
  <w:style w:type="paragraph" w:customStyle="1" w:styleId="sub1">
    <w:name w:val="sub1"/>
    <w:basedOn w:val="Normal"/>
    <w:pPr>
      <w:spacing w:line="360" w:lineRule="auto"/>
      <w:ind w:firstLine="720"/>
    </w:pPr>
  </w:style>
  <w:style w:type="paragraph" w:customStyle="1" w:styleId="sub2">
    <w:name w:val="sub2"/>
    <w:basedOn w:val="Normal"/>
    <w:pPr>
      <w:spacing w:line="360" w:lineRule="auto"/>
      <w:ind w:firstLine="720"/>
    </w:pPr>
  </w:style>
  <w:style w:type="paragraph" w:customStyle="1" w:styleId="sub3">
    <w:name w:val="sub3"/>
    <w:basedOn w:val="Normal"/>
    <w:pPr>
      <w:spacing w:line="360" w:lineRule="auto"/>
      <w:ind w:firstLine="720"/>
    </w:pPr>
  </w:style>
  <w:style w:type="paragraph" w:customStyle="1" w:styleId="sub4">
    <w:name w:val="sub4"/>
    <w:basedOn w:val="Normal"/>
    <w:pPr>
      <w:spacing w:line="360" w:lineRule="auto"/>
      <w:ind w:firstLine="720"/>
    </w:p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
    <w:basedOn w:val="Normal"/>
    <w:link w:val="FootnoteTextChar"/>
    <w:pPr>
      <w:spacing w:after="120"/>
    </w:pPr>
    <w:rPr>
      <w:sz w:val="24"/>
    </w:rPr>
  </w:style>
  <w:style w:type="character" w:styleId="FootnoteReference">
    <w:name w:val="footnote reference"/>
    <w:aliases w:val="o,fr,Style 3,o1,o2,o3,o4,o5,o6,o11,o21,o7"/>
    <w:semiHidden/>
    <w:rPr>
      <w:sz w:val="24"/>
      <w:vertAlign w:val="superscript"/>
    </w:r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customStyle="1" w:styleId="num1">
    <w:name w:val="num1"/>
    <w:basedOn w:val="Normal"/>
    <w:pPr>
      <w:tabs>
        <w:tab w:val="left" w:pos="-720"/>
      </w:tabs>
      <w:suppressAutoHyphens/>
      <w:spacing w:line="360" w:lineRule="auto"/>
      <w:ind w:firstLine="360"/>
    </w:pPr>
  </w:style>
  <w:style w:type="paragraph" w:styleId="TOC4">
    <w:name w:val="toc 4"/>
    <w:basedOn w:val="Normal"/>
    <w:next w:val="Normal"/>
    <w:semiHidden/>
    <w:pPr>
      <w:tabs>
        <w:tab w:val="left" w:pos="2430"/>
        <w:tab w:val="right" w:leader="dot" w:pos="9270"/>
      </w:tabs>
      <w:ind w:left="2430" w:hanging="810"/>
    </w:pPr>
    <w:rPr>
      <w:noProof/>
      <w:szCs w:val="26"/>
    </w:r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rPr>
      <w:spacing w:val="120"/>
    </w:rPr>
  </w:style>
  <w:style w:type="paragraph" w:styleId="Header">
    <w:name w:val="header"/>
    <w:basedOn w:val="Normal"/>
    <w:link w:val="HeaderChar"/>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character" w:styleId="PageNumber">
    <w:name w:val="page number"/>
    <w:basedOn w:val="DefaultParagraphFont"/>
  </w:style>
  <w:style w:type="character" w:styleId="Hyperlink">
    <w:name w:val="Hyperlink"/>
    <w:rPr>
      <w:color w:val="0000FF"/>
      <w:u w:val="single"/>
    </w:rPr>
  </w:style>
  <w:style w:type="paragraph" w:styleId="BodyText">
    <w:name w:val="Body Text"/>
    <w:basedOn w:val="Normal"/>
    <w:pPr>
      <w:tabs>
        <w:tab w:val="left" w:pos="2160"/>
        <w:tab w:val="left" w:pos="3600"/>
      </w:tabs>
    </w:pPr>
    <w:rPr>
      <w:rFonts w:ascii="Times New Roman" w:hAnsi="Times New Roman"/>
      <w:sz w:val="24"/>
    </w:rPr>
  </w:style>
  <w:style w:type="character" w:styleId="FollowedHyperlink">
    <w:name w:val="FollowedHyperlink"/>
    <w:rPr>
      <w:color w:val="800080"/>
      <w:u w:val="single"/>
    </w:rPr>
  </w:style>
  <w:style w:type="paragraph" w:customStyle="1" w:styleId="dummy">
    <w:name w:val="dummy"/>
    <w:basedOn w:val="Heading1"/>
    <w:pPr>
      <w:numPr>
        <w:numId w:val="0"/>
      </w:numPr>
      <w:ind w:left="72"/>
      <w:outlineLvl w:val="9"/>
    </w:pPr>
  </w:style>
  <w:style w:type="paragraph" w:styleId="BlockText">
    <w:name w:val="Block Text"/>
    <w:basedOn w:val="Normal"/>
    <w:pPr>
      <w:ind w:left="720" w:right="720"/>
    </w:pPr>
    <w:rPr>
      <w:rFonts w:ascii="Times" w:hAnsi="Times"/>
      <w:sz w:val="24"/>
    </w:rPr>
  </w:style>
  <w:style w:type="paragraph" w:styleId="NormalIndent">
    <w:name w:val="Normal Indent"/>
    <w:basedOn w:val="Normal"/>
    <w:pPr>
      <w:spacing w:line="480" w:lineRule="auto"/>
      <w:ind w:firstLine="720"/>
    </w:pPr>
    <w:rPr>
      <w:rFonts w:ascii="Times" w:hAnsi="Times"/>
      <w:sz w:val="24"/>
    </w:rPr>
  </w:style>
  <w:style w:type="paragraph" w:styleId="BodyText3">
    <w:name w:val="Body Text 3"/>
    <w:basedOn w:val="Normal"/>
    <w:pPr>
      <w:overflowPunct w:val="0"/>
      <w:autoSpaceDE w:val="0"/>
      <w:autoSpaceDN w:val="0"/>
      <w:adjustRightInd w:val="0"/>
      <w:textAlignment w:val="baseline"/>
    </w:pPr>
    <w:rPr>
      <w:rFonts w:ascii="Times New Roman" w:hAnsi="Times New Roman"/>
      <w:sz w:val="24"/>
      <w:u w:val="single"/>
    </w:rPr>
  </w:style>
  <w:style w:type="paragraph" w:styleId="BodyText2">
    <w:name w:val="Body Text 2"/>
    <w:basedOn w:val="Normal"/>
    <w:pPr>
      <w:overflowPunct w:val="0"/>
      <w:autoSpaceDE w:val="0"/>
      <w:autoSpaceDN w:val="0"/>
      <w:adjustRightInd w:val="0"/>
      <w:spacing w:line="480" w:lineRule="auto"/>
      <w:ind w:firstLine="720"/>
      <w:textAlignment w:val="baseline"/>
    </w:pPr>
    <w:rPr>
      <w:rFonts w:ascii="Times" w:hAnsi="Times"/>
      <w:sz w:val="24"/>
    </w:rPr>
  </w:style>
  <w:style w:type="paragraph" w:customStyle="1" w:styleId="Quotation">
    <w:name w:val="Quotation"/>
    <w:basedOn w:val="BodyText"/>
    <w:next w:val="BodyText"/>
    <w:pPr>
      <w:tabs>
        <w:tab w:val="clear" w:pos="2160"/>
        <w:tab w:val="clear" w:pos="3600"/>
      </w:tabs>
      <w:spacing w:after="120"/>
      <w:ind w:left="1440" w:right="1440"/>
    </w:pPr>
    <w:rPr>
      <w:sz w:val="26"/>
    </w:rPr>
  </w:style>
  <w:style w:type="paragraph" w:styleId="BodyTextIndent2">
    <w:name w:val="Body Text Indent 2"/>
    <w:basedOn w:val="Normal"/>
    <w:pPr>
      <w:spacing w:after="120" w:line="480" w:lineRule="auto"/>
      <w:ind w:left="360"/>
    </w:pPr>
    <w:rPr>
      <w:rFonts w:ascii="Times New Roman" w:hAnsi="Times New Roman"/>
      <w:sz w:val="24"/>
      <w:szCs w:val="24"/>
    </w:rPr>
  </w:style>
  <w:style w:type="paragraph" w:styleId="PlainText">
    <w:name w:val="Plain Text"/>
    <w:basedOn w:val="Normal"/>
    <w:pPr>
      <w:spacing w:line="250" w:lineRule="exact"/>
    </w:pPr>
    <w:rPr>
      <w:rFonts w:ascii="Courier New" w:hAnsi="Courier New" w:cs="Courier New"/>
      <w:spacing w:val="-4"/>
      <w:sz w:val="24"/>
    </w:rPr>
  </w:style>
  <w:style w:type="paragraph" w:styleId="BodyTextIndent3">
    <w:name w:val="Body Text Indent 3"/>
    <w:basedOn w:val="Normal"/>
    <w:pPr>
      <w:ind w:left="720"/>
    </w:pPr>
    <w:rPr>
      <w:rFonts w:ascii="Times New Roman" w:hAnsi="Times New Roman"/>
      <w:snapToGrid w:val="0"/>
      <w:sz w:val="24"/>
    </w:rPr>
  </w:style>
  <w:style w:type="paragraph" w:customStyle="1" w:styleId="xl24">
    <w:name w:val="xl24"/>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pPr>
      <w:spacing w:before="100" w:beforeAutospacing="1" w:after="100" w:afterAutospacing="1"/>
      <w:jc w:val="right"/>
    </w:pPr>
    <w:rPr>
      <w:rFonts w:ascii="Arial" w:eastAsia="Arial Unicode MS" w:hAnsi="Arial" w:cs="Arial"/>
      <w:b/>
      <w:bCs/>
      <w:sz w:val="24"/>
      <w:szCs w:val="24"/>
    </w:rPr>
  </w:style>
  <w:style w:type="paragraph" w:customStyle="1" w:styleId="xl27">
    <w:name w:val="xl27"/>
    <w:basedOn w:val="Normal"/>
    <w:pPr>
      <w:spacing w:before="100" w:beforeAutospacing="1" w:after="100" w:afterAutospacing="1"/>
      <w:jc w:val="center"/>
    </w:pPr>
    <w:rPr>
      <w:rFonts w:ascii="Arial" w:eastAsia="Arial Unicode MS" w:hAnsi="Arial" w:cs="Arial"/>
      <w:b/>
      <w:bCs/>
      <w:sz w:val="24"/>
      <w:szCs w:val="24"/>
    </w:rPr>
  </w:style>
  <w:style w:type="paragraph" w:customStyle="1" w:styleId="xl28">
    <w:name w:val="xl28"/>
    <w:basedOn w:val="Normal"/>
    <w:pPr>
      <w:pBdr>
        <w:top w:val="single" w:sz="8" w:space="0" w:color="auto"/>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pPr>
      <w:pBdr>
        <w:top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0">
    <w:name w:val="xl30"/>
    <w:basedOn w:val="Normal"/>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1">
    <w:name w:val="xl31"/>
    <w:basedOn w:val="Normal"/>
    <w:pPr>
      <w:pBdr>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pPr>
      <w:pBdr>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0">
    <w:name w:val="xl4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4">
    <w:name w:val="xl44"/>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6">
    <w:name w:val="xl4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7">
    <w:name w:val="xl4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0">
    <w:name w:val="xl50"/>
    <w:basedOn w:val="Normal"/>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1">
    <w:name w:val="xl51"/>
    <w:basedOn w:val="Normal"/>
    <w:pPr>
      <w:spacing w:before="100" w:beforeAutospacing="1" w:after="100" w:afterAutospacing="1"/>
      <w:jc w:val="right"/>
    </w:pPr>
    <w:rPr>
      <w:rFonts w:ascii="Arial Unicode MS" w:eastAsia="Arial Unicode MS" w:hAnsi="Arial Unicode MS" w:cs="Arial Unicode MS"/>
      <w:sz w:val="24"/>
      <w:szCs w:val="24"/>
    </w:rPr>
  </w:style>
  <w:style w:type="paragraph" w:styleId="TOC1">
    <w:name w:val="toc 1"/>
    <w:basedOn w:val="Normal"/>
    <w:next w:val="Normal"/>
    <w:autoRedefine/>
    <w:semiHidden/>
    <w:pPr>
      <w:tabs>
        <w:tab w:val="left" w:pos="520"/>
        <w:tab w:val="left" w:pos="1080"/>
        <w:tab w:val="right" w:leader="dot" w:pos="9350"/>
      </w:tabs>
      <w:ind w:left="90"/>
    </w:pPr>
    <w:rPr>
      <w:noProof/>
      <w:szCs w:val="26"/>
    </w:rPr>
  </w:style>
  <w:style w:type="paragraph" w:styleId="TOC2">
    <w:name w:val="toc 2"/>
    <w:basedOn w:val="Normal"/>
    <w:next w:val="Normal"/>
    <w:autoRedefine/>
    <w:semiHidden/>
    <w:pPr>
      <w:tabs>
        <w:tab w:val="left" w:pos="1080"/>
        <w:tab w:val="right" w:leader="dot" w:pos="9350"/>
      </w:tabs>
      <w:ind w:left="1080" w:hanging="450"/>
    </w:pPr>
    <w:rPr>
      <w:noProof/>
      <w:szCs w:val="26"/>
    </w:rPr>
  </w:style>
  <w:style w:type="paragraph" w:styleId="TOC3">
    <w:name w:val="toc 3"/>
    <w:basedOn w:val="Normal"/>
    <w:next w:val="Normal"/>
    <w:autoRedefine/>
    <w:semiHidden/>
    <w:pPr>
      <w:tabs>
        <w:tab w:val="left" w:pos="1620"/>
        <w:tab w:val="right" w:leader="dot" w:pos="9350"/>
      </w:tabs>
      <w:ind w:left="1620" w:hanging="540"/>
    </w:pPr>
    <w:rPr>
      <w:noProof/>
      <w:szCs w:val="24"/>
    </w:rPr>
  </w:style>
  <w:style w:type="paragraph" w:styleId="TOC5">
    <w:name w:val="toc 5"/>
    <w:basedOn w:val="Normal"/>
    <w:next w:val="Normal"/>
    <w:autoRedefine/>
    <w:semiHidden/>
    <w:pPr>
      <w:tabs>
        <w:tab w:val="left" w:pos="3060"/>
        <w:tab w:val="right" w:leader="dot" w:pos="9270"/>
      </w:tabs>
      <w:ind w:left="3060" w:hanging="990"/>
    </w:pPr>
    <w:rPr>
      <w:noProof/>
      <w:szCs w:val="24"/>
    </w:rPr>
  </w:style>
  <w:style w:type="paragraph" w:styleId="TOC6">
    <w:name w:val="toc 6"/>
    <w:basedOn w:val="Normal"/>
    <w:next w:val="Normal"/>
    <w:autoRedefine/>
    <w:semiHidden/>
    <w:pPr>
      <w:tabs>
        <w:tab w:val="left" w:pos="3690"/>
        <w:tab w:val="right" w:leader="dot" w:pos="9350"/>
      </w:tabs>
      <w:ind w:left="3690" w:hanging="1170"/>
    </w:pPr>
    <w:rPr>
      <w:noProof/>
      <w:szCs w:val="26"/>
    </w:r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sub5">
    <w:name w:val="sub5"/>
    <w:basedOn w:val="sub4"/>
  </w:style>
  <w:style w:type="paragraph" w:customStyle="1" w:styleId="quote10">
    <w:name w:val="quote1"/>
    <w:basedOn w:val="Quote1"/>
    <w:pPr>
      <w:ind w:right="1080"/>
    </w:pPr>
  </w:style>
  <w:style w:type="paragraph" w:customStyle="1" w:styleId="quote3">
    <w:name w:val="quote3"/>
    <w:basedOn w:val="Quote1"/>
    <w:pPr>
      <w:ind w:right="1080"/>
    </w:pPr>
  </w:style>
  <w:style w:type="paragraph" w:customStyle="1" w:styleId="quote2">
    <w:name w:val="quote2"/>
    <w:basedOn w:val="quote3"/>
  </w:style>
  <w:style w:type="paragraph" w:customStyle="1" w:styleId="bullets">
    <w:name w:val="bullets"/>
    <w:basedOn w:val="sub1"/>
    <w:pPr>
      <w:numPr>
        <w:numId w:val="4"/>
      </w:numPr>
      <w:spacing w:after="120" w:line="240" w:lineRule="auto"/>
      <w:ind w:right="720"/>
    </w:pPr>
  </w:style>
  <w:style w:type="paragraph" w:customStyle="1" w:styleId="sub6">
    <w:name w:val="sub6"/>
    <w:basedOn w:val="sub4"/>
  </w:style>
  <w:style w:type="paragraph" w:customStyle="1" w:styleId="sub7">
    <w:name w:val="sub7"/>
    <w:basedOn w:val="sub4"/>
  </w:style>
  <w:style w:type="paragraph" w:customStyle="1" w:styleId="sub8">
    <w:name w:val="sub8"/>
    <w:basedOn w:val="sub7"/>
    <w:pPr>
      <w:ind w:firstLine="3787"/>
    </w:pPr>
  </w:style>
  <w:style w:type="character" w:customStyle="1" w:styleId="standardChar">
    <w:name w:val="standard Char"/>
    <w:link w:val="standard"/>
    <w:rPr>
      <w:rFonts w:ascii="Palatino" w:hAnsi="Palatino"/>
      <w:sz w:val="26"/>
      <w:lang w:val="en-US" w:eastAsia="en-US" w:bidi="ar-SA"/>
    </w:rPr>
  </w:style>
  <w:style w:type="paragraph" w:customStyle="1" w:styleId="Style1">
    <w:name w:val="Style1"/>
    <w:basedOn w:val="Heading7"/>
    <w:next w:val="sub6"/>
  </w:style>
  <w:style w:type="paragraph" w:customStyle="1" w:styleId="StyleHeading1Before0ptAfter0ptLinespacing15l">
    <w:name w:val="Style Heading 1 + Before:  0 pt After:  0 pt Line spacing:  1.5 l..."/>
    <w:basedOn w:val="Heading1"/>
    <w:autoRedefine/>
    <w:pPr>
      <w:spacing w:before="0" w:after="0" w:line="360" w:lineRule="auto"/>
    </w:pPr>
    <w:rPr>
      <w:bCs/>
    </w:rPr>
  </w:style>
  <w:style w:type="paragraph" w:styleId="BodyTextIndent">
    <w:name w:val="Body Text Indent"/>
    <w:basedOn w:val="Normal"/>
    <w:pPr>
      <w:spacing w:after="120"/>
      <w:ind w:left="360"/>
    </w:pPr>
  </w:style>
  <w:style w:type="paragraph" w:customStyle="1" w:styleId="a1">
    <w:name w:val="a.1"/>
    <w:basedOn w:val="BodyTextIndent"/>
    <w:pPr>
      <w:numPr>
        <w:ilvl w:val="1"/>
        <w:numId w:val="5"/>
      </w:numPr>
      <w:ind w:right="1080"/>
    </w:pPr>
  </w:style>
  <w:style w:type="paragraph" w:customStyle="1" w:styleId="a2">
    <w:name w:val="a2"/>
    <w:basedOn w:val="BodyTextIndent"/>
    <w:pPr>
      <w:ind w:left="1166" w:right="1080" w:hanging="446"/>
    </w:pPr>
  </w:style>
  <w:style w:type="character" w:customStyle="1" w:styleId="mainChar">
    <w:name w:val="main Char"/>
    <w:link w:val="main"/>
    <w:rPr>
      <w:rFonts w:ascii="Helvetica" w:hAnsi="Helvetica"/>
      <w:b/>
      <w:sz w:val="26"/>
      <w:lang w:val="en-US" w:eastAsia="en-US" w:bidi="ar-SA"/>
    </w:rPr>
  </w:style>
  <w:style w:type="paragraph" w:customStyle="1" w:styleId="StyleHeading6Left05Hanging106">
    <w:name w:val="Style Heading 6 + Left:  0.5&quot; Hanging:  1.06&quot;"/>
    <w:basedOn w:val="Heading6"/>
    <w:pPr>
      <w:numPr>
        <w:numId w:val="7"/>
      </w:numPr>
    </w:pPr>
    <w:rPr>
      <w:rFonts w:cs="Times New Roman"/>
      <w:bCs w:val="0"/>
      <w:szCs w:val="20"/>
    </w:rPr>
  </w:style>
  <w:style w:type="character" w:styleId="Emphasis">
    <w:name w:val="Emphasis"/>
    <w:basedOn w:val="DefaultParagraphFont"/>
    <w:qFormat/>
    <w:rsid w:val="00134E7B"/>
    <w:rPr>
      <w:i/>
      <w:iCs/>
    </w:rPr>
  </w:style>
  <w:style w:type="character" w:customStyle="1" w:styleId="HeaderChar">
    <w:name w:val="Header Char"/>
    <w:basedOn w:val="DefaultParagraphFont"/>
    <w:link w:val="Header"/>
    <w:rsid w:val="00426E70"/>
    <w:rPr>
      <w:rFonts w:ascii="Palatino" w:hAnsi="Palatino"/>
      <w:sz w:val="26"/>
    </w:rPr>
  </w:style>
  <w:style w:type="character" w:customStyle="1" w:styleId="FootnoteTextChar">
    <w:name w:val="Footnote Text Char"/>
    <w:aliases w:val="Footnote Text Char2 Char Char1,Footnote Text Char Char Char Char1,Footnote Text Char2 Char Char Char Char1,Footnote Text Char Char Char Char Char Char1,Footnote Text Char2 Char Char Char Char1 Char Char1,Footnote Text Char2 Char1"/>
    <w:basedOn w:val="DefaultParagraphFont"/>
    <w:link w:val="FootnoteText"/>
    <w:uiPriority w:val="99"/>
    <w:rsid w:val="00056A8F"/>
    <w:rPr>
      <w:rFonts w:ascii="Palatino" w:hAnsi="Palatino"/>
      <w:sz w:val="24"/>
    </w:rPr>
  </w:style>
  <w:style w:type="character" w:customStyle="1" w:styleId="FootnoteTextChar1">
    <w:name w:val="Footnote Text Char1"/>
    <w:aliases w:val="Footnote Text Char2 Char Char,Footnote Text Char Char Char Char,Footnote Text Char2 Char Char Char Char,Footnote Text Char Char Char Char Char Char,Footnote Text Char2 Char Char Char Char1 Char Char,Footnote Text Char2 Char2,fn Char"/>
    <w:semiHidden/>
    <w:locked/>
    <w:rsid w:val="0070642F"/>
    <w:rPr>
      <w:rFonts w:ascii="Palatino" w:hAnsi="Palatino"/>
      <w:sz w:val="24"/>
    </w:rPr>
  </w:style>
  <w:style w:type="paragraph" w:styleId="BalloonText">
    <w:name w:val="Balloon Text"/>
    <w:basedOn w:val="Normal"/>
    <w:link w:val="BalloonTextChar"/>
    <w:rsid w:val="00510A98"/>
    <w:rPr>
      <w:rFonts w:ascii="Tahoma" w:hAnsi="Tahoma" w:cs="Tahoma"/>
      <w:sz w:val="16"/>
      <w:szCs w:val="16"/>
    </w:rPr>
  </w:style>
  <w:style w:type="character" w:customStyle="1" w:styleId="BalloonTextChar">
    <w:name w:val="Balloon Text Char"/>
    <w:basedOn w:val="DefaultParagraphFont"/>
    <w:link w:val="BalloonText"/>
    <w:rsid w:val="00510A98"/>
    <w:rPr>
      <w:rFonts w:ascii="Tahoma" w:hAnsi="Tahoma" w:cs="Tahoma"/>
      <w:sz w:val="16"/>
      <w:szCs w:val="16"/>
    </w:rPr>
  </w:style>
  <w:style w:type="character" w:styleId="CommentReference">
    <w:name w:val="annotation reference"/>
    <w:basedOn w:val="DefaultParagraphFont"/>
    <w:rsid w:val="003139B0"/>
    <w:rPr>
      <w:sz w:val="16"/>
      <w:szCs w:val="16"/>
    </w:rPr>
  </w:style>
  <w:style w:type="paragraph" w:styleId="CommentText">
    <w:name w:val="annotation text"/>
    <w:basedOn w:val="Normal"/>
    <w:link w:val="CommentTextChar"/>
    <w:rsid w:val="003139B0"/>
    <w:rPr>
      <w:sz w:val="20"/>
    </w:rPr>
  </w:style>
  <w:style w:type="character" w:customStyle="1" w:styleId="CommentTextChar">
    <w:name w:val="Comment Text Char"/>
    <w:basedOn w:val="DefaultParagraphFont"/>
    <w:link w:val="CommentText"/>
    <w:rsid w:val="003139B0"/>
    <w:rPr>
      <w:rFonts w:ascii="Palatino" w:hAnsi="Palatino"/>
    </w:rPr>
  </w:style>
  <w:style w:type="paragraph" w:styleId="CommentSubject">
    <w:name w:val="annotation subject"/>
    <w:basedOn w:val="CommentText"/>
    <w:next w:val="CommentText"/>
    <w:link w:val="CommentSubjectChar"/>
    <w:rsid w:val="003139B0"/>
    <w:rPr>
      <w:b/>
      <w:bCs/>
    </w:rPr>
  </w:style>
  <w:style w:type="character" w:customStyle="1" w:styleId="CommentSubjectChar">
    <w:name w:val="Comment Subject Char"/>
    <w:basedOn w:val="CommentTextChar"/>
    <w:link w:val="CommentSubject"/>
    <w:rsid w:val="003139B0"/>
    <w:rPr>
      <w:rFonts w:ascii="Palatino" w:hAnsi="Palatino"/>
      <w:b/>
      <w:bCs/>
    </w:rPr>
  </w:style>
  <w:style w:type="paragraph" w:styleId="Revision">
    <w:name w:val="Revision"/>
    <w:hidden/>
    <w:uiPriority w:val="99"/>
    <w:semiHidden/>
    <w:rsid w:val="003139B0"/>
    <w:rPr>
      <w:rFonts w:ascii="Palatino" w:hAnsi="Palatino"/>
      <w:sz w:val="26"/>
    </w:rPr>
  </w:style>
  <w:style w:type="character" w:customStyle="1" w:styleId="FooterChar">
    <w:name w:val="Footer Char"/>
    <w:basedOn w:val="DefaultParagraphFont"/>
    <w:link w:val="Footer"/>
    <w:uiPriority w:val="99"/>
    <w:rsid w:val="00B20B56"/>
    <w:rPr>
      <w:rFonts w:ascii="Palatino" w:hAnsi="Palatino"/>
      <w:sz w:val="26"/>
    </w:rPr>
  </w:style>
  <w:style w:type="table" w:customStyle="1" w:styleId="GridTable41">
    <w:name w:val="Grid Table 41"/>
    <w:basedOn w:val="TableNormal"/>
    <w:uiPriority w:val="49"/>
    <w:rsid w:val="00223393"/>
    <w:rPr>
      <w:rFonts w:asciiTheme="minorHAnsi" w:eastAsiaTheme="minorHAnsi" w:hAnsiTheme="minorHAnsi" w:cstheme="minorBidi"/>
      <w:sz w:val="24"/>
      <w:szCs w:val="24"/>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971241">
      <w:bodyDiv w:val="1"/>
      <w:marLeft w:val="0"/>
      <w:marRight w:val="0"/>
      <w:marTop w:val="0"/>
      <w:marBottom w:val="0"/>
      <w:divBdr>
        <w:top w:val="none" w:sz="0" w:space="0" w:color="auto"/>
        <w:left w:val="none" w:sz="0" w:space="0" w:color="auto"/>
        <w:bottom w:val="none" w:sz="0" w:space="0" w:color="auto"/>
        <w:right w:val="none" w:sz="0" w:space="0" w:color="auto"/>
      </w:divBdr>
    </w:div>
    <w:div w:id="876427030">
      <w:bodyDiv w:val="1"/>
      <w:marLeft w:val="0"/>
      <w:marRight w:val="0"/>
      <w:marTop w:val="0"/>
      <w:marBottom w:val="0"/>
      <w:divBdr>
        <w:top w:val="none" w:sz="0" w:space="0" w:color="auto"/>
        <w:left w:val="none" w:sz="0" w:space="0" w:color="auto"/>
        <w:bottom w:val="none" w:sz="0" w:space="0" w:color="auto"/>
        <w:right w:val="none" w:sz="0" w:space="0" w:color="auto"/>
      </w:divBdr>
    </w:div>
    <w:div w:id="1326204871">
      <w:bodyDiv w:val="1"/>
      <w:marLeft w:val="0"/>
      <w:marRight w:val="0"/>
      <w:marTop w:val="0"/>
      <w:marBottom w:val="0"/>
      <w:divBdr>
        <w:top w:val="none" w:sz="0" w:space="0" w:color="auto"/>
        <w:left w:val="none" w:sz="0" w:space="0" w:color="auto"/>
        <w:bottom w:val="none" w:sz="0" w:space="0" w:color="auto"/>
        <w:right w:val="none" w:sz="0" w:space="0" w:color="auto"/>
      </w:divBdr>
    </w:div>
    <w:div w:id="1537545199">
      <w:bodyDiv w:val="1"/>
      <w:marLeft w:val="0"/>
      <w:marRight w:val="0"/>
      <w:marTop w:val="0"/>
      <w:marBottom w:val="0"/>
      <w:divBdr>
        <w:top w:val="none" w:sz="0" w:space="0" w:color="auto"/>
        <w:left w:val="none" w:sz="0" w:space="0" w:color="auto"/>
        <w:bottom w:val="none" w:sz="0" w:space="0" w:color="auto"/>
        <w:right w:val="none" w:sz="0" w:space="0" w:color="auto"/>
      </w:divBdr>
    </w:div>
    <w:div w:id="192499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c\AppData\Local\Microsoft\Windows\Temporary%20Internet%20Files\Content.IE5\GR6ECY72\Comment%20Dec.%20(Updated%20-%20Decimal%20Version%20Mailing%20-%20ALJ%20Internal%20Confidential%20Review%20Hea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AB8E6-3697-4E24-BD3D-2B67496EE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Comment Dec. (Updated - Decimal Version Mailing - ALJ Internal Confidential Review Header)</Template>
  <TotalTime>6</TotalTime>
  <Pages>7</Pages>
  <Words>1464</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ALJ/MLC/tcg</vt:lpstr>
    </vt:vector>
  </TitlesOfParts>
  <Company>Microsoft</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ALJ/MLC/tcg</dc:title>
  <dc:creator>Michelle Cooke</dc:creator>
  <cp:lastModifiedBy>Lopez, Ivan</cp:lastModifiedBy>
  <cp:revision>4</cp:revision>
  <cp:lastPrinted>2019-01-14T21:45:00Z</cp:lastPrinted>
  <dcterms:created xsi:type="dcterms:W3CDTF">2019-02-22T17:04:00Z</dcterms:created>
  <dcterms:modified xsi:type="dcterms:W3CDTF">2019-02-26T23:05:00Z</dcterms:modified>
</cp:coreProperties>
</file>