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B52B" w14:textId="1DBBE46C" w:rsidR="00FA0AFD" w:rsidRPr="00287668" w:rsidRDefault="00FA0AFD" w:rsidP="00FA0AFD">
      <w:pPr>
        <w:tabs>
          <w:tab w:val="left" w:pos="2160"/>
        </w:tabs>
        <w:ind w:right="-900"/>
        <w:rPr>
          <w:b/>
        </w:rPr>
      </w:pPr>
      <w:r>
        <w:t>COM/MGA/</w:t>
      </w:r>
      <w:proofErr w:type="spellStart"/>
      <w:r>
        <w:t>avs</w:t>
      </w:r>
      <w:proofErr w:type="spellEnd"/>
      <w:r>
        <w:tab/>
      </w:r>
      <w:r>
        <w:tab/>
      </w:r>
      <w:r>
        <w:tab/>
      </w:r>
      <w:r w:rsidR="00C75013">
        <w:tab/>
      </w:r>
      <w:r w:rsidR="00C75013">
        <w:tab/>
      </w:r>
      <w:r w:rsidR="00C75013">
        <w:tab/>
      </w:r>
      <w:r w:rsidR="00C75013">
        <w:tab/>
      </w:r>
      <w:r w:rsidR="00C75013">
        <w:rPr>
          <w:b/>
        </w:rPr>
        <w:t xml:space="preserve">Date of </w:t>
      </w:r>
      <w:proofErr w:type="gramStart"/>
      <w:r w:rsidR="00C75013">
        <w:rPr>
          <w:b/>
        </w:rPr>
        <w:t>Issuance  3</w:t>
      </w:r>
      <w:proofErr w:type="gramEnd"/>
      <w:r w:rsidR="00C75013">
        <w:rPr>
          <w:b/>
        </w:rPr>
        <w:t>/1/2019</w:t>
      </w:r>
    </w:p>
    <w:p w14:paraId="0CBBF6F6" w14:textId="4C36C4F2" w:rsidR="00FA0AFD" w:rsidRPr="00287668" w:rsidRDefault="00FA0AFD" w:rsidP="00FA0AFD">
      <w:pPr>
        <w:tabs>
          <w:tab w:val="left" w:pos="7200"/>
        </w:tabs>
        <w:rPr>
          <w:b/>
        </w:rPr>
      </w:pPr>
      <w:r w:rsidRPr="00287668">
        <w:rPr>
          <w:b/>
        </w:rPr>
        <w:tab/>
      </w:r>
    </w:p>
    <w:p w14:paraId="21FDE1A8" w14:textId="6C2E5D37" w:rsidR="00FA0AFD" w:rsidRPr="00287668" w:rsidRDefault="00FA0AFD" w:rsidP="00FA0AFD">
      <w:pPr>
        <w:jc w:val="right"/>
        <w:rPr>
          <w:b/>
        </w:rPr>
      </w:pPr>
    </w:p>
    <w:p w14:paraId="23C6BCE7" w14:textId="769DB544" w:rsidR="00FA0AFD" w:rsidRPr="00287668" w:rsidRDefault="00FA0AFD" w:rsidP="00FA0AFD">
      <w:pPr>
        <w:tabs>
          <w:tab w:val="left" w:pos="2880"/>
        </w:tabs>
        <w:suppressAutoHyphens/>
        <w:ind w:left="990" w:hanging="990"/>
        <w:rPr>
          <w:b/>
          <w:sz w:val="20"/>
        </w:rPr>
      </w:pPr>
      <w:r>
        <w:t xml:space="preserve">Decision </w:t>
      </w:r>
      <w:r w:rsidR="00C75013">
        <w:t>19-02-</w:t>
      </w:r>
      <w:proofErr w:type="gramStart"/>
      <w:r w:rsidR="00C75013">
        <w:t>008  February</w:t>
      </w:r>
      <w:proofErr w:type="gramEnd"/>
      <w:r w:rsidR="00C75013">
        <w:t xml:space="preserve"> 21, 2019</w:t>
      </w:r>
      <w:r w:rsidRPr="00287668">
        <w:rPr>
          <w:b/>
          <w:u w:val="single"/>
        </w:rPr>
        <w:br/>
      </w:r>
    </w:p>
    <w:p w14:paraId="3208460A" w14:textId="77777777" w:rsidR="00B30FF9" w:rsidRDefault="00B30FF9"/>
    <w:p w14:paraId="0273CAFF" w14:textId="77777777" w:rsidR="00B30FF9" w:rsidRDefault="00B30FF9">
      <w:pPr>
        <w:rPr>
          <w:rFonts w:ascii="Helvetica" w:hAnsi="Helvetica"/>
          <w:b/>
          <w:bCs/>
          <w:sz w:val="24"/>
        </w:rPr>
      </w:pPr>
      <w:r>
        <w:rPr>
          <w:rFonts w:ascii="Helvetica" w:hAnsi="Helvetica"/>
          <w:b/>
          <w:bCs/>
          <w:sz w:val="24"/>
        </w:rPr>
        <w:t>BEFORE THE PUBLIC UTILITIES COMMISSION OF THE STATE OF CALIFORNIA</w:t>
      </w:r>
    </w:p>
    <w:p w14:paraId="2F3F588D" w14:textId="77777777" w:rsidR="00B30FF9" w:rsidRDefault="00B30FF9">
      <w:pPr>
        <w:suppressAutoHyphens/>
      </w:pPr>
    </w:p>
    <w:tbl>
      <w:tblPr>
        <w:tblW w:w="9468" w:type="dxa"/>
        <w:tblLayout w:type="fixed"/>
        <w:tblLook w:val="0000" w:firstRow="0" w:lastRow="0" w:firstColumn="0" w:lastColumn="0" w:noHBand="0" w:noVBand="0"/>
      </w:tblPr>
      <w:tblGrid>
        <w:gridCol w:w="4950"/>
        <w:gridCol w:w="4518"/>
      </w:tblGrid>
      <w:tr w:rsidR="00B30FF9" w14:paraId="16644893" w14:textId="77777777" w:rsidTr="00287668">
        <w:tc>
          <w:tcPr>
            <w:tcW w:w="4950" w:type="dxa"/>
            <w:tcBorders>
              <w:bottom w:val="single" w:sz="6" w:space="0" w:color="auto"/>
              <w:right w:val="single" w:sz="6" w:space="0" w:color="auto"/>
            </w:tcBorders>
          </w:tcPr>
          <w:p w14:paraId="18C33E9C" w14:textId="5E3B9683" w:rsidR="001251D7" w:rsidRDefault="001251D7" w:rsidP="001251D7">
            <w:r>
              <w:t>Order Instituting Rulemaking to Consider Modifications to the California Advanced Services Fund.</w:t>
            </w:r>
          </w:p>
          <w:p w14:paraId="2C34F0BE" w14:textId="77777777" w:rsidR="00B30FF9" w:rsidRDefault="00B30FF9"/>
        </w:tc>
        <w:tc>
          <w:tcPr>
            <w:tcW w:w="4518" w:type="dxa"/>
            <w:tcBorders>
              <w:left w:val="nil"/>
            </w:tcBorders>
          </w:tcPr>
          <w:p w14:paraId="64A43475" w14:textId="77777777" w:rsidR="00297E65" w:rsidRDefault="00297E65">
            <w:pPr>
              <w:jc w:val="center"/>
            </w:pPr>
          </w:p>
          <w:p w14:paraId="74B5DA1F" w14:textId="5B0186FB" w:rsidR="00B30FF9" w:rsidRDefault="001251D7">
            <w:pPr>
              <w:jc w:val="center"/>
            </w:pPr>
            <w:r>
              <w:t>Rulemaking 12</w:t>
            </w:r>
            <w:r>
              <w:noBreakHyphen/>
              <w:t>10</w:t>
            </w:r>
            <w:r>
              <w:noBreakHyphen/>
              <w:t>012</w:t>
            </w:r>
          </w:p>
          <w:p w14:paraId="7F7DC10F" w14:textId="77777777" w:rsidR="00B30FF9" w:rsidRDefault="00B30FF9">
            <w:pPr>
              <w:jc w:val="center"/>
            </w:pPr>
          </w:p>
        </w:tc>
      </w:tr>
    </w:tbl>
    <w:p w14:paraId="2EBC8978" w14:textId="11F29AF6" w:rsidR="00030ABA" w:rsidRDefault="00030ABA" w:rsidP="0006259D">
      <w:pPr>
        <w:suppressAutoHyphens/>
        <w:jc w:val="center"/>
        <w:rPr>
          <w:rFonts w:ascii="Helvetica" w:hAnsi="Helvetica"/>
          <w:b/>
        </w:rPr>
      </w:pPr>
    </w:p>
    <w:p w14:paraId="4143AE73" w14:textId="71798975" w:rsidR="00E57EE1" w:rsidRDefault="00E57EE1" w:rsidP="00287668">
      <w:pPr>
        <w:pStyle w:val="main"/>
      </w:pPr>
      <w:bookmarkStart w:id="0" w:name="_Toc514152970"/>
      <w:r>
        <w:t xml:space="preserve">DECISION </w:t>
      </w:r>
      <w:r w:rsidR="001251D7">
        <w:t xml:space="preserve">REVISING </w:t>
      </w:r>
      <w:r>
        <w:t>THE CALIFORNIA ADVANCED SERVICES FUND BROADBAND ADOPTION ACCOUNT</w:t>
      </w:r>
      <w:r w:rsidRPr="00E57EE1">
        <w:rPr>
          <w:rFonts w:ascii="Arial" w:eastAsia="Arial" w:hAnsi="Arial" w:cs="Arial"/>
          <w:spacing w:val="-7"/>
        </w:rPr>
        <w:t xml:space="preserve"> </w:t>
      </w:r>
      <w:r>
        <w:t>PROVISIONS</w:t>
      </w:r>
      <w:bookmarkEnd w:id="0"/>
    </w:p>
    <w:p w14:paraId="5A8CF669" w14:textId="6E2FF7D6" w:rsidR="00134E7B" w:rsidRDefault="00134E7B" w:rsidP="00287668">
      <w:pPr>
        <w:pStyle w:val="Heading1"/>
      </w:pPr>
    </w:p>
    <w:p w14:paraId="7A9E47F4" w14:textId="77777777" w:rsidR="007E72FD" w:rsidRPr="00287668" w:rsidRDefault="007E72FD" w:rsidP="00287668">
      <w:pPr>
        <w:pStyle w:val="Heading1"/>
      </w:pPr>
      <w:r w:rsidRPr="00287668">
        <w:t>Summary</w:t>
      </w:r>
    </w:p>
    <w:p w14:paraId="6311816B" w14:textId="0D37547C" w:rsidR="00930BD6" w:rsidRPr="00E60E5E" w:rsidRDefault="00930BD6" w:rsidP="00930BD6">
      <w:pPr>
        <w:pStyle w:val="standard"/>
      </w:pPr>
      <w:r w:rsidRPr="00E60E5E">
        <w:t xml:space="preserve">This decision </w:t>
      </w:r>
      <w:bookmarkStart w:id="1" w:name="_Hlk530056714"/>
      <w:r w:rsidRPr="00E60E5E">
        <w:t>makes modifications and clarifications to the California Advanced Services Fund Broadband Adoption Account Application Requirements and Guidelines as set forth in Appendix 1.</w:t>
      </w:r>
      <w:bookmarkEnd w:id="1"/>
      <w:r w:rsidRPr="00E60E5E">
        <w:t xml:space="preserve">  Specifically, these revisions include: </w:t>
      </w:r>
      <w:r>
        <w:t xml:space="preserve"> </w:t>
      </w:r>
      <w:r w:rsidRPr="00E60E5E">
        <w:t>1) setting a $</w:t>
      </w:r>
      <w:r w:rsidR="00FD0342">
        <w:t>7.</w:t>
      </w:r>
      <w:r w:rsidRPr="00E60E5E">
        <w:t>5 million award cap for each application cycle; 2)</w:t>
      </w:r>
      <w:r>
        <w:rPr>
          <w:rFonts w:hint="eastAsia"/>
        </w:rPr>
        <w:t> </w:t>
      </w:r>
      <w:r w:rsidRPr="00E60E5E">
        <w:t>clarification on the types of reimbursable project costs and the 85% funding cap; and 3) modification to the application submission deadlines.</w:t>
      </w:r>
      <w:r>
        <w:t xml:space="preserve"> This proceeding remains open. </w:t>
      </w:r>
    </w:p>
    <w:p w14:paraId="319EC64E" w14:textId="77777777" w:rsidR="00930BD6" w:rsidRDefault="00930BD6" w:rsidP="00930BD6">
      <w:pPr>
        <w:pStyle w:val="Heading1"/>
      </w:pPr>
      <w:r>
        <w:t>1.  Background</w:t>
      </w:r>
    </w:p>
    <w:p w14:paraId="332A6F69" w14:textId="00FF4E0D" w:rsidR="00930BD6" w:rsidRDefault="00930BD6" w:rsidP="00930BD6">
      <w:pPr>
        <w:pStyle w:val="standard"/>
      </w:pPr>
      <w:r>
        <w:t xml:space="preserve"> </w:t>
      </w:r>
      <w:r w:rsidRPr="00E60E5E">
        <w:t xml:space="preserve">On October 15, 2017, Governor </w:t>
      </w:r>
      <w:r>
        <w:t xml:space="preserve">Brown </w:t>
      </w:r>
      <w:r w:rsidRPr="00E60E5E">
        <w:t>signed Assembly Bill (AB) 1665 (Garcia)</w:t>
      </w:r>
      <w:r w:rsidRPr="000968AC">
        <w:rPr>
          <w:rStyle w:val="FootnoteReference"/>
          <w:rFonts w:ascii="Book Antiqua" w:hAnsi="Book Antiqua"/>
          <w:szCs w:val="26"/>
        </w:rPr>
        <w:footnoteReference w:id="2"/>
      </w:r>
      <w:r w:rsidRPr="000968AC">
        <w:rPr>
          <w:rFonts w:ascii="Book Antiqua" w:hAnsi="Book Antiqua"/>
          <w:szCs w:val="26"/>
        </w:rPr>
        <w:t xml:space="preserve"> </w:t>
      </w:r>
      <w:r w:rsidRPr="00E60E5E">
        <w:t xml:space="preserve">into law.  This legislation amended the statutes governing the </w:t>
      </w:r>
      <w:r>
        <w:t>California Advanced Services Fund program (</w:t>
      </w:r>
      <w:r w:rsidRPr="00E60E5E">
        <w:t>CASF</w:t>
      </w:r>
      <w:proofErr w:type="gramStart"/>
      <w:r>
        <w:t>),</w:t>
      </w:r>
      <w:r w:rsidRPr="00E60E5E">
        <w:t xml:space="preserve">  Public</w:t>
      </w:r>
      <w:proofErr w:type="gramEnd"/>
      <w:r w:rsidRPr="00E60E5E">
        <w:t xml:space="preserve"> Utilities Code, §§</w:t>
      </w:r>
      <w:r w:rsidR="004B32DC">
        <w:rPr>
          <w:rFonts w:hint="eastAsia"/>
        </w:rPr>
        <w:t> </w:t>
      </w:r>
      <w:r w:rsidRPr="00E60E5E">
        <w:t xml:space="preserve">281, 912.2, and 914.7.  AB 1665 added the Broadband Adoption Account </w:t>
      </w:r>
      <w:r w:rsidR="001934CE" w:rsidRPr="00E60E5E">
        <w:t>(Adoption Account)</w:t>
      </w:r>
      <w:r w:rsidR="001934CE">
        <w:t xml:space="preserve"> </w:t>
      </w:r>
      <w:r w:rsidRPr="00E60E5E">
        <w:t>which provides grants to increase publicly</w:t>
      </w:r>
      <w:r>
        <w:rPr>
          <w:rFonts w:ascii="Book Antiqua" w:hAnsi="Book Antiqua"/>
          <w:szCs w:val="26"/>
        </w:rPr>
        <w:t xml:space="preserve"> </w:t>
      </w:r>
      <w:r w:rsidRPr="00E60E5E">
        <w:t xml:space="preserve">available or after </w:t>
      </w:r>
      <w:r w:rsidRPr="00E60E5E">
        <w:lastRenderedPageBreak/>
        <w:t xml:space="preserve">school broadband access and digital inclusion.  Eligible applicants for digital inclusion are local governments, senior centers, schools, public libraries, nonprofit organizations, and </w:t>
      </w:r>
      <w:r w:rsidR="007E57FD" w:rsidRPr="00E60E5E">
        <w:t>community-based</w:t>
      </w:r>
      <w:r w:rsidRPr="00E60E5E">
        <w:t xml:space="preserve"> organizations with programs to increase publicly available or after-school broadband access and digital inclusion, such as digital literacy training programs.  AB 1665 also requires the Commission to give preference to programs in communities with demonstrated low broadband access, including low-income communities, senior communities, and communities facing socioeconomic barriers to broadband adoption. </w:t>
      </w:r>
      <w:r>
        <w:t>I</w:t>
      </w:r>
      <w:r w:rsidRPr="00E60E5E">
        <w:t>n June</w:t>
      </w:r>
      <w:r w:rsidR="007E49CF">
        <w:rPr>
          <w:rFonts w:hint="eastAsia"/>
        </w:rPr>
        <w:t> </w:t>
      </w:r>
      <w:r w:rsidRPr="00E60E5E">
        <w:t>2018, the Commission issued Decision (D).</w:t>
      </w:r>
      <w:r>
        <w:rPr>
          <w:rFonts w:hint="eastAsia"/>
        </w:rPr>
        <w:t> </w:t>
      </w:r>
      <w:r w:rsidRPr="00E60E5E">
        <w:t>18</w:t>
      </w:r>
      <w:r>
        <w:noBreakHyphen/>
      </w:r>
      <w:r w:rsidRPr="00E60E5E">
        <w:t>06</w:t>
      </w:r>
      <w:r>
        <w:noBreakHyphen/>
      </w:r>
      <w:r w:rsidRPr="00E60E5E">
        <w:t>032</w:t>
      </w:r>
      <w:r w:rsidRPr="00C35816">
        <w:rPr>
          <w:rFonts w:ascii="Book Antiqua" w:hAnsi="Book Antiqua"/>
          <w:sz w:val="24"/>
          <w:szCs w:val="24"/>
          <w:vertAlign w:val="superscript"/>
        </w:rPr>
        <w:footnoteReference w:id="3"/>
      </w:r>
      <w:r w:rsidRPr="00E60E5E">
        <w:t xml:space="preserve"> which implemented provisions of AB 1665 and adopted new rules for administering the CASF Adoption Account.  The first round of applications</w:t>
      </w:r>
      <w:r>
        <w:t>, under the new rules, were</w:t>
      </w:r>
      <w:r w:rsidRPr="00E60E5E">
        <w:t xml:space="preserve"> due on August 31, 2018 with an award</w:t>
      </w:r>
      <w:r>
        <w:t xml:space="preserve"> </w:t>
      </w:r>
      <w:r w:rsidRPr="00E60E5E">
        <w:t>cap of $5 million</w:t>
      </w:r>
      <w:r>
        <w:rPr>
          <w:rFonts w:ascii="Book Antiqua" w:hAnsi="Book Antiqua"/>
          <w:szCs w:val="26"/>
        </w:rPr>
        <w:t>.</w:t>
      </w:r>
      <w:r>
        <w:rPr>
          <w:rStyle w:val="FootnoteReference"/>
          <w:rFonts w:ascii="Book Antiqua" w:hAnsi="Book Antiqua"/>
          <w:szCs w:val="26"/>
        </w:rPr>
        <w:footnoteReference w:id="4"/>
      </w:r>
      <w:r>
        <w:rPr>
          <w:rFonts w:ascii="Book Antiqua" w:hAnsi="Book Antiqua"/>
          <w:szCs w:val="26"/>
        </w:rPr>
        <w:t xml:space="preserve">  </w:t>
      </w:r>
      <w:r w:rsidRPr="00E60E5E">
        <w:t>The Commission received applications for 66 projects requesting over $8.4</w:t>
      </w:r>
      <w:r w:rsidR="007C050E">
        <w:rPr>
          <w:rFonts w:hint="eastAsia"/>
        </w:rPr>
        <w:t> </w:t>
      </w:r>
      <w:r w:rsidRPr="00E60E5E">
        <w:t xml:space="preserve">million in grant funding.  </w:t>
      </w:r>
    </w:p>
    <w:p w14:paraId="7E00D726" w14:textId="6C74F1CC" w:rsidR="00930BD6" w:rsidRPr="00E47965" w:rsidRDefault="00930BD6" w:rsidP="00930BD6">
      <w:pPr>
        <w:pStyle w:val="standard"/>
        <w:rPr>
          <w:rFonts w:ascii="Book Antiqua" w:hAnsi="Book Antiqua"/>
          <w:szCs w:val="26"/>
        </w:rPr>
      </w:pPr>
      <w:r w:rsidRPr="00287668">
        <w:t>Based</w:t>
      </w:r>
      <w:r w:rsidRPr="00E60E5E">
        <w:t xml:space="preserve"> on the Commission’s experience with the first round of applications, </w:t>
      </w:r>
      <w:r>
        <w:t>a</w:t>
      </w:r>
      <w:r w:rsidRPr="00E60E5E">
        <w:t>ssigned Commissioner Guzman</w:t>
      </w:r>
      <w:r>
        <w:rPr>
          <w:rFonts w:hint="eastAsia"/>
        </w:rPr>
        <w:t> </w:t>
      </w:r>
      <w:r w:rsidRPr="00E60E5E">
        <w:t>Aceves issued an Assigned Commissioner’s Ruling (ACR) on December</w:t>
      </w:r>
      <w:r>
        <w:rPr>
          <w:rFonts w:hint="eastAsia"/>
        </w:rPr>
        <w:t> </w:t>
      </w:r>
      <w:r w:rsidRPr="00E60E5E">
        <w:t xml:space="preserve">7, 2018 in order to solicit comments on </w:t>
      </w:r>
      <w:r>
        <w:t>proposed revisions to the program.</w:t>
      </w:r>
      <w:r w:rsidR="007C050E">
        <w:t xml:space="preserve"> </w:t>
      </w:r>
      <w:r>
        <w:t xml:space="preserve"> Specifically, the ACR requested comment o</w:t>
      </w:r>
      <w:r w:rsidR="00E35ACB">
        <w:t>n</w:t>
      </w:r>
      <w:r>
        <w:t xml:space="preserve"> the</w:t>
      </w:r>
      <w:r w:rsidRPr="00E60E5E">
        <w:t xml:space="preserve"> following </w:t>
      </w:r>
      <w:r>
        <w:t xml:space="preserve">proposed </w:t>
      </w:r>
      <w:r w:rsidRPr="00E60E5E">
        <w:t xml:space="preserve">changes: </w:t>
      </w:r>
      <w:r w:rsidR="007C050E">
        <w:t xml:space="preserve"> </w:t>
      </w:r>
      <w:r w:rsidRPr="00E60E5E">
        <w:t xml:space="preserve">1) </w:t>
      </w:r>
      <w:r>
        <w:t xml:space="preserve">Should the program </w:t>
      </w:r>
      <w:r w:rsidRPr="00E60E5E">
        <w:t xml:space="preserve">set a $5 million award cap for each application cycle; 2) </w:t>
      </w:r>
      <w:r>
        <w:t xml:space="preserve">How should the program </w:t>
      </w:r>
      <w:r w:rsidRPr="00E60E5E">
        <w:t xml:space="preserve">clarify the types of reimbursable project costs and the 85% funding cap; and 3) </w:t>
      </w:r>
      <w:r>
        <w:t xml:space="preserve">Should the program </w:t>
      </w:r>
      <w:r w:rsidRPr="00E60E5E">
        <w:lastRenderedPageBreak/>
        <w:t xml:space="preserve">modify the application submission deadlines.  Comments were due on </w:t>
      </w:r>
      <w:r w:rsidR="005D7FDD" w:rsidRPr="00E60E5E">
        <w:t>December</w:t>
      </w:r>
      <w:r w:rsidR="005D7FDD">
        <w:rPr>
          <w:rFonts w:hint="eastAsia"/>
        </w:rPr>
        <w:t> </w:t>
      </w:r>
      <w:r w:rsidR="005D7FDD" w:rsidRPr="00E60E5E">
        <w:t>27, 2018 and</w:t>
      </w:r>
      <w:r w:rsidRPr="00E60E5E">
        <w:t xml:space="preserve"> reply comments due on January 07, 2019.</w:t>
      </w:r>
    </w:p>
    <w:p w14:paraId="2B1B14C2" w14:textId="77777777" w:rsidR="00930BD6" w:rsidRDefault="00930BD6" w:rsidP="00930BD6">
      <w:pPr>
        <w:pStyle w:val="standard"/>
      </w:pPr>
      <w:r w:rsidRPr="00E60E5E">
        <w:t>Comments on the proposed modifications and clarifications to the Adoption Account Application Requirements and Guidelines (Appendix 1) were filed by the California Emerging Technology Fund (CETF) on December 27, 2018.  Reply comments were jointly filed by The Utility Reform Network and The Greenlining Institute (Joint Consumers) on January 07, 2019.</w:t>
      </w:r>
    </w:p>
    <w:p w14:paraId="48F81844" w14:textId="77777777" w:rsidR="00930BD6" w:rsidRPr="00287668" w:rsidRDefault="00930BD6" w:rsidP="00930BD6">
      <w:pPr>
        <w:pStyle w:val="Heading1"/>
        <w:keepNext/>
        <w:keepLines/>
      </w:pPr>
      <w:r w:rsidRPr="00287668">
        <w:t xml:space="preserve">2.  Revisions to the California Advanced Services Fund </w:t>
      </w:r>
      <w:r w:rsidRPr="00287668">
        <w:br/>
        <w:t>Broadband Adoption Account</w:t>
      </w:r>
    </w:p>
    <w:p w14:paraId="70C7BA1C" w14:textId="77777777" w:rsidR="00930BD6" w:rsidRDefault="00930BD6" w:rsidP="00930BD6">
      <w:pPr>
        <w:pStyle w:val="standard"/>
        <w:keepNext/>
        <w:keepLines/>
      </w:pPr>
      <w:bookmarkStart w:id="2" w:name="_Toc370798910"/>
      <w:r w:rsidRPr="0065332C">
        <w:t xml:space="preserve">In this decision, we </w:t>
      </w:r>
      <w:r>
        <w:t>modify the application submission deadlines, and adopt revisions to the rules, application requirements and guidelines for the CASF Broadband Adoption</w:t>
      </w:r>
      <w:r w:rsidRPr="0065332C">
        <w:t xml:space="preserve"> Grant Account, as summarized below</w:t>
      </w:r>
      <w:r>
        <w:t xml:space="preserve"> and set forth in Appendix 1</w:t>
      </w:r>
      <w:r w:rsidRPr="0065332C">
        <w:t>.</w:t>
      </w:r>
    </w:p>
    <w:p w14:paraId="393BBEC1" w14:textId="1B855C8C" w:rsidR="00930BD6" w:rsidRPr="00287668" w:rsidRDefault="00930BD6" w:rsidP="00930BD6">
      <w:pPr>
        <w:pStyle w:val="Heading2"/>
      </w:pPr>
      <w:r>
        <w:t xml:space="preserve">2.1.  </w:t>
      </w:r>
      <w:r w:rsidRPr="00287668">
        <w:t>$</w:t>
      </w:r>
      <w:r w:rsidR="00AF1B8B">
        <w:t>7.</w:t>
      </w:r>
      <w:r w:rsidRPr="00287668">
        <w:t>5 Million Award Cap per Application Cycle</w:t>
      </w:r>
    </w:p>
    <w:p w14:paraId="4411D23F" w14:textId="271962FC" w:rsidR="00930BD6" w:rsidRDefault="00930BD6" w:rsidP="00930BD6">
      <w:pPr>
        <w:pStyle w:val="standard"/>
        <w:rPr>
          <w:rFonts w:ascii="Book Antiqua" w:hAnsi="Book Antiqua"/>
          <w:szCs w:val="26"/>
        </w:rPr>
      </w:pPr>
      <w:r w:rsidRPr="0065332C">
        <w:t>To ensure that funds would be allocated throughout the state, D.18-06-032 specified that only $5 million of the $20 million authorized</w:t>
      </w:r>
      <w:r>
        <w:t xml:space="preserve"> funds</w:t>
      </w:r>
      <w:r w:rsidRPr="0065332C">
        <w:t xml:space="preserve"> would be awarded in the first application wind</w:t>
      </w:r>
      <w:bookmarkStart w:id="3" w:name="_GoBack"/>
      <w:bookmarkEnd w:id="3"/>
      <w:r w:rsidRPr="0065332C">
        <w:t>ow (August 2018)</w:t>
      </w:r>
      <w:r>
        <w:t>.</w:t>
      </w:r>
      <w:r w:rsidR="00184004">
        <w:t xml:space="preserve"> </w:t>
      </w:r>
      <w:r>
        <w:t xml:space="preserve"> This award limit would</w:t>
      </w:r>
      <w:r w:rsidRPr="0065332C">
        <w:t xml:space="preserve"> serve as a pilot to determine the effectiveness of the Adoption Account strategy and assess demand for adoption funds.  D</w:t>
      </w:r>
      <w:r>
        <w:t>.</w:t>
      </w:r>
      <w:r w:rsidRPr="0065332C">
        <w:t>18-06-032 further stated that the Commission may revisit this application window amount and assess the effectiveness of the Adoption Account</w:t>
      </w:r>
      <w:r w:rsidRPr="00335DA0">
        <w:rPr>
          <w:rFonts w:ascii="Book Antiqua" w:hAnsi="Book Antiqua"/>
          <w:szCs w:val="26"/>
        </w:rPr>
        <w:t xml:space="preserve"> </w:t>
      </w:r>
      <w:r w:rsidRPr="0065332C">
        <w:t>after analyzing applications submitted in the first application window</w:t>
      </w:r>
      <w:r>
        <w:rPr>
          <w:rFonts w:ascii="Book Antiqua" w:hAnsi="Book Antiqua"/>
          <w:szCs w:val="26"/>
        </w:rPr>
        <w:t>.</w:t>
      </w:r>
      <w:r>
        <w:rPr>
          <w:rStyle w:val="FootnoteReference"/>
          <w:rFonts w:ascii="Book Antiqua" w:hAnsi="Book Antiqua"/>
          <w:szCs w:val="26"/>
        </w:rPr>
        <w:footnoteReference w:id="5"/>
      </w:r>
      <w:r w:rsidRPr="00335DA0">
        <w:rPr>
          <w:rFonts w:ascii="Book Antiqua" w:hAnsi="Book Antiqua"/>
          <w:szCs w:val="26"/>
        </w:rPr>
        <w:t xml:space="preserve"> </w:t>
      </w:r>
      <w:r>
        <w:rPr>
          <w:rFonts w:ascii="Book Antiqua" w:hAnsi="Book Antiqua"/>
          <w:szCs w:val="26"/>
        </w:rPr>
        <w:t xml:space="preserve"> </w:t>
      </w:r>
    </w:p>
    <w:p w14:paraId="7ABB9672" w14:textId="318EAB1F" w:rsidR="00930BD6" w:rsidRPr="00287668" w:rsidRDefault="00930BD6" w:rsidP="00D042E9">
      <w:pPr>
        <w:pStyle w:val="Heading3"/>
        <w:keepNext/>
        <w:keepLines/>
      </w:pPr>
      <w:r>
        <w:lastRenderedPageBreak/>
        <w:t xml:space="preserve">2.1.1.  </w:t>
      </w:r>
      <w:r w:rsidR="00FE5EC7">
        <w:t>P</w:t>
      </w:r>
      <w:r w:rsidRPr="00287668">
        <w:t>arties’ Comments</w:t>
      </w:r>
    </w:p>
    <w:p w14:paraId="09879245" w14:textId="77777777" w:rsidR="00930BD6" w:rsidRDefault="00930BD6" w:rsidP="00D042E9">
      <w:pPr>
        <w:pStyle w:val="standard"/>
        <w:keepNext/>
        <w:keepLines/>
      </w:pPr>
      <w:r>
        <w:t xml:space="preserve">In its comments, CETF opposes implementing a $5 million award cap per cycle </w:t>
      </w:r>
      <w:r w:rsidRPr="000A49E5">
        <w:t>citing reasons that “there is no time to waste” and if there are viable</w:t>
      </w:r>
      <w:r>
        <w:t xml:space="preserve"> projects, they should be funded.</w:t>
      </w:r>
      <w:r w:rsidRPr="00C35816">
        <w:rPr>
          <w:rStyle w:val="FootnoteReference"/>
          <w:rFonts w:ascii="Book Antiqua" w:hAnsi="Book Antiqua"/>
        </w:rPr>
        <w:footnoteReference w:id="6"/>
      </w:r>
      <w:r w:rsidRPr="000A49E5">
        <w:t xml:space="preserve"> </w:t>
      </w:r>
      <w:r>
        <w:t xml:space="preserve"> Additionally, CETF suggests that the </w:t>
      </w:r>
      <w:r w:rsidRPr="000A49E5">
        <w:t xml:space="preserve">Commission should ensure geographical balance to funds so that each region of the state benefits, and proposes that staff look at regions in need, and conduct outreach in those areas if no applications are received for those areas. </w:t>
      </w:r>
      <w:r>
        <w:t xml:space="preserve"> CETF also notes that the </w:t>
      </w:r>
      <w:r w:rsidRPr="000A49E5">
        <w:t>Commission should prioritize applications that will achieve actual verified adoptions</w:t>
      </w:r>
      <w:r>
        <w:t>.</w:t>
      </w:r>
      <w:r w:rsidRPr="00C35816">
        <w:rPr>
          <w:rStyle w:val="FootnoteReference"/>
          <w:rFonts w:ascii="Book Antiqua" w:hAnsi="Book Antiqua"/>
        </w:rPr>
        <w:footnoteReference w:id="7"/>
      </w:r>
    </w:p>
    <w:p w14:paraId="31032879" w14:textId="64E84A09" w:rsidR="00930BD6" w:rsidRPr="00FA5E18" w:rsidRDefault="00930BD6" w:rsidP="00930BD6">
      <w:pPr>
        <w:pStyle w:val="standard"/>
      </w:pPr>
      <w:r>
        <w:t>In reply comments, the Joint Consumers state that they do</w:t>
      </w:r>
      <w:r w:rsidRPr="00FA5E18">
        <w:t xml:space="preserve"> not agree with CETF</w:t>
      </w:r>
      <w:r>
        <w:t>, and su</w:t>
      </w:r>
      <w:r w:rsidRPr="00FA5E18">
        <w:t>pport implementation</w:t>
      </w:r>
      <w:r>
        <w:t xml:space="preserve"> of the</w:t>
      </w:r>
      <w:r w:rsidRPr="00FA5E18">
        <w:t xml:space="preserve"> </w:t>
      </w:r>
      <w:r>
        <w:t xml:space="preserve">$5 million award </w:t>
      </w:r>
      <w:r w:rsidRPr="00FA5E18">
        <w:t xml:space="preserve">cap </w:t>
      </w:r>
      <w:r>
        <w:t xml:space="preserve">per cycle </w:t>
      </w:r>
      <w:r w:rsidRPr="00FA5E18">
        <w:t xml:space="preserve">because </w:t>
      </w:r>
      <w:r>
        <w:t>they believe  it</w:t>
      </w:r>
      <w:r w:rsidRPr="00FA5E18">
        <w:t xml:space="preserve"> will incent organizations to put forth the best plan, push Commission staff to be more judicious in approving projects, and give stakeholders more time to evaluate the success of the adoption program and make minor adjustments while funding still exists</w:t>
      </w:r>
      <w:r>
        <w:t>.</w:t>
      </w:r>
      <w:r w:rsidRPr="00C35816">
        <w:rPr>
          <w:rStyle w:val="FootnoteReference"/>
          <w:rFonts w:ascii="Book Antiqua" w:hAnsi="Book Antiqua"/>
        </w:rPr>
        <w:footnoteReference w:id="8"/>
      </w:r>
      <w:r w:rsidRPr="00FA5E18">
        <w:t xml:space="preserve"> </w:t>
      </w:r>
      <w:r>
        <w:t xml:space="preserve"> The Joint Consumers also disagree with</w:t>
      </w:r>
      <w:r w:rsidRPr="00E00903">
        <w:t xml:space="preserve"> </w:t>
      </w:r>
      <w:r>
        <w:t xml:space="preserve">CETF’s proposal to </w:t>
      </w:r>
      <w:r w:rsidRPr="000A49E5">
        <w:t>prioritize applications that will achieve actual verified adoptions</w:t>
      </w:r>
      <w:r>
        <w:t xml:space="preserve"> due to existing barriers to residential broadband adoptions.</w:t>
      </w:r>
      <w:r>
        <w:rPr>
          <w:rStyle w:val="FootnoteReference"/>
        </w:rPr>
        <w:footnoteReference w:id="9"/>
      </w:r>
      <w:r>
        <w:t xml:space="preserve"> </w:t>
      </w:r>
    </w:p>
    <w:p w14:paraId="613487C4" w14:textId="77777777" w:rsidR="00930BD6" w:rsidRDefault="00930BD6" w:rsidP="00930BD6">
      <w:pPr>
        <w:pStyle w:val="Heading3"/>
      </w:pPr>
      <w:r>
        <w:t>2.1.2.  Discussion</w:t>
      </w:r>
    </w:p>
    <w:p w14:paraId="374953EE" w14:textId="56516C87" w:rsidR="00930BD6" w:rsidRDefault="00930BD6" w:rsidP="00930BD6">
      <w:pPr>
        <w:spacing w:line="360" w:lineRule="auto"/>
        <w:ind w:firstLine="630"/>
      </w:pPr>
      <w:r>
        <w:t xml:space="preserve">We agree with the Joint Consumers that maintaining a per-cycle cap will incent organizations to put forth better plans, as well as allow Commission staff to be more judicious in approving projects.  This would also allow time for parties and the Commission to evaluate the success of these programs and make </w:t>
      </w:r>
      <w:r>
        <w:lastRenderedPageBreak/>
        <w:t xml:space="preserve">minor adjustments as needed.  At the same time, CETF’s arguments have some </w:t>
      </w:r>
      <w:r w:rsidR="00130846">
        <w:t>merit</w:t>
      </w:r>
      <w:r>
        <w:t xml:space="preserve">: a viable project should not go unfunded simply because other viable projects have already been funded.  </w:t>
      </w:r>
    </w:p>
    <w:p w14:paraId="13259041" w14:textId="76ABB679" w:rsidR="00930BD6" w:rsidRPr="00D862EC" w:rsidRDefault="00930BD6" w:rsidP="00930BD6">
      <w:pPr>
        <w:spacing w:line="360" w:lineRule="auto"/>
        <w:ind w:firstLine="630"/>
      </w:pPr>
      <w:r>
        <w:t xml:space="preserve">We therefore find it appropriate to cap awards at $7.5 million per </w:t>
      </w:r>
      <w:r w:rsidR="004D64BD">
        <w:t xml:space="preserve">application </w:t>
      </w:r>
      <w:r>
        <w:t>cycle.  This will continue to ensure that funds from the Adoption Account are allocated throughout the state, and that not all funds would be allocated within the first year, as well provide the Commission an opportunity to continually assess the effectiveness of the Adoption Account strategy and propose any changes in future cycles if needed.  Accordingly, Appendix 1 has been revised to reflect this change.</w:t>
      </w:r>
    </w:p>
    <w:p w14:paraId="231BC955" w14:textId="168D2A38" w:rsidR="00930BD6" w:rsidRDefault="00930BD6" w:rsidP="00930BD6">
      <w:pPr>
        <w:pStyle w:val="Heading2"/>
      </w:pPr>
      <w:r w:rsidRPr="00287668">
        <w:t xml:space="preserve">2.2.  </w:t>
      </w:r>
      <w:r w:rsidRPr="00E36A27">
        <w:t xml:space="preserve">Clarification on Reimbursable Project Costs </w:t>
      </w:r>
      <w:r w:rsidR="00311F15">
        <w:br/>
      </w:r>
      <w:r w:rsidRPr="00E36A27">
        <w:t>and the 85% Funding Cap</w:t>
      </w:r>
    </w:p>
    <w:p w14:paraId="4997A2E8" w14:textId="5D6D1C9D" w:rsidR="00930BD6" w:rsidRDefault="00930BD6" w:rsidP="00930BD6">
      <w:pPr>
        <w:pStyle w:val="standard"/>
      </w:pPr>
      <w:r w:rsidRPr="0065332C">
        <w:t>D.18-06-032 states that the Commission may fund up to 85 percent of the program cost and requires that 15 percent of the approved project</w:t>
      </w:r>
      <w:r w:rsidRPr="00203264">
        <w:t xml:space="preserve"> </w:t>
      </w:r>
      <w:r w:rsidRPr="0065332C">
        <w:t>costs must be supported or matched by other funds</w:t>
      </w:r>
      <w:r>
        <w:rPr>
          <w:rFonts w:ascii="Book Antiqua" w:hAnsi="Book Antiqua"/>
          <w:szCs w:val="26"/>
        </w:rPr>
        <w:t>.</w:t>
      </w:r>
      <w:r>
        <w:rPr>
          <w:rStyle w:val="FootnoteReference"/>
          <w:rFonts w:ascii="Book Antiqua" w:hAnsi="Book Antiqua"/>
          <w:szCs w:val="26"/>
        </w:rPr>
        <w:footnoteReference w:id="10"/>
      </w:r>
      <w:r w:rsidRPr="0023181A">
        <w:rPr>
          <w:rFonts w:ascii="Book Antiqua" w:hAnsi="Book Antiqua"/>
          <w:szCs w:val="26"/>
        </w:rPr>
        <w:t xml:space="preserve">  </w:t>
      </w:r>
      <w:r w:rsidRPr="0065332C">
        <w:t xml:space="preserve">Other funds may include funding via leveraged funds from other entities, public purpose programs or self-funding from the applicant themselves.  </w:t>
      </w:r>
      <w:r>
        <w:t>This decision</w:t>
      </w:r>
      <w:r w:rsidRPr="0065332C">
        <w:t xml:space="preserve"> clarif</w:t>
      </w:r>
      <w:r>
        <w:t>ies</w:t>
      </w:r>
      <w:r w:rsidRPr="0065332C">
        <w:t xml:space="preserve"> that the Commission may fund up to 85 percent of the total eligible CASF</w:t>
      </w:r>
      <w:r>
        <w:t xml:space="preserve"> </w:t>
      </w:r>
      <w:r w:rsidRPr="0065332C">
        <w:t>program cost</w:t>
      </w:r>
      <w:r>
        <w:t>s</w:t>
      </w:r>
      <w:r w:rsidRPr="0065332C">
        <w:t xml:space="preserve">, as opposed to total program cost which </w:t>
      </w:r>
      <w:r>
        <w:t>could</w:t>
      </w:r>
      <w:r w:rsidRPr="0065332C">
        <w:t xml:space="preserve"> include facilities rent, utilities, and other non-eligible reimbursable costs</w:t>
      </w:r>
      <w:r>
        <w:t>.</w:t>
      </w:r>
      <w:r w:rsidRPr="0065332C">
        <w:t xml:space="preserve">  The “up to 85 percent reimbursement cap” shall apply to the total eligible program cost after any disallowances for ineligible expense grant request</w:t>
      </w:r>
      <w:r>
        <w:t>s</w:t>
      </w:r>
      <w:r w:rsidRPr="0065332C">
        <w:t xml:space="preserve">.  </w:t>
      </w:r>
      <w:r>
        <w:t>This decision</w:t>
      </w:r>
      <w:r w:rsidRPr="0065332C">
        <w:t xml:space="preserve"> further clarif</w:t>
      </w:r>
      <w:r>
        <w:t>ies</w:t>
      </w:r>
      <w:r w:rsidRPr="0065332C">
        <w:t xml:space="preserve"> and elaborate</w:t>
      </w:r>
      <w:r>
        <w:t>s</w:t>
      </w:r>
      <w:r w:rsidRPr="0065332C">
        <w:t xml:space="preserve"> on some of </w:t>
      </w:r>
      <w:r>
        <w:t>the reimbursable</w:t>
      </w:r>
      <w:r w:rsidRPr="0065332C">
        <w:t xml:space="preserve"> categories so to better assist applicants in their budget proposal and planning.   </w:t>
      </w:r>
    </w:p>
    <w:p w14:paraId="59516F6D" w14:textId="5969D58F" w:rsidR="00930BD6" w:rsidRPr="009A46CC" w:rsidRDefault="00930BD6" w:rsidP="00823021">
      <w:pPr>
        <w:pStyle w:val="Heading3"/>
        <w:keepNext/>
        <w:keepLines/>
      </w:pPr>
      <w:r>
        <w:lastRenderedPageBreak/>
        <w:t xml:space="preserve">2.2.1.  </w:t>
      </w:r>
      <w:r w:rsidRPr="009A46CC">
        <w:t>Parties’ Comments</w:t>
      </w:r>
    </w:p>
    <w:p w14:paraId="242C9DF0" w14:textId="77777777" w:rsidR="00930BD6" w:rsidRDefault="00930BD6" w:rsidP="00823021">
      <w:pPr>
        <w:pStyle w:val="standard"/>
        <w:keepNext/>
        <w:keepLines/>
      </w:pPr>
      <w:r>
        <w:t>In their comments, CETF did not oppose any of these clarifications.  No other comments were received on this issue.</w:t>
      </w:r>
    </w:p>
    <w:p w14:paraId="5EB3C4E5" w14:textId="77777777" w:rsidR="00930BD6" w:rsidRPr="009A46CC" w:rsidRDefault="00930BD6" w:rsidP="00930BD6">
      <w:pPr>
        <w:pStyle w:val="Heading3"/>
        <w:keepNext/>
        <w:keepLines/>
      </w:pPr>
      <w:r>
        <w:t>2.2.2.  Discussion</w:t>
      </w:r>
    </w:p>
    <w:p w14:paraId="319574B0" w14:textId="77777777" w:rsidR="00930BD6" w:rsidRDefault="00930BD6" w:rsidP="00930BD6">
      <w:pPr>
        <w:pStyle w:val="standard"/>
        <w:keepNext/>
        <w:keepLines/>
      </w:pPr>
      <w:r>
        <w:t xml:space="preserve">We believe that these clarifications will </w:t>
      </w:r>
      <w:r w:rsidRPr="0065332C">
        <w:t>better assist applicants in their budget proposal and planning</w:t>
      </w:r>
      <w:r>
        <w:t xml:space="preserve">, and therefore </w:t>
      </w:r>
      <w:r w:rsidRPr="0065332C">
        <w:t xml:space="preserve">Appendix 1 </w:t>
      </w:r>
      <w:r>
        <w:t>has been revised to reflect these modifications</w:t>
      </w:r>
      <w:r w:rsidRPr="0065332C">
        <w:t xml:space="preserve">. </w:t>
      </w:r>
    </w:p>
    <w:p w14:paraId="4DAA4234" w14:textId="77777777" w:rsidR="00930BD6" w:rsidRPr="00917F94" w:rsidRDefault="00930BD6" w:rsidP="00930BD6">
      <w:pPr>
        <w:pStyle w:val="Heading2"/>
      </w:pPr>
      <w:r>
        <w:t>2.3.  N</w:t>
      </w:r>
      <w:r w:rsidRPr="00096F5E">
        <w:t>ew Application Cycle and</w:t>
      </w:r>
      <w:r>
        <w:br/>
      </w:r>
      <w:r w:rsidRPr="00096F5E">
        <w:t>Submission D</w:t>
      </w:r>
      <w:r>
        <w:t>eadlines</w:t>
      </w:r>
    </w:p>
    <w:p w14:paraId="17BA9C8F" w14:textId="77777777" w:rsidR="00930BD6" w:rsidRPr="0065332C" w:rsidRDefault="00930BD6" w:rsidP="00930BD6">
      <w:pPr>
        <w:pStyle w:val="standard"/>
      </w:pPr>
      <w:r w:rsidRPr="0065332C">
        <w:t>D.18-06-032 provides the following application windows and deadlines:</w:t>
      </w:r>
    </w:p>
    <w:p w14:paraId="6D14E15A" w14:textId="77777777" w:rsidR="00930BD6" w:rsidRPr="00A617DC" w:rsidRDefault="00930BD6" w:rsidP="00930BD6">
      <w:pPr>
        <w:pStyle w:val="ListParagraph"/>
        <w:numPr>
          <w:ilvl w:val="0"/>
          <w:numId w:val="35"/>
        </w:numPr>
        <w:autoSpaceDE w:val="0"/>
        <w:autoSpaceDN w:val="0"/>
        <w:adjustRightInd w:val="0"/>
        <w:spacing w:after="47"/>
        <w:contextualSpacing/>
        <w:rPr>
          <w:rFonts w:ascii="Palatino" w:eastAsia="Times New Roman" w:hAnsi="Palatino" w:cs="Times New Roman"/>
          <w:sz w:val="26"/>
          <w:szCs w:val="20"/>
        </w:rPr>
      </w:pPr>
      <w:r w:rsidRPr="00A617DC">
        <w:rPr>
          <w:rFonts w:ascii="Palatino" w:eastAsia="Times New Roman" w:hAnsi="Palatino" w:cs="Times New Roman"/>
          <w:sz w:val="26"/>
          <w:szCs w:val="20"/>
        </w:rPr>
        <w:t xml:space="preserve">August 31, 2018 </w:t>
      </w:r>
    </w:p>
    <w:p w14:paraId="55163DDE" w14:textId="77777777" w:rsidR="00930BD6" w:rsidRPr="00287668" w:rsidRDefault="00930BD6" w:rsidP="00930BD6">
      <w:pPr>
        <w:pStyle w:val="ListParagraph"/>
        <w:numPr>
          <w:ilvl w:val="0"/>
          <w:numId w:val="35"/>
        </w:numPr>
        <w:autoSpaceDE w:val="0"/>
        <w:autoSpaceDN w:val="0"/>
        <w:adjustRightInd w:val="0"/>
        <w:spacing w:after="47"/>
        <w:contextualSpacing/>
        <w:rPr>
          <w:rFonts w:ascii="Palatino" w:eastAsia="Times New Roman" w:hAnsi="Palatino" w:cs="Times New Roman"/>
          <w:sz w:val="26"/>
          <w:szCs w:val="20"/>
        </w:rPr>
      </w:pPr>
      <w:r w:rsidRPr="00287668">
        <w:rPr>
          <w:rFonts w:ascii="Palatino" w:eastAsia="Times New Roman" w:hAnsi="Palatino" w:cs="Times New Roman"/>
          <w:sz w:val="26"/>
          <w:szCs w:val="20"/>
        </w:rPr>
        <w:t xml:space="preserve">January 1, 2019 </w:t>
      </w:r>
    </w:p>
    <w:p w14:paraId="5150575F" w14:textId="77777777" w:rsidR="00930BD6" w:rsidRPr="00287668" w:rsidRDefault="00930BD6" w:rsidP="00930BD6">
      <w:pPr>
        <w:pStyle w:val="ListParagraph"/>
        <w:numPr>
          <w:ilvl w:val="0"/>
          <w:numId w:val="35"/>
        </w:numPr>
        <w:autoSpaceDE w:val="0"/>
        <w:autoSpaceDN w:val="0"/>
        <w:adjustRightInd w:val="0"/>
        <w:spacing w:after="47"/>
        <w:contextualSpacing/>
        <w:rPr>
          <w:rFonts w:ascii="Palatino" w:eastAsia="Times New Roman" w:hAnsi="Palatino" w:cs="Times New Roman"/>
          <w:sz w:val="26"/>
          <w:szCs w:val="20"/>
        </w:rPr>
      </w:pPr>
      <w:r w:rsidRPr="00287668">
        <w:rPr>
          <w:rFonts w:ascii="Palatino" w:eastAsia="Times New Roman" w:hAnsi="Palatino" w:cs="Times New Roman"/>
          <w:sz w:val="26"/>
          <w:szCs w:val="20"/>
        </w:rPr>
        <w:t xml:space="preserve">July 1, 2019 </w:t>
      </w:r>
    </w:p>
    <w:p w14:paraId="1234BCAB" w14:textId="77777777" w:rsidR="00930BD6" w:rsidRPr="00287668" w:rsidRDefault="00930BD6" w:rsidP="00930BD6">
      <w:pPr>
        <w:pStyle w:val="ListParagraph"/>
        <w:numPr>
          <w:ilvl w:val="0"/>
          <w:numId w:val="35"/>
        </w:numPr>
        <w:autoSpaceDE w:val="0"/>
        <w:autoSpaceDN w:val="0"/>
        <w:adjustRightInd w:val="0"/>
        <w:spacing w:after="47"/>
        <w:contextualSpacing/>
        <w:rPr>
          <w:rFonts w:ascii="Palatino" w:eastAsia="Times New Roman" w:hAnsi="Palatino" w:cs="Times New Roman"/>
          <w:sz w:val="26"/>
          <w:szCs w:val="20"/>
        </w:rPr>
      </w:pPr>
      <w:r w:rsidRPr="00287668">
        <w:rPr>
          <w:rFonts w:ascii="Palatino" w:eastAsia="Times New Roman" w:hAnsi="Palatino" w:cs="Times New Roman"/>
          <w:sz w:val="26"/>
          <w:szCs w:val="20"/>
        </w:rPr>
        <w:t xml:space="preserve">January 1, 2020 </w:t>
      </w:r>
    </w:p>
    <w:p w14:paraId="0C36A7D8" w14:textId="77777777" w:rsidR="00930BD6" w:rsidRPr="00287668" w:rsidRDefault="00930BD6" w:rsidP="00930BD6">
      <w:pPr>
        <w:pStyle w:val="ListParagraph"/>
        <w:numPr>
          <w:ilvl w:val="0"/>
          <w:numId w:val="35"/>
        </w:numPr>
        <w:autoSpaceDE w:val="0"/>
        <w:autoSpaceDN w:val="0"/>
        <w:adjustRightInd w:val="0"/>
        <w:spacing w:after="47"/>
        <w:contextualSpacing/>
        <w:rPr>
          <w:rFonts w:ascii="Palatino" w:eastAsia="Times New Roman" w:hAnsi="Palatino" w:cs="Times New Roman"/>
          <w:sz w:val="26"/>
          <w:szCs w:val="20"/>
        </w:rPr>
      </w:pPr>
      <w:r w:rsidRPr="00287668">
        <w:rPr>
          <w:rFonts w:ascii="Palatino" w:eastAsia="Times New Roman" w:hAnsi="Palatino" w:cs="Times New Roman"/>
          <w:sz w:val="26"/>
          <w:szCs w:val="20"/>
        </w:rPr>
        <w:t xml:space="preserve">July 1, 2020 </w:t>
      </w:r>
    </w:p>
    <w:p w14:paraId="27D1B408" w14:textId="77777777" w:rsidR="00930BD6" w:rsidRPr="00287668" w:rsidRDefault="00930BD6" w:rsidP="00930BD6">
      <w:pPr>
        <w:pStyle w:val="ListParagraph"/>
        <w:numPr>
          <w:ilvl w:val="0"/>
          <w:numId w:val="35"/>
        </w:numPr>
        <w:autoSpaceDE w:val="0"/>
        <w:autoSpaceDN w:val="0"/>
        <w:adjustRightInd w:val="0"/>
        <w:spacing w:after="47"/>
        <w:contextualSpacing/>
        <w:rPr>
          <w:rFonts w:ascii="Palatino" w:eastAsia="Times New Roman" w:hAnsi="Palatino" w:cs="Times New Roman"/>
          <w:sz w:val="26"/>
          <w:szCs w:val="20"/>
        </w:rPr>
      </w:pPr>
      <w:r w:rsidRPr="00287668">
        <w:rPr>
          <w:rFonts w:ascii="Palatino" w:eastAsia="Times New Roman" w:hAnsi="Palatino" w:cs="Times New Roman"/>
          <w:sz w:val="26"/>
          <w:szCs w:val="20"/>
        </w:rPr>
        <w:t xml:space="preserve">January 1, 2021 </w:t>
      </w:r>
    </w:p>
    <w:p w14:paraId="32F450FA" w14:textId="77777777" w:rsidR="00930BD6" w:rsidRPr="00287668" w:rsidRDefault="00930BD6" w:rsidP="00930BD6">
      <w:pPr>
        <w:pStyle w:val="ListParagraph"/>
        <w:numPr>
          <w:ilvl w:val="0"/>
          <w:numId w:val="35"/>
        </w:numPr>
        <w:autoSpaceDE w:val="0"/>
        <w:autoSpaceDN w:val="0"/>
        <w:adjustRightInd w:val="0"/>
        <w:spacing w:after="47"/>
        <w:contextualSpacing/>
        <w:rPr>
          <w:rFonts w:ascii="Palatino" w:eastAsia="Times New Roman" w:hAnsi="Palatino" w:cs="Times New Roman"/>
          <w:sz w:val="26"/>
          <w:szCs w:val="20"/>
        </w:rPr>
      </w:pPr>
      <w:r w:rsidRPr="00287668">
        <w:rPr>
          <w:rFonts w:ascii="Palatino" w:eastAsia="Times New Roman" w:hAnsi="Palatino" w:cs="Times New Roman"/>
          <w:sz w:val="26"/>
          <w:szCs w:val="20"/>
        </w:rPr>
        <w:t xml:space="preserve">July 1, 2021 </w:t>
      </w:r>
    </w:p>
    <w:p w14:paraId="61D357E4" w14:textId="77777777" w:rsidR="00930BD6" w:rsidRPr="00287668" w:rsidRDefault="00930BD6" w:rsidP="00930BD6">
      <w:pPr>
        <w:pStyle w:val="ListParagraph"/>
        <w:numPr>
          <w:ilvl w:val="0"/>
          <w:numId w:val="35"/>
        </w:numPr>
        <w:autoSpaceDE w:val="0"/>
        <w:autoSpaceDN w:val="0"/>
        <w:adjustRightInd w:val="0"/>
        <w:spacing w:after="47"/>
        <w:contextualSpacing/>
        <w:rPr>
          <w:rFonts w:ascii="Palatino" w:eastAsia="Times New Roman" w:hAnsi="Palatino" w:cs="Times New Roman"/>
          <w:sz w:val="26"/>
          <w:szCs w:val="20"/>
        </w:rPr>
      </w:pPr>
      <w:r w:rsidRPr="00287668">
        <w:rPr>
          <w:rFonts w:ascii="Palatino" w:eastAsia="Times New Roman" w:hAnsi="Palatino" w:cs="Times New Roman"/>
          <w:sz w:val="26"/>
          <w:szCs w:val="20"/>
        </w:rPr>
        <w:t xml:space="preserve">January 1, 2022 </w:t>
      </w:r>
    </w:p>
    <w:p w14:paraId="03DFB434" w14:textId="77777777" w:rsidR="00930BD6" w:rsidRPr="00287668" w:rsidRDefault="00930BD6" w:rsidP="00930BD6">
      <w:pPr>
        <w:pStyle w:val="ListParagraph"/>
        <w:numPr>
          <w:ilvl w:val="0"/>
          <w:numId w:val="35"/>
        </w:numPr>
        <w:autoSpaceDE w:val="0"/>
        <w:autoSpaceDN w:val="0"/>
        <w:adjustRightInd w:val="0"/>
        <w:spacing w:after="120"/>
        <w:contextualSpacing/>
        <w:rPr>
          <w:rFonts w:ascii="Palatino Linotype" w:hAnsi="Palatino Linotype"/>
          <w:szCs w:val="26"/>
        </w:rPr>
      </w:pPr>
      <w:r w:rsidRPr="00287668">
        <w:rPr>
          <w:rFonts w:ascii="Palatino" w:eastAsia="Times New Roman" w:hAnsi="Palatino" w:cs="Times New Roman"/>
          <w:sz w:val="26"/>
          <w:szCs w:val="20"/>
        </w:rPr>
        <w:t>July 1, 2022</w:t>
      </w:r>
      <w:r w:rsidRPr="00096F5E">
        <w:rPr>
          <w:rStyle w:val="FootnoteReference"/>
          <w:rFonts w:ascii="Palatino Linotype" w:hAnsi="Palatino Linotype"/>
          <w:szCs w:val="26"/>
        </w:rPr>
        <w:footnoteReference w:id="11"/>
      </w:r>
      <w:r w:rsidRPr="00287668">
        <w:rPr>
          <w:rFonts w:ascii="Palatino Linotype" w:hAnsi="Palatino Linotype"/>
          <w:szCs w:val="26"/>
        </w:rPr>
        <w:t xml:space="preserve"> </w:t>
      </w:r>
    </w:p>
    <w:p w14:paraId="3810D15C" w14:textId="77777777" w:rsidR="00930BD6" w:rsidRDefault="00930BD6" w:rsidP="00930BD6">
      <w:pPr>
        <w:pStyle w:val="standard"/>
      </w:pPr>
      <w:r>
        <w:t>Due to the timing of the ACR and this decision, a new application deadline was proposed to change the January 1, 2019 date to March 1, 2019 in order for these modifications and clarifications to be implemented in the upcoming cycle.  As a result, the ACR also proposed new application cycle and submission deadlines.</w:t>
      </w:r>
    </w:p>
    <w:p w14:paraId="783C7F2D" w14:textId="77777777" w:rsidR="00930BD6" w:rsidRPr="009A46CC" w:rsidRDefault="00930BD6" w:rsidP="00930BD6">
      <w:pPr>
        <w:pStyle w:val="Heading3"/>
      </w:pPr>
      <w:r>
        <w:t xml:space="preserve">2.3.1.  </w:t>
      </w:r>
      <w:r w:rsidRPr="009A46CC">
        <w:t>Parties’ Comments</w:t>
      </w:r>
    </w:p>
    <w:p w14:paraId="43E7C980" w14:textId="77777777" w:rsidR="00930BD6" w:rsidRDefault="00930BD6" w:rsidP="00930BD6">
      <w:pPr>
        <w:pStyle w:val="standard"/>
      </w:pPr>
      <w:r>
        <w:t>In their comments, CETF did not oppose the new application cycle and submission deadlines.  No other comments were received on this issue.</w:t>
      </w:r>
    </w:p>
    <w:p w14:paraId="2E29F98F" w14:textId="77777777" w:rsidR="00930BD6" w:rsidRPr="009A46CC" w:rsidRDefault="00930BD6" w:rsidP="00930BD6">
      <w:pPr>
        <w:pStyle w:val="Heading3"/>
        <w:keepNext/>
        <w:keepLines/>
      </w:pPr>
      <w:r>
        <w:lastRenderedPageBreak/>
        <w:t>2.3.2.  Discussion</w:t>
      </w:r>
    </w:p>
    <w:p w14:paraId="1B57B66C" w14:textId="77777777" w:rsidR="00930BD6" w:rsidRDefault="00930BD6" w:rsidP="00930BD6">
      <w:pPr>
        <w:pStyle w:val="standard"/>
        <w:keepNext/>
        <w:keepLines/>
      </w:pPr>
      <w:r>
        <w:t xml:space="preserve">The </w:t>
      </w:r>
      <w:r w:rsidRPr="0065332C">
        <w:t xml:space="preserve">attached Appendix 1 </w:t>
      </w:r>
      <w:r>
        <w:t xml:space="preserve">has been updated to </w:t>
      </w:r>
      <w:r w:rsidRPr="0065332C">
        <w:t xml:space="preserve">incorporate </w:t>
      </w:r>
      <w:r>
        <w:t>the following new application cycle and submission deadlines:</w:t>
      </w:r>
      <w:r w:rsidRPr="0065332C">
        <w:t xml:space="preserve"> </w:t>
      </w:r>
    </w:p>
    <w:p w14:paraId="0EFE0E0D" w14:textId="77777777" w:rsidR="00930BD6" w:rsidRDefault="00930BD6" w:rsidP="00930BD6">
      <w:pPr>
        <w:pStyle w:val="standard"/>
        <w:spacing w:after="47" w:line="240" w:lineRule="auto"/>
        <w:ind w:left="1440" w:hanging="360"/>
      </w:pPr>
      <w:r>
        <w:t>a.</w:t>
      </w:r>
      <w:r>
        <w:tab/>
        <w:t xml:space="preserve">March 1, 2019 </w:t>
      </w:r>
    </w:p>
    <w:p w14:paraId="436DC0C5" w14:textId="77777777" w:rsidR="00930BD6" w:rsidRDefault="00930BD6" w:rsidP="00930BD6">
      <w:pPr>
        <w:pStyle w:val="standard"/>
        <w:spacing w:after="47" w:line="240" w:lineRule="auto"/>
        <w:ind w:left="1440" w:hanging="360"/>
      </w:pPr>
      <w:r>
        <w:t>b.</w:t>
      </w:r>
      <w:r>
        <w:tab/>
        <w:t xml:space="preserve">August 1, 2019 </w:t>
      </w:r>
    </w:p>
    <w:p w14:paraId="64891A4F" w14:textId="77777777" w:rsidR="00930BD6" w:rsidRDefault="00930BD6" w:rsidP="00930BD6">
      <w:pPr>
        <w:pStyle w:val="standard"/>
        <w:spacing w:after="47" w:line="240" w:lineRule="auto"/>
        <w:ind w:left="1440" w:hanging="360"/>
      </w:pPr>
      <w:r>
        <w:t>c.</w:t>
      </w:r>
      <w:r>
        <w:tab/>
        <w:t xml:space="preserve">January 1, 2020 </w:t>
      </w:r>
    </w:p>
    <w:p w14:paraId="7AC3333E" w14:textId="77777777" w:rsidR="00930BD6" w:rsidRDefault="00930BD6" w:rsidP="00930BD6">
      <w:pPr>
        <w:pStyle w:val="standard"/>
        <w:spacing w:after="47" w:line="240" w:lineRule="auto"/>
        <w:ind w:left="1440" w:hanging="360"/>
      </w:pPr>
      <w:r>
        <w:t>d.</w:t>
      </w:r>
      <w:r>
        <w:tab/>
        <w:t xml:space="preserve">July 1, 2020 </w:t>
      </w:r>
    </w:p>
    <w:p w14:paraId="2D91DCF7" w14:textId="77777777" w:rsidR="00930BD6" w:rsidRDefault="00930BD6" w:rsidP="00930BD6">
      <w:pPr>
        <w:pStyle w:val="standard"/>
        <w:spacing w:after="47" w:line="240" w:lineRule="auto"/>
        <w:ind w:left="1440" w:hanging="360"/>
      </w:pPr>
      <w:r>
        <w:t>e.</w:t>
      </w:r>
      <w:r>
        <w:tab/>
        <w:t xml:space="preserve">January 1, 2021 </w:t>
      </w:r>
    </w:p>
    <w:p w14:paraId="4FD6CAEB" w14:textId="77777777" w:rsidR="00930BD6" w:rsidRDefault="00930BD6" w:rsidP="00930BD6">
      <w:pPr>
        <w:pStyle w:val="standard"/>
        <w:spacing w:after="47" w:line="240" w:lineRule="auto"/>
        <w:ind w:left="1440" w:hanging="360"/>
      </w:pPr>
      <w:r>
        <w:t>f.</w:t>
      </w:r>
      <w:r>
        <w:tab/>
        <w:t xml:space="preserve">July 1, 2021 </w:t>
      </w:r>
    </w:p>
    <w:p w14:paraId="7E337561" w14:textId="77777777" w:rsidR="00930BD6" w:rsidRDefault="00930BD6" w:rsidP="00930BD6">
      <w:pPr>
        <w:pStyle w:val="standard"/>
        <w:spacing w:after="47" w:line="240" w:lineRule="auto"/>
        <w:ind w:left="1440" w:hanging="360"/>
      </w:pPr>
      <w:r>
        <w:t>g.</w:t>
      </w:r>
      <w:r>
        <w:tab/>
        <w:t xml:space="preserve">January 1, 2022 </w:t>
      </w:r>
    </w:p>
    <w:p w14:paraId="172B0C8B" w14:textId="77777777" w:rsidR="00930BD6" w:rsidRDefault="00930BD6" w:rsidP="00930BD6">
      <w:pPr>
        <w:pStyle w:val="standard"/>
        <w:spacing w:after="120" w:line="240" w:lineRule="auto"/>
        <w:ind w:left="1440" w:hanging="360"/>
      </w:pPr>
      <w:r>
        <w:t>h.</w:t>
      </w:r>
      <w:r>
        <w:tab/>
        <w:t>July 1, 2022</w:t>
      </w:r>
    </w:p>
    <w:p w14:paraId="698CDF2D" w14:textId="77777777" w:rsidR="00930BD6" w:rsidRPr="00931B13" w:rsidRDefault="00930BD6" w:rsidP="00752D15">
      <w:pPr>
        <w:pStyle w:val="Heading2"/>
        <w:ind w:left="1354" w:hanging="634"/>
      </w:pPr>
      <w:r>
        <w:t xml:space="preserve">2.4.  </w:t>
      </w:r>
      <w:r w:rsidRPr="00931B13">
        <w:t>Process for Staff to Update Future Broadband</w:t>
      </w:r>
      <w:r>
        <w:br/>
      </w:r>
      <w:r w:rsidRPr="00931B13">
        <w:t>Adoption Account Rules by</w:t>
      </w:r>
      <w:r>
        <w:t xml:space="preserve"> Resolution</w:t>
      </w:r>
    </w:p>
    <w:p w14:paraId="5C5AA168" w14:textId="77777777" w:rsidR="00930BD6" w:rsidRPr="007645FA" w:rsidRDefault="00930BD6" w:rsidP="00930BD6">
      <w:pPr>
        <w:pStyle w:val="standard"/>
      </w:pPr>
      <w:r>
        <w:t xml:space="preserve">The ACR included a clarification to allow </w:t>
      </w:r>
      <w:r w:rsidRPr="007645FA">
        <w:t xml:space="preserve">Communications Division Staff the authority to prepare Resolutions that propose purely administrative changes to the CASF Adoption rules, and to present these Resolutions to the full Commission </w:t>
      </w:r>
      <w:r w:rsidRPr="00287668">
        <w:t>for</w:t>
      </w:r>
      <w:r w:rsidRPr="007645FA">
        <w:t xml:space="preserve"> a vote</w:t>
      </w:r>
      <w:r>
        <w:t>.  T</w:t>
      </w:r>
      <w:r w:rsidRPr="007645FA">
        <w:t>he Commission may also consider whether to expand the scope of Staff's authority in a future Decision.</w:t>
      </w:r>
    </w:p>
    <w:p w14:paraId="1BEEE761" w14:textId="77777777" w:rsidR="00930BD6" w:rsidRPr="00864749" w:rsidRDefault="00930BD6" w:rsidP="00930BD6">
      <w:pPr>
        <w:pStyle w:val="Heading3"/>
      </w:pPr>
      <w:r>
        <w:t>2.4.1.  Parties’ Comments</w:t>
      </w:r>
    </w:p>
    <w:p w14:paraId="1EE32484" w14:textId="1E440852" w:rsidR="00930BD6" w:rsidRDefault="00930BD6" w:rsidP="00752D15">
      <w:pPr>
        <w:pStyle w:val="standard"/>
      </w:pPr>
      <w:r>
        <w:t xml:space="preserve">In their comments, CETF did not oppose this clarification.  No other comments were received on this issue.2.4.2.  </w:t>
      </w:r>
      <w:proofErr w:type="spellStart"/>
      <w:r>
        <w:t>DiscussionWe</w:t>
      </w:r>
      <w:proofErr w:type="spellEnd"/>
      <w:r>
        <w:t xml:space="preserve"> believe that this process will be more efficient in implementing and administering the CASF Adoption Account, and therefore assign the </w:t>
      </w:r>
      <w:r w:rsidRPr="007645FA">
        <w:t>Communications Division Staff</w:t>
      </w:r>
      <w:r>
        <w:t xml:space="preserve"> the task </w:t>
      </w:r>
      <w:r w:rsidR="00B069F6">
        <w:t xml:space="preserve">of </w:t>
      </w:r>
      <w:r>
        <w:t>mak</w:t>
      </w:r>
      <w:r w:rsidR="00B069F6">
        <w:t>ing</w:t>
      </w:r>
      <w:r>
        <w:t xml:space="preserve"> such </w:t>
      </w:r>
      <w:r w:rsidRPr="007645FA">
        <w:t>administrative changes to the CASF Adoption rules</w:t>
      </w:r>
      <w:r>
        <w:t xml:space="preserve"> via </w:t>
      </w:r>
      <w:r w:rsidRPr="007645FA">
        <w:t>Resolution</w:t>
      </w:r>
      <w:r>
        <w:t xml:space="preserve"> for </w:t>
      </w:r>
      <w:r w:rsidRPr="007645FA">
        <w:t xml:space="preserve">Commission </w:t>
      </w:r>
      <w:r>
        <w:t xml:space="preserve">review and approval of those changes.  </w:t>
      </w:r>
    </w:p>
    <w:p w14:paraId="73638ABA" w14:textId="77777777" w:rsidR="00BB4DC0" w:rsidRDefault="00BB4DC0" w:rsidP="00BB4DC0">
      <w:pPr>
        <w:pStyle w:val="Heading3"/>
        <w:keepNext/>
        <w:keepLines/>
      </w:pPr>
      <w:r>
        <w:lastRenderedPageBreak/>
        <w:t>2.4.2.  Discussion</w:t>
      </w:r>
    </w:p>
    <w:p w14:paraId="4CCDEFB7" w14:textId="77777777" w:rsidR="00BB4DC0" w:rsidRDefault="00BB4DC0" w:rsidP="00BB4DC0">
      <w:pPr>
        <w:pStyle w:val="standard"/>
        <w:keepNext/>
        <w:keepLines/>
      </w:pPr>
      <w:r>
        <w:t xml:space="preserve">We believe that this process will be more efficient in implementing and administering the CASF Adoption Account, and therefore assign the </w:t>
      </w:r>
      <w:r w:rsidRPr="007645FA">
        <w:t>Communications Division Staff</w:t>
      </w:r>
      <w:r>
        <w:t xml:space="preserve"> the task to make such </w:t>
      </w:r>
      <w:r w:rsidRPr="007645FA">
        <w:t>administrative changes to the CASF Adoption rules</w:t>
      </w:r>
      <w:r>
        <w:t xml:space="preserve"> via </w:t>
      </w:r>
      <w:r w:rsidRPr="007645FA">
        <w:t>Resolution</w:t>
      </w:r>
      <w:r>
        <w:t xml:space="preserve"> for </w:t>
      </w:r>
      <w:r w:rsidRPr="007645FA">
        <w:t xml:space="preserve">Commission </w:t>
      </w:r>
      <w:r>
        <w:t xml:space="preserve">review and approval of those changes.  </w:t>
      </w:r>
    </w:p>
    <w:bookmarkEnd w:id="2"/>
    <w:p w14:paraId="0AFC91AE" w14:textId="77777777" w:rsidR="00930BD6" w:rsidRDefault="00930BD6" w:rsidP="00930BD6">
      <w:pPr>
        <w:pStyle w:val="Heading1"/>
        <w:keepNext/>
        <w:keepLines/>
      </w:pPr>
      <w:r>
        <w:t>3.  Comments to the Proposed Decision</w:t>
      </w:r>
    </w:p>
    <w:p w14:paraId="166D7CC2" w14:textId="19CDC0B9" w:rsidR="00930BD6" w:rsidRDefault="00930BD6" w:rsidP="00930BD6">
      <w:pPr>
        <w:pStyle w:val="standard"/>
        <w:keepNext/>
        <w:keepLines/>
      </w:pPr>
      <w:r>
        <w:t xml:space="preserve">The proposed decision of Commissioner </w:t>
      </w:r>
      <w:r w:rsidR="001228D8">
        <w:t xml:space="preserve">Guzman-Aceves </w:t>
      </w:r>
      <w:r>
        <w:t xml:space="preserve">in this matter was mailed to parties in accordance with </w:t>
      </w:r>
      <w:r w:rsidR="00C05662">
        <w:t>S</w:t>
      </w:r>
      <w:r>
        <w:t xml:space="preserve">ection 311 of the Public Utilities Code and comments were allowed under Rule 14.3 of the Commission's Rules of Practice and Procedure.  </w:t>
      </w:r>
      <w:r w:rsidR="001228D8">
        <w:t>There were no comments or reply comments filed.</w:t>
      </w:r>
      <w:r w:rsidRPr="00BC2692" w:rsidDel="00B65C9B">
        <w:t xml:space="preserve"> </w:t>
      </w:r>
      <w:r w:rsidR="00BC2692">
        <w:t xml:space="preserve"> </w:t>
      </w:r>
      <w:r w:rsidR="006F7C42">
        <w:t xml:space="preserve">Minor non-substantive modifications have been made to the Proposed Decision to clarify the intent. </w:t>
      </w:r>
    </w:p>
    <w:p w14:paraId="0157C8F7" w14:textId="77777777" w:rsidR="00930BD6" w:rsidRDefault="00930BD6" w:rsidP="00930BD6">
      <w:pPr>
        <w:pStyle w:val="Heading1"/>
        <w:keepNext/>
        <w:keepLines/>
      </w:pPr>
      <w:r>
        <w:t>4.  Assignment of Proceeding</w:t>
      </w:r>
    </w:p>
    <w:p w14:paraId="1FC55ED5" w14:textId="77777777" w:rsidR="00930BD6" w:rsidRDefault="00930BD6" w:rsidP="00930BD6">
      <w:pPr>
        <w:pStyle w:val="standard"/>
        <w:keepNext/>
        <w:keepLines/>
      </w:pPr>
      <w:r w:rsidRPr="007B1459">
        <w:t xml:space="preserve">Martha Guzman Aceves is the assigned Commissioner and </w:t>
      </w:r>
      <w:r>
        <w:t xml:space="preserve">Brian Stevens </w:t>
      </w:r>
      <w:r w:rsidRPr="007B1459">
        <w:t>is the assigned Administrative Law Judge in this proceeding.</w:t>
      </w:r>
    </w:p>
    <w:p w14:paraId="71D3E692" w14:textId="77777777" w:rsidR="00930BD6" w:rsidRDefault="00930BD6" w:rsidP="00930BD6">
      <w:pPr>
        <w:pStyle w:val="dummy"/>
      </w:pPr>
      <w:bookmarkStart w:id="4" w:name="_Toc450990219"/>
      <w:bookmarkStart w:id="5" w:name="_Toc451151266"/>
      <w:r>
        <w:t>Findings of Fact</w:t>
      </w:r>
      <w:bookmarkEnd w:id="4"/>
      <w:bookmarkEnd w:id="5"/>
    </w:p>
    <w:p w14:paraId="69416888" w14:textId="77777777" w:rsidR="00930BD6" w:rsidRDefault="00930BD6" w:rsidP="00930BD6">
      <w:pPr>
        <w:pStyle w:val="standard"/>
        <w:numPr>
          <w:ilvl w:val="0"/>
          <w:numId w:val="1"/>
        </w:numPr>
        <w:rPr>
          <w:rFonts w:ascii="Book Antiqua" w:hAnsi="Book Antiqua"/>
          <w:szCs w:val="26"/>
        </w:rPr>
      </w:pPr>
      <w:r>
        <w:rPr>
          <w:rFonts w:ascii="Book Antiqua" w:hAnsi="Book Antiqua"/>
          <w:szCs w:val="26"/>
        </w:rPr>
        <w:t xml:space="preserve">On December 7, 2018, </w:t>
      </w:r>
      <w:r w:rsidRPr="00213DEC">
        <w:rPr>
          <w:rFonts w:ascii="Book Antiqua" w:hAnsi="Book Antiqua"/>
          <w:szCs w:val="26"/>
        </w:rPr>
        <w:t>Assigned Commissioner Guzman Aceves issued a</w:t>
      </w:r>
      <w:r>
        <w:rPr>
          <w:rFonts w:ascii="Book Antiqua" w:hAnsi="Book Antiqua"/>
          <w:szCs w:val="26"/>
        </w:rPr>
        <w:t xml:space="preserve">n ACR </w:t>
      </w:r>
      <w:r w:rsidRPr="00213DEC">
        <w:rPr>
          <w:rFonts w:ascii="Book Antiqua" w:hAnsi="Book Antiqua"/>
          <w:szCs w:val="26"/>
        </w:rPr>
        <w:t>solicit</w:t>
      </w:r>
      <w:r>
        <w:rPr>
          <w:rFonts w:ascii="Book Antiqua" w:hAnsi="Book Antiqua"/>
          <w:szCs w:val="26"/>
        </w:rPr>
        <w:t>ing</w:t>
      </w:r>
      <w:r w:rsidRPr="00213DEC">
        <w:rPr>
          <w:rFonts w:ascii="Book Antiqua" w:hAnsi="Book Antiqua"/>
          <w:szCs w:val="26"/>
        </w:rPr>
        <w:t xml:space="preserve"> </w:t>
      </w:r>
      <w:r>
        <w:rPr>
          <w:rFonts w:ascii="Book Antiqua" w:hAnsi="Book Antiqua"/>
          <w:szCs w:val="26"/>
        </w:rPr>
        <w:t xml:space="preserve">comments on the proposed modifications and clarifications to the CASF Broadband Adoption Account </w:t>
      </w:r>
      <w:r w:rsidRPr="00F036D2">
        <w:rPr>
          <w:rFonts w:ascii="Book Antiqua" w:hAnsi="Book Antiqua"/>
          <w:szCs w:val="26"/>
        </w:rPr>
        <w:t>Application Requirements and Guidelines</w:t>
      </w:r>
      <w:r>
        <w:rPr>
          <w:rFonts w:ascii="Book Antiqua" w:hAnsi="Book Antiqua"/>
          <w:szCs w:val="26"/>
        </w:rPr>
        <w:t xml:space="preserve"> (Appendix 1). </w:t>
      </w:r>
    </w:p>
    <w:p w14:paraId="0D542AD0" w14:textId="5EB134EA" w:rsidR="00930BD6" w:rsidRPr="00F075C7" w:rsidRDefault="00930BD6" w:rsidP="00930BD6">
      <w:pPr>
        <w:pStyle w:val="standard"/>
        <w:numPr>
          <w:ilvl w:val="0"/>
          <w:numId w:val="1"/>
        </w:numPr>
        <w:rPr>
          <w:rFonts w:ascii="Book Antiqua" w:hAnsi="Book Antiqua"/>
          <w:szCs w:val="26"/>
        </w:rPr>
      </w:pPr>
      <w:r>
        <w:rPr>
          <w:rFonts w:ascii="Book Antiqua" w:hAnsi="Book Antiqua"/>
          <w:szCs w:val="26"/>
        </w:rPr>
        <w:t>The proposed modifications and clarifications to Appendix 1 include</w:t>
      </w:r>
      <w:r w:rsidRPr="002431A5">
        <w:rPr>
          <w:rFonts w:ascii="Book Antiqua" w:hAnsi="Book Antiqua"/>
          <w:szCs w:val="26"/>
        </w:rPr>
        <w:t>:</w:t>
      </w:r>
      <w:r w:rsidR="002E3ACD">
        <w:rPr>
          <w:rFonts w:ascii="Book Antiqua" w:hAnsi="Book Antiqua"/>
          <w:szCs w:val="26"/>
        </w:rPr>
        <w:t xml:space="preserve"> </w:t>
      </w:r>
      <w:r w:rsidRPr="002431A5">
        <w:rPr>
          <w:rFonts w:ascii="Book Antiqua" w:hAnsi="Book Antiqua"/>
          <w:szCs w:val="26"/>
        </w:rPr>
        <w:t xml:space="preserve"> 1) set</w:t>
      </w:r>
      <w:r w:rsidR="00C069BE">
        <w:rPr>
          <w:rFonts w:ascii="Book Antiqua" w:hAnsi="Book Antiqua"/>
          <w:szCs w:val="26"/>
        </w:rPr>
        <w:t>ting</w:t>
      </w:r>
      <w:r w:rsidRPr="002431A5">
        <w:rPr>
          <w:rFonts w:ascii="Book Antiqua" w:hAnsi="Book Antiqua"/>
          <w:szCs w:val="26"/>
        </w:rPr>
        <w:t xml:space="preserve"> a $</w:t>
      </w:r>
      <w:r w:rsidR="001228D8">
        <w:rPr>
          <w:rFonts w:ascii="Book Antiqua" w:hAnsi="Book Antiqua"/>
          <w:szCs w:val="26"/>
        </w:rPr>
        <w:t>7.</w:t>
      </w:r>
      <w:r w:rsidRPr="002431A5">
        <w:rPr>
          <w:rFonts w:ascii="Book Antiqua" w:hAnsi="Book Antiqua"/>
          <w:szCs w:val="26"/>
        </w:rPr>
        <w:t>5 million award cap for each application cycle; 2) clarif</w:t>
      </w:r>
      <w:r w:rsidR="00341FFB">
        <w:rPr>
          <w:rFonts w:ascii="Book Antiqua" w:hAnsi="Book Antiqua"/>
          <w:szCs w:val="26"/>
        </w:rPr>
        <w:t>y</w:t>
      </w:r>
      <w:r w:rsidR="00C069BE">
        <w:rPr>
          <w:rFonts w:ascii="Book Antiqua" w:hAnsi="Book Antiqua"/>
          <w:szCs w:val="26"/>
        </w:rPr>
        <w:t>ing</w:t>
      </w:r>
      <w:r w:rsidRPr="002431A5">
        <w:rPr>
          <w:rFonts w:ascii="Book Antiqua" w:hAnsi="Book Antiqua"/>
          <w:szCs w:val="26"/>
        </w:rPr>
        <w:t xml:space="preserve"> the types of reimbursable project costs and the 85% funding cap; </w:t>
      </w:r>
      <w:r w:rsidRPr="00F075C7">
        <w:rPr>
          <w:rFonts w:ascii="Book Antiqua" w:hAnsi="Book Antiqua"/>
          <w:szCs w:val="26"/>
        </w:rPr>
        <w:t>3) modify</w:t>
      </w:r>
      <w:r w:rsidR="00C069BE">
        <w:rPr>
          <w:rFonts w:ascii="Book Antiqua" w:hAnsi="Book Antiqua"/>
          <w:szCs w:val="26"/>
        </w:rPr>
        <w:t>ing</w:t>
      </w:r>
      <w:r w:rsidRPr="00F075C7">
        <w:rPr>
          <w:rFonts w:ascii="Book Antiqua" w:hAnsi="Book Antiqua"/>
          <w:szCs w:val="26"/>
        </w:rPr>
        <w:t xml:space="preserve"> the application submission deadlines; and 4) </w:t>
      </w:r>
      <w:r>
        <w:rPr>
          <w:rFonts w:ascii="Book Antiqua" w:hAnsi="Book Antiqua"/>
          <w:szCs w:val="26"/>
        </w:rPr>
        <w:t>set</w:t>
      </w:r>
      <w:r w:rsidR="00C069BE">
        <w:rPr>
          <w:rFonts w:ascii="Book Antiqua" w:hAnsi="Book Antiqua"/>
          <w:szCs w:val="26"/>
        </w:rPr>
        <w:t>ting</w:t>
      </w:r>
      <w:r>
        <w:rPr>
          <w:rFonts w:ascii="Book Antiqua" w:hAnsi="Book Antiqua"/>
          <w:szCs w:val="26"/>
        </w:rPr>
        <w:t xml:space="preserve"> a </w:t>
      </w:r>
      <w:r w:rsidRPr="00F075C7">
        <w:rPr>
          <w:rFonts w:ascii="Book Antiqua" w:hAnsi="Book Antiqua"/>
          <w:szCs w:val="26"/>
        </w:rPr>
        <w:t xml:space="preserve">process for Staff to </w:t>
      </w:r>
      <w:r w:rsidR="00C069BE">
        <w:rPr>
          <w:rFonts w:ascii="Book Antiqua" w:hAnsi="Book Antiqua"/>
          <w:szCs w:val="26"/>
        </w:rPr>
        <w:t xml:space="preserve">make </w:t>
      </w:r>
      <w:r w:rsidR="00C069BE" w:rsidRPr="007645FA">
        <w:t>administrative changes</w:t>
      </w:r>
      <w:r w:rsidR="00C069BE" w:rsidRPr="00F075C7">
        <w:rPr>
          <w:rFonts w:ascii="Book Antiqua" w:hAnsi="Book Antiqua"/>
          <w:szCs w:val="26"/>
        </w:rPr>
        <w:t xml:space="preserve"> </w:t>
      </w:r>
      <w:r w:rsidR="00C069BE">
        <w:rPr>
          <w:rFonts w:ascii="Book Antiqua" w:hAnsi="Book Antiqua"/>
          <w:szCs w:val="26"/>
        </w:rPr>
        <w:t>to the</w:t>
      </w:r>
      <w:r w:rsidR="00C069BE" w:rsidRPr="00F075C7">
        <w:rPr>
          <w:rFonts w:ascii="Book Antiqua" w:hAnsi="Book Antiqua"/>
          <w:szCs w:val="26"/>
        </w:rPr>
        <w:t xml:space="preserve"> </w:t>
      </w:r>
      <w:r w:rsidRPr="00F075C7">
        <w:rPr>
          <w:rFonts w:ascii="Book Antiqua" w:hAnsi="Book Antiqua"/>
          <w:szCs w:val="26"/>
        </w:rPr>
        <w:t xml:space="preserve">Adoption Account Rules by Resolution.  </w:t>
      </w:r>
    </w:p>
    <w:p w14:paraId="70FB1546" w14:textId="77777777" w:rsidR="00930BD6" w:rsidRPr="00A06403" w:rsidRDefault="00930BD6" w:rsidP="00930BD6">
      <w:pPr>
        <w:pStyle w:val="standard"/>
        <w:numPr>
          <w:ilvl w:val="0"/>
          <w:numId w:val="1"/>
        </w:numPr>
      </w:pPr>
      <w:r>
        <w:rPr>
          <w:rFonts w:ascii="Book Antiqua" w:hAnsi="Book Antiqua"/>
          <w:szCs w:val="26"/>
        </w:rPr>
        <w:lastRenderedPageBreak/>
        <w:t xml:space="preserve">Appendix 1 of this decision has been revised and updated in response to parties’ comments and reply comments. </w:t>
      </w:r>
    </w:p>
    <w:p w14:paraId="6B6C029B" w14:textId="77777777" w:rsidR="00930BD6" w:rsidRDefault="00930BD6" w:rsidP="00930BD6">
      <w:pPr>
        <w:pStyle w:val="dummy"/>
      </w:pPr>
      <w:bookmarkStart w:id="6" w:name="_Toc370798914"/>
      <w:bookmarkStart w:id="7" w:name="_Toc450990220"/>
      <w:bookmarkStart w:id="8" w:name="_Toc451151267"/>
      <w:r>
        <w:t>Conclusions of Law</w:t>
      </w:r>
      <w:bookmarkEnd w:id="6"/>
      <w:bookmarkEnd w:id="7"/>
      <w:bookmarkEnd w:id="8"/>
    </w:p>
    <w:p w14:paraId="29ACEEF8" w14:textId="77777777" w:rsidR="00930BD6" w:rsidRDefault="00930BD6" w:rsidP="00930BD6">
      <w:pPr>
        <w:pStyle w:val="num1"/>
        <w:numPr>
          <w:ilvl w:val="0"/>
          <w:numId w:val="7"/>
        </w:numPr>
      </w:pPr>
      <w:r>
        <w:t xml:space="preserve">The modifications and clarifications to the CASF Broadband Adoption Account </w:t>
      </w:r>
      <w:r w:rsidRPr="00F036D2">
        <w:rPr>
          <w:rFonts w:ascii="Book Antiqua" w:hAnsi="Book Antiqua"/>
          <w:szCs w:val="26"/>
        </w:rPr>
        <w:t>Application Requirements and Guidelines</w:t>
      </w:r>
      <w:r>
        <w:rPr>
          <w:rFonts w:ascii="Book Antiqua" w:hAnsi="Book Antiqua"/>
          <w:szCs w:val="26"/>
        </w:rPr>
        <w:t xml:space="preserve"> </w:t>
      </w:r>
      <w:r>
        <w:t>as set forth in Appendix 1 attached hereto should be adopted.</w:t>
      </w:r>
    </w:p>
    <w:p w14:paraId="6A5860E8" w14:textId="77777777" w:rsidR="00930BD6" w:rsidRDefault="00930BD6" w:rsidP="00930BD6">
      <w:pPr>
        <w:pStyle w:val="num1"/>
        <w:numPr>
          <w:ilvl w:val="0"/>
          <w:numId w:val="7"/>
        </w:numPr>
      </w:pPr>
      <w:r>
        <w:t>A $7.5 million award cap per cycle should be implemented.</w:t>
      </w:r>
    </w:p>
    <w:p w14:paraId="5B8A82B1" w14:textId="77777777" w:rsidR="00930BD6" w:rsidRDefault="00930BD6" w:rsidP="00930BD6">
      <w:pPr>
        <w:pStyle w:val="num1"/>
        <w:numPr>
          <w:ilvl w:val="0"/>
          <w:numId w:val="7"/>
        </w:numPr>
      </w:pPr>
      <w:r>
        <w:t>Clarifications around the r</w:t>
      </w:r>
      <w:r w:rsidRPr="00917F94">
        <w:t xml:space="preserve">eimbursable </w:t>
      </w:r>
      <w:r>
        <w:t>project c</w:t>
      </w:r>
      <w:r w:rsidRPr="00917F94">
        <w:t xml:space="preserve">osts and the 85% </w:t>
      </w:r>
      <w:r>
        <w:t>f</w:t>
      </w:r>
      <w:r w:rsidRPr="00917F94">
        <w:t>unding</w:t>
      </w:r>
      <w:r>
        <w:t xml:space="preserve"> cap should be incorporated in t</w:t>
      </w:r>
      <w:r w:rsidRPr="0065332C">
        <w:t>he attached Appendix 1</w:t>
      </w:r>
      <w:r>
        <w:t>.</w:t>
      </w:r>
    </w:p>
    <w:p w14:paraId="6BC4950B" w14:textId="77777777" w:rsidR="00930BD6" w:rsidRDefault="00930BD6" w:rsidP="00930BD6">
      <w:pPr>
        <w:pStyle w:val="num1"/>
        <w:numPr>
          <w:ilvl w:val="0"/>
          <w:numId w:val="7"/>
        </w:numPr>
      </w:pPr>
      <w:r>
        <w:t xml:space="preserve">Updates to the new application deadlines are incorporated in the </w:t>
      </w:r>
      <w:r w:rsidRPr="0065332C">
        <w:t>attached Appendix 1</w:t>
      </w:r>
      <w:r>
        <w:t xml:space="preserve"> and should be adopted by this Commission. </w:t>
      </w:r>
    </w:p>
    <w:p w14:paraId="6F96B18B" w14:textId="77777777" w:rsidR="00930BD6" w:rsidRDefault="00930BD6" w:rsidP="00930BD6">
      <w:pPr>
        <w:pStyle w:val="num1"/>
        <w:numPr>
          <w:ilvl w:val="0"/>
          <w:numId w:val="7"/>
        </w:numPr>
      </w:pPr>
      <w:r>
        <w:t xml:space="preserve">The Communications Division Staff should have the authority to prepare resolutions that propose administrative changes to the CASF Adoption Account rules and present these resolutions to the full Commission for a vote.  </w:t>
      </w:r>
    </w:p>
    <w:p w14:paraId="032606BA" w14:textId="77777777" w:rsidR="00930BD6" w:rsidRDefault="00930BD6" w:rsidP="00930BD6">
      <w:pPr>
        <w:pStyle w:val="num1"/>
        <w:numPr>
          <w:ilvl w:val="0"/>
          <w:numId w:val="7"/>
        </w:numPr>
      </w:pPr>
      <w:r>
        <w:t>It is reasonable to consider whether to expand the scope of Staff’s tasks in a future Decision.</w:t>
      </w:r>
    </w:p>
    <w:p w14:paraId="64DCD054" w14:textId="77777777" w:rsidR="00930BD6" w:rsidRDefault="00930BD6" w:rsidP="00930BD6">
      <w:pPr>
        <w:pStyle w:val="mainex"/>
        <w:spacing w:before="240" w:after="240"/>
      </w:pPr>
      <w:bookmarkStart w:id="9" w:name="_Toc370798915"/>
      <w:bookmarkStart w:id="10" w:name="_Toc450990221"/>
      <w:bookmarkStart w:id="11" w:name="_Toc451151268"/>
      <w:bookmarkStart w:id="12" w:name="OLE_LINK1"/>
      <w:bookmarkStart w:id="13" w:name="OLE_LINK2"/>
      <w:r>
        <w:t>ORDER</w:t>
      </w:r>
      <w:bookmarkEnd w:id="9"/>
      <w:bookmarkEnd w:id="10"/>
      <w:bookmarkEnd w:id="11"/>
    </w:p>
    <w:bookmarkEnd w:id="12"/>
    <w:bookmarkEnd w:id="13"/>
    <w:p w14:paraId="063120A8" w14:textId="77777777" w:rsidR="00930BD6" w:rsidRDefault="00930BD6" w:rsidP="00930BD6">
      <w:pPr>
        <w:pStyle w:val="standard"/>
        <w:keepNext/>
        <w:keepLines/>
      </w:pPr>
      <w:r>
        <w:rPr>
          <w:b/>
        </w:rPr>
        <w:t>IT IS ORDERED</w:t>
      </w:r>
      <w:r>
        <w:t xml:space="preserve"> that:</w:t>
      </w:r>
    </w:p>
    <w:p w14:paraId="25BE73FF" w14:textId="77777777" w:rsidR="00930BD6" w:rsidRDefault="00930BD6" w:rsidP="00930BD6">
      <w:pPr>
        <w:pStyle w:val="num1"/>
        <w:numPr>
          <w:ilvl w:val="0"/>
          <w:numId w:val="2"/>
        </w:numPr>
      </w:pPr>
      <w:r>
        <w:t xml:space="preserve">The modifications and clarifications to the </w:t>
      </w:r>
      <w:r w:rsidRPr="00273E52">
        <w:t xml:space="preserve">California Advanced Services Fund Broadband Adoption Account </w:t>
      </w:r>
      <w:r w:rsidRPr="00F036D2">
        <w:rPr>
          <w:rFonts w:ascii="Book Antiqua" w:hAnsi="Book Antiqua"/>
          <w:szCs w:val="26"/>
        </w:rPr>
        <w:t>Application Requirements and Guidelines</w:t>
      </w:r>
      <w:r>
        <w:rPr>
          <w:rFonts w:ascii="Book Antiqua" w:hAnsi="Book Antiqua"/>
          <w:szCs w:val="26"/>
        </w:rPr>
        <w:t xml:space="preserve"> </w:t>
      </w:r>
      <w:r>
        <w:t>as set forth in Appendix 1 attached hereto are adopted.</w:t>
      </w:r>
    </w:p>
    <w:p w14:paraId="1674C280" w14:textId="77777777" w:rsidR="00930BD6" w:rsidRDefault="00930BD6" w:rsidP="00930BD6">
      <w:pPr>
        <w:pStyle w:val="num1"/>
        <w:numPr>
          <w:ilvl w:val="0"/>
          <w:numId w:val="2"/>
        </w:numPr>
      </w:pPr>
      <w:r>
        <w:t>A $7.5 million award cap per cycle</w:t>
      </w:r>
      <w:r w:rsidRPr="003B7C8D">
        <w:t xml:space="preserve"> </w:t>
      </w:r>
      <w:r>
        <w:t xml:space="preserve">for the </w:t>
      </w:r>
      <w:r w:rsidRPr="00273E52">
        <w:t>California Advanced Services Fund Broadband Adoption Account</w:t>
      </w:r>
      <w:r>
        <w:t xml:space="preserve"> will be implemented.</w:t>
      </w:r>
    </w:p>
    <w:p w14:paraId="18565935" w14:textId="77777777" w:rsidR="00930BD6" w:rsidRDefault="00930BD6" w:rsidP="00930BD6">
      <w:pPr>
        <w:pStyle w:val="num1"/>
        <w:numPr>
          <w:ilvl w:val="0"/>
          <w:numId w:val="2"/>
        </w:numPr>
      </w:pPr>
      <w:r>
        <w:t>Clarifications around the r</w:t>
      </w:r>
      <w:r w:rsidRPr="00917F94">
        <w:t xml:space="preserve">eimbursable </w:t>
      </w:r>
      <w:r>
        <w:t>project c</w:t>
      </w:r>
      <w:r w:rsidRPr="00917F94">
        <w:t xml:space="preserve">osts and the 85% </w:t>
      </w:r>
      <w:r>
        <w:t>f</w:t>
      </w:r>
      <w:r w:rsidRPr="00917F94">
        <w:t>unding</w:t>
      </w:r>
      <w:r>
        <w:t xml:space="preserve"> cap for the </w:t>
      </w:r>
      <w:r w:rsidRPr="00273E52">
        <w:t>California Advanced Services Fund Broadband Adoption Account</w:t>
      </w:r>
      <w:r>
        <w:t xml:space="preserve"> are incorporated in t</w:t>
      </w:r>
      <w:r w:rsidRPr="0065332C">
        <w:t>he attached Appendix 1</w:t>
      </w:r>
      <w:r>
        <w:t xml:space="preserve"> and are adopted.</w:t>
      </w:r>
    </w:p>
    <w:p w14:paraId="43A8FC47" w14:textId="77777777" w:rsidR="00930BD6" w:rsidRDefault="00930BD6" w:rsidP="00930BD6">
      <w:pPr>
        <w:pStyle w:val="num1"/>
        <w:numPr>
          <w:ilvl w:val="0"/>
          <w:numId w:val="2"/>
        </w:numPr>
      </w:pPr>
      <w:r>
        <w:lastRenderedPageBreak/>
        <w:t xml:space="preserve">Updates to the new application deadlines for </w:t>
      </w:r>
      <w:r w:rsidRPr="00273E52">
        <w:t>California Advanced Services Fund Broadband Adoption Account</w:t>
      </w:r>
      <w:r>
        <w:t xml:space="preserve"> are incorporated in the </w:t>
      </w:r>
      <w:r w:rsidRPr="0065332C">
        <w:t>attached Appendix 1</w:t>
      </w:r>
      <w:r>
        <w:t xml:space="preserve"> and are adopted. </w:t>
      </w:r>
    </w:p>
    <w:p w14:paraId="44E30835" w14:textId="59CB721F" w:rsidR="00930BD6" w:rsidRDefault="00930BD6" w:rsidP="00930BD6">
      <w:pPr>
        <w:pStyle w:val="num1"/>
        <w:numPr>
          <w:ilvl w:val="0"/>
          <w:numId w:val="2"/>
        </w:numPr>
      </w:pPr>
      <w:r>
        <w:t>The Communications Division Staff is assigned the task to make administrative changes</w:t>
      </w:r>
      <w:r w:rsidRPr="007B4A18">
        <w:t xml:space="preserve"> to the </w:t>
      </w:r>
      <w:r w:rsidRPr="00273E52">
        <w:t>California Advanced Services Fund Broadband Adoption Account</w:t>
      </w:r>
      <w:r w:rsidRPr="007B4A18">
        <w:t xml:space="preserve"> rules</w:t>
      </w:r>
      <w:r>
        <w:t xml:space="preserve"> via Resolution for</w:t>
      </w:r>
      <w:r w:rsidRPr="007B4A18">
        <w:t xml:space="preserve"> full Commission </w:t>
      </w:r>
      <w:r>
        <w:t xml:space="preserve">review and approval of those changes. </w:t>
      </w:r>
    </w:p>
    <w:p w14:paraId="54BEBFFB" w14:textId="77777777" w:rsidR="00930BD6" w:rsidRDefault="00930BD6" w:rsidP="00930BD6">
      <w:pPr>
        <w:pStyle w:val="num1"/>
        <w:numPr>
          <w:ilvl w:val="0"/>
          <w:numId w:val="2"/>
        </w:numPr>
      </w:pPr>
      <w:r>
        <w:t xml:space="preserve">The Commission may also consider whether to expand the scope to Communications Division Staff’s authority over the </w:t>
      </w:r>
      <w:r w:rsidRPr="000B09E7">
        <w:t xml:space="preserve">California Advanced Services Fund Broadband Adoption Account </w:t>
      </w:r>
      <w:r>
        <w:t>in a future Decision.</w:t>
      </w:r>
    </w:p>
    <w:p w14:paraId="34D7DB26" w14:textId="77777777" w:rsidR="00930BD6" w:rsidRDefault="00930BD6" w:rsidP="00930BD6">
      <w:pPr>
        <w:pStyle w:val="standard"/>
      </w:pPr>
      <w:r>
        <w:t>This order is effective today.</w:t>
      </w:r>
    </w:p>
    <w:p w14:paraId="5607DACB" w14:textId="32D2E682" w:rsidR="00C75013" w:rsidRDefault="00930BD6" w:rsidP="00930BD6">
      <w:pPr>
        <w:pStyle w:val="standard"/>
        <w:tabs>
          <w:tab w:val="left" w:pos="5040"/>
        </w:tabs>
      </w:pPr>
      <w:r>
        <w:t>Dated</w:t>
      </w:r>
      <w:r w:rsidR="00C75013">
        <w:t xml:space="preserve"> February 21, 2019</w:t>
      </w:r>
      <w:r>
        <w:t>, at San Francisco, California.</w:t>
      </w:r>
    </w:p>
    <w:p w14:paraId="645525BD" w14:textId="77777777" w:rsidR="00C75013" w:rsidRDefault="00C75013" w:rsidP="00930BD6">
      <w:pPr>
        <w:pStyle w:val="standard"/>
        <w:tabs>
          <w:tab w:val="left" w:pos="5040"/>
        </w:tabs>
      </w:pPr>
    </w:p>
    <w:p w14:paraId="586B33C2" w14:textId="77777777" w:rsidR="00C75013" w:rsidRDefault="00C75013" w:rsidP="00930BD6">
      <w:pPr>
        <w:pStyle w:val="standard"/>
        <w:tabs>
          <w:tab w:val="left" w:pos="5040"/>
        </w:tabs>
      </w:pPr>
    </w:p>
    <w:p w14:paraId="6F53D797" w14:textId="77777777" w:rsidR="00C75013" w:rsidRDefault="00C75013" w:rsidP="00C75013">
      <w:pPr>
        <w:autoSpaceDE w:val="0"/>
        <w:autoSpaceDN w:val="0"/>
        <w:adjustRightInd w:val="0"/>
        <w:ind w:left="4320"/>
        <w:jc w:val="both"/>
        <w:rPr>
          <w:rFonts w:cs="Palatino"/>
          <w:szCs w:val="26"/>
        </w:rPr>
      </w:pPr>
      <w:r w:rsidRPr="008B63F2">
        <w:rPr>
          <w:rFonts w:cs="Courier New"/>
          <w:szCs w:val="26"/>
        </w:rPr>
        <w:t>MICHAEL PICKER</w:t>
      </w:r>
    </w:p>
    <w:p w14:paraId="7E82B4DC" w14:textId="77777777" w:rsidR="00C75013" w:rsidRDefault="00C75013" w:rsidP="00C75013">
      <w:pPr>
        <w:autoSpaceDE w:val="0"/>
        <w:autoSpaceDN w:val="0"/>
        <w:adjustRightInd w:val="0"/>
        <w:ind w:firstLine="720"/>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President</w:t>
      </w:r>
    </w:p>
    <w:p w14:paraId="7761699C" w14:textId="77777777" w:rsidR="00C75013" w:rsidRDefault="00C75013" w:rsidP="00C75013">
      <w:pPr>
        <w:autoSpaceDE w:val="0"/>
        <w:autoSpaceDN w:val="0"/>
        <w:adjustRightInd w:val="0"/>
        <w:ind w:left="4320"/>
        <w:jc w:val="both"/>
        <w:rPr>
          <w:rFonts w:cs="Courier New"/>
          <w:szCs w:val="26"/>
        </w:rPr>
      </w:pPr>
      <w:r>
        <w:rPr>
          <w:rFonts w:cs="Courier New"/>
          <w:szCs w:val="26"/>
        </w:rPr>
        <w:t>LIANE M. RANDOLPH</w:t>
      </w:r>
    </w:p>
    <w:p w14:paraId="6F1D7217" w14:textId="77777777" w:rsidR="00C75013" w:rsidRDefault="00C75013" w:rsidP="00C75013">
      <w:pPr>
        <w:autoSpaceDE w:val="0"/>
        <w:autoSpaceDN w:val="0"/>
        <w:adjustRightInd w:val="0"/>
        <w:ind w:left="4320"/>
        <w:jc w:val="both"/>
        <w:rPr>
          <w:rFonts w:ascii="Times New Roman" w:hAnsi="Times New Roman"/>
          <w:sz w:val="28"/>
          <w:szCs w:val="28"/>
        </w:rPr>
      </w:pPr>
      <w:r>
        <w:rPr>
          <w:rFonts w:ascii="Times New Roman" w:hAnsi="Times New Roman"/>
          <w:sz w:val="28"/>
          <w:szCs w:val="28"/>
        </w:rPr>
        <w:t>MARTHA GUZMAN ACEVES</w:t>
      </w:r>
    </w:p>
    <w:p w14:paraId="57AED643" w14:textId="77777777" w:rsidR="00C75013" w:rsidRDefault="00C75013" w:rsidP="00C75013">
      <w:pPr>
        <w:autoSpaceDE w:val="0"/>
        <w:autoSpaceDN w:val="0"/>
        <w:adjustRightInd w:val="0"/>
        <w:ind w:left="4320"/>
        <w:jc w:val="both"/>
        <w:rPr>
          <w:sz w:val="28"/>
          <w:szCs w:val="28"/>
        </w:rPr>
      </w:pPr>
      <w:r>
        <w:rPr>
          <w:sz w:val="28"/>
          <w:szCs w:val="28"/>
        </w:rPr>
        <w:t>CLIFFORD RECHTSCHAFFEN</w:t>
      </w:r>
    </w:p>
    <w:p w14:paraId="695EB68F" w14:textId="77777777" w:rsidR="00C75013" w:rsidRPr="00620FCB" w:rsidRDefault="00C75013" w:rsidP="00C75013">
      <w:pPr>
        <w:autoSpaceDE w:val="0"/>
        <w:autoSpaceDN w:val="0"/>
        <w:adjustRightInd w:val="0"/>
        <w:ind w:left="4320"/>
        <w:jc w:val="both"/>
        <w:rPr>
          <w:sz w:val="28"/>
          <w:szCs w:val="28"/>
        </w:rPr>
      </w:pPr>
      <w:r w:rsidRPr="00620FCB">
        <w:rPr>
          <w:sz w:val="28"/>
          <w:szCs w:val="28"/>
        </w:rPr>
        <w:t>GENEVIEVE SHIROMA</w:t>
      </w:r>
    </w:p>
    <w:p w14:paraId="718E6D34" w14:textId="77777777" w:rsidR="00C75013" w:rsidRDefault="00C75013" w:rsidP="00C75013">
      <w:pPr>
        <w:autoSpaceDE w:val="0"/>
        <w:autoSpaceDN w:val="0"/>
        <w:adjustRightInd w:val="0"/>
        <w:ind w:left="4320" w:firstLine="720"/>
        <w:jc w:val="both"/>
        <w:rPr>
          <w:rFonts w:cs="Palatino"/>
          <w:szCs w:val="26"/>
        </w:rPr>
      </w:pPr>
      <w:r>
        <w:rPr>
          <w:rFonts w:cs="Palatino"/>
          <w:szCs w:val="26"/>
        </w:rPr>
        <w:t xml:space="preserve">                 Commissioners</w:t>
      </w:r>
    </w:p>
    <w:p w14:paraId="53C2B2D7" w14:textId="77777777" w:rsidR="00C75013" w:rsidRDefault="00C75013" w:rsidP="00930BD6">
      <w:pPr>
        <w:pStyle w:val="standard"/>
        <w:tabs>
          <w:tab w:val="left" w:pos="5040"/>
        </w:tabs>
      </w:pPr>
    </w:p>
    <w:p w14:paraId="57FF07E9" w14:textId="23AD8B38" w:rsidR="00930BD6" w:rsidRDefault="00930BD6" w:rsidP="00930BD6">
      <w:pPr>
        <w:pStyle w:val="standard"/>
        <w:tabs>
          <w:tab w:val="left" w:pos="5040"/>
        </w:tabs>
        <w:sectPr w:rsidR="00930BD6" w:rsidSect="00862D60">
          <w:headerReference w:type="default" r:id="rId8"/>
          <w:footerReference w:type="default" r:id="rId9"/>
          <w:headerReference w:type="first" r:id="rId10"/>
          <w:footerReference w:type="first" r:id="rId11"/>
          <w:footnotePr>
            <w:numRestart w:val="eachSect"/>
          </w:footnotePr>
          <w:pgSz w:w="12240" w:h="15840" w:code="1"/>
          <w:pgMar w:top="1728" w:right="1440" w:bottom="1440" w:left="1440" w:header="720" w:footer="720" w:gutter="0"/>
          <w:pgNumType w:start="1"/>
          <w:cols w:space="720"/>
          <w:titlePg/>
        </w:sectPr>
      </w:pPr>
      <w:r>
        <w:t xml:space="preserve"> </w:t>
      </w:r>
    </w:p>
    <w:p w14:paraId="6DDF5DF1" w14:textId="77777777" w:rsidR="00930BD6" w:rsidRDefault="00930BD6" w:rsidP="00930BD6">
      <w:pPr>
        <w:keepNext/>
        <w:keepLines/>
        <w:jc w:val="center"/>
        <w:rPr>
          <w:b/>
          <w:sz w:val="64"/>
          <w:szCs w:val="72"/>
        </w:rPr>
      </w:pPr>
    </w:p>
    <w:p w14:paraId="2D23E0C3" w14:textId="77777777" w:rsidR="00930BD6" w:rsidRDefault="00930BD6" w:rsidP="00930BD6">
      <w:pPr>
        <w:keepNext/>
        <w:keepLines/>
        <w:jc w:val="center"/>
        <w:rPr>
          <w:b/>
          <w:sz w:val="64"/>
          <w:szCs w:val="72"/>
        </w:rPr>
      </w:pPr>
    </w:p>
    <w:p w14:paraId="54725635" w14:textId="77777777" w:rsidR="00930BD6" w:rsidRDefault="00930BD6" w:rsidP="00930BD6">
      <w:pPr>
        <w:keepNext/>
        <w:keepLines/>
        <w:jc w:val="center"/>
        <w:rPr>
          <w:b/>
          <w:sz w:val="64"/>
          <w:szCs w:val="72"/>
        </w:rPr>
      </w:pPr>
    </w:p>
    <w:p w14:paraId="41620007" w14:textId="77777777" w:rsidR="00930BD6" w:rsidRDefault="00930BD6" w:rsidP="00930BD6">
      <w:pPr>
        <w:keepNext/>
        <w:keepLines/>
        <w:jc w:val="center"/>
        <w:rPr>
          <w:b/>
          <w:sz w:val="64"/>
          <w:szCs w:val="72"/>
        </w:rPr>
      </w:pPr>
    </w:p>
    <w:p w14:paraId="67A7DF09" w14:textId="77777777" w:rsidR="00930BD6" w:rsidRPr="0043698B" w:rsidRDefault="00930BD6" w:rsidP="00930BD6">
      <w:pPr>
        <w:keepNext/>
        <w:keepLines/>
        <w:jc w:val="center"/>
        <w:rPr>
          <w:b/>
          <w:sz w:val="64"/>
          <w:szCs w:val="72"/>
        </w:rPr>
      </w:pPr>
      <w:r w:rsidRPr="0043698B">
        <w:rPr>
          <w:b/>
          <w:sz w:val="64"/>
          <w:szCs w:val="72"/>
        </w:rPr>
        <w:t xml:space="preserve">Appendix </w:t>
      </w:r>
      <w:r>
        <w:rPr>
          <w:b/>
          <w:sz w:val="64"/>
          <w:szCs w:val="72"/>
        </w:rPr>
        <w:t>1</w:t>
      </w:r>
    </w:p>
    <w:p w14:paraId="2E245BF3" w14:textId="77777777" w:rsidR="00930BD6" w:rsidRDefault="00930BD6" w:rsidP="00930BD6">
      <w:pPr>
        <w:jc w:val="center"/>
        <w:rPr>
          <w:b/>
        </w:rPr>
      </w:pPr>
    </w:p>
    <w:p w14:paraId="43E84089" w14:textId="77777777" w:rsidR="00930BD6" w:rsidRDefault="00930BD6" w:rsidP="00930BD6">
      <w:pPr>
        <w:jc w:val="center"/>
        <w:rPr>
          <w:b/>
        </w:rPr>
      </w:pPr>
    </w:p>
    <w:p w14:paraId="400097A5" w14:textId="77777777" w:rsidR="00930BD6" w:rsidRDefault="00930BD6" w:rsidP="00930BD6">
      <w:pPr>
        <w:jc w:val="center"/>
        <w:rPr>
          <w:b/>
        </w:rPr>
      </w:pPr>
    </w:p>
    <w:p w14:paraId="71C6608B" w14:textId="77777777" w:rsidR="00930BD6" w:rsidRDefault="00930BD6" w:rsidP="00930BD6">
      <w:pPr>
        <w:jc w:val="center"/>
        <w:rPr>
          <w:b/>
        </w:rPr>
      </w:pPr>
    </w:p>
    <w:p w14:paraId="627298E6" w14:textId="77777777" w:rsidR="00930BD6" w:rsidRDefault="00930BD6" w:rsidP="00930BD6">
      <w:pPr>
        <w:jc w:val="center"/>
        <w:rPr>
          <w:b/>
        </w:rPr>
        <w:sectPr w:rsidR="00930BD6" w:rsidSect="00287668">
          <w:headerReference w:type="default" r:id="rId12"/>
          <w:footerReference w:type="default" r:id="rId13"/>
          <w:headerReference w:type="first" r:id="rId14"/>
          <w:footerReference w:type="first" r:id="rId15"/>
          <w:footnotePr>
            <w:numRestart w:val="eachSect"/>
          </w:footnotePr>
          <w:pgSz w:w="12240" w:h="15840" w:code="1"/>
          <w:pgMar w:top="1728" w:right="1440" w:bottom="1440" w:left="1440" w:header="720" w:footer="720" w:gutter="0"/>
          <w:pgNumType w:start="2"/>
          <w:cols w:space="720"/>
          <w:titlePg/>
        </w:sectPr>
      </w:pPr>
    </w:p>
    <w:p w14:paraId="616098AD" w14:textId="77777777" w:rsidR="00930BD6" w:rsidRPr="00AF35A5" w:rsidRDefault="00930BD6" w:rsidP="00930BD6">
      <w:pPr>
        <w:jc w:val="center"/>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lastRenderedPageBreak/>
        <w:t>APPENDIX 1</w:t>
      </w:r>
    </w:p>
    <w:p w14:paraId="51CE1EFB" w14:textId="4F47E493" w:rsidR="00930BD6" w:rsidRDefault="00930BD6" w:rsidP="00930BD6">
      <w:pPr>
        <w:jc w:val="center"/>
        <w:rPr>
          <w:rFonts w:ascii="Palatino Linotype" w:hAnsi="Palatino Linotype"/>
          <w:b/>
          <w:color w:val="000000" w:themeColor="text1"/>
          <w:sz w:val="24"/>
          <w:szCs w:val="24"/>
        </w:rPr>
      </w:pPr>
      <w:r>
        <w:rPr>
          <w:rFonts w:ascii="Palatino Linotype" w:hAnsi="Palatino Linotype"/>
          <w:b/>
          <w:color w:val="000000" w:themeColor="text1"/>
          <w:sz w:val="24"/>
          <w:szCs w:val="24"/>
        </w:rPr>
        <w:t xml:space="preserve">California Advanced Services Fund </w:t>
      </w:r>
    </w:p>
    <w:p w14:paraId="6B875FDE" w14:textId="77777777" w:rsidR="00930BD6" w:rsidRPr="00AF35A5" w:rsidRDefault="00930BD6" w:rsidP="00930BD6">
      <w:pPr>
        <w:jc w:val="center"/>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 xml:space="preserve">Broadband Adoption Account </w:t>
      </w:r>
    </w:p>
    <w:p w14:paraId="4375BBF0" w14:textId="77777777" w:rsidR="00930BD6" w:rsidRPr="00AF35A5" w:rsidRDefault="00930BD6" w:rsidP="00930BD6">
      <w:pPr>
        <w:jc w:val="center"/>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Application Requirements and Guidelines</w:t>
      </w:r>
    </w:p>
    <w:p w14:paraId="16B7BC6F" w14:textId="77777777" w:rsidR="00930BD6" w:rsidRPr="00AF35A5" w:rsidRDefault="00930BD6" w:rsidP="00930BD6">
      <w:pPr>
        <w:rPr>
          <w:rFonts w:ascii="Palatino Linotype" w:hAnsi="Palatino Linotype"/>
          <w:color w:val="000000" w:themeColor="text1"/>
          <w:sz w:val="24"/>
          <w:szCs w:val="24"/>
        </w:rPr>
      </w:pPr>
      <w:bookmarkStart w:id="14" w:name="_Toc505695019"/>
      <w:bookmarkStart w:id="15" w:name="_Toc505695071"/>
      <w:bookmarkEnd w:id="14"/>
      <w:bookmarkEnd w:id="15"/>
    </w:p>
    <w:p w14:paraId="21C4A46D" w14:textId="77777777" w:rsidR="00930BD6" w:rsidRPr="00AF35A5" w:rsidRDefault="00930BD6" w:rsidP="00930BD6">
      <w:pPr>
        <w:pStyle w:val="Heading2"/>
        <w:numPr>
          <w:ilvl w:val="1"/>
          <w:numId w:val="10"/>
        </w:numPr>
      </w:pPr>
      <w:bookmarkStart w:id="16" w:name="_Toc505695284"/>
      <w:bookmarkStart w:id="17" w:name="_Toc505695337"/>
      <w:bookmarkStart w:id="18" w:name="_Toc505695391"/>
      <w:bookmarkStart w:id="19" w:name="_Toc505695445"/>
      <w:bookmarkStart w:id="20" w:name="_Toc505695495"/>
      <w:bookmarkStart w:id="21" w:name="_Toc505695545"/>
      <w:bookmarkStart w:id="22" w:name="_Toc505695596"/>
      <w:bookmarkStart w:id="23" w:name="_Toc505695643"/>
      <w:bookmarkStart w:id="24" w:name="_Toc505695696"/>
      <w:bookmarkStart w:id="25" w:name="_Toc505695743"/>
      <w:bookmarkStart w:id="26" w:name="_Toc505695790"/>
      <w:bookmarkStart w:id="27" w:name="_Toc505695838"/>
      <w:bookmarkStart w:id="28" w:name="_Toc505695887"/>
      <w:bookmarkStart w:id="29" w:name="_Toc505695937"/>
      <w:bookmarkStart w:id="30" w:name="_Toc505696043"/>
      <w:bookmarkStart w:id="31" w:name="_Toc505691312"/>
      <w:bookmarkStart w:id="32" w:name="_Toc505691366"/>
      <w:bookmarkStart w:id="33" w:name="_Toc505691426"/>
      <w:bookmarkStart w:id="34" w:name="_Toc505691614"/>
      <w:bookmarkStart w:id="35" w:name="_Toc505691668"/>
      <w:bookmarkStart w:id="36" w:name="_Toc505691722"/>
      <w:bookmarkStart w:id="37" w:name="_Toc505691782"/>
      <w:bookmarkStart w:id="38" w:name="_Toc505691830"/>
      <w:bookmarkStart w:id="39" w:name="_Toc505693982"/>
      <w:bookmarkStart w:id="40" w:name="_Toc505694034"/>
      <w:bookmarkStart w:id="41" w:name="_Toc505694138"/>
      <w:bookmarkStart w:id="42" w:name="_Toc505694192"/>
      <w:bookmarkStart w:id="43" w:name="_Toc505694245"/>
      <w:bookmarkStart w:id="44" w:name="_Toc505694309"/>
      <w:bookmarkStart w:id="45" w:name="_Toc505694367"/>
      <w:bookmarkStart w:id="46" w:name="_Toc505694425"/>
      <w:bookmarkStart w:id="47" w:name="_Toc505694483"/>
      <w:bookmarkStart w:id="48" w:name="_Toc505694535"/>
      <w:bookmarkStart w:id="49" w:name="_Toc505694587"/>
      <w:bookmarkStart w:id="50" w:name="_Toc505694690"/>
      <w:bookmarkStart w:id="51" w:name="_Toc505694742"/>
      <w:bookmarkStart w:id="52" w:name="_Toc505694794"/>
      <w:bookmarkStart w:id="53" w:name="_Toc505694852"/>
      <w:bookmarkStart w:id="54" w:name="_Toc505694916"/>
      <w:bookmarkStart w:id="55" w:name="_Toc505694968"/>
      <w:bookmarkStart w:id="56" w:name="_Toc505695020"/>
      <w:bookmarkStart w:id="57" w:name="_Toc505695072"/>
      <w:bookmarkStart w:id="58" w:name="_Toc505695124"/>
      <w:bookmarkStart w:id="59" w:name="_Toc505695176"/>
      <w:bookmarkStart w:id="60" w:name="_Toc505695229"/>
      <w:bookmarkStart w:id="61" w:name="_Toc505695285"/>
      <w:bookmarkStart w:id="62" w:name="_Toc505695338"/>
      <w:bookmarkStart w:id="63" w:name="_Toc505695392"/>
      <w:bookmarkStart w:id="64" w:name="_Toc505695446"/>
      <w:bookmarkStart w:id="65" w:name="_Toc505695496"/>
      <w:bookmarkStart w:id="66" w:name="_Toc505695546"/>
      <w:bookmarkStart w:id="67" w:name="_Toc505695597"/>
      <w:bookmarkStart w:id="68" w:name="_Toc505695644"/>
      <w:bookmarkStart w:id="69" w:name="_Toc505695697"/>
      <w:bookmarkStart w:id="70" w:name="_Toc505695744"/>
      <w:bookmarkStart w:id="71" w:name="_Toc505695791"/>
      <w:bookmarkStart w:id="72" w:name="_Toc505695839"/>
      <w:bookmarkStart w:id="73" w:name="_Toc505695888"/>
      <w:bookmarkStart w:id="74" w:name="_Toc505695938"/>
      <w:bookmarkStart w:id="75" w:name="_Toc505696044"/>
      <w:bookmarkStart w:id="76" w:name="_Toc505691313"/>
      <w:bookmarkStart w:id="77" w:name="_Toc505691367"/>
      <w:bookmarkStart w:id="78" w:name="_Toc505691427"/>
      <w:bookmarkStart w:id="79" w:name="_Toc505691615"/>
      <w:bookmarkStart w:id="80" w:name="_Toc505691669"/>
      <w:bookmarkStart w:id="81" w:name="_Toc505691723"/>
      <w:bookmarkStart w:id="82" w:name="_Toc505691783"/>
      <w:bookmarkStart w:id="83" w:name="_Toc505691831"/>
      <w:bookmarkStart w:id="84" w:name="_Toc505693983"/>
      <w:bookmarkStart w:id="85" w:name="_Toc505694035"/>
      <w:bookmarkStart w:id="86" w:name="_Toc505694139"/>
      <w:bookmarkStart w:id="87" w:name="_Toc505694193"/>
      <w:bookmarkStart w:id="88" w:name="_Toc505694246"/>
      <w:bookmarkStart w:id="89" w:name="_Toc505694310"/>
      <w:bookmarkStart w:id="90" w:name="_Toc505694368"/>
      <w:bookmarkStart w:id="91" w:name="_Toc505694426"/>
      <w:bookmarkStart w:id="92" w:name="_Toc505694484"/>
      <w:bookmarkStart w:id="93" w:name="_Toc505694536"/>
      <w:bookmarkStart w:id="94" w:name="_Toc505694588"/>
      <w:bookmarkStart w:id="95" w:name="_Toc505694639"/>
      <w:bookmarkStart w:id="96" w:name="_Toc505694691"/>
      <w:bookmarkStart w:id="97" w:name="_Toc505694743"/>
      <w:bookmarkStart w:id="98" w:name="_Toc505694795"/>
      <w:bookmarkStart w:id="99" w:name="_Toc505694853"/>
      <w:bookmarkStart w:id="100" w:name="_Toc505694917"/>
      <w:bookmarkStart w:id="101" w:name="_Toc505694969"/>
      <w:bookmarkStart w:id="102" w:name="_Toc505695021"/>
      <w:bookmarkStart w:id="103" w:name="_Toc505695073"/>
      <w:bookmarkStart w:id="104" w:name="_Toc505695125"/>
      <w:bookmarkStart w:id="105" w:name="_Toc505695177"/>
      <w:bookmarkStart w:id="106" w:name="_Toc505695230"/>
      <w:bookmarkStart w:id="107" w:name="_Toc505695286"/>
      <w:bookmarkStart w:id="108" w:name="_Toc505695339"/>
      <w:bookmarkStart w:id="109" w:name="_Toc505695393"/>
      <w:bookmarkStart w:id="110" w:name="_Toc505695447"/>
      <w:bookmarkStart w:id="111" w:name="_Toc505695497"/>
      <w:bookmarkStart w:id="112" w:name="_Toc505695547"/>
      <w:bookmarkStart w:id="113" w:name="_Toc505695598"/>
      <w:bookmarkStart w:id="114" w:name="_Toc505695645"/>
      <w:bookmarkStart w:id="115" w:name="_Toc505695698"/>
      <w:bookmarkStart w:id="116" w:name="_Toc505695745"/>
      <w:bookmarkStart w:id="117" w:name="_Toc505695792"/>
      <w:bookmarkStart w:id="118" w:name="_Toc505695840"/>
      <w:bookmarkStart w:id="119" w:name="_Toc505695889"/>
      <w:bookmarkStart w:id="120" w:name="_Toc505695939"/>
      <w:bookmarkStart w:id="121" w:name="_Toc505696045"/>
      <w:bookmarkStart w:id="122" w:name="_Toc505691314"/>
      <w:bookmarkStart w:id="123" w:name="_Toc505691368"/>
      <w:bookmarkStart w:id="124" w:name="_Toc505691428"/>
      <w:bookmarkStart w:id="125" w:name="_Toc505691616"/>
      <w:bookmarkStart w:id="126" w:name="_Toc505691670"/>
      <w:bookmarkStart w:id="127" w:name="_Toc505691724"/>
      <w:bookmarkStart w:id="128" w:name="_Toc505691784"/>
      <w:bookmarkStart w:id="129" w:name="_Toc505691832"/>
      <w:bookmarkStart w:id="130" w:name="_Toc505693984"/>
      <w:bookmarkStart w:id="131" w:name="_Toc505694036"/>
      <w:bookmarkStart w:id="132" w:name="_Toc505694140"/>
      <w:bookmarkStart w:id="133" w:name="_Toc505694194"/>
      <w:bookmarkStart w:id="134" w:name="_Toc505694247"/>
      <w:bookmarkStart w:id="135" w:name="_Toc505694311"/>
      <w:bookmarkStart w:id="136" w:name="_Toc505694369"/>
      <w:bookmarkStart w:id="137" w:name="_Toc505694427"/>
      <w:bookmarkStart w:id="138" w:name="_Toc505694485"/>
      <w:bookmarkStart w:id="139" w:name="_Toc505694537"/>
      <w:bookmarkStart w:id="140" w:name="_Toc505694589"/>
      <w:bookmarkStart w:id="141" w:name="_Toc505694640"/>
      <w:bookmarkStart w:id="142" w:name="_Toc505694692"/>
      <w:bookmarkStart w:id="143" w:name="_Toc505694744"/>
      <w:bookmarkStart w:id="144" w:name="_Toc505694796"/>
      <w:bookmarkStart w:id="145" w:name="_Toc505694854"/>
      <w:bookmarkStart w:id="146" w:name="_Toc505694918"/>
      <w:bookmarkStart w:id="147" w:name="_Toc505694970"/>
      <w:bookmarkStart w:id="148" w:name="_Toc505695022"/>
      <w:bookmarkStart w:id="149" w:name="_Toc505695074"/>
      <w:bookmarkStart w:id="150" w:name="_Toc505695126"/>
      <w:bookmarkStart w:id="151" w:name="_Toc505695178"/>
      <w:bookmarkStart w:id="152" w:name="_Toc505695231"/>
      <w:bookmarkStart w:id="153" w:name="_Toc505695287"/>
      <w:bookmarkStart w:id="154" w:name="_Toc505695340"/>
      <w:bookmarkStart w:id="155" w:name="_Toc505695394"/>
      <w:bookmarkStart w:id="156" w:name="_Toc505695448"/>
      <w:bookmarkStart w:id="157" w:name="_Toc505695498"/>
      <w:bookmarkStart w:id="158" w:name="_Toc505695548"/>
      <w:bookmarkStart w:id="159" w:name="_Toc505695599"/>
      <w:bookmarkStart w:id="160" w:name="_Toc505695646"/>
      <w:bookmarkStart w:id="161" w:name="_Toc505695699"/>
      <w:bookmarkStart w:id="162" w:name="_Toc505695746"/>
      <w:bookmarkStart w:id="163" w:name="_Toc505695793"/>
      <w:bookmarkStart w:id="164" w:name="_Toc505695841"/>
      <w:bookmarkStart w:id="165" w:name="_Toc505695890"/>
      <w:bookmarkStart w:id="166" w:name="_Toc505695940"/>
      <w:bookmarkStart w:id="167" w:name="_Toc505696046"/>
      <w:bookmarkStart w:id="168" w:name="_Toc505691315"/>
      <w:bookmarkStart w:id="169" w:name="_Toc505691369"/>
      <w:bookmarkStart w:id="170" w:name="_Toc505691429"/>
      <w:bookmarkStart w:id="171" w:name="_Toc505691617"/>
      <w:bookmarkStart w:id="172" w:name="_Toc505691671"/>
      <w:bookmarkStart w:id="173" w:name="_Toc505691725"/>
      <w:bookmarkStart w:id="174" w:name="_Toc505691785"/>
      <w:bookmarkStart w:id="175" w:name="_Toc505691833"/>
      <w:bookmarkStart w:id="176" w:name="_Toc505693985"/>
      <w:bookmarkStart w:id="177" w:name="_Toc505694037"/>
      <w:bookmarkStart w:id="178" w:name="_Toc505694141"/>
      <w:bookmarkStart w:id="179" w:name="_Toc505694195"/>
      <w:bookmarkStart w:id="180" w:name="_Toc505694248"/>
      <w:bookmarkStart w:id="181" w:name="_Toc505694312"/>
      <w:bookmarkStart w:id="182" w:name="_Toc505694370"/>
      <w:bookmarkStart w:id="183" w:name="_Toc505694428"/>
      <w:bookmarkStart w:id="184" w:name="_Toc505694486"/>
      <w:bookmarkStart w:id="185" w:name="_Toc505694538"/>
      <w:bookmarkStart w:id="186" w:name="_Toc505694590"/>
      <w:bookmarkStart w:id="187" w:name="_Toc505694641"/>
      <w:bookmarkStart w:id="188" w:name="_Toc505694693"/>
      <w:bookmarkStart w:id="189" w:name="_Toc505694745"/>
      <w:bookmarkStart w:id="190" w:name="_Toc505694797"/>
      <w:bookmarkStart w:id="191" w:name="_Toc505694855"/>
      <w:bookmarkStart w:id="192" w:name="_Toc505694919"/>
      <w:bookmarkStart w:id="193" w:name="_Toc505694971"/>
      <w:bookmarkStart w:id="194" w:name="_Toc505695023"/>
      <w:bookmarkStart w:id="195" w:name="_Toc505695075"/>
      <w:bookmarkStart w:id="196" w:name="_Toc505695127"/>
      <w:bookmarkStart w:id="197" w:name="_Toc505695179"/>
      <w:bookmarkStart w:id="198" w:name="_Toc505695232"/>
      <w:bookmarkStart w:id="199" w:name="_Toc505695288"/>
      <w:bookmarkStart w:id="200" w:name="_Toc505695341"/>
      <w:bookmarkStart w:id="201" w:name="_Toc505695395"/>
      <w:bookmarkStart w:id="202" w:name="_Toc505695449"/>
      <w:bookmarkStart w:id="203" w:name="_Toc505695499"/>
      <w:bookmarkStart w:id="204" w:name="_Toc505695549"/>
      <w:bookmarkStart w:id="205" w:name="_Toc505695600"/>
      <w:bookmarkStart w:id="206" w:name="_Toc505695647"/>
      <w:bookmarkStart w:id="207" w:name="_Toc505695700"/>
      <w:bookmarkStart w:id="208" w:name="_Toc505695747"/>
      <w:bookmarkStart w:id="209" w:name="_Toc505695794"/>
      <w:bookmarkStart w:id="210" w:name="_Toc505695842"/>
      <w:bookmarkStart w:id="211" w:name="_Toc505695891"/>
      <w:bookmarkStart w:id="212" w:name="_Toc505695941"/>
      <w:bookmarkStart w:id="213" w:name="_Toc505696047"/>
      <w:bookmarkStart w:id="214" w:name="_Toc505691316"/>
      <w:bookmarkStart w:id="215" w:name="_Toc505691370"/>
      <w:bookmarkStart w:id="216" w:name="_Toc505691430"/>
      <w:bookmarkStart w:id="217" w:name="_Toc505691618"/>
      <w:bookmarkStart w:id="218" w:name="_Toc505691672"/>
      <w:bookmarkStart w:id="219" w:name="_Toc505691726"/>
      <w:bookmarkStart w:id="220" w:name="_Toc505691786"/>
      <w:bookmarkStart w:id="221" w:name="_Toc505691834"/>
      <w:bookmarkStart w:id="222" w:name="_Toc505693986"/>
      <w:bookmarkStart w:id="223" w:name="_Toc505694038"/>
      <w:bookmarkStart w:id="224" w:name="_Toc505694142"/>
      <w:bookmarkStart w:id="225" w:name="_Toc505694196"/>
      <w:bookmarkStart w:id="226" w:name="_Toc505694249"/>
      <w:bookmarkStart w:id="227" w:name="_Toc505694313"/>
      <w:bookmarkStart w:id="228" w:name="_Toc505694371"/>
      <w:bookmarkStart w:id="229" w:name="_Toc505694429"/>
      <w:bookmarkStart w:id="230" w:name="_Toc505694487"/>
      <w:bookmarkStart w:id="231" w:name="_Toc505694539"/>
      <w:bookmarkStart w:id="232" w:name="_Toc505694591"/>
      <w:bookmarkStart w:id="233" w:name="_Toc505694642"/>
      <w:bookmarkStart w:id="234" w:name="_Toc505694694"/>
      <w:bookmarkStart w:id="235" w:name="_Toc505694746"/>
      <w:bookmarkStart w:id="236" w:name="_Toc505694798"/>
      <w:bookmarkStart w:id="237" w:name="_Toc505694856"/>
      <w:bookmarkStart w:id="238" w:name="_Toc505694920"/>
      <w:bookmarkStart w:id="239" w:name="_Toc505694972"/>
      <w:bookmarkStart w:id="240" w:name="_Toc505695024"/>
      <w:bookmarkStart w:id="241" w:name="_Toc505695076"/>
      <w:bookmarkStart w:id="242" w:name="_Toc505695128"/>
      <w:bookmarkStart w:id="243" w:name="_Toc505695180"/>
      <w:bookmarkStart w:id="244" w:name="_Toc505695233"/>
      <w:bookmarkStart w:id="245" w:name="_Toc505695289"/>
      <w:bookmarkStart w:id="246" w:name="_Toc505695342"/>
      <w:bookmarkStart w:id="247" w:name="_Toc505695396"/>
      <w:bookmarkStart w:id="248" w:name="_Toc505695450"/>
      <w:bookmarkStart w:id="249" w:name="_Toc505695500"/>
      <w:bookmarkStart w:id="250" w:name="_Toc505695550"/>
      <w:bookmarkStart w:id="251" w:name="_Toc505695601"/>
      <w:bookmarkStart w:id="252" w:name="_Toc505695648"/>
      <w:bookmarkStart w:id="253" w:name="_Toc505695701"/>
      <w:bookmarkStart w:id="254" w:name="_Toc505695748"/>
      <w:bookmarkStart w:id="255" w:name="_Toc505695795"/>
      <w:bookmarkStart w:id="256" w:name="_Toc505695843"/>
      <w:bookmarkStart w:id="257" w:name="_Toc505695892"/>
      <w:bookmarkStart w:id="258" w:name="_Toc505695942"/>
      <w:bookmarkStart w:id="259" w:name="_Toc505696048"/>
      <w:bookmarkStart w:id="260" w:name="_Toc505691317"/>
      <w:bookmarkStart w:id="261" w:name="_Toc505691371"/>
      <w:bookmarkStart w:id="262" w:name="_Toc505691431"/>
      <w:bookmarkStart w:id="263" w:name="_Toc505691619"/>
      <w:bookmarkStart w:id="264" w:name="_Toc505691673"/>
      <w:bookmarkStart w:id="265" w:name="_Toc505691727"/>
      <w:bookmarkStart w:id="266" w:name="_Toc505691787"/>
      <w:bookmarkStart w:id="267" w:name="_Toc505691835"/>
      <w:bookmarkStart w:id="268" w:name="_Toc505693987"/>
      <w:bookmarkStart w:id="269" w:name="_Toc505694039"/>
      <w:bookmarkStart w:id="270" w:name="_Toc505694143"/>
      <w:bookmarkStart w:id="271" w:name="_Toc505694197"/>
      <w:bookmarkStart w:id="272" w:name="_Toc505694250"/>
      <w:bookmarkStart w:id="273" w:name="_Toc505694314"/>
      <w:bookmarkStart w:id="274" w:name="_Toc505694372"/>
      <w:bookmarkStart w:id="275" w:name="_Toc505694430"/>
      <w:bookmarkStart w:id="276" w:name="_Toc505694488"/>
      <w:bookmarkStart w:id="277" w:name="_Toc505694540"/>
      <w:bookmarkStart w:id="278" w:name="_Toc505694592"/>
      <w:bookmarkStart w:id="279" w:name="_Toc505694643"/>
      <w:bookmarkStart w:id="280" w:name="_Toc505694695"/>
      <w:bookmarkStart w:id="281" w:name="_Toc505694747"/>
      <w:bookmarkStart w:id="282" w:name="_Toc505694799"/>
      <w:bookmarkStart w:id="283" w:name="_Toc505694857"/>
      <w:bookmarkStart w:id="284" w:name="_Toc505694921"/>
      <w:bookmarkStart w:id="285" w:name="_Toc505694973"/>
      <w:bookmarkStart w:id="286" w:name="_Toc505695025"/>
      <w:bookmarkStart w:id="287" w:name="_Toc505695077"/>
      <w:bookmarkStart w:id="288" w:name="_Toc505695129"/>
      <w:bookmarkStart w:id="289" w:name="_Toc505695181"/>
      <w:bookmarkStart w:id="290" w:name="_Toc505695234"/>
      <w:bookmarkStart w:id="291" w:name="_Toc505695290"/>
      <w:bookmarkStart w:id="292" w:name="_Toc505695343"/>
      <w:bookmarkStart w:id="293" w:name="_Toc505695397"/>
      <w:bookmarkStart w:id="294" w:name="_Toc505695451"/>
      <w:bookmarkStart w:id="295" w:name="_Toc505695501"/>
      <w:bookmarkStart w:id="296" w:name="_Toc505695551"/>
      <w:bookmarkStart w:id="297" w:name="_Toc505695602"/>
      <w:bookmarkStart w:id="298" w:name="_Toc505695649"/>
      <w:bookmarkStart w:id="299" w:name="_Toc505695702"/>
      <w:bookmarkStart w:id="300" w:name="_Toc505695749"/>
      <w:bookmarkStart w:id="301" w:name="_Toc505695796"/>
      <w:bookmarkStart w:id="302" w:name="_Toc505695844"/>
      <w:bookmarkStart w:id="303" w:name="_Toc505695893"/>
      <w:bookmarkStart w:id="304" w:name="_Toc505695943"/>
      <w:bookmarkStart w:id="305" w:name="_Toc505696049"/>
      <w:bookmarkStart w:id="306" w:name="_Toc505691318"/>
      <w:bookmarkStart w:id="307" w:name="_Toc505691372"/>
      <w:bookmarkStart w:id="308" w:name="_Toc505691432"/>
      <w:bookmarkStart w:id="309" w:name="_Toc505691620"/>
      <w:bookmarkStart w:id="310" w:name="_Toc505691674"/>
      <w:bookmarkStart w:id="311" w:name="_Toc505691728"/>
      <w:bookmarkStart w:id="312" w:name="_Toc505691788"/>
      <w:bookmarkStart w:id="313" w:name="_Toc505691836"/>
      <w:bookmarkStart w:id="314" w:name="_Toc505693988"/>
      <w:bookmarkStart w:id="315" w:name="_Toc505694040"/>
      <w:bookmarkStart w:id="316" w:name="_Toc505694144"/>
      <w:bookmarkStart w:id="317" w:name="_Toc505694198"/>
      <w:bookmarkStart w:id="318" w:name="_Toc505694251"/>
      <w:bookmarkStart w:id="319" w:name="_Toc505694315"/>
      <w:bookmarkStart w:id="320" w:name="_Toc505694373"/>
      <w:bookmarkStart w:id="321" w:name="_Toc505694431"/>
      <w:bookmarkStart w:id="322" w:name="_Toc505694489"/>
      <w:bookmarkStart w:id="323" w:name="_Toc505694541"/>
      <w:bookmarkStart w:id="324" w:name="_Toc505694593"/>
      <w:bookmarkStart w:id="325" w:name="_Toc505694644"/>
      <w:bookmarkStart w:id="326" w:name="_Toc505694696"/>
      <w:bookmarkStart w:id="327" w:name="_Toc505694748"/>
      <w:bookmarkStart w:id="328" w:name="_Toc505694800"/>
      <w:bookmarkStart w:id="329" w:name="_Toc505694858"/>
      <w:bookmarkStart w:id="330" w:name="_Toc505694922"/>
      <w:bookmarkStart w:id="331" w:name="_Toc505694974"/>
      <w:bookmarkStart w:id="332" w:name="_Toc505695026"/>
      <w:bookmarkStart w:id="333" w:name="_Toc505695078"/>
      <w:bookmarkStart w:id="334" w:name="_Toc505695130"/>
      <w:bookmarkStart w:id="335" w:name="_Toc505695182"/>
      <w:bookmarkStart w:id="336" w:name="_Toc505695235"/>
      <w:bookmarkStart w:id="337" w:name="_Toc505695291"/>
      <w:bookmarkStart w:id="338" w:name="_Toc505695344"/>
      <w:bookmarkStart w:id="339" w:name="_Toc505695398"/>
      <w:bookmarkStart w:id="340" w:name="_Toc505695452"/>
      <w:bookmarkStart w:id="341" w:name="_Toc505695502"/>
      <w:bookmarkStart w:id="342" w:name="_Toc505695552"/>
      <w:bookmarkStart w:id="343" w:name="_Toc505695603"/>
      <w:bookmarkStart w:id="344" w:name="_Toc505695650"/>
      <w:bookmarkStart w:id="345" w:name="_Toc505695703"/>
      <w:bookmarkStart w:id="346" w:name="_Toc505695750"/>
      <w:bookmarkStart w:id="347" w:name="_Toc505695797"/>
      <w:bookmarkStart w:id="348" w:name="_Toc505695845"/>
      <w:bookmarkStart w:id="349" w:name="_Toc505695894"/>
      <w:bookmarkStart w:id="350" w:name="_Toc505695944"/>
      <w:bookmarkStart w:id="351" w:name="_Toc505696050"/>
      <w:bookmarkStart w:id="352" w:name="_Toc505691319"/>
      <w:bookmarkStart w:id="353" w:name="_Toc505691373"/>
      <w:bookmarkStart w:id="354" w:name="_Toc505691433"/>
      <w:bookmarkStart w:id="355" w:name="_Toc505691621"/>
      <w:bookmarkStart w:id="356" w:name="_Toc505691675"/>
      <w:bookmarkStart w:id="357" w:name="_Toc505691729"/>
      <w:bookmarkStart w:id="358" w:name="_Toc505691789"/>
      <w:bookmarkStart w:id="359" w:name="_Toc505691837"/>
      <w:bookmarkStart w:id="360" w:name="_Toc505693989"/>
      <w:bookmarkStart w:id="361" w:name="_Toc505694041"/>
      <w:bookmarkStart w:id="362" w:name="_Toc505694145"/>
      <w:bookmarkStart w:id="363" w:name="_Toc505694199"/>
      <w:bookmarkStart w:id="364" w:name="_Toc505694252"/>
      <w:bookmarkStart w:id="365" w:name="_Toc505694316"/>
      <w:bookmarkStart w:id="366" w:name="_Toc505694374"/>
      <w:bookmarkStart w:id="367" w:name="_Toc505694432"/>
      <w:bookmarkStart w:id="368" w:name="_Toc505694490"/>
      <w:bookmarkStart w:id="369" w:name="_Toc505694542"/>
      <w:bookmarkStart w:id="370" w:name="_Toc505694594"/>
      <w:bookmarkStart w:id="371" w:name="_Toc505694645"/>
      <w:bookmarkStart w:id="372" w:name="_Toc505694697"/>
      <w:bookmarkStart w:id="373" w:name="_Toc505694749"/>
      <w:bookmarkStart w:id="374" w:name="_Toc505694801"/>
      <w:bookmarkStart w:id="375" w:name="_Toc505694859"/>
      <w:bookmarkStart w:id="376" w:name="_Toc505694923"/>
      <w:bookmarkStart w:id="377" w:name="_Toc505694975"/>
      <w:bookmarkStart w:id="378" w:name="_Toc505695027"/>
      <w:bookmarkStart w:id="379" w:name="_Toc505695079"/>
      <w:bookmarkStart w:id="380" w:name="_Toc505695131"/>
      <w:bookmarkStart w:id="381" w:name="_Toc505695183"/>
      <w:bookmarkStart w:id="382" w:name="_Toc505695236"/>
      <w:bookmarkStart w:id="383" w:name="_Toc505695292"/>
      <w:bookmarkStart w:id="384" w:name="_Toc505695345"/>
      <w:bookmarkStart w:id="385" w:name="_Toc505695399"/>
      <w:bookmarkStart w:id="386" w:name="_Toc505695453"/>
      <w:bookmarkStart w:id="387" w:name="_Toc505695503"/>
      <w:bookmarkStart w:id="388" w:name="_Toc505695553"/>
      <w:bookmarkStart w:id="389" w:name="_Toc505695604"/>
      <w:bookmarkStart w:id="390" w:name="_Toc505695651"/>
      <w:bookmarkStart w:id="391" w:name="_Toc505695704"/>
      <w:bookmarkStart w:id="392" w:name="_Toc505695751"/>
      <w:bookmarkStart w:id="393" w:name="_Toc505695798"/>
      <w:bookmarkStart w:id="394" w:name="_Toc505695846"/>
      <w:bookmarkStart w:id="395" w:name="_Toc505695895"/>
      <w:bookmarkStart w:id="396" w:name="_Toc505695945"/>
      <w:bookmarkStart w:id="397" w:name="_Toc505696051"/>
      <w:bookmarkStart w:id="398" w:name="_Toc505691320"/>
      <w:bookmarkStart w:id="399" w:name="_Toc505691374"/>
      <w:bookmarkStart w:id="400" w:name="_Toc505691434"/>
      <w:bookmarkStart w:id="401" w:name="_Toc505691622"/>
      <w:bookmarkStart w:id="402" w:name="_Toc505691676"/>
      <w:bookmarkStart w:id="403" w:name="_Toc505691730"/>
      <w:bookmarkStart w:id="404" w:name="_Toc505691790"/>
      <w:bookmarkStart w:id="405" w:name="_Toc505691838"/>
      <w:bookmarkStart w:id="406" w:name="_Toc505693990"/>
      <w:bookmarkStart w:id="407" w:name="_Toc505694042"/>
      <w:bookmarkStart w:id="408" w:name="_Toc505694146"/>
      <w:bookmarkStart w:id="409" w:name="_Toc505694200"/>
      <w:bookmarkStart w:id="410" w:name="_Toc505694253"/>
      <w:bookmarkStart w:id="411" w:name="_Toc505694317"/>
      <w:bookmarkStart w:id="412" w:name="_Toc505694375"/>
      <w:bookmarkStart w:id="413" w:name="_Toc505694433"/>
      <w:bookmarkStart w:id="414" w:name="_Toc505694491"/>
      <w:bookmarkStart w:id="415" w:name="_Toc505694543"/>
      <w:bookmarkStart w:id="416" w:name="_Toc505694595"/>
      <w:bookmarkStart w:id="417" w:name="_Toc505694646"/>
      <w:bookmarkStart w:id="418" w:name="_Toc505694698"/>
      <w:bookmarkStart w:id="419" w:name="_Toc505694750"/>
      <w:bookmarkStart w:id="420" w:name="_Toc505694802"/>
      <w:bookmarkStart w:id="421" w:name="_Toc505694860"/>
      <w:bookmarkStart w:id="422" w:name="_Toc505694924"/>
      <w:bookmarkStart w:id="423" w:name="_Toc505694976"/>
      <w:bookmarkStart w:id="424" w:name="_Toc505695028"/>
      <w:bookmarkStart w:id="425" w:name="_Toc505695080"/>
      <w:bookmarkStart w:id="426" w:name="_Toc505695132"/>
      <w:bookmarkStart w:id="427" w:name="_Toc505695184"/>
      <w:bookmarkStart w:id="428" w:name="_Toc505695237"/>
      <w:bookmarkStart w:id="429" w:name="_Toc505695293"/>
      <w:bookmarkStart w:id="430" w:name="_Toc505695346"/>
      <w:bookmarkStart w:id="431" w:name="_Toc505695400"/>
      <w:bookmarkStart w:id="432" w:name="_Toc505695454"/>
      <w:bookmarkStart w:id="433" w:name="_Toc505695504"/>
      <w:bookmarkStart w:id="434" w:name="_Toc505695554"/>
      <w:bookmarkStart w:id="435" w:name="_Toc505695605"/>
      <w:bookmarkStart w:id="436" w:name="_Toc505695652"/>
      <w:bookmarkStart w:id="437" w:name="_Toc505695705"/>
      <w:bookmarkStart w:id="438" w:name="_Toc505695752"/>
      <w:bookmarkStart w:id="439" w:name="_Toc505695799"/>
      <w:bookmarkStart w:id="440" w:name="_Toc505695847"/>
      <w:bookmarkStart w:id="441" w:name="_Toc505695896"/>
      <w:bookmarkStart w:id="442" w:name="_Toc505695946"/>
      <w:bookmarkStart w:id="443" w:name="_Toc505696052"/>
      <w:bookmarkStart w:id="444" w:name="_Toc505691321"/>
      <w:bookmarkStart w:id="445" w:name="_Toc505691375"/>
      <w:bookmarkStart w:id="446" w:name="_Toc505691435"/>
      <w:bookmarkStart w:id="447" w:name="_Toc505691623"/>
      <w:bookmarkStart w:id="448" w:name="_Toc505691677"/>
      <w:bookmarkStart w:id="449" w:name="_Toc505691731"/>
      <w:bookmarkStart w:id="450" w:name="_Toc505691791"/>
      <w:bookmarkStart w:id="451" w:name="_Toc505691839"/>
      <w:bookmarkStart w:id="452" w:name="_Toc505693991"/>
      <w:bookmarkStart w:id="453" w:name="_Toc505694043"/>
      <w:bookmarkStart w:id="454" w:name="_Toc505694147"/>
      <w:bookmarkStart w:id="455" w:name="_Toc505694201"/>
      <w:bookmarkStart w:id="456" w:name="_Toc505694254"/>
      <w:bookmarkStart w:id="457" w:name="_Toc505694318"/>
      <w:bookmarkStart w:id="458" w:name="_Toc505694376"/>
      <w:bookmarkStart w:id="459" w:name="_Toc505694434"/>
      <w:bookmarkStart w:id="460" w:name="_Toc505694492"/>
      <w:bookmarkStart w:id="461" w:name="_Toc505694544"/>
      <w:bookmarkStart w:id="462" w:name="_Toc505694596"/>
      <w:bookmarkStart w:id="463" w:name="_Toc505694647"/>
      <w:bookmarkStart w:id="464" w:name="_Toc505694699"/>
      <w:bookmarkStart w:id="465" w:name="_Toc505694751"/>
      <w:bookmarkStart w:id="466" w:name="_Toc505694803"/>
      <w:bookmarkStart w:id="467" w:name="_Toc505694861"/>
      <w:bookmarkStart w:id="468" w:name="_Toc505694925"/>
      <w:bookmarkStart w:id="469" w:name="_Toc505694977"/>
      <w:bookmarkStart w:id="470" w:name="_Toc505695029"/>
      <w:bookmarkStart w:id="471" w:name="_Toc505695081"/>
      <w:bookmarkStart w:id="472" w:name="_Toc505695133"/>
      <w:bookmarkStart w:id="473" w:name="_Toc505695185"/>
      <w:bookmarkStart w:id="474" w:name="_Toc505695238"/>
      <w:bookmarkStart w:id="475" w:name="_Toc505695294"/>
      <w:bookmarkStart w:id="476" w:name="_Toc505695347"/>
      <w:bookmarkStart w:id="477" w:name="_Toc505695401"/>
      <w:bookmarkStart w:id="478" w:name="_Toc505695455"/>
      <w:bookmarkStart w:id="479" w:name="_Toc505695505"/>
      <w:bookmarkStart w:id="480" w:name="_Toc505695555"/>
      <w:bookmarkStart w:id="481" w:name="_Toc505695606"/>
      <w:bookmarkStart w:id="482" w:name="_Toc505695653"/>
      <w:bookmarkStart w:id="483" w:name="_Toc505695706"/>
      <w:bookmarkStart w:id="484" w:name="_Toc505695753"/>
      <w:bookmarkStart w:id="485" w:name="_Toc505695800"/>
      <w:bookmarkStart w:id="486" w:name="_Toc505695848"/>
      <w:bookmarkStart w:id="487" w:name="_Toc505695897"/>
      <w:bookmarkStart w:id="488" w:name="_Toc505695947"/>
      <w:bookmarkStart w:id="489" w:name="_Toc505696053"/>
      <w:bookmarkStart w:id="490" w:name="_Toc505691322"/>
      <w:bookmarkStart w:id="491" w:name="_Toc505691376"/>
      <w:bookmarkStart w:id="492" w:name="_Toc505691436"/>
      <w:bookmarkStart w:id="493" w:name="_Toc505691624"/>
      <w:bookmarkStart w:id="494" w:name="_Toc505691678"/>
      <w:bookmarkStart w:id="495" w:name="_Toc505691732"/>
      <w:bookmarkStart w:id="496" w:name="_Toc505691792"/>
      <w:bookmarkStart w:id="497" w:name="_Toc505691840"/>
      <w:bookmarkStart w:id="498" w:name="_Toc505693992"/>
      <w:bookmarkStart w:id="499" w:name="_Toc505694044"/>
      <w:bookmarkStart w:id="500" w:name="_Toc505694148"/>
      <w:bookmarkStart w:id="501" w:name="_Toc505694202"/>
      <w:bookmarkStart w:id="502" w:name="_Toc505694255"/>
      <w:bookmarkStart w:id="503" w:name="_Toc505694319"/>
      <w:bookmarkStart w:id="504" w:name="_Toc505694377"/>
      <w:bookmarkStart w:id="505" w:name="_Toc505694435"/>
      <w:bookmarkStart w:id="506" w:name="_Toc505694493"/>
      <w:bookmarkStart w:id="507" w:name="_Toc505694545"/>
      <w:bookmarkStart w:id="508" w:name="_Toc505694597"/>
      <w:bookmarkStart w:id="509" w:name="_Toc505694648"/>
      <w:bookmarkStart w:id="510" w:name="_Toc505694700"/>
      <w:bookmarkStart w:id="511" w:name="_Toc505694752"/>
      <w:bookmarkStart w:id="512" w:name="_Toc505694804"/>
      <w:bookmarkStart w:id="513" w:name="_Toc505694862"/>
      <w:bookmarkStart w:id="514" w:name="_Toc505694926"/>
      <w:bookmarkStart w:id="515" w:name="_Toc505694978"/>
      <w:bookmarkStart w:id="516" w:name="_Toc505695030"/>
      <w:bookmarkStart w:id="517" w:name="_Toc505695082"/>
      <w:bookmarkStart w:id="518" w:name="_Toc505695134"/>
      <w:bookmarkStart w:id="519" w:name="_Toc505695186"/>
      <w:bookmarkStart w:id="520" w:name="_Toc505695239"/>
      <w:bookmarkStart w:id="521" w:name="_Toc505695295"/>
      <w:bookmarkStart w:id="522" w:name="_Toc505695348"/>
      <w:bookmarkStart w:id="523" w:name="_Toc505695402"/>
      <w:bookmarkStart w:id="524" w:name="_Toc505695456"/>
      <w:bookmarkStart w:id="525" w:name="_Toc505695506"/>
      <w:bookmarkStart w:id="526" w:name="_Toc505695556"/>
      <w:bookmarkStart w:id="527" w:name="_Toc505695607"/>
      <w:bookmarkStart w:id="528" w:name="_Toc505695654"/>
      <w:bookmarkStart w:id="529" w:name="_Toc505695707"/>
      <w:bookmarkStart w:id="530" w:name="_Toc505695754"/>
      <w:bookmarkStart w:id="531" w:name="_Toc505695801"/>
      <w:bookmarkStart w:id="532" w:name="_Toc505695849"/>
      <w:bookmarkStart w:id="533" w:name="_Toc505695898"/>
      <w:bookmarkStart w:id="534" w:name="_Toc505695948"/>
      <w:bookmarkStart w:id="535" w:name="_Toc505696054"/>
      <w:bookmarkStart w:id="536" w:name="_Toc505695135"/>
      <w:bookmarkStart w:id="537" w:name="_Toc505695187"/>
      <w:bookmarkStart w:id="538" w:name="_Toc505695240"/>
      <w:bookmarkStart w:id="539" w:name="_Toc505695296"/>
      <w:bookmarkStart w:id="540" w:name="_Toc505695349"/>
      <w:bookmarkStart w:id="541" w:name="_Toc505695403"/>
      <w:bookmarkStart w:id="542" w:name="_Toc505695457"/>
      <w:bookmarkStart w:id="543" w:name="_Toc505695507"/>
      <w:bookmarkStart w:id="544" w:name="_Toc505695557"/>
      <w:bookmarkStart w:id="545" w:name="_Toc505695608"/>
      <w:bookmarkStart w:id="546" w:name="_Toc505695655"/>
      <w:bookmarkStart w:id="547" w:name="_Toc505695708"/>
      <w:bookmarkStart w:id="548" w:name="_Toc505695755"/>
      <w:bookmarkStart w:id="549" w:name="_Toc505695802"/>
      <w:bookmarkStart w:id="550" w:name="_Toc505695850"/>
      <w:bookmarkStart w:id="551" w:name="_Toc505695899"/>
      <w:bookmarkStart w:id="552" w:name="_Toc505695949"/>
      <w:bookmarkStart w:id="553" w:name="_Toc505696055"/>
      <w:bookmarkStart w:id="554" w:name="_Toc505695297"/>
      <w:bookmarkStart w:id="555" w:name="_Toc505695350"/>
      <w:bookmarkStart w:id="556" w:name="_Toc505695404"/>
      <w:bookmarkStart w:id="557" w:name="_Toc505695458"/>
      <w:bookmarkStart w:id="558" w:name="_Toc505695508"/>
      <w:bookmarkStart w:id="559" w:name="_Toc505695558"/>
      <w:bookmarkStart w:id="560" w:name="_Toc505695609"/>
      <w:bookmarkStart w:id="561" w:name="_Toc505695656"/>
      <w:bookmarkStart w:id="562" w:name="_Toc505695709"/>
      <w:bookmarkStart w:id="563" w:name="_Toc505695756"/>
      <w:bookmarkStart w:id="564" w:name="_Toc505695803"/>
      <w:bookmarkStart w:id="565" w:name="_Toc505695851"/>
      <w:bookmarkStart w:id="566" w:name="_Toc505695900"/>
      <w:bookmarkStart w:id="567" w:name="_Toc505695950"/>
      <w:bookmarkStart w:id="568" w:name="_Toc505696056"/>
      <w:bookmarkStart w:id="569" w:name="_Toc505786730"/>
      <w:bookmarkStart w:id="570" w:name="_Toc51415302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AF35A5">
        <w:t>Background</w:t>
      </w:r>
      <w:bookmarkEnd w:id="569"/>
      <w:bookmarkEnd w:id="570"/>
    </w:p>
    <w:p w14:paraId="0FE4A29F" w14:textId="77777777" w:rsidR="00930BD6" w:rsidRPr="00AF35A5"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On October 15, 2017, Governor Brown signed AB 1665, directing the Commission to create the new Broadband Adoption Account within </w:t>
      </w:r>
      <w:r>
        <w:rPr>
          <w:rFonts w:ascii="Palatino Linotype" w:hAnsi="Palatino Linotype"/>
          <w:color w:val="000000" w:themeColor="text1"/>
          <w:sz w:val="24"/>
          <w:szCs w:val="24"/>
        </w:rPr>
        <w:t xml:space="preserve">the </w:t>
      </w:r>
      <w:r w:rsidRPr="00AF35A5">
        <w:rPr>
          <w:rFonts w:ascii="Palatino Linotype" w:hAnsi="Palatino Linotype"/>
          <w:color w:val="000000" w:themeColor="text1"/>
          <w:sz w:val="24"/>
          <w:szCs w:val="24"/>
        </w:rPr>
        <w:t>C</w:t>
      </w:r>
      <w:r>
        <w:rPr>
          <w:rFonts w:ascii="Palatino Linotype" w:hAnsi="Palatino Linotype"/>
          <w:color w:val="000000" w:themeColor="text1"/>
          <w:sz w:val="24"/>
          <w:szCs w:val="24"/>
        </w:rPr>
        <w:t xml:space="preserve">alifornia </w:t>
      </w:r>
      <w:r w:rsidRPr="00AF35A5">
        <w:rPr>
          <w:rFonts w:ascii="Palatino Linotype" w:hAnsi="Palatino Linotype"/>
          <w:color w:val="000000" w:themeColor="text1"/>
          <w:sz w:val="24"/>
          <w:szCs w:val="24"/>
        </w:rPr>
        <w:t>A</w:t>
      </w:r>
      <w:r>
        <w:rPr>
          <w:rFonts w:ascii="Palatino Linotype" w:hAnsi="Palatino Linotype"/>
          <w:color w:val="000000" w:themeColor="text1"/>
          <w:sz w:val="24"/>
          <w:szCs w:val="24"/>
        </w:rPr>
        <w:t xml:space="preserve">dvanced </w:t>
      </w:r>
      <w:r w:rsidRPr="00AF35A5">
        <w:rPr>
          <w:rFonts w:ascii="Palatino Linotype" w:hAnsi="Palatino Linotype"/>
          <w:color w:val="000000" w:themeColor="text1"/>
          <w:sz w:val="24"/>
          <w:szCs w:val="24"/>
        </w:rPr>
        <w:t>S</w:t>
      </w:r>
      <w:r>
        <w:rPr>
          <w:rFonts w:ascii="Palatino Linotype" w:hAnsi="Palatino Linotype"/>
          <w:color w:val="000000" w:themeColor="text1"/>
          <w:sz w:val="24"/>
          <w:szCs w:val="24"/>
        </w:rPr>
        <w:t xml:space="preserve">ervices </w:t>
      </w:r>
      <w:r w:rsidRPr="00AF35A5">
        <w:rPr>
          <w:rFonts w:ascii="Palatino Linotype" w:hAnsi="Palatino Linotype"/>
          <w:color w:val="000000" w:themeColor="text1"/>
          <w:sz w:val="24"/>
          <w:szCs w:val="24"/>
        </w:rPr>
        <w:t>F</w:t>
      </w:r>
      <w:r>
        <w:rPr>
          <w:rFonts w:ascii="Palatino Linotype" w:hAnsi="Palatino Linotype"/>
          <w:color w:val="000000" w:themeColor="text1"/>
          <w:sz w:val="24"/>
          <w:szCs w:val="24"/>
        </w:rPr>
        <w:t>und (CASF)</w:t>
      </w:r>
      <w:r w:rsidRPr="00AF35A5">
        <w:rPr>
          <w:rFonts w:ascii="Palatino Linotype" w:hAnsi="Palatino Linotype"/>
          <w:color w:val="000000" w:themeColor="text1"/>
          <w:sz w:val="24"/>
          <w:szCs w:val="24"/>
        </w:rPr>
        <w:t>.  Moneys in the Broadband Adoption Account are available to the Commission to award grants to increase publicly available or after</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school broadband access and digital inclusion, such as grants for digital literacy training programs and public education to communities with limited broadband adoption, including low</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income communities, senior communities, and communities facing socioeconomic barriers to broadband </w:t>
      </w:r>
      <w:r w:rsidRPr="00815B9A">
        <w:rPr>
          <w:rFonts w:ascii="Palatino Linotype" w:hAnsi="Palatino Linotype"/>
          <w:color w:val="000000" w:themeColor="text1"/>
          <w:sz w:val="24"/>
          <w:szCs w:val="24"/>
        </w:rPr>
        <w:t>adoption</w:t>
      </w:r>
      <w:r w:rsidRPr="00AF35A5">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 xml:space="preserve"> </w:t>
      </w:r>
      <w:r w:rsidRPr="00815B9A">
        <w:rPr>
          <w:rFonts w:ascii="Palatino Linotype" w:hAnsi="Palatino Linotype"/>
          <w:color w:val="000000" w:themeColor="text1"/>
          <w:sz w:val="24"/>
          <w:szCs w:val="24"/>
        </w:rPr>
        <w:t>Moneys</w:t>
      </w:r>
      <w:r w:rsidRPr="00AF35A5">
        <w:rPr>
          <w:rFonts w:ascii="Palatino Linotype" w:hAnsi="Palatino Linotype"/>
          <w:color w:val="000000" w:themeColor="text1"/>
          <w:sz w:val="24"/>
          <w:szCs w:val="24"/>
        </w:rPr>
        <w:t xml:space="preserve"> in the Broadband Adoption Account shall not be used to subsidize the costs of providing broadband service to households.</w:t>
      </w:r>
      <w:r w:rsidRPr="00AF35A5">
        <w:rPr>
          <w:rStyle w:val="FootnoteReference"/>
          <w:rFonts w:ascii="Palatino Linotype" w:hAnsi="Palatino Linotype"/>
          <w:color w:val="000000" w:themeColor="text1"/>
          <w:szCs w:val="24"/>
        </w:rPr>
        <w:footnoteReference w:id="12"/>
      </w:r>
      <w:r w:rsidRPr="00AF35A5">
        <w:rPr>
          <w:rFonts w:ascii="Palatino Linotype" w:hAnsi="Palatino Linotype"/>
          <w:color w:val="000000" w:themeColor="text1"/>
          <w:sz w:val="24"/>
          <w:szCs w:val="24"/>
        </w:rPr>
        <w:t xml:space="preserve"> </w:t>
      </w:r>
    </w:p>
    <w:p w14:paraId="513F6A01" w14:textId="77777777" w:rsidR="00930BD6" w:rsidRPr="00AF35A5" w:rsidRDefault="00930BD6" w:rsidP="00930BD6">
      <w:pPr>
        <w:pStyle w:val="ListParagraph"/>
        <w:ind w:left="360"/>
        <w:rPr>
          <w:rFonts w:ascii="Palatino Linotype" w:hAnsi="Palatino Linotype"/>
          <w:b/>
          <w:color w:val="000000" w:themeColor="text1"/>
          <w:sz w:val="24"/>
          <w:szCs w:val="24"/>
        </w:rPr>
      </w:pPr>
    </w:p>
    <w:p w14:paraId="08D283B4" w14:textId="77777777" w:rsidR="00930BD6" w:rsidRPr="00AF35A5" w:rsidRDefault="00930BD6" w:rsidP="00930BD6">
      <w:pPr>
        <w:pStyle w:val="Heading2"/>
        <w:numPr>
          <w:ilvl w:val="1"/>
          <w:numId w:val="10"/>
        </w:numPr>
      </w:pPr>
      <w:bookmarkStart w:id="571" w:name="_Toc505786731"/>
      <w:bookmarkStart w:id="572" w:name="_Toc514153026"/>
      <w:r w:rsidRPr="00AF35A5">
        <w:t>Amount Available for Grants</w:t>
      </w:r>
      <w:bookmarkEnd w:id="571"/>
      <w:bookmarkEnd w:id="572"/>
    </w:p>
    <w:p w14:paraId="0F1353FB" w14:textId="77777777" w:rsidR="00930BD6" w:rsidRPr="00AF35A5" w:rsidRDefault="00930BD6" w:rsidP="00930BD6">
      <w:pPr>
        <w:pStyle w:val="ListParagraph"/>
        <w:ind w:left="360"/>
        <w:rPr>
          <w:rFonts w:ascii="Palatino Linotype" w:hAnsi="Palatino Linotype"/>
          <w:color w:val="000000" w:themeColor="text1"/>
          <w:sz w:val="24"/>
          <w:szCs w:val="24"/>
        </w:rPr>
      </w:pPr>
      <w:r w:rsidRPr="00F8739A">
        <w:rPr>
          <w:rFonts w:ascii="Palatino Linotype" w:hAnsi="Palatino Linotype"/>
          <w:color w:val="000000" w:themeColor="text1"/>
          <w:sz w:val="24"/>
          <w:szCs w:val="24"/>
        </w:rPr>
        <w:t>Twenty million</w:t>
      </w:r>
      <w:r w:rsidRPr="00AF35A5">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 xml:space="preserve">dollars </w:t>
      </w:r>
      <w:r w:rsidRPr="00AF35A5">
        <w:rPr>
          <w:rFonts w:ascii="Palatino Linotype" w:hAnsi="Palatino Linotype"/>
          <w:color w:val="000000" w:themeColor="text1"/>
          <w:sz w:val="24"/>
          <w:szCs w:val="24"/>
        </w:rPr>
        <w:t xml:space="preserve">will be available through the Broadband Adoption Account, although some may be used for publicly supported communities (PSCs) otherwise eligible to apply for funding from the Broadband Public Housing Account (BPHA) if all monies in that account are exhausted.  </w:t>
      </w:r>
    </w:p>
    <w:p w14:paraId="73897183" w14:textId="77777777" w:rsidR="00930BD6" w:rsidRPr="00AF35A5" w:rsidRDefault="00930BD6" w:rsidP="00930BD6">
      <w:pPr>
        <w:pStyle w:val="ListParagraph"/>
        <w:ind w:left="360"/>
        <w:rPr>
          <w:rFonts w:ascii="Palatino Linotype" w:hAnsi="Palatino Linotype"/>
          <w:color w:val="000000" w:themeColor="text1"/>
          <w:sz w:val="24"/>
          <w:szCs w:val="24"/>
        </w:rPr>
      </w:pPr>
    </w:p>
    <w:p w14:paraId="7AD4AAAB" w14:textId="7DABF8FB" w:rsidR="00930BD6" w:rsidRPr="00AF35A5"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No more than $</w:t>
      </w:r>
      <w:r w:rsidR="00FD0342">
        <w:rPr>
          <w:rFonts w:ascii="Palatino Linotype" w:hAnsi="Palatino Linotype"/>
          <w:color w:val="000000" w:themeColor="text1"/>
          <w:sz w:val="24"/>
          <w:szCs w:val="24"/>
        </w:rPr>
        <w:t>7.</w:t>
      </w:r>
      <w:r w:rsidRPr="00AF35A5">
        <w:rPr>
          <w:rFonts w:ascii="Palatino Linotype" w:hAnsi="Palatino Linotype"/>
          <w:color w:val="000000" w:themeColor="text1"/>
          <w:sz w:val="24"/>
          <w:szCs w:val="24"/>
        </w:rPr>
        <w:t xml:space="preserve">5 million will be awarded </w:t>
      </w:r>
      <w:r>
        <w:rPr>
          <w:rFonts w:ascii="Palatino Linotype" w:hAnsi="Palatino Linotype"/>
          <w:color w:val="000000" w:themeColor="text1"/>
          <w:sz w:val="24"/>
          <w:szCs w:val="24"/>
        </w:rPr>
        <w:t>in each</w:t>
      </w:r>
      <w:r w:rsidRPr="00AF35A5">
        <w:rPr>
          <w:rFonts w:ascii="Palatino Linotype" w:hAnsi="Palatino Linotype"/>
          <w:color w:val="000000" w:themeColor="text1"/>
          <w:sz w:val="24"/>
          <w:szCs w:val="24"/>
        </w:rPr>
        <w:t xml:space="preserve"> application window</w:t>
      </w:r>
      <w:r>
        <w:rPr>
          <w:rFonts w:ascii="Palatino Linotype" w:hAnsi="Palatino Linotype"/>
          <w:color w:val="000000" w:themeColor="text1"/>
          <w:sz w:val="24"/>
          <w:szCs w:val="24"/>
        </w:rPr>
        <w:t>.</w:t>
      </w:r>
      <w:r w:rsidRPr="00AF35A5">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 xml:space="preserve"> Applicants that are not awarded a grant in the application window they applied for may reapply in any future application window</w:t>
      </w:r>
      <w:r w:rsidRPr="00AF35A5">
        <w:rPr>
          <w:rFonts w:ascii="Palatino Linotype" w:hAnsi="Palatino Linotype"/>
          <w:color w:val="000000" w:themeColor="text1"/>
          <w:sz w:val="24"/>
          <w:szCs w:val="24"/>
        </w:rPr>
        <w:t>.</w:t>
      </w:r>
    </w:p>
    <w:p w14:paraId="4BA45A88" w14:textId="77777777" w:rsidR="00930BD6" w:rsidRPr="00903571" w:rsidRDefault="00930BD6" w:rsidP="00930BD6">
      <w:pPr>
        <w:pStyle w:val="Heading5"/>
        <w:numPr>
          <w:ilvl w:val="4"/>
          <w:numId w:val="10"/>
        </w:numPr>
        <w:tabs>
          <w:tab w:val="clear" w:pos="1980"/>
        </w:tabs>
        <w:spacing w:before="0" w:after="0"/>
        <w:ind w:left="360"/>
        <w:rPr>
          <w:rFonts w:ascii="Palatino Linotype" w:hAnsi="Palatino Linotype"/>
          <w:b w:val="0"/>
          <w:color w:val="000000" w:themeColor="text1"/>
          <w:sz w:val="24"/>
          <w:szCs w:val="24"/>
        </w:rPr>
      </w:pPr>
    </w:p>
    <w:p w14:paraId="7B31E959" w14:textId="77777777" w:rsidR="00930BD6" w:rsidRPr="00AE60DE" w:rsidRDefault="00930BD6" w:rsidP="00930BD6">
      <w:pPr>
        <w:pStyle w:val="Heading2"/>
        <w:numPr>
          <w:ilvl w:val="1"/>
          <w:numId w:val="10"/>
        </w:numPr>
      </w:pPr>
      <w:bookmarkStart w:id="573" w:name="_Toc514153027"/>
      <w:r w:rsidRPr="00AF35A5">
        <w:t>Preference</w:t>
      </w:r>
      <w:bookmarkEnd w:id="573"/>
    </w:p>
    <w:p w14:paraId="44D1E249" w14:textId="77777777" w:rsidR="00930BD6" w:rsidRDefault="00930BD6" w:rsidP="00930BD6">
      <w:pPr>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AB 1665 requires the Commission to give preference to programs in communities with demonstrated low broadband access, including low</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income communities, senior communities, and communities facing socioeconomic barriers to broadband adoption.  </w:t>
      </w:r>
    </w:p>
    <w:p w14:paraId="42E2D42D" w14:textId="77777777" w:rsidR="00930BD6" w:rsidRPr="00AF35A5" w:rsidRDefault="00930BD6" w:rsidP="00930BD6">
      <w:pPr>
        <w:ind w:left="360"/>
        <w:rPr>
          <w:rFonts w:ascii="Palatino Linotype" w:hAnsi="Palatino Linotype"/>
          <w:b/>
          <w:color w:val="000000" w:themeColor="text1"/>
          <w:sz w:val="24"/>
          <w:szCs w:val="24"/>
        </w:rPr>
      </w:pPr>
    </w:p>
    <w:p w14:paraId="12F28B08" w14:textId="77777777" w:rsidR="00930BD6" w:rsidRPr="00AF35A5" w:rsidRDefault="00930BD6" w:rsidP="00930BD6">
      <w:pPr>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Applicants must complete a “Preference Checklist,” and </w:t>
      </w:r>
      <w:r>
        <w:rPr>
          <w:rFonts w:ascii="Palatino Linotype" w:hAnsi="Palatino Linotype"/>
          <w:color w:val="000000" w:themeColor="text1"/>
          <w:sz w:val="24"/>
          <w:szCs w:val="24"/>
        </w:rPr>
        <w:t>the Commission</w:t>
      </w:r>
      <w:r w:rsidRPr="00AF35A5">
        <w:rPr>
          <w:rFonts w:ascii="Palatino Linotype" w:hAnsi="Palatino Linotype"/>
          <w:color w:val="000000" w:themeColor="text1"/>
          <w:sz w:val="24"/>
          <w:szCs w:val="24"/>
        </w:rPr>
        <w:t xml:space="preserve"> will prioritize projects for funding based on preferences met (e.g. number of preferences checked).</w:t>
      </w:r>
    </w:p>
    <w:p w14:paraId="7DCC6CB9" w14:textId="77777777" w:rsidR="00930BD6" w:rsidRPr="00AF35A5" w:rsidRDefault="00930BD6" w:rsidP="00930BD6">
      <w:pPr>
        <w:ind w:left="360"/>
        <w:rPr>
          <w:rFonts w:ascii="Palatino Linotype" w:hAnsi="Palatino Linotype"/>
          <w:b/>
          <w:color w:val="000000" w:themeColor="text1"/>
          <w:sz w:val="24"/>
          <w:szCs w:val="24"/>
        </w:rPr>
      </w:pPr>
    </w:p>
    <w:p w14:paraId="2673E59A" w14:textId="77777777" w:rsidR="00930BD6" w:rsidRPr="00AF35A5" w:rsidRDefault="00930BD6" w:rsidP="00930BD6">
      <w:pPr>
        <w:pStyle w:val="Heading2"/>
        <w:numPr>
          <w:ilvl w:val="1"/>
          <w:numId w:val="10"/>
        </w:numPr>
      </w:pPr>
      <w:bookmarkStart w:id="574" w:name="_Toc505786732"/>
      <w:bookmarkStart w:id="575" w:name="_Toc514153028"/>
      <w:r w:rsidRPr="00AF35A5">
        <w:t>Definitions</w:t>
      </w:r>
      <w:bookmarkEnd w:id="574"/>
      <w:bookmarkEnd w:id="575"/>
    </w:p>
    <w:p w14:paraId="473C0A1B" w14:textId="77777777" w:rsidR="00930BD6" w:rsidRPr="00AF35A5"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“Basic Internet Skills”</w:t>
      </w:r>
      <w:r w:rsidRPr="00AF35A5">
        <w:rPr>
          <w:rStyle w:val="FootnoteReference"/>
          <w:rFonts w:ascii="Palatino Linotype" w:hAnsi="Palatino Linotype"/>
          <w:color w:val="000000" w:themeColor="text1"/>
          <w:szCs w:val="24"/>
        </w:rPr>
        <w:footnoteReference w:id="13"/>
      </w:r>
      <w:r w:rsidRPr="00AF35A5">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 xml:space="preserve">may </w:t>
      </w:r>
      <w:r w:rsidRPr="00AF35A5">
        <w:rPr>
          <w:rFonts w:ascii="Palatino Linotype" w:hAnsi="Palatino Linotype"/>
          <w:color w:val="000000" w:themeColor="text1"/>
          <w:sz w:val="24"/>
          <w:szCs w:val="24"/>
        </w:rPr>
        <w:t xml:space="preserve">include the following: </w:t>
      </w:r>
    </w:p>
    <w:p w14:paraId="655C7A62" w14:textId="77777777" w:rsidR="00930BD6" w:rsidRPr="00AF35A5" w:rsidRDefault="00930BD6" w:rsidP="00930BD6">
      <w:pPr>
        <w:pStyle w:val="ListParagraph"/>
        <w:numPr>
          <w:ilvl w:val="0"/>
          <w:numId w:val="11"/>
        </w:numPr>
        <w:ind w:left="720"/>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Computer Basics</w:t>
      </w:r>
    </w:p>
    <w:p w14:paraId="27CFF3DE" w14:textId="77777777" w:rsidR="00930BD6" w:rsidRPr="00AF35A5" w:rsidRDefault="00930BD6" w:rsidP="00930BD6">
      <w:pPr>
        <w:pStyle w:val="ListParagraph"/>
        <w:numPr>
          <w:ilvl w:val="1"/>
          <w:numId w:val="15"/>
        </w:numPr>
        <w:ind w:left="1440"/>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How to use the mouse and keyboard</w:t>
      </w:r>
    </w:p>
    <w:p w14:paraId="6FCB658F" w14:textId="77777777" w:rsidR="00930BD6" w:rsidRPr="00AF35A5" w:rsidRDefault="00930BD6" w:rsidP="00930BD6">
      <w:pPr>
        <w:pStyle w:val="ListParagraph"/>
        <w:numPr>
          <w:ilvl w:val="1"/>
          <w:numId w:val="15"/>
        </w:numPr>
        <w:ind w:left="1440"/>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How to use the operating system and important services such as email</w:t>
      </w:r>
    </w:p>
    <w:p w14:paraId="69041DF3" w14:textId="77777777" w:rsidR="00930BD6" w:rsidRPr="00AF35A5" w:rsidRDefault="00930BD6" w:rsidP="00930BD6">
      <w:pPr>
        <w:pStyle w:val="ListParagraph"/>
        <w:numPr>
          <w:ilvl w:val="0"/>
          <w:numId w:val="11"/>
        </w:numPr>
        <w:ind w:left="720"/>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Internet Basics</w:t>
      </w:r>
    </w:p>
    <w:p w14:paraId="5DFDEEFC" w14:textId="77777777" w:rsidR="00930BD6" w:rsidRPr="00AF35A5" w:rsidRDefault="00930BD6" w:rsidP="00930BD6">
      <w:pPr>
        <w:pStyle w:val="ListParagraph"/>
        <w:numPr>
          <w:ilvl w:val="0"/>
          <w:numId w:val="16"/>
        </w:numPr>
        <w:ind w:left="1440"/>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How to use the browser</w:t>
      </w:r>
    </w:p>
    <w:p w14:paraId="71C60F1D" w14:textId="77777777" w:rsidR="00930BD6" w:rsidRPr="00AF35A5" w:rsidRDefault="00930BD6" w:rsidP="00930BD6">
      <w:pPr>
        <w:pStyle w:val="ListParagraph"/>
        <w:numPr>
          <w:ilvl w:val="0"/>
          <w:numId w:val="16"/>
        </w:numPr>
        <w:ind w:left="1440"/>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How to search the internet</w:t>
      </w:r>
    </w:p>
    <w:p w14:paraId="563EB602" w14:textId="77777777" w:rsidR="00930BD6" w:rsidRPr="00AF35A5" w:rsidRDefault="00930BD6" w:rsidP="00930BD6">
      <w:pPr>
        <w:pStyle w:val="ListParagraph"/>
        <w:numPr>
          <w:ilvl w:val="0"/>
          <w:numId w:val="16"/>
        </w:numPr>
        <w:ind w:left="1440"/>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How to evaluate information sources</w:t>
      </w:r>
    </w:p>
    <w:p w14:paraId="3ED948E9" w14:textId="77777777" w:rsidR="00930BD6" w:rsidRPr="00AF35A5" w:rsidRDefault="00930BD6" w:rsidP="00930BD6">
      <w:pPr>
        <w:pStyle w:val="ListParagraph"/>
        <w:numPr>
          <w:ilvl w:val="0"/>
          <w:numId w:val="11"/>
        </w:numPr>
        <w:ind w:left="720"/>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Internet Safety Basics</w:t>
      </w:r>
    </w:p>
    <w:p w14:paraId="30CEF8D9" w14:textId="77777777" w:rsidR="00930BD6" w:rsidRPr="00AF35A5" w:rsidRDefault="00930BD6" w:rsidP="00930BD6">
      <w:pPr>
        <w:pStyle w:val="ListParagraph"/>
        <w:numPr>
          <w:ilvl w:val="0"/>
          <w:numId w:val="17"/>
        </w:numPr>
        <w:ind w:left="1440"/>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How to identify a scam</w:t>
      </w:r>
    </w:p>
    <w:p w14:paraId="0F2D6D62" w14:textId="77777777" w:rsidR="00930BD6" w:rsidRPr="00AF35A5" w:rsidRDefault="00930BD6" w:rsidP="00930BD6">
      <w:pPr>
        <w:pStyle w:val="ListParagraph"/>
        <w:numPr>
          <w:ilvl w:val="0"/>
          <w:numId w:val="17"/>
        </w:numPr>
        <w:ind w:left="1440"/>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How to maintain online privacy</w:t>
      </w:r>
    </w:p>
    <w:p w14:paraId="5CCA0631" w14:textId="77777777" w:rsidR="00930BD6" w:rsidRPr="00AF35A5" w:rsidRDefault="00930BD6" w:rsidP="00930BD6">
      <w:pPr>
        <w:pStyle w:val="ListParagraph"/>
        <w:numPr>
          <w:ilvl w:val="0"/>
          <w:numId w:val="17"/>
        </w:numPr>
        <w:ind w:left="1440"/>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How to protect your online identity </w:t>
      </w:r>
    </w:p>
    <w:p w14:paraId="4D5C6B7A" w14:textId="77777777" w:rsidR="00930BD6" w:rsidRPr="00AF35A5" w:rsidRDefault="00930BD6" w:rsidP="00930BD6">
      <w:pPr>
        <w:pStyle w:val="ListParagraph"/>
        <w:ind w:left="360"/>
        <w:rPr>
          <w:rFonts w:ascii="Palatino Linotype" w:hAnsi="Palatino Linotype"/>
          <w:color w:val="000000" w:themeColor="text1"/>
          <w:sz w:val="24"/>
          <w:szCs w:val="24"/>
        </w:rPr>
      </w:pPr>
    </w:p>
    <w:p w14:paraId="6D9413D0" w14:textId="77777777" w:rsidR="00930BD6" w:rsidRPr="00AF35A5" w:rsidRDefault="00930BD6" w:rsidP="00930BD6">
      <w:pPr>
        <w:pStyle w:val="ListParagraph"/>
        <w:ind w:left="360"/>
        <w:rPr>
          <w:rFonts w:ascii="Palatino Linotype" w:hAnsi="Palatino Linotype"/>
          <w:color w:val="000000" w:themeColor="text1"/>
          <w:sz w:val="24"/>
          <w:szCs w:val="24"/>
        </w:rPr>
      </w:pPr>
      <w:bookmarkStart w:id="576" w:name="_Hlk512883268"/>
      <w:r w:rsidRPr="00AF35A5">
        <w:rPr>
          <w:rFonts w:ascii="Palatino Linotype" w:hAnsi="Palatino Linotype"/>
          <w:color w:val="000000" w:themeColor="text1"/>
          <w:sz w:val="24"/>
          <w:szCs w:val="24"/>
        </w:rPr>
        <w:t>Communities with demonstrated “low broadband access” for the Adoption Account are defined as communities or areas having low broadband subscription rates (a.k.a., low broadband adoption) relative to the statewide average</w:t>
      </w:r>
      <w:r w:rsidRPr="00AF35A5">
        <w:rPr>
          <w:rStyle w:val="FootnoteReference"/>
          <w:rFonts w:ascii="Palatino Linotype" w:hAnsi="Palatino Linotype"/>
          <w:color w:val="000000" w:themeColor="text1"/>
          <w:szCs w:val="24"/>
        </w:rPr>
        <w:footnoteReference w:id="14"/>
      </w:r>
      <w:r w:rsidRPr="00AF35A5">
        <w:rPr>
          <w:rFonts w:ascii="Palatino Linotype" w:hAnsi="Palatino Linotype"/>
          <w:color w:val="000000" w:themeColor="text1"/>
          <w:sz w:val="24"/>
          <w:szCs w:val="24"/>
        </w:rPr>
        <w:t xml:space="preserve"> including communities facing socioeconomic barriers to broadband and adoption.   </w:t>
      </w:r>
    </w:p>
    <w:bookmarkEnd w:id="576"/>
    <w:p w14:paraId="64C9135D" w14:textId="77777777" w:rsidR="00930BD6" w:rsidRPr="00AF35A5" w:rsidRDefault="00930BD6" w:rsidP="00930BD6">
      <w:pPr>
        <w:pStyle w:val="ListParagraph"/>
        <w:ind w:left="360"/>
        <w:rPr>
          <w:rFonts w:ascii="Palatino Linotype" w:hAnsi="Palatino Linotype"/>
          <w:color w:val="000000" w:themeColor="text1"/>
          <w:sz w:val="24"/>
          <w:szCs w:val="24"/>
        </w:rPr>
      </w:pPr>
    </w:p>
    <w:p w14:paraId="10F8B9EB" w14:textId="77777777" w:rsidR="00930BD6" w:rsidRPr="00AF35A5"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“Communities facing socioeconomic barriers to broadband adoption” </w:t>
      </w:r>
      <w:r>
        <w:rPr>
          <w:rFonts w:ascii="Palatino Linotype" w:hAnsi="Palatino Linotype"/>
          <w:color w:val="000000" w:themeColor="text1"/>
          <w:sz w:val="24"/>
          <w:szCs w:val="24"/>
        </w:rPr>
        <w:t>include</w:t>
      </w:r>
      <w:r w:rsidRPr="00AF35A5">
        <w:rPr>
          <w:rFonts w:ascii="Palatino Linotype" w:hAnsi="Palatino Linotype"/>
          <w:color w:val="000000" w:themeColor="text1"/>
          <w:sz w:val="24"/>
          <w:szCs w:val="24"/>
        </w:rPr>
        <w:t xml:space="preserve"> low</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income communities, communities with a high percentage of residents with limited English Proficiency, communities with a high percentage of residents with limited educational attainment, or communities with some other demonstrated disadvantage which affects broadband adoption.</w:t>
      </w:r>
      <w:r w:rsidRPr="00AF35A5">
        <w:rPr>
          <w:rStyle w:val="FootnoteReference"/>
          <w:rFonts w:ascii="Palatino Linotype" w:hAnsi="Palatino Linotype"/>
          <w:color w:val="000000" w:themeColor="text1"/>
          <w:szCs w:val="24"/>
        </w:rPr>
        <w:footnoteReference w:id="15"/>
      </w:r>
      <w:r w:rsidRPr="00AF35A5">
        <w:rPr>
          <w:rFonts w:ascii="Palatino Linotype" w:hAnsi="Palatino Linotype"/>
          <w:color w:val="000000" w:themeColor="text1"/>
          <w:sz w:val="24"/>
          <w:szCs w:val="24"/>
        </w:rPr>
        <w:t xml:space="preserve"> </w:t>
      </w:r>
    </w:p>
    <w:p w14:paraId="31012BC3" w14:textId="77777777" w:rsidR="00930BD6" w:rsidRPr="00AF35A5" w:rsidRDefault="00930BD6" w:rsidP="00930BD6">
      <w:pPr>
        <w:rPr>
          <w:rFonts w:ascii="Palatino Linotype" w:hAnsi="Palatino Linotype"/>
          <w:color w:val="000000" w:themeColor="text1"/>
          <w:sz w:val="24"/>
          <w:szCs w:val="24"/>
        </w:rPr>
      </w:pPr>
    </w:p>
    <w:p w14:paraId="14F8A4F2" w14:textId="6B6F3940" w:rsidR="00930BD6" w:rsidRPr="00AF35A5"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“Low</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income communities” </w:t>
      </w:r>
      <w:r>
        <w:rPr>
          <w:rFonts w:ascii="Palatino Linotype" w:hAnsi="Palatino Linotype"/>
          <w:color w:val="000000" w:themeColor="text1"/>
          <w:sz w:val="24"/>
          <w:szCs w:val="24"/>
        </w:rPr>
        <w:t>include</w:t>
      </w:r>
      <w:r w:rsidRPr="00AF35A5">
        <w:rPr>
          <w:rFonts w:ascii="Palatino Linotype" w:hAnsi="Palatino Linotype"/>
          <w:color w:val="000000" w:themeColor="text1"/>
          <w:sz w:val="24"/>
          <w:szCs w:val="24"/>
        </w:rPr>
        <w:t xml:space="preserve"> those communities with a median household income </w:t>
      </w:r>
      <w:r>
        <w:rPr>
          <w:rFonts w:ascii="Palatino Linotype" w:hAnsi="Palatino Linotype"/>
          <w:color w:val="000000" w:themeColor="text1"/>
          <w:sz w:val="24"/>
          <w:szCs w:val="24"/>
        </w:rPr>
        <w:t xml:space="preserve">at or </w:t>
      </w:r>
      <w:r w:rsidRPr="00AF35A5">
        <w:rPr>
          <w:rFonts w:ascii="Palatino Linotype" w:hAnsi="Palatino Linotype"/>
          <w:color w:val="000000" w:themeColor="text1"/>
          <w:sz w:val="24"/>
          <w:szCs w:val="24"/>
        </w:rPr>
        <w:t>below the California Alternate Rates for Energy (CARE) program</w:t>
      </w:r>
      <w:r w:rsidRPr="00927177">
        <w:rPr>
          <w:rFonts w:ascii="Palatino Linotype" w:hAnsi="Palatino Linotype"/>
          <w:color w:val="000000" w:themeColor="text1"/>
          <w:sz w:val="24"/>
          <w:szCs w:val="24"/>
        </w:rPr>
        <w:t xml:space="preserve"> income limits for a household of four</w:t>
      </w:r>
      <w:r w:rsidR="008653D5">
        <w:rPr>
          <w:rFonts w:ascii="Palatino Linotype" w:hAnsi="Palatino Linotype"/>
          <w:color w:val="000000" w:themeColor="text1"/>
          <w:sz w:val="24"/>
          <w:szCs w:val="24"/>
        </w:rPr>
        <w:t>.</w:t>
      </w:r>
      <w:r w:rsidRPr="00127FEC">
        <w:rPr>
          <w:rStyle w:val="FootnoteReference"/>
          <w:rFonts w:ascii="Palatino Linotype" w:hAnsi="Palatino Linotype"/>
          <w:color w:val="000000" w:themeColor="text1"/>
          <w:szCs w:val="24"/>
        </w:rPr>
        <w:footnoteReference w:id="16"/>
      </w:r>
      <w:r w:rsidRPr="00AF35A5">
        <w:rPr>
          <w:rFonts w:ascii="Palatino Linotype" w:hAnsi="Palatino Linotype"/>
          <w:color w:val="000000" w:themeColor="text1"/>
          <w:sz w:val="24"/>
          <w:szCs w:val="24"/>
        </w:rPr>
        <w:t xml:space="preserve">  “Communities” can be geographically </w:t>
      </w:r>
      <w:r w:rsidRPr="00AF35A5">
        <w:rPr>
          <w:rFonts w:ascii="Palatino Linotype" w:hAnsi="Palatino Linotype"/>
          <w:color w:val="000000" w:themeColor="text1"/>
          <w:sz w:val="24"/>
          <w:szCs w:val="24"/>
        </w:rPr>
        <w:lastRenderedPageBreak/>
        <w:t xml:space="preserve">defined by a political or US Census geographic extent (such as a city or county boundary, or a census tract/block or designated place), by location (such as a public housing complex or senior center) or by the class or category of people served (such as disadvantaged youth).  Income information provided by the applicant must be for the designated community. </w:t>
      </w:r>
    </w:p>
    <w:p w14:paraId="21DC87DF" w14:textId="77777777" w:rsidR="00930BD6" w:rsidRPr="00AF35A5" w:rsidRDefault="00930BD6" w:rsidP="00930BD6">
      <w:pPr>
        <w:pStyle w:val="ListParagraph"/>
        <w:tabs>
          <w:tab w:val="left" w:pos="7400"/>
        </w:tabs>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b/>
      </w:r>
    </w:p>
    <w:p w14:paraId="24553315" w14:textId="77777777" w:rsidR="00930BD6" w:rsidRPr="00AF35A5"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 project is located in a "rural" area if it meets one of the following criteria; it is </w:t>
      </w:r>
      <w:r>
        <w:rPr>
          <w:rFonts w:ascii="Palatino Linotype" w:hAnsi="Palatino Linotype"/>
          <w:color w:val="000000" w:themeColor="text1"/>
          <w:sz w:val="24"/>
          <w:szCs w:val="24"/>
        </w:rPr>
        <w:t xml:space="preserve">located </w:t>
      </w:r>
      <w:r w:rsidRPr="00AF35A5">
        <w:rPr>
          <w:rFonts w:ascii="Palatino Linotype" w:hAnsi="Palatino Linotype"/>
          <w:color w:val="000000" w:themeColor="text1"/>
          <w:sz w:val="24"/>
          <w:szCs w:val="24"/>
        </w:rPr>
        <w:t>in</w:t>
      </w:r>
      <w:r>
        <w:rPr>
          <w:rFonts w:ascii="Palatino Linotype" w:hAnsi="Palatino Linotype"/>
          <w:color w:val="000000" w:themeColor="text1"/>
          <w:sz w:val="24"/>
          <w:szCs w:val="24"/>
        </w:rPr>
        <w:t xml:space="preserve"> one of the following</w:t>
      </w:r>
      <w:r w:rsidRPr="00AF35A5">
        <w:rPr>
          <w:rFonts w:ascii="Palatino Linotype" w:hAnsi="Palatino Linotype"/>
          <w:color w:val="000000" w:themeColor="text1"/>
          <w:sz w:val="24"/>
          <w:szCs w:val="24"/>
        </w:rPr>
        <w:t xml:space="preserve">: </w:t>
      </w:r>
    </w:p>
    <w:p w14:paraId="73956187" w14:textId="77777777" w:rsidR="00930BD6" w:rsidRPr="00AF35A5" w:rsidRDefault="00930BD6" w:rsidP="00930BD6">
      <w:pPr>
        <w:pStyle w:val="ListParagraph"/>
        <w:numPr>
          <w:ilvl w:val="0"/>
          <w:numId w:val="18"/>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an area that is eligible for federal program under the United States Department of Agriculture (USDA) Section 515 program; </w:t>
      </w:r>
    </w:p>
    <w:p w14:paraId="44CB5B06" w14:textId="77777777" w:rsidR="00930BD6" w:rsidRPr="00AF35A5" w:rsidRDefault="00930BD6" w:rsidP="00930BD6">
      <w:pPr>
        <w:pStyle w:val="ListParagraph"/>
        <w:numPr>
          <w:ilvl w:val="0"/>
          <w:numId w:val="18"/>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a city with a population of 40,000 or less or in a non</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urban area; </w:t>
      </w:r>
      <w:r>
        <w:rPr>
          <w:rFonts w:ascii="Palatino Linotype" w:hAnsi="Palatino Linotype"/>
          <w:color w:val="000000" w:themeColor="text1"/>
          <w:sz w:val="24"/>
          <w:szCs w:val="24"/>
        </w:rPr>
        <w:t>or</w:t>
      </w:r>
    </w:p>
    <w:p w14:paraId="486FCD12" w14:textId="77777777" w:rsidR="00930BD6" w:rsidRPr="00AF35A5" w:rsidRDefault="00930BD6" w:rsidP="00930BD6">
      <w:pPr>
        <w:pStyle w:val="ListParagraph"/>
        <w:numPr>
          <w:ilvl w:val="0"/>
          <w:numId w:val="18"/>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an unincorporated area of a county and is not in an urban area.</w:t>
      </w:r>
    </w:p>
    <w:p w14:paraId="041B07DB" w14:textId="77777777" w:rsidR="00930BD6" w:rsidRPr="00AF35A5" w:rsidRDefault="00930BD6" w:rsidP="00930BD6">
      <w:pPr>
        <w:pStyle w:val="ListParagraph"/>
        <w:ind w:left="360"/>
        <w:rPr>
          <w:rFonts w:ascii="Palatino Linotype" w:hAnsi="Palatino Linotype"/>
          <w:color w:val="000000" w:themeColor="text1"/>
          <w:sz w:val="24"/>
          <w:szCs w:val="24"/>
        </w:rPr>
      </w:pPr>
    </w:p>
    <w:p w14:paraId="1C0907A5" w14:textId="77777777" w:rsidR="00930BD6" w:rsidRPr="00AF35A5" w:rsidRDefault="00930BD6" w:rsidP="00930BD6">
      <w:pPr>
        <w:pStyle w:val="Heading2"/>
        <w:numPr>
          <w:ilvl w:val="1"/>
          <w:numId w:val="10"/>
        </w:numPr>
      </w:pPr>
      <w:bookmarkStart w:id="577" w:name="_Toc505786733"/>
      <w:bookmarkStart w:id="578" w:name="_Toc514153029"/>
      <w:r w:rsidRPr="00AF35A5">
        <w:t>Eligible Applicants</w:t>
      </w:r>
      <w:bookmarkEnd w:id="577"/>
      <w:bookmarkEnd w:id="578"/>
    </w:p>
    <w:p w14:paraId="2177096E" w14:textId="77777777" w:rsidR="00930BD6" w:rsidRPr="00AF35A5"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Pursuant to AB 1665, eligible applicants are local governments, senior centers, schools, public libraries, nonprofit organizations, and community</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based organizations with programs to increase publicly available or after school broadband access and digital inclusion, such as digital literacy training programs.  </w:t>
      </w:r>
    </w:p>
    <w:p w14:paraId="6EB1752F" w14:textId="77777777" w:rsidR="00930BD6" w:rsidRPr="00AF35A5" w:rsidRDefault="00930BD6" w:rsidP="00930BD6">
      <w:pPr>
        <w:pStyle w:val="ListParagraph"/>
        <w:ind w:left="360"/>
        <w:rPr>
          <w:rFonts w:ascii="Palatino Linotype" w:hAnsi="Palatino Linotype"/>
          <w:color w:val="000000" w:themeColor="text1"/>
          <w:sz w:val="24"/>
          <w:szCs w:val="24"/>
        </w:rPr>
      </w:pPr>
    </w:p>
    <w:p w14:paraId="28E97D11" w14:textId="77777777" w:rsidR="00930BD6" w:rsidRPr="00AF35A5"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Further, AB 1665 authorizes </w:t>
      </w:r>
      <w:r>
        <w:rPr>
          <w:rFonts w:ascii="Palatino Linotype" w:hAnsi="Palatino Linotype"/>
          <w:color w:val="000000" w:themeColor="text1"/>
          <w:sz w:val="24"/>
          <w:szCs w:val="24"/>
        </w:rPr>
        <w:t>P</w:t>
      </w:r>
      <w:r w:rsidRPr="00AF35A5">
        <w:rPr>
          <w:rFonts w:ascii="Palatino Linotype" w:hAnsi="Palatino Linotype"/>
          <w:color w:val="000000" w:themeColor="text1"/>
          <w:sz w:val="24"/>
          <w:szCs w:val="24"/>
        </w:rPr>
        <w:t xml:space="preserve">ublicly supported communities </w:t>
      </w:r>
      <w:r>
        <w:rPr>
          <w:rFonts w:ascii="Palatino Linotype" w:hAnsi="Palatino Linotype"/>
          <w:color w:val="000000" w:themeColor="text1"/>
          <w:sz w:val="24"/>
          <w:szCs w:val="24"/>
        </w:rPr>
        <w:t>(</w:t>
      </w:r>
      <w:r w:rsidRPr="00AF35A5">
        <w:rPr>
          <w:rFonts w:ascii="Palatino Linotype" w:hAnsi="Palatino Linotype"/>
          <w:color w:val="000000" w:themeColor="text1"/>
          <w:sz w:val="24"/>
          <w:szCs w:val="24"/>
        </w:rPr>
        <w:t>PSCs</w:t>
      </w:r>
      <w:r>
        <w:rPr>
          <w:rFonts w:ascii="Palatino Linotype" w:hAnsi="Palatino Linotype"/>
          <w:color w:val="000000" w:themeColor="text1"/>
          <w:sz w:val="24"/>
          <w:szCs w:val="24"/>
        </w:rPr>
        <w:t>)</w:t>
      </w:r>
      <w:r w:rsidRPr="00AF35A5">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 xml:space="preserve">to be </w:t>
      </w:r>
      <w:r w:rsidRPr="00AF35A5">
        <w:rPr>
          <w:rFonts w:ascii="Palatino Linotype" w:hAnsi="Palatino Linotype"/>
          <w:color w:val="000000" w:themeColor="text1"/>
          <w:sz w:val="24"/>
          <w:szCs w:val="24"/>
        </w:rPr>
        <w:t>eligible to submit an application for funding from the Broadband Adoption Account only after all funds available for adoption projects from the BPHA have been awarded.</w:t>
      </w:r>
      <w:r w:rsidRPr="00AF35A5">
        <w:rPr>
          <w:rStyle w:val="FootnoteReference"/>
          <w:rFonts w:ascii="Palatino Linotype" w:hAnsi="Palatino Linotype"/>
          <w:color w:val="000000" w:themeColor="text1"/>
          <w:szCs w:val="24"/>
        </w:rPr>
        <w:footnoteReference w:id="17"/>
      </w:r>
      <w:r w:rsidRPr="00AF35A5">
        <w:rPr>
          <w:rFonts w:ascii="Palatino Linotype" w:hAnsi="Palatino Linotype"/>
          <w:color w:val="000000" w:themeColor="text1"/>
          <w:sz w:val="24"/>
          <w:szCs w:val="24"/>
        </w:rPr>
        <w:t xml:space="preserve">  </w:t>
      </w:r>
    </w:p>
    <w:p w14:paraId="206FCBB8" w14:textId="77777777" w:rsidR="00930BD6" w:rsidRPr="00AF35A5" w:rsidRDefault="00930BD6" w:rsidP="00930BD6">
      <w:pPr>
        <w:pStyle w:val="ListParagraph"/>
        <w:ind w:left="360"/>
        <w:rPr>
          <w:rFonts w:ascii="Palatino Linotype" w:hAnsi="Palatino Linotype"/>
          <w:color w:val="000000" w:themeColor="text1"/>
          <w:sz w:val="24"/>
          <w:szCs w:val="24"/>
        </w:rPr>
      </w:pPr>
    </w:p>
    <w:p w14:paraId="7BE723D0" w14:textId="77777777" w:rsidR="00930BD6"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No adoption grant recipient can charge for classes (funded by a grant) or make a profit of any kind from the grant funds.</w:t>
      </w:r>
    </w:p>
    <w:p w14:paraId="6D55D7D3" w14:textId="77777777" w:rsidR="00930BD6" w:rsidRPr="00AF35A5" w:rsidRDefault="00930BD6" w:rsidP="00930BD6">
      <w:pPr>
        <w:pStyle w:val="ListParagraph"/>
        <w:ind w:left="360"/>
        <w:rPr>
          <w:rFonts w:ascii="Palatino Linotype" w:hAnsi="Palatino Linotype"/>
          <w:color w:val="000000" w:themeColor="text1"/>
          <w:sz w:val="24"/>
          <w:szCs w:val="24"/>
        </w:rPr>
      </w:pPr>
    </w:p>
    <w:p w14:paraId="11459DD6" w14:textId="77777777" w:rsidR="00930BD6" w:rsidRPr="00AF35A5" w:rsidRDefault="00930BD6" w:rsidP="00930BD6">
      <w:pPr>
        <w:pStyle w:val="Heading2"/>
        <w:numPr>
          <w:ilvl w:val="1"/>
          <w:numId w:val="10"/>
        </w:numPr>
      </w:pPr>
      <w:bookmarkStart w:id="579" w:name="_Toc505786734"/>
      <w:bookmarkStart w:id="580" w:name="_Toc514153030"/>
      <w:r w:rsidRPr="00AF35A5">
        <w:t>Eligible Projects</w:t>
      </w:r>
      <w:bookmarkEnd w:id="579"/>
      <w:bookmarkEnd w:id="580"/>
    </w:p>
    <w:p w14:paraId="36C4C8AD" w14:textId="77777777" w:rsidR="00930BD6" w:rsidRPr="00AF35A5" w:rsidRDefault="00930BD6" w:rsidP="00930BD6">
      <w:pPr>
        <w:pStyle w:val="Heading5"/>
        <w:numPr>
          <w:ilvl w:val="4"/>
          <w:numId w:val="10"/>
        </w:numPr>
        <w:tabs>
          <w:tab w:val="clear" w:pos="1980"/>
        </w:tabs>
        <w:spacing w:before="0" w:after="0"/>
        <w:ind w:left="360"/>
        <w:rPr>
          <w:rFonts w:ascii="Palatino Linotype" w:hAnsi="Palatino Linotype"/>
          <w:color w:val="000000" w:themeColor="text1"/>
          <w:sz w:val="24"/>
          <w:szCs w:val="24"/>
        </w:rPr>
      </w:pPr>
      <w:bookmarkStart w:id="581" w:name="_Toc514153031"/>
      <w:r w:rsidRPr="00AF35A5">
        <w:rPr>
          <w:rFonts w:ascii="Palatino Linotype" w:hAnsi="Palatino Linotype"/>
          <w:color w:val="000000" w:themeColor="text1"/>
          <w:sz w:val="24"/>
          <w:szCs w:val="24"/>
        </w:rPr>
        <w:t>Digital Literacy Project</w:t>
      </w:r>
      <w:bookmarkEnd w:id="581"/>
      <w:r>
        <w:rPr>
          <w:rFonts w:ascii="Palatino Linotype" w:hAnsi="Palatino Linotype"/>
          <w:color w:val="000000" w:themeColor="text1"/>
          <w:sz w:val="24"/>
          <w:szCs w:val="24"/>
        </w:rPr>
        <w:t xml:space="preserve">s &amp; </w:t>
      </w:r>
      <w:r w:rsidRPr="00AF35A5">
        <w:rPr>
          <w:rFonts w:ascii="Palatino Linotype" w:hAnsi="Palatino Linotype"/>
          <w:color w:val="000000" w:themeColor="text1"/>
          <w:sz w:val="24"/>
          <w:szCs w:val="24"/>
        </w:rPr>
        <w:t>Broadband Access Project</w:t>
      </w:r>
      <w:r>
        <w:rPr>
          <w:rFonts w:ascii="Palatino Linotype" w:hAnsi="Palatino Linotype"/>
          <w:color w:val="000000" w:themeColor="text1"/>
          <w:sz w:val="24"/>
          <w:szCs w:val="24"/>
        </w:rPr>
        <w:t>s</w:t>
      </w:r>
    </w:p>
    <w:p w14:paraId="36535596" w14:textId="77777777" w:rsidR="00930BD6" w:rsidRPr="00AF35A5" w:rsidRDefault="00930BD6" w:rsidP="00930BD6">
      <w:pPr>
        <w:pStyle w:val="ListParagraph"/>
        <w:ind w:left="360"/>
        <w:rPr>
          <w:rFonts w:ascii="Palatino Linotype" w:hAnsi="Palatino Linotype"/>
          <w:color w:val="000000" w:themeColor="text1"/>
          <w:sz w:val="24"/>
          <w:szCs w:val="24"/>
        </w:rPr>
      </w:pPr>
    </w:p>
    <w:p w14:paraId="360732EF" w14:textId="77777777" w:rsidR="00930BD6"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Digital inclusion projects </w:t>
      </w:r>
      <w:r>
        <w:rPr>
          <w:rFonts w:ascii="Palatino Linotype" w:hAnsi="Palatino Linotype"/>
          <w:color w:val="000000" w:themeColor="text1"/>
          <w:sz w:val="24"/>
          <w:szCs w:val="24"/>
        </w:rPr>
        <w:t>may</w:t>
      </w:r>
      <w:r w:rsidRPr="00AF35A5">
        <w:rPr>
          <w:rFonts w:ascii="Palatino Linotype" w:hAnsi="Palatino Linotype"/>
          <w:color w:val="000000" w:themeColor="text1"/>
          <w:sz w:val="24"/>
          <w:szCs w:val="24"/>
        </w:rPr>
        <w:t xml:space="preserve"> include digital literacy training programs and public education to communities with limited broadband adoption, including low</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income communities, senior communities, and communities facing socioeconomic barriers to broadband adoption, consistent with the adoption projects of the Public Housing Account.  </w:t>
      </w:r>
    </w:p>
    <w:p w14:paraId="4D39D3B0" w14:textId="77777777" w:rsidR="00930BD6" w:rsidRDefault="00930BD6" w:rsidP="00930BD6">
      <w:pPr>
        <w:pStyle w:val="ListParagraph"/>
        <w:ind w:left="360"/>
        <w:rPr>
          <w:rFonts w:ascii="Palatino Linotype" w:hAnsi="Palatino Linotype"/>
          <w:color w:val="000000" w:themeColor="text1"/>
          <w:sz w:val="24"/>
          <w:szCs w:val="24"/>
        </w:rPr>
      </w:pPr>
    </w:p>
    <w:p w14:paraId="3E7AF11C" w14:textId="77777777" w:rsidR="00930BD6" w:rsidRDefault="00930BD6" w:rsidP="00930BD6">
      <w:pPr>
        <w:pStyle w:val="ListParagraph"/>
        <w:ind w:left="360"/>
        <w:rPr>
          <w:rFonts w:ascii="Palatino Linotype" w:hAnsi="Palatino Linotype"/>
          <w:color w:val="000000" w:themeColor="text1"/>
          <w:sz w:val="24"/>
          <w:szCs w:val="24"/>
        </w:rPr>
      </w:pPr>
      <w:r>
        <w:rPr>
          <w:rFonts w:ascii="Palatino Linotype" w:hAnsi="Palatino Linotype"/>
          <w:color w:val="000000" w:themeColor="text1"/>
          <w:sz w:val="24"/>
          <w:szCs w:val="24"/>
        </w:rPr>
        <w:lastRenderedPageBreak/>
        <w:t xml:space="preserve">Broadband Access projects may include those </w:t>
      </w:r>
      <w:r w:rsidRPr="00AF35A5">
        <w:rPr>
          <w:rFonts w:ascii="Palatino Linotype" w:hAnsi="Palatino Linotype"/>
          <w:color w:val="000000" w:themeColor="text1"/>
          <w:sz w:val="24"/>
          <w:szCs w:val="24"/>
        </w:rPr>
        <w:t>that provide free broadband access in community training rooms or other public space, such as local government centers, senior centers, schools, public libraries, nonprofit organizations, and community</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based organizations.  The Commission </w:t>
      </w:r>
      <w:r>
        <w:rPr>
          <w:rFonts w:ascii="Palatino Linotype" w:hAnsi="Palatino Linotype"/>
          <w:color w:val="000000" w:themeColor="text1"/>
          <w:sz w:val="24"/>
          <w:szCs w:val="24"/>
        </w:rPr>
        <w:t>may</w:t>
      </w:r>
      <w:r w:rsidRPr="00AF35A5">
        <w:rPr>
          <w:rFonts w:ascii="Palatino Linotype" w:hAnsi="Palatino Linotype"/>
          <w:color w:val="000000" w:themeColor="text1"/>
          <w:sz w:val="24"/>
          <w:szCs w:val="24"/>
        </w:rPr>
        <w:t xml:space="preserve"> also fund community outreach, such as analysis, comparison of Internet plans within the community, and call centers that will increase broadband access and adoption.</w:t>
      </w:r>
    </w:p>
    <w:p w14:paraId="0D80A7C6" w14:textId="77777777" w:rsidR="00930BD6" w:rsidRDefault="00930BD6" w:rsidP="00930BD6">
      <w:pPr>
        <w:pStyle w:val="ListParagraph"/>
        <w:ind w:left="360"/>
        <w:rPr>
          <w:rFonts w:ascii="Palatino Linotype" w:hAnsi="Palatino Linotype"/>
          <w:color w:val="000000" w:themeColor="text1"/>
          <w:sz w:val="24"/>
          <w:szCs w:val="24"/>
        </w:rPr>
      </w:pPr>
    </w:p>
    <w:p w14:paraId="1BB12049" w14:textId="15971E8C" w:rsidR="00930BD6" w:rsidRPr="00AF35A5" w:rsidRDefault="00930BD6" w:rsidP="00930BD6">
      <w:pPr>
        <w:pStyle w:val="ListParagraph"/>
        <w:ind w:left="360"/>
        <w:rPr>
          <w:rFonts w:ascii="Palatino Linotype" w:hAnsi="Palatino Linotype"/>
          <w:color w:val="000000" w:themeColor="text1"/>
          <w:sz w:val="24"/>
          <w:szCs w:val="24"/>
        </w:rPr>
      </w:pPr>
      <w:bookmarkStart w:id="582" w:name="_Hlk530387325"/>
      <w:r>
        <w:rPr>
          <w:rFonts w:ascii="Palatino Linotype" w:hAnsi="Palatino Linotype"/>
          <w:color w:val="000000" w:themeColor="text1"/>
          <w:sz w:val="24"/>
          <w:szCs w:val="24"/>
        </w:rPr>
        <w:t>The</w:t>
      </w:r>
      <w:r w:rsidRPr="00AF35A5">
        <w:rPr>
          <w:rFonts w:ascii="Palatino Linotype" w:hAnsi="Palatino Linotype"/>
          <w:color w:val="000000" w:themeColor="text1"/>
          <w:sz w:val="24"/>
          <w:szCs w:val="24"/>
        </w:rPr>
        <w:t xml:space="preserve"> Commission </w:t>
      </w:r>
      <w:r>
        <w:rPr>
          <w:rFonts w:ascii="Palatino Linotype" w:hAnsi="Palatino Linotype"/>
          <w:color w:val="000000" w:themeColor="text1"/>
          <w:sz w:val="24"/>
          <w:szCs w:val="24"/>
        </w:rPr>
        <w:t xml:space="preserve">may </w:t>
      </w:r>
      <w:r w:rsidRPr="00AF35A5">
        <w:rPr>
          <w:rFonts w:ascii="Palatino Linotype" w:hAnsi="Palatino Linotype"/>
          <w:color w:val="000000" w:themeColor="text1"/>
          <w:sz w:val="24"/>
          <w:szCs w:val="24"/>
        </w:rPr>
        <w:t xml:space="preserve">fund up to 85 percent of the </w:t>
      </w:r>
      <w:r>
        <w:rPr>
          <w:rFonts w:ascii="Palatino Linotype" w:hAnsi="Palatino Linotype"/>
          <w:color w:val="000000" w:themeColor="text1"/>
          <w:sz w:val="24"/>
          <w:szCs w:val="24"/>
        </w:rPr>
        <w:t xml:space="preserve">eligible program </w:t>
      </w:r>
      <w:r w:rsidRPr="00AF35A5">
        <w:rPr>
          <w:rFonts w:ascii="Palatino Linotype" w:hAnsi="Palatino Linotype"/>
          <w:color w:val="000000" w:themeColor="text1"/>
          <w:sz w:val="24"/>
          <w:szCs w:val="24"/>
        </w:rPr>
        <w:t>costs</w:t>
      </w:r>
      <w:r w:rsidR="005B49AA">
        <w:rPr>
          <w:rStyle w:val="FootnoteReference"/>
          <w:rFonts w:ascii="Palatino Linotype" w:hAnsi="Palatino Linotype"/>
          <w:color w:val="000000" w:themeColor="text1"/>
          <w:szCs w:val="24"/>
        </w:rPr>
        <w:footnoteReference w:id="18"/>
      </w:r>
      <w:r w:rsidRPr="00AF35A5">
        <w:rPr>
          <w:rFonts w:ascii="Palatino Linotype" w:hAnsi="Palatino Linotype"/>
          <w:color w:val="000000" w:themeColor="text1"/>
          <w:sz w:val="24"/>
          <w:szCs w:val="24"/>
        </w:rPr>
        <w:t xml:space="preserve"> and </w:t>
      </w:r>
      <w:r w:rsidR="00684016">
        <w:rPr>
          <w:rFonts w:ascii="Palatino Linotype" w:hAnsi="Palatino Linotype"/>
          <w:color w:val="000000" w:themeColor="text1"/>
          <w:sz w:val="24"/>
          <w:szCs w:val="24"/>
        </w:rPr>
        <w:t>may</w:t>
      </w:r>
      <w:r w:rsidR="00684016" w:rsidRPr="00AF35A5">
        <w:rPr>
          <w:rFonts w:ascii="Palatino Linotype" w:hAnsi="Palatino Linotype"/>
          <w:color w:val="000000" w:themeColor="text1"/>
          <w:sz w:val="24"/>
          <w:szCs w:val="24"/>
        </w:rPr>
        <w:t xml:space="preserve"> reimburse</w:t>
      </w:r>
      <w:r w:rsidRPr="00AF35A5">
        <w:rPr>
          <w:rFonts w:ascii="Palatino Linotype" w:hAnsi="Palatino Linotype"/>
          <w:color w:val="000000" w:themeColor="text1"/>
          <w:sz w:val="24"/>
          <w:szCs w:val="24"/>
        </w:rPr>
        <w:t xml:space="preserve"> the following: </w:t>
      </w:r>
    </w:p>
    <w:p w14:paraId="753063B0" w14:textId="77777777" w:rsidR="00930BD6" w:rsidRPr="00AF35A5" w:rsidRDefault="00930BD6" w:rsidP="00930BD6">
      <w:pPr>
        <w:pStyle w:val="ListParagraph"/>
        <w:rPr>
          <w:rFonts w:ascii="Palatino Linotype" w:hAnsi="Palatino Linotype"/>
          <w:color w:val="000000" w:themeColor="text1"/>
          <w:sz w:val="24"/>
          <w:szCs w:val="24"/>
        </w:rPr>
      </w:pPr>
    </w:p>
    <w:p w14:paraId="5C6D489A" w14:textId="77777777" w:rsidR="00930BD6" w:rsidRPr="00AF35A5" w:rsidRDefault="00930BD6" w:rsidP="00930BD6">
      <w:pPr>
        <w:pStyle w:val="ListParagraph"/>
        <w:numPr>
          <w:ilvl w:val="0"/>
          <w:numId w:val="14"/>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Education and outreach efforts (including travel, up to 10% of </w:t>
      </w:r>
      <w:r>
        <w:rPr>
          <w:rFonts w:ascii="Palatino Linotype" w:hAnsi="Palatino Linotype"/>
          <w:color w:val="000000" w:themeColor="text1"/>
          <w:sz w:val="24"/>
          <w:szCs w:val="24"/>
        </w:rPr>
        <w:t xml:space="preserve">approved </w:t>
      </w:r>
      <w:r w:rsidRPr="00AF35A5">
        <w:rPr>
          <w:rFonts w:ascii="Palatino Linotype" w:hAnsi="Palatino Linotype"/>
          <w:color w:val="000000" w:themeColor="text1"/>
          <w:sz w:val="24"/>
          <w:szCs w:val="24"/>
        </w:rPr>
        <w:t xml:space="preserve">grant amount) and materials; </w:t>
      </w:r>
    </w:p>
    <w:p w14:paraId="67872AE9" w14:textId="77777777" w:rsidR="00930BD6" w:rsidRDefault="00930BD6" w:rsidP="00930BD6">
      <w:pPr>
        <w:pStyle w:val="ListParagraph"/>
        <w:numPr>
          <w:ilvl w:val="0"/>
          <w:numId w:val="14"/>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Acceptable </w:t>
      </w:r>
      <w:r>
        <w:rPr>
          <w:rFonts w:ascii="Palatino Linotype" w:hAnsi="Palatino Linotype"/>
          <w:color w:val="000000" w:themeColor="text1"/>
          <w:sz w:val="24"/>
          <w:szCs w:val="24"/>
        </w:rPr>
        <w:t xml:space="preserve">Computing </w:t>
      </w:r>
      <w:r w:rsidRPr="00AF35A5">
        <w:rPr>
          <w:rFonts w:ascii="Palatino Linotype" w:hAnsi="Palatino Linotype"/>
          <w:color w:val="000000" w:themeColor="text1"/>
          <w:sz w:val="24"/>
          <w:szCs w:val="24"/>
        </w:rPr>
        <w:t>devices (does not include smartphones</w:t>
      </w:r>
      <w:r>
        <w:rPr>
          <w:rFonts w:ascii="Palatino Linotype" w:hAnsi="Palatino Linotype"/>
          <w:color w:val="000000" w:themeColor="text1"/>
          <w:sz w:val="24"/>
          <w:szCs w:val="24"/>
        </w:rPr>
        <w:t>) within limits</w:t>
      </w:r>
      <w:r w:rsidRPr="00AF35A5">
        <w:rPr>
          <w:rFonts w:ascii="Palatino Linotype" w:hAnsi="Palatino Linotype"/>
          <w:color w:val="000000" w:themeColor="text1"/>
          <w:sz w:val="24"/>
          <w:szCs w:val="24"/>
        </w:rPr>
        <w:t xml:space="preserve">; </w:t>
      </w:r>
    </w:p>
    <w:p w14:paraId="47862D39" w14:textId="77777777" w:rsidR="00930BD6" w:rsidRDefault="00930BD6" w:rsidP="00930BD6">
      <w:pPr>
        <w:pStyle w:val="ListParagraph"/>
        <w:numPr>
          <w:ilvl w:val="1"/>
          <w:numId w:val="14"/>
        </w:numPr>
        <w:contextualSpacing/>
        <w:rPr>
          <w:rFonts w:ascii="Palatino Linotype" w:hAnsi="Palatino Linotype"/>
          <w:color w:val="000000" w:themeColor="text1"/>
          <w:sz w:val="24"/>
          <w:szCs w:val="24"/>
        </w:rPr>
      </w:pPr>
      <w:r>
        <w:rPr>
          <w:rFonts w:ascii="Palatino Linotype" w:hAnsi="Palatino Linotype"/>
          <w:color w:val="000000" w:themeColor="text1"/>
          <w:sz w:val="24"/>
          <w:szCs w:val="24"/>
        </w:rPr>
        <w:t>In</w:t>
      </w:r>
      <w:r>
        <w:rPr>
          <w:rFonts w:ascii="Palatino Linotype" w:hAnsi="Palatino Linotype"/>
          <w:color w:val="000000" w:themeColor="text1"/>
          <w:sz w:val="24"/>
          <w:szCs w:val="24"/>
        </w:rPr>
        <w:noBreakHyphen/>
        <w:t>Classroom computing devices</w:t>
      </w:r>
    </w:p>
    <w:p w14:paraId="0181B1DD" w14:textId="77777777" w:rsidR="00930BD6" w:rsidRPr="00A43F2E" w:rsidRDefault="00930BD6" w:rsidP="00930BD6">
      <w:pPr>
        <w:pStyle w:val="ListParagraph"/>
        <w:numPr>
          <w:ilvl w:val="1"/>
          <w:numId w:val="14"/>
        </w:numPr>
        <w:contextualSpacing/>
        <w:rPr>
          <w:rFonts w:ascii="Palatino Linotype" w:hAnsi="Palatino Linotype"/>
          <w:color w:val="000000" w:themeColor="text1"/>
          <w:sz w:val="24"/>
          <w:szCs w:val="24"/>
        </w:rPr>
      </w:pPr>
      <w:r>
        <w:rPr>
          <w:rFonts w:ascii="Palatino Linotype" w:hAnsi="Palatino Linotype"/>
          <w:color w:val="000000" w:themeColor="text1"/>
          <w:sz w:val="24"/>
          <w:szCs w:val="24"/>
        </w:rPr>
        <w:t>Take</w:t>
      </w:r>
      <w:r>
        <w:rPr>
          <w:rFonts w:ascii="Palatino Linotype" w:hAnsi="Palatino Linotype"/>
          <w:color w:val="000000" w:themeColor="text1"/>
          <w:sz w:val="24"/>
          <w:szCs w:val="24"/>
        </w:rPr>
        <w:noBreakHyphen/>
        <w:t>home computing devices (For Digital Literacy Projects only)</w:t>
      </w:r>
      <w:r w:rsidRPr="00A43F2E">
        <w:rPr>
          <w:rFonts w:ascii="Palatino Linotype" w:hAnsi="Palatino Linotype"/>
          <w:color w:val="000000" w:themeColor="text1"/>
          <w:sz w:val="24"/>
          <w:szCs w:val="24"/>
        </w:rPr>
        <w:t>.</w:t>
      </w:r>
      <w:r>
        <w:rPr>
          <w:rFonts w:ascii="Palatino Linotype" w:hAnsi="Palatino Linotype"/>
          <w:color w:val="000000" w:themeColor="text1"/>
          <w:sz w:val="24"/>
          <w:szCs w:val="24"/>
        </w:rPr>
        <w:t xml:space="preserve">    </w:t>
      </w:r>
    </w:p>
    <w:p w14:paraId="679109B4" w14:textId="77777777" w:rsidR="00930BD6" w:rsidRDefault="00930BD6" w:rsidP="00930BD6">
      <w:pPr>
        <w:pStyle w:val="ListParagraph"/>
        <w:numPr>
          <w:ilvl w:val="0"/>
          <w:numId w:val="14"/>
        </w:numPr>
        <w:contextualSpacing/>
        <w:rPr>
          <w:rFonts w:ascii="Palatino Linotype" w:hAnsi="Palatino Linotype"/>
          <w:color w:val="000000" w:themeColor="text1"/>
          <w:sz w:val="24"/>
          <w:szCs w:val="24"/>
        </w:rPr>
      </w:pPr>
      <w:r>
        <w:rPr>
          <w:rFonts w:ascii="Palatino Linotype" w:hAnsi="Palatino Linotype"/>
          <w:color w:val="000000" w:themeColor="text1"/>
          <w:sz w:val="24"/>
          <w:szCs w:val="24"/>
        </w:rPr>
        <w:t>Software;</w:t>
      </w:r>
    </w:p>
    <w:p w14:paraId="422E34DB" w14:textId="77777777" w:rsidR="00930BD6" w:rsidRPr="00AF35A5" w:rsidRDefault="00930BD6" w:rsidP="00930BD6">
      <w:pPr>
        <w:pStyle w:val="ListParagraph"/>
        <w:numPr>
          <w:ilvl w:val="0"/>
          <w:numId w:val="14"/>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Printers; </w:t>
      </w:r>
    </w:p>
    <w:p w14:paraId="01AE7B2C" w14:textId="77777777" w:rsidR="00930BD6" w:rsidRPr="00AF35A5" w:rsidRDefault="00930BD6" w:rsidP="00930BD6">
      <w:pPr>
        <w:pStyle w:val="ListParagraph"/>
        <w:numPr>
          <w:ilvl w:val="0"/>
          <w:numId w:val="14"/>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Routers; </w:t>
      </w:r>
    </w:p>
    <w:p w14:paraId="1DB7F0A6" w14:textId="77777777" w:rsidR="00930BD6" w:rsidRPr="00AF35A5" w:rsidRDefault="00930BD6" w:rsidP="00930BD6">
      <w:pPr>
        <w:pStyle w:val="ListParagraph"/>
        <w:numPr>
          <w:ilvl w:val="0"/>
          <w:numId w:val="14"/>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Provision of technical support for the </w:t>
      </w:r>
      <w:r>
        <w:rPr>
          <w:rFonts w:ascii="Palatino Linotype" w:hAnsi="Palatino Linotype"/>
          <w:color w:val="000000" w:themeColor="text1"/>
          <w:sz w:val="24"/>
          <w:szCs w:val="24"/>
        </w:rPr>
        <w:t>computing devices</w:t>
      </w:r>
      <w:r w:rsidRPr="00AF35A5">
        <w:rPr>
          <w:rFonts w:ascii="Palatino Linotype" w:hAnsi="Palatino Linotype"/>
          <w:color w:val="000000" w:themeColor="text1"/>
          <w:sz w:val="24"/>
          <w:szCs w:val="24"/>
        </w:rPr>
        <w:t xml:space="preserve"> subsidized through this program; </w:t>
      </w:r>
    </w:p>
    <w:p w14:paraId="3497C37C" w14:textId="77777777" w:rsidR="00930BD6" w:rsidRPr="00AF35A5" w:rsidRDefault="00930BD6" w:rsidP="00930BD6">
      <w:pPr>
        <w:pStyle w:val="ListParagraph"/>
        <w:numPr>
          <w:ilvl w:val="0"/>
          <w:numId w:val="14"/>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Desks and chairs to furnish a designated space for digital literacy</w:t>
      </w:r>
      <w:r>
        <w:rPr>
          <w:rFonts w:ascii="Palatino Linotype" w:hAnsi="Palatino Linotype"/>
          <w:color w:val="000000" w:themeColor="text1"/>
          <w:sz w:val="24"/>
          <w:szCs w:val="24"/>
        </w:rPr>
        <w:t xml:space="preserve"> or broadband access</w:t>
      </w:r>
      <w:r w:rsidRPr="00AF35A5">
        <w:rPr>
          <w:rFonts w:ascii="Palatino Linotype" w:hAnsi="Palatino Linotype"/>
          <w:color w:val="000000" w:themeColor="text1"/>
          <w:sz w:val="24"/>
          <w:szCs w:val="24"/>
        </w:rPr>
        <w:t xml:space="preserve">; </w:t>
      </w:r>
    </w:p>
    <w:p w14:paraId="3D3338D9" w14:textId="77777777" w:rsidR="00930BD6" w:rsidRPr="00AF35A5" w:rsidRDefault="00930BD6" w:rsidP="00930BD6">
      <w:pPr>
        <w:pStyle w:val="ListParagraph"/>
        <w:numPr>
          <w:ilvl w:val="0"/>
          <w:numId w:val="14"/>
        </w:numPr>
        <w:contextualSpacing/>
        <w:rPr>
          <w:rFonts w:ascii="Palatino Linotype" w:hAnsi="Palatino Linotype"/>
          <w:color w:val="000000" w:themeColor="text1"/>
          <w:sz w:val="24"/>
          <w:szCs w:val="24"/>
        </w:rPr>
      </w:pPr>
      <w:r>
        <w:rPr>
          <w:rFonts w:ascii="Palatino Linotype" w:hAnsi="Palatino Linotype"/>
          <w:color w:val="000000" w:themeColor="text1"/>
          <w:sz w:val="24"/>
          <w:szCs w:val="24"/>
        </w:rPr>
        <w:t>For Digital Literacy Projects, g</w:t>
      </w:r>
      <w:r w:rsidRPr="00AF35A5">
        <w:rPr>
          <w:rFonts w:ascii="Palatino Linotype" w:hAnsi="Palatino Linotype"/>
          <w:color w:val="000000" w:themeColor="text1"/>
          <w:sz w:val="24"/>
          <w:szCs w:val="24"/>
        </w:rPr>
        <w:t>athering, preparing</w:t>
      </w:r>
      <w:r>
        <w:rPr>
          <w:rFonts w:ascii="Palatino Linotype" w:hAnsi="Palatino Linotype"/>
          <w:color w:val="000000" w:themeColor="text1"/>
          <w:sz w:val="24"/>
          <w:szCs w:val="24"/>
        </w:rPr>
        <w:t>, creating</w:t>
      </w:r>
      <w:r w:rsidRPr="00AF35A5">
        <w:rPr>
          <w:rFonts w:ascii="Palatino Linotype" w:hAnsi="Palatino Linotype"/>
          <w:color w:val="000000" w:themeColor="text1"/>
          <w:sz w:val="24"/>
          <w:szCs w:val="24"/>
        </w:rPr>
        <w:t xml:space="preserve"> and distributing digital literacy curriculum; </w:t>
      </w:r>
      <w:r>
        <w:rPr>
          <w:rFonts w:ascii="Palatino Linotype" w:hAnsi="Palatino Linotype"/>
          <w:color w:val="000000" w:themeColor="text1"/>
          <w:sz w:val="24"/>
          <w:szCs w:val="24"/>
        </w:rPr>
        <w:t>and</w:t>
      </w:r>
    </w:p>
    <w:p w14:paraId="7118BDA3" w14:textId="77777777" w:rsidR="00930BD6" w:rsidRPr="00AF35A5" w:rsidRDefault="00930BD6" w:rsidP="00930BD6">
      <w:pPr>
        <w:pStyle w:val="ListParagraph"/>
        <w:numPr>
          <w:ilvl w:val="0"/>
          <w:numId w:val="14"/>
        </w:numPr>
        <w:contextualSpacing/>
        <w:rPr>
          <w:rFonts w:ascii="Palatino Linotype" w:hAnsi="Palatino Linotype"/>
          <w:color w:val="000000" w:themeColor="text1"/>
          <w:sz w:val="24"/>
          <w:szCs w:val="24"/>
        </w:rPr>
      </w:pPr>
      <w:r>
        <w:rPr>
          <w:rFonts w:ascii="Palatino Linotype" w:hAnsi="Palatino Linotype"/>
          <w:color w:val="000000" w:themeColor="text1"/>
          <w:sz w:val="24"/>
          <w:szCs w:val="24"/>
        </w:rPr>
        <w:t>Staff including d</w:t>
      </w:r>
      <w:r w:rsidRPr="00AF35A5">
        <w:rPr>
          <w:rFonts w:ascii="Palatino Linotype" w:hAnsi="Palatino Linotype"/>
          <w:color w:val="000000" w:themeColor="text1"/>
          <w:sz w:val="24"/>
          <w:szCs w:val="24"/>
        </w:rPr>
        <w:t>igital literacy instructors</w:t>
      </w:r>
      <w:r>
        <w:rPr>
          <w:rFonts w:ascii="Palatino Linotype" w:hAnsi="Palatino Linotype"/>
          <w:color w:val="000000" w:themeColor="text1"/>
          <w:sz w:val="24"/>
          <w:szCs w:val="24"/>
        </w:rPr>
        <w:t xml:space="preserve">, staff for </w:t>
      </w:r>
      <w:r w:rsidRPr="00AF35A5">
        <w:rPr>
          <w:rFonts w:ascii="Palatino Linotype" w:hAnsi="Palatino Linotype"/>
          <w:color w:val="000000" w:themeColor="text1"/>
          <w:sz w:val="24"/>
          <w:szCs w:val="24"/>
        </w:rPr>
        <w:t>monitoring the designated space</w:t>
      </w:r>
      <w:r>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 xml:space="preserve">or staff for </w:t>
      </w:r>
      <w:r>
        <w:rPr>
          <w:rFonts w:ascii="Palatino Linotype" w:hAnsi="Palatino Linotype"/>
          <w:color w:val="000000" w:themeColor="text1"/>
          <w:sz w:val="24"/>
          <w:szCs w:val="24"/>
        </w:rPr>
        <w:t xml:space="preserve">administering </w:t>
      </w:r>
      <w:r w:rsidRPr="00AF35A5">
        <w:rPr>
          <w:rFonts w:ascii="Palatino Linotype" w:hAnsi="Palatino Linotype"/>
          <w:color w:val="000000" w:themeColor="text1"/>
          <w:sz w:val="24"/>
          <w:szCs w:val="24"/>
        </w:rPr>
        <w:t>call centers</w:t>
      </w:r>
      <w:r>
        <w:rPr>
          <w:rFonts w:ascii="Palatino Linotype" w:hAnsi="Palatino Linotype"/>
          <w:color w:val="000000" w:themeColor="text1"/>
          <w:sz w:val="24"/>
          <w:szCs w:val="24"/>
        </w:rPr>
        <w:t xml:space="preserve"> (if applicable)</w:t>
      </w:r>
      <w:r w:rsidRPr="00AF35A5">
        <w:rPr>
          <w:rFonts w:ascii="Palatino Linotype" w:hAnsi="Palatino Linotype"/>
          <w:color w:val="000000" w:themeColor="text1"/>
          <w:sz w:val="24"/>
          <w:szCs w:val="24"/>
        </w:rPr>
        <w:t>.</w:t>
      </w:r>
    </w:p>
    <w:p w14:paraId="5D300A21" w14:textId="77777777" w:rsidR="00930BD6" w:rsidRDefault="00930BD6" w:rsidP="00930BD6">
      <w:pPr>
        <w:pStyle w:val="ListParagraph"/>
        <w:ind w:left="360"/>
        <w:rPr>
          <w:rFonts w:ascii="Palatino Linotype" w:hAnsi="Palatino Linotype"/>
          <w:color w:val="000000" w:themeColor="text1"/>
          <w:sz w:val="24"/>
          <w:szCs w:val="24"/>
        </w:rPr>
      </w:pPr>
    </w:p>
    <w:p w14:paraId="17016DD5" w14:textId="77777777" w:rsidR="00930BD6" w:rsidRDefault="00930BD6" w:rsidP="00930BD6">
      <w:pPr>
        <w:pStyle w:val="ListParagraph"/>
        <w:ind w:left="360"/>
        <w:rPr>
          <w:rFonts w:ascii="Palatino Linotype" w:hAnsi="Palatino Linotype"/>
          <w:color w:val="000000" w:themeColor="text1"/>
          <w:sz w:val="24"/>
          <w:szCs w:val="24"/>
        </w:rPr>
      </w:pPr>
      <w:r>
        <w:rPr>
          <w:rFonts w:ascii="Palatino Linotype" w:hAnsi="Palatino Linotype"/>
          <w:color w:val="000000" w:themeColor="text1"/>
          <w:sz w:val="24"/>
          <w:szCs w:val="24"/>
        </w:rPr>
        <w:t xml:space="preserve">Facility rent, utilities, internet service costs, food costs, lodging, marketing incentives for participation (gift cards, giveaways, etc.), certain classroom supplies and accessories, and other items not listed above are not eligible for reimbursement.  </w:t>
      </w:r>
      <w:r w:rsidRPr="00F8739A">
        <w:rPr>
          <w:rFonts w:ascii="Palatino Linotype" w:hAnsi="Palatino Linotype"/>
          <w:color w:val="000000" w:themeColor="text1"/>
          <w:sz w:val="24"/>
          <w:szCs w:val="24"/>
        </w:rPr>
        <w:t>All funding requests will be assessed for reasonableness and may be adjusted accordingly at the discretion of the Commission.</w:t>
      </w:r>
      <w:r>
        <w:rPr>
          <w:rFonts w:ascii="Palatino Linotype" w:hAnsi="Palatino Linotype"/>
          <w:color w:val="000000" w:themeColor="text1"/>
          <w:sz w:val="24"/>
          <w:szCs w:val="24"/>
        </w:rPr>
        <w:t xml:space="preserve">  Any remaining project costs not authorized for funding by the CASF Adoption grant must be funded by other sources (leveraged or self-funding).  </w:t>
      </w:r>
    </w:p>
    <w:bookmarkEnd w:id="582"/>
    <w:p w14:paraId="2CDF2FB0" w14:textId="75887261" w:rsidR="00930BD6" w:rsidRDefault="00930BD6" w:rsidP="00930BD6">
      <w:pPr>
        <w:pStyle w:val="ListParagraph"/>
        <w:ind w:left="360"/>
        <w:rPr>
          <w:rFonts w:ascii="Palatino Linotype" w:hAnsi="Palatino Linotype"/>
          <w:color w:val="000000" w:themeColor="text1"/>
          <w:sz w:val="24"/>
          <w:szCs w:val="24"/>
        </w:rPr>
      </w:pPr>
    </w:p>
    <w:p w14:paraId="0E98E7E8" w14:textId="77777777" w:rsidR="00A76ABC" w:rsidRDefault="00A76ABC" w:rsidP="00930BD6">
      <w:pPr>
        <w:pStyle w:val="ListParagraph"/>
        <w:ind w:left="360"/>
        <w:rPr>
          <w:rFonts w:ascii="Palatino Linotype" w:hAnsi="Palatino Linotype"/>
          <w:color w:val="000000" w:themeColor="text1"/>
          <w:sz w:val="24"/>
          <w:szCs w:val="24"/>
        </w:rPr>
      </w:pPr>
    </w:p>
    <w:p w14:paraId="09354C55" w14:textId="77777777" w:rsidR="00930BD6" w:rsidRPr="00AF35A5" w:rsidRDefault="00930BD6" w:rsidP="00930BD6">
      <w:pPr>
        <w:pStyle w:val="Heading2"/>
        <w:numPr>
          <w:ilvl w:val="1"/>
          <w:numId w:val="10"/>
        </w:numPr>
      </w:pPr>
      <w:bookmarkStart w:id="583" w:name="_Toc505786735"/>
      <w:bookmarkStart w:id="584" w:name="_Toc514153033"/>
      <w:r w:rsidRPr="00AF35A5">
        <w:lastRenderedPageBreak/>
        <w:t>Subsidy Level</w:t>
      </w:r>
      <w:bookmarkEnd w:id="583"/>
      <w:bookmarkEnd w:id="584"/>
      <w:r>
        <w:t>s</w:t>
      </w:r>
    </w:p>
    <w:p w14:paraId="5CBE00BD" w14:textId="77777777" w:rsidR="00930BD6" w:rsidRDefault="00930BD6" w:rsidP="00930BD6">
      <w:pPr>
        <w:pStyle w:val="ListParagraph"/>
        <w:ind w:left="360"/>
        <w:rPr>
          <w:rFonts w:ascii="Palatino Linotype" w:hAnsi="Palatino Linotype"/>
          <w:color w:val="000000" w:themeColor="text1"/>
          <w:sz w:val="24"/>
          <w:szCs w:val="24"/>
        </w:rPr>
      </w:pPr>
      <w:r>
        <w:rPr>
          <w:rFonts w:ascii="Palatino Linotype" w:hAnsi="Palatino Linotype"/>
          <w:color w:val="000000" w:themeColor="text1"/>
          <w:sz w:val="24"/>
          <w:szCs w:val="24"/>
        </w:rPr>
        <w:t>T</w:t>
      </w:r>
      <w:r w:rsidRPr="00AF35A5">
        <w:rPr>
          <w:rFonts w:ascii="Palatino Linotype" w:hAnsi="Palatino Linotype"/>
          <w:color w:val="000000" w:themeColor="text1"/>
          <w:sz w:val="24"/>
          <w:szCs w:val="24"/>
        </w:rPr>
        <w:t xml:space="preserve">he Commission </w:t>
      </w:r>
      <w:r>
        <w:rPr>
          <w:rFonts w:ascii="Palatino Linotype" w:hAnsi="Palatino Linotype"/>
          <w:color w:val="000000" w:themeColor="text1"/>
          <w:sz w:val="24"/>
          <w:szCs w:val="24"/>
        </w:rPr>
        <w:t xml:space="preserve">may </w:t>
      </w:r>
      <w:r w:rsidRPr="00AF35A5">
        <w:rPr>
          <w:rFonts w:ascii="Palatino Linotype" w:hAnsi="Palatino Linotype"/>
          <w:color w:val="000000" w:themeColor="text1"/>
          <w:sz w:val="24"/>
          <w:szCs w:val="24"/>
        </w:rPr>
        <w:t xml:space="preserve">fund up to 85 percent of the </w:t>
      </w:r>
      <w:r>
        <w:rPr>
          <w:rFonts w:ascii="Palatino Linotype" w:hAnsi="Palatino Linotype"/>
          <w:color w:val="000000" w:themeColor="text1"/>
          <w:sz w:val="24"/>
          <w:szCs w:val="24"/>
        </w:rPr>
        <w:t xml:space="preserve">total eligible program costs listed above. </w:t>
      </w:r>
    </w:p>
    <w:p w14:paraId="002F44C8" w14:textId="77777777" w:rsidR="00930BD6" w:rsidRDefault="00930BD6" w:rsidP="00930BD6">
      <w:pPr>
        <w:pStyle w:val="ListParagraph"/>
        <w:ind w:left="360"/>
        <w:rPr>
          <w:rFonts w:ascii="Palatino Linotype" w:hAnsi="Palatino Linotype"/>
          <w:color w:val="000000" w:themeColor="text1"/>
          <w:sz w:val="24"/>
          <w:szCs w:val="24"/>
        </w:rPr>
      </w:pPr>
    </w:p>
    <w:p w14:paraId="306E5246" w14:textId="77777777" w:rsidR="00930BD6" w:rsidRDefault="00930BD6" w:rsidP="00930BD6">
      <w:pPr>
        <w:pStyle w:val="ListParagraph"/>
        <w:ind w:left="360"/>
        <w:rPr>
          <w:rFonts w:ascii="Palatino Linotype" w:hAnsi="Palatino Linotype"/>
          <w:color w:val="000000" w:themeColor="text1"/>
          <w:sz w:val="24"/>
          <w:szCs w:val="24"/>
        </w:rPr>
      </w:pPr>
      <w:r>
        <w:rPr>
          <w:rFonts w:ascii="Palatino Linotype" w:hAnsi="Palatino Linotype"/>
          <w:color w:val="000000" w:themeColor="text1"/>
          <w:sz w:val="24"/>
          <w:szCs w:val="24"/>
        </w:rPr>
        <w:t xml:space="preserve">Reimbursement for </w:t>
      </w:r>
      <w:r w:rsidRPr="00AF35A5">
        <w:rPr>
          <w:rFonts w:ascii="Palatino Linotype" w:hAnsi="Palatino Linotype"/>
          <w:color w:val="000000" w:themeColor="text1"/>
          <w:sz w:val="24"/>
          <w:szCs w:val="24"/>
        </w:rPr>
        <w:t>computing devices used in community training rooms or other public space, such as local government centers, senior centers, schools, public libraries, nonprofit organizations, and community</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based organizations, </w:t>
      </w:r>
      <w:r>
        <w:rPr>
          <w:rFonts w:ascii="Palatino Linotype" w:hAnsi="Palatino Linotype"/>
          <w:color w:val="000000" w:themeColor="text1"/>
          <w:sz w:val="24"/>
          <w:szCs w:val="24"/>
        </w:rPr>
        <w:t xml:space="preserve">are limited to </w:t>
      </w:r>
      <w:r w:rsidRPr="00AF35A5">
        <w:rPr>
          <w:rFonts w:ascii="Palatino Linotype" w:hAnsi="Palatino Linotype"/>
          <w:color w:val="000000" w:themeColor="text1"/>
          <w:sz w:val="24"/>
          <w:szCs w:val="24"/>
        </w:rPr>
        <w:t xml:space="preserve">$750 </w:t>
      </w:r>
      <w:r>
        <w:rPr>
          <w:rFonts w:ascii="Palatino Linotype" w:hAnsi="Palatino Linotype"/>
          <w:color w:val="000000" w:themeColor="text1"/>
          <w:sz w:val="24"/>
          <w:szCs w:val="24"/>
        </w:rPr>
        <w:t>per</w:t>
      </w:r>
      <w:r w:rsidRPr="00AF35A5">
        <w:rPr>
          <w:rFonts w:ascii="Palatino Linotype" w:hAnsi="Palatino Linotype"/>
          <w:color w:val="000000" w:themeColor="text1"/>
          <w:sz w:val="24"/>
          <w:szCs w:val="24"/>
        </w:rPr>
        <w:t xml:space="preserve"> device, with a cap of 15 devices per designated space or project (device software costs will be considered a separate expense).  </w:t>
      </w:r>
      <w:r>
        <w:rPr>
          <w:rFonts w:ascii="Palatino Linotype" w:hAnsi="Palatino Linotype"/>
          <w:color w:val="000000" w:themeColor="text1"/>
          <w:sz w:val="24"/>
          <w:szCs w:val="24"/>
        </w:rPr>
        <w:t xml:space="preserve">Overall costs for such computing devices may exceed these caps, however, any portion not approved for grant funding must be funded by other sources (leveraged or self-funding).  </w:t>
      </w:r>
    </w:p>
    <w:p w14:paraId="135701F4" w14:textId="77777777" w:rsidR="00930BD6" w:rsidRDefault="00930BD6" w:rsidP="00930BD6">
      <w:pPr>
        <w:pStyle w:val="ListParagraph"/>
        <w:ind w:left="360"/>
        <w:rPr>
          <w:rFonts w:ascii="Palatino Linotype" w:hAnsi="Palatino Linotype"/>
          <w:color w:val="000000" w:themeColor="text1"/>
          <w:sz w:val="24"/>
          <w:szCs w:val="24"/>
        </w:rPr>
      </w:pPr>
    </w:p>
    <w:p w14:paraId="0BF2AA30" w14:textId="77777777" w:rsidR="00930BD6" w:rsidRDefault="00930BD6" w:rsidP="00930BD6">
      <w:pPr>
        <w:pStyle w:val="ListParagraph"/>
        <w:ind w:left="360"/>
        <w:rPr>
          <w:rFonts w:ascii="Palatino Linotype" w:hAnsi="Palatino Linotype"/>
          <w:color w:val="000000" w:themeColor="text1"/>
          <w:sz w:val="24"/>
          <w:szCs w:val="24"/>
        </w:rPr>
      </w:pPr>
      <w:r w:rsidRPr="00A43F2E">
        <w:rPr>
          <w:rFonts w:ascii="Palatino Linotype" w:hAnsi="Palatino Linotype"/>
          <w:color w:val="000000" w:themeColor="text1"/>
          <w:sz w:val="24"/>
          <w:szCs w:val="24"/>
        </w:rPr>
        <w:t>For Digital Literacy Projects, only households that participate in the Supplemental Nutritional Assistance Program, the National School Lunch Program, or the Women, Infants, and Children Program are eligible to receive computing devices to take home</w:t>
      </w:r>
      <w:r w:rsidRPr="007C64F6">
        <w:t xml:space="preserve"> </w:t>
      </w:r>
      <w:r w:rsidRPr="007C64F6">
        <w:rPr>
          <w:rFonts w:ascii="Palatino Linotype" w:hAnsi="Palatino Linotype"/>
          <w:color w:val="000000" w:themeColor="text1"/>
          <w:sz w:val="24"/>
          <w:szCs w:val="24"/>
        </w:rPr>
        <w:t>after</w:t>
      </w:r>
      <w:r>
        <w:rPr>
          <w:rFonts w:ascii="Palatino Linotype" w:hAnsi="Palatino Linotype"/>
          <w:color w:val="000000" w:themeColor="text1"/>
          <w:sz w:val="24"/>
          <w:szCs w:val="24"/>
        </w:rPr>
        <w:t xml:space="preserve"> completing digital literacy</w:t>
      </w:r>
      <w:r w:rsidRPr="007C64F6">
        <w:rPr>
          <w:rFonts w:ascii="Palatino Linotype" w:hAnsi="Palatino Linotype"/>
          <w:color w:val="000000" w:themeColor="text1"/>
          <w:sz w:val="24"/>
          <w:szCs w:val="24"/>
        </w:rPr>
        <w:t xml:space="preserve"> training courses</w:t>
      </w:r>
      <w:r>
        <w:rPr>
          <w:rFonts w:ascii="Palatino Linotype" w:hAnsi="Palatino Linotype"/>
          <w:color w:val="000000" w:themeColor="text1"/>
          <w:sz w:val="24"/>
          <w:szCs w:val="24"/>
        </w:rPr>
        <w:t>.</w:t>
      </w:r>
      <w:r w:rsidRPr="00A43F2E">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Reimbursement for take</w:t>
      </w:r>
      <w:r>
        <w:rPr>
          <w:rFonts w:ascii="Palatino Linotype" w:hAnsi="Palatino Linotype"/>
          <w:color w:val="000000" w:themeColor="text1"/>
          <w:sz w:val="24"/>
          <w:szCs w:val="24"/>
        </w:rPr>
        <w:noBreakHyphen/>
        <w:t>home c</w:t>
      </w:r>
      <w:r w:rsidRPr="00FA7E7F">
        <w:rPr>
          <w:rFonts w:ascii="Palatino Linotype" w:hAnsi="Palatino Linotype"/>
          <w:color w:val="000000" w:themeColor="text1"/>
          <w:sz w:val="24"/>
          <w:szCs w:val="24"/>
        </w:rPr>
        <w:t xml:space="preserve">omputing devices </w:t>
      </w:r>
      <w:r>
        <w:rPr>
          <w:rFonts w:ascii="Palatino Linotype" w:hAnsi="Palatino Linotype"/>
          <w:color w:val="000000" w:themeColor="text1"/>
          <w:sz w:val="24"/>
          <w:szCs w:val="24"/>
        </w:rPr>
        <w:t xml:space="preserve">are </w:t>
      </w:r>
      <w:r w:rsidRPr="00FA7E7F">
        <w:rPr>
          <w:rFonts w:ascii="Palatino Linotype" w:hAnsi="Palatino Linotype"/>
          <w:color w:val="000000" w:themeColor="text1"/>
          <w:sz w:val="24"/>
          <w:szCs w:val="24"/>
        </w:rPr>
        <w:t>capped at $150 per device</w:t>
      </w:r>
      <w:r>
        <w:rPr>
          <w:rFonts w:ascii="Palatino Linotype" w:hAnsi="Palatino Linotype"/>
          <w:color w:val="000000" w:themeColor="text1"/>
          <w:sz w:val="24"/>
          <w:szCs w:val="24"/>
        </w:rPr>
        <w:t xml:space="preserve">, limited to </w:t>
      </w:r>
      <w:r w:rsidRPr="00FA7E7F">
        <w:rPr>
          <w:rFonts w:ascii="Palatino Linotype" w:hAnsi="Palatino Linotype"/>
          <w:color w:val="000000" w:themeColor="text1"/>
          <w:sz w:val="24"/>
          <w:szCs w:val="24"/>
        </w:rPr>
        <w:t xml:space="preserve">one computing device per eligible household, </w:t>
      </w:r>
      <w:r>
        <w:rPr>
          <w:rFonts w:ascii="Palatino Linotype" w:hAnsi="Palatino Linotype"/>
          <w:color w:val="000000" w:themeColor="text1"/>
          <w:sz w:val="24"/>
          <w:szCs w:val="24"/>
        </w:rPr>
        <w:t xml:space="preserve">and limited to </w:t>
      </w:r>
      <w:r w:rsidRPr="00FA7E7F">
        <w:rPr>
          <w:rFonts w:ascii="Palatino Linotype" w:hAnsi="Palatino Linotype"/>
          <w:color w:val="000000" w:themeColor="text1"/>
          <w:sz w:val="24"/>
          <w:szCs w:val="24"/>
        </w:rPr>
        <w:t>$10,000 per</w:t>
      </w:r>
      <w:r>
        <w:rPr>
          <w:rFonts w:ascii="Palatino Linotype" w:hAnsi="Palatino Linotype"/>
          <w:color w:val="000000" w:themeColor="text1"/>
          <w:sz w:val="24"/>
          <w:szCs w:val="24"/>
        </w:rPr>
        <w:t xml:space="preserve"> application/project location.  Grantees should ensure proof of eligibility in their distribution of computing devices for households</w:t>
      </w:r>
    </w:p>
    <w:p w14:paraId="77779DEB" w14:textId="77777777" w:rsidR="00930BD6" w:rsidRPr="00AF35A5" w:rsidRDefault="00930BD6" w:rsidP="00930BD6">
      <w:pPr>
        <w:rPr>
          <w:rFonts w:ascii="Palatino Linotype" w:hAnsi="Palatino Linotype"/>
          <w:color w:val="000000" w:themeColor="text1"/>
          <w:sz w:val="24"/>
          <w:szCs w:val="24"/>
        </w:rPr>
      </w:pPr>
    </w:p>
    <w:p w14:paraId="42F24033" w14:textId="77777777" w:rsidR="00930BD6" w:rsidRPr="00AF35A5" w:rsidRDefault="00930BD6" w:rsidP="00930BD6">
      <w:pPr>
        <w:pStyle w:val="Heading2"/>
        <w:numPr>
          <w:ilvl w:val="1"/>
          <w:numId w:val="10"/>
        </w:numPr>
      </w:pPr>
      <w:bookmarkStart w:id="585" w:name="_Toc505786736"/>
      <w:bookmarkStart w:id="586" w:name="_Toc514153034"/>
      <w:r w:rsidRPr="00AF35A5">
        <w:t>Information Required from Applicants</w:t>
      </w:r>
      <w:bookmarkEnd w:id="585"/>
      <w:bookmarkEnd w:id="586"/>
    </w:p>
    <w:p w14:paraId="6295B9DE" w14:textId="77777777" w:rsidR="00930BD6" w:rsidRPr="00AF35A5" w:rsidRDefault="00930BD6" w:rsidP="00930BD6">
      <w:pPr>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Applicants must complete and submit a project application form</w:t>
      </w:r>
      <w:r>
        <w:rPr>
          <w:rFonts w:ascii="Palatino Linotype" w:hAnsi="Palatino Linotype"/>
          <w:color w:val="000000" w:themeColor="text1"/>
          <w:sz w:val="24"/>
          <w:szCs w:val="24"/>
        </w:rPr>
        <w:t xml:space="preserve"> for each project location</w:t>
      </w:r>
      <w:r w:rsidRPr="00AF35A5">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 xml:space="preserve">along with a signed affidavit, </w:t>
      </w:r>
      <w:r w:rsidRPr="00AF35A5">
        <w:rPr>
          <w:rFonts w:ascii="Palatino Linotype" w:hAnsi="Palatino Linotype"/>
          <w:color w:val="000000" w:themeColor="text1"/>
          <w:sz w:val="24"/>
          <w:szCs w:val="24"/>
        </w:rPr>
        <w:t>which will be available on the Commission’s website.  Staff will post the application descriptions submitted by the deadline on the CASF webpage.</w:t>
      </w:r>
      <w:r>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 xml:space="preserve">Applicants must submit the </w:t>
      </w:r>
      <w:r>
        <w:rPr>
          <w:rFonts w:ascii="Palatino Linotype" w:hAnsi="Palatino Linotype"/>
          <w:color w:val="000000" w:themeColor="text1"/>
          <w:sz w:val="24"/>
          <w:szCs w:val="24"/>
        </w:rPr>
        <w:t>required</w:t>
      </w:r>
      <w:r w:rsidRPr="00AF35A5">
        <w:rPr>
          <w:rFonts w:ascii="Palatino Linotype" w:hAnsi="Palatino Linotype"/>
          <w:color w:val="000000" w:themeColor="text1"/>
          <w:sz w:val="24"/>
          <w:szCs w:val="24"/>
        </w:rPr>
        <w:t xml:space="preserve"> information </w:t>
      </w:r>
      <w:r>
        <w:rPr>
          <w:rFonts w:ascii="Palatino Linotype" w:hAnsi="Palatino Linotype"/>
          <w:color w:val="000000" w:themeColor="text1"/>
          <w:sz w:val="24"/>
          <w:szCs w:val="24"/>
        </w:rPr>
        <w:t xml:space="preserve">requested </w:t>
      </w:r>
      <w:r w:rsidRPr="00AF35A5">
        <w:rPr>
          <w:rFonts w:ascii="Palatino Linotype" w:hAnsi="Palatino Linotype"/>
          <w:color w:val="000000" w:themeColor="text1"/>
          <w:sz w:val="24"/>
          <w:szCs w:val="24"/>
        </w:rPr>
        <w:t>to the Commission for each proposed project</w:t>
      </w:r>
      <w:r>
        <w:rPr>
          <w:rFonts w:ascii="Palatino Linotype" w:hAnsi="Palatino Linotype"/>
          <w:color w:val="000000" w:themeColor="text1"/>
          <w:sz w:val="24"/>
          <w:szCs w:val="24"/>
        </w:rPr>
        <w:t xml:space="preserve">.  All applications will be reviewed and evaluated for its completeness and overall quality.  Incomplete applications will be rejected. </w:t>
      </w:r>
    </w:p>
    <w:p w14:paraId="25087595" w14:textId="77777777" w:rsidR="00930BD6" w:rsidRPr="00AF35A5" w:rsidRDefault="00930BD6" w:rsidP="00930BD6">
      <w:pPr>
        <w:ind w:left="360"/>
        <w:rPr>
          <w:rFonts w:ascii="Palatino Linotype" w:hAnsi="Palatino Linotype"/>
          <w:color w:val="000000" w:themeColor="text1"/>
          <w:sz w:val="24"/>
          <w:szCs w:val="24"/>
        </w:rPr>
      </w:pPr>
    </w:p>
    <w:p w14:paraId="5093993D" w14:textId="77777777" w:rsidR="00930BD6" w:rsidRPr="00AF35A5" w:rsidRDefault="00930BD6" w:rsidP="00930BD6">
      <w:pPr>
        <w:pStyle w:val="Heading5"/>
        <w:numPr>
          <w:ilvl w:val="4"/>
          <w:numId w:val="10"/>
        </w:numPr>
        <w:tabs>
          <w:tab w:val="clear" w:pos="1980"/>
        </w:tabs>
        <w:spacing w:before="0" w:after="0"/>
        <w:ind w:left="360"/>
        <w:rPr>
          <w:rFonts w:ascii="Palatino Linotype" w:hAnsi="Palatino Linotype"/>
          <w:color w:val="000000" w:themeColor="text1"/>
          <w:sz w:val="24"/>
          <w:szCs w:val="24"/>
        </w:rPr>
      </w:pPr>
      <w:bookmarkStart w:id="587" w:name="_Toc514153035"/>
      <w:r w:rsidRPr="00AF35A5">
        <w:rPr>
          <w:rFonts w:ascii="Palatino Linotype" w:hAnsi="Palatino Linotype"/>
          <w:color w:val="000000" w:themeColor="text1"/>
          <w:sz w:val="24"/>
          <w:szCs w:val="24"/>
        </w:rPr>
        <w:t>Digital Literacy Project</w:t>
      </w:r>
      <w:bookmarkEnd w:id="587"/>
      <w:r>
        <w:rPr>
          <w:rFonts w:ascii="Palatino Linotype" w:hAnsi="Palatino Linotype"/>
          <w:color w:val="000000" w:themeColor="text1"/>
          <w:sz w:val="24"/>
          <w:szCs w:val="24"/>
        </w:rPr>
        <w:t>s &amp; Broadband Access Projects</w:t>
      </w:r>
    </w:p>
    <w:p w14:paraId="496A9745" w14:textId="77777777" w:rsidR="00930BD6" w:rsidRPr="00AF35A5" w:rsidRDefault="00930BD6" w:rsidP="00930BD6">
      <w:pPr>
        <w:ind w:left="360"/>
        <w:rPr>
          <w:rFonts w:ascii="Palatino Linotype" w:hAnsi="Palatino Linotype"/>
          <w:color w:val="000000" w:themeColor="text1"/>
          <w:sz w:val="24"/>
          <w:szCs w:val="24"/>
        </w:rPr>
      </w:pPr>
    </w:p>
    <w:p w14:paraId="193A114E" w14:textId="77777777" w:rsidR="00930BD6" w:rsidRPr="00AF35A5" w:rsidRDefault="00930BD6" w:rsidP="00930BD6">
      <w:pPr>
        <w:pStyle w:val="ListParagraph"/>
        <w:numPr>
          <w:ilvl w:val="0"/>
          <w:numId w:val="19"/>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Project Description </w:t>
      </w:r>
    </w:p>
    <w:p w14:paraId="63B68BA4" w14:textId="77777777" w:rsidR="00930BD6" w:rsidRPr="00350EE8" w:rsidRDefault="00930BD6" w:rsidP="00930BD6">
      <w:pPr>
        <w:pStyle w:val="ListParagraph"/>
        <w:numPr>
          <w:ilvl w:val="0"/>
          <w:numId w:val="20"/>
        </w:numPr>
        <w:contextualSpacing/>
        <w:rPr>
          <w:rFonts w:ascii="Palatino Linotype" w:hAnsi="Palatino Linotype"/>
          <w:color w:val="000000" w:themeColor="text1"/>
          <w:sz w:val="24"/>
          <w:szCs w:val="24"/>
        </w:rPr>
      </w:pPr>
      <w:r w:rsidRPr="00350EE8">
        <w:rPr>
          <w:rFonts w:ascii="Palatino Linotype" w:hAnsi="Palatino Linotype"/>
          <w:color w:val="000000" w:themeColor="text1"/>
          <w:sz w:val="24"/>
          <w:szCs w:val="24"/>
        </w:rPr>
        <w:t>Applicant’s name, description of organization;</w:t>
      </w:r>
    </w:p>
    <w:p w14:paraId="6D17F628" w14:textId="77777777" w:rsidR="00930BD6" w:rsidRPr="00350EE8" w:rsidRDefault="00930BD6" w:rsidP="00930BD6">
      <w:pPr>
        <w:pStyle w:val="ListParagraph"/>
        <w:numPr>
          <w:ilvl w:val="0"/>
          <w:numId w:val="20"/>
        </w:numPr>
        <w:contextualSpacing/>
        <w:rPr>
          <w:rFonts w:ascii="Palatino Linotype" w:hAnsi="Palatino Linotype"/>
          <w:color w:val="000000" w:themeColor="text1"/>
          <w:sz w:val="24"/>
          <w:szCs w:val="24"/>
        </w:rPr>
      </w:pPr>
      <w:r w:rsidRPr="00350EE8">
        <w:rPr>
          <w:rFonts w:ascii="Palatino Linotype" w:hAnsi="Palatino Linotype"/>
          <w:color w:val="000000" w:themeColor="text1"/>
          <w:sz w:val="24"/>
          <w:szCs w:val="24"/>
        </w:rPr>
        <w:t>Applicant’s non</w:t>
      </w:r>
      <w:r>
        <w:rPr>
          <w:rFonts w:ascii="Palatino Linotype" w:hAnsi="Palatino Linotype"/>
          <w:color w:val="000000" w:themeColor="text1"/>
          <w:sz w:val="24"/>
          <w:szCs w:val="24"/>
        </w:rPr>
        <w:noBreakHyphen/>
      </w:r>
      <w:r w:rsidRPr="00350EE8">
        <w:rPr>
          <w:rFonts w:ascii="Palatino Linotype" w:hAnsi="Palatino Linotype"/>
          <w:color w:val="000000" w:themeColor="text1"/>
          <w:sz w:val="24"/>
          <w:szCs w:val="24"/>
        </w:rPr>
        <w:t>profit designation, if applicable;</w:t>
      </w:r>
    </w:p>
    <w:p w14:paraId="4B4B45BB" w14:textId="77777777" w:rsidR="00930BD6" w:rsidRPr="00AF35A5" w:rsidRDefault="00930BD6" w:rsidP="00930BD6">
      <w:pPr>
        <w:pStyle w:val="ListParagraph"/>
        <w:numPr>
          <w:ilvl w:val="0"/>
          <w:numId w:val="20"/>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Applicant’s experience in providing digital literacy instruction</w:t>
      </w:r>
      <w:r>
        <w:rPr>
          <w:rFonts w:ascii="Palatino Linotype" w:hAnsi="Palatino Linotype"/>
          <w:color w:val="000000" w:themeColor="text1"/>
          <w:sz w:val="24"/>
          <w:szCs w:val="24"/>
        </w:rPr>
        <w:t xml:space="preserve"> or broadband access</w:t>
      </w:r>
      <w:r w:rsidRPr="00AF35A5">
        <w:rPr>
          <w:rFonts w:ascii="Palatino Linotype" w:hAnsi="Palatino Linotype"/>
          <w:color w:val="000000" w:themeColor="text1"/>
          <w:sz w:val="24"/>
          <w:szCs w:val="24"/>
        </w:rPr>
        <w:t>;</w:t>
      </w:r>
    </w:p>
    <w:p w14:paraId="21BEF1AD" w14:textId="77777777" w:rsidR="00930BD6" w:rsidRPr="00AF35A5" w:rsidRDefault="00930BD6" w:rsidP="00930BD6">
      <w:pPr>
        <w:pStyle w:val="ListParagraph"/>
        <w:numPr>
          <w:ilvl w:val="0"/>
          <w:numId w:val="20"/>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Contact person, title, address, e</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mail, phone;</w:t>
      </w:r>
    </w:p>
    <w:p w14:paraId="354A2C0D" w14:textId="77777777" w:rsidR="00930BD6" w:rsidRPr="00AF35A5" w:rsidRDefault="00930BD6" w:rsidP="00930BD6">
      <w:pPr>
        <w:pStyle w:val="ListParagraph"/>
        <w:numPr>
          <w:ilvl w:val="0"/>
          <w:numId w:val="20"/>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lastRenderedPageBreak/>
        <w:t>Project title;</w:t>
      </w:r>
    </w:p>
    <w:p w14:paraId="7988BD05" w14:textId="77777777" w:rsidR="00930BD6" w:rsidRPr="00AF35A5" w:rsidRDefault="00930BD6" w:rsidP="00930BD6">
      <w:pPr>
        <w:pStyle w:val="ListParagraph"/>
        <w:numPr>
          <w:ilvl w:val="0"/>
          <w:numId w:val="20"/>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Proposed Project Area</w:t>
      </w:r>
      <w:r>
        <w:rPr>
          <w:rFonts w:ascii="Palatino Linotype" w:hAnsi="Palatino Linotype"/>
          <w:color w:val="000000" w:themeColor="text1"/>
          <w:sz w:val="24"/>
          <w:szCs w:val="24"/>
        </w:rPr>
        <w:t>/Community/</w:t>
      </w:r>
      <w:r w:rsidRPr="00AF35A5">
        <w:rPr>
          <w:rFonts w:ascii="Palatino Linotype" w:hAnsi="Palatino Linotype"/>
          <w:color w:val="000000" w:themeColor="text1"/>
          <w:sz w:val="24"/>
          <w:szCs w:val="24"/>
        </w:rPr>
        <w:t xml:space="preserve"> Location (Community / County / Census Block(s)) including address (if applicable);</w:t>
      </w:r>
    </w:p>
    <w:p w14:paraId="0DC861E7" w14:textId="77777777" w:rsidR="00930BD6" w:rsidRPr="00AF35A5" w:rsidRDefault="00930BD6" w:rsidP="00930BD6">
      <w:pPr>
        <w:pStyle w:val="ListParagraph"/>
        <w:numPr>
          <w:ilvl w:val="0"/>
          <w:numId w:val="20"/>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CASF Funding Requested (Amount of Grant);</w:t>
      </w:r>
    </w:p>
    <w:p w14:paraId="5B60A2C6" w14:textId="77777777" w:rsidR="00930BD6" w:rsidRPr="00AF35A5" w:rsidRDefault="00930BD6" w:rsidP="00930BD6">
      <w:pPr>
        <w:pStyle w:val="ListParagraph"/>
        <w:numPr>
          <w:ilvl w:val="0"/>
          <w:numId w:val="20"/>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Efforts to leverage</w:t>
      </w:r>
      <w:r>
        <w:rPr>
          <w:rFonts w:ascii="Palatino Linotype" w:hAnsi="Palatino Linotype"/>
          <w:color w:val="000000" w:themeColor="text1"/>
          <w:sz w:val="24"/>
          <w:szCs w:val="24"/>
        </w:rPr>
        <w:t xml:space="preserve"> funds from other sources</w:t>
      </w:r>
      <w:r w:rsidRPr="00AF35A5">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w:t>
      </w:r>
      <w:r w:rsidRPr="00AF35A5">
        <w:rPr>
          <w:rFonts w:ascii="Palatino Linotype" w:hAnsi="Palatino Linotype"/>
          <w:color w:val="000000" w:themeColor="text1"/>
          <w:sz w:val="24"/>
          <w:szCs w:val="24"/>
        </w:rPr>
        <w:t>non</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CASF moneys</w:t>
      </w:r>
      <w:r>
        <w:rPr>
          <w:rFonts w:ascii="Palatino Linotype" w:hAnsi="Palatino Linotype"/>
          <w:color w:val="000000" w:themeColor="text1"/>
          <w:sz w:val="24"/>
          <w:szCs w:val="24"/>
        </w:rPr>
        <w:t>)</w:t>
      </w:r>
      <w:r w:rsidRPr="00AF35A5">
        <w:rPr>
          <w:rFonts w:ascii="Palatino Linotype" w:hAnsi="Palatino Linotype"/>
          <w:color w:val="000000" w:themeColor="text1"/>
          <w:sz w:val="24"/>
          <w:szCs w:val="24"/>
        </w:rPr>
        <w:t>;</w:t>
      </w:r>
    </w:p>
    <w:p w14:paraId="25516730" w14:textId="77777777" w:rsidR="00930BD6" w:rsidRPr="00AF35A5" w:rsidRDefault="00930BD6" w:rsidP="00930BD6">
      <w:pPr>
        <w:pStyle w:val="ListParagraph"/>
        <w:numPr>
          <w:ilvl w:val="0"/>
          <w:numId w:val="20"/>
        </w:numPr>
        <w:contextualSpacing/>
        <w:rPr>
          <w:rFonts w:ascii="Palatino Linotype" w:hAnsi="Palatino Linotype"/>
          <w:color w:val="000000" w:themeColor="text1"/>
          <w:sz w:val="24"/>
          <w:szCs w:val="24"/>
        </w:rPr>
      </w:pPr>
      <w:r>
        <w:rPr>
          <w:rFonts w:ascii="Palatino Linotype" w:hAnsi="Palatino Linotype"/>
          <w:color w:val="000000" w:themeColor="text1"/>
          <w:sz w:val="24"/>
          <w:szCs w:val="24"/>
        </w:rPr>
        <w:t xml:space="preserve">Area/ </w:t>
      </w:r>
      <w:r w:rsidRPr="00AF35A5">
        <w:rPr>
          <w:rFonts w:ascii="Palatino Linotype" w:hAnsi="Palatino Linotype"/>
          <w:color w:val="000000" w:themeColor="text1"/>
          <w:sz w:val="24"/>
          <w:szCs w:val="24"/>
        </w:rPr>
        <w:t>Community</w:t>
      </w:r>
      <w:r>
        <w:rPr>
          <w:rFonts w:ascii="Palatino Linotype" w:hAnsi="Palatino Linotype"/>
          <w:color w:val="000000" w:themeColor="text1"/>
          <w:sz w:val="24"/>
          <w:szCs w:val="24"/>
        </w:rPr>
        <w:t>/</w:t>
      </w:r>
      <w:r w:rsidRPr="00AF35A5">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L</w:t>
      </w:r>
      <w:r w:rsidRPr="00AF35A5">
        <w:rPr>
          <w:rFonts w:ascii="Palatino Linotype" w:hAnsi="Palatino Linotype"/>
          <w:color w:val="000000" w:themeColor="text1"/>
          <w:sz w:val="24"/>
          <w:szCs w:val="24"/>
        </w:rPr>
        <w:t>ocation</w:t>
      </w:r>
      <w:r>
        <w:rPr>
          <w:rFonts w:ascii="Palatino Linotype" w:hAnsi="Palatino Linotype"/>
          <w:color w:val="000000" w:themeColor="text1"/>
          <w:sz w:val="24"/>
          <w:szCs w:val="24"/>
        </w:rPr>
        <w:t>’s</w:t>
      </w:r>
      <w:r w:rsidRPr="00AF35A5">
        <w:rPr>
          <w:rFonts w:ascii="Palatino Linotype" w:hAnsi="Palatino Linotype"/>
          <w:color w:val="000000" w:themeColor="text1"/>
          <w:sz w:val="24"/>
          <w:szCs w:val="24"/>
        </w:rPr>
        <w:t xml:space="preserve"> (by census tract or other delineation), adoption levels, income, demographics;</w:t>
      </w:r>
    </w:p>
    <w:p w14:paraId="3EF06D6F" w14:textId="77777777" w:rsidR="00930BD6" w:rsidRPr="00AF35A5" w:rsidRDefault="00930BD6" w:rsidP="00930BD6">
      <w:pPr>
        <w:pStyle w:val="ListParagraph"/>
        <w:numPr>
          <w:ilvl w:val="0"/>
          <w:numId w:val="20"/>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Needs Assessment. Description of the need for this project: Does the community have low broadband adoption relative to the statewide average?  Does the community face socioeconomic barriers to broadband access and adoption? For example, see NTIA Toolkit “Understand Community Needs and Opportunities”</w:t>
      </w:r>
      <w:r w:rsidRPr="00AE60DE">
        <w:rPr>
          <w:sz w:val="16"/>
          <w:szCs w:val="16"/>
        </w:rPr>
        <w:footnoteReference w:id="19"/>
      </w:r>
    </w:p>
    <w:p w14:paraId="28A322BA" w14:textId="77777777" w:rsidR="00930BD6" w:rsidRPr="00AF35A5" w:rsidRDefault="00930BD6" w:rsidP="00930BD6">
      <w:pPr>
        <w:pStyle w:val="ListParagraph"/>
        <w:numPr>
          <w:ilvl w:val="0"/>
          <w:numId w:val="20"/>
        </w:numPr>
        <w:contextualSpacing/>
        <w:rPr>
          <w:rFonts w:ascii="Palatino Linotype" w:hAnsi="Palatino Linotype"/>
          <w:color w:val="000000" w:themeColor="text1"/>
          <w:sz w:val="24"/>
          <w:szCs w:val="24"/>
        </w:rPr>
      </w:pPr>
      <w:r>
        <w:rPr>
          <w:rFonts w:ascii="Palatino Linotype" w:hAnsi="Palatino Linotype"/>
          <w:color w:val="000000" w:themeColor="text1"/>
          <w:sz w:val="24"/>
          <w:szCs w:val="24"/>
        </w:rPr>
        <w:t xml:space="preserve">Completed </w:t>
      </w:r>
      <w:r w:rsidRPr="00AF35A5">
        <w:rPr>
          <w:rFonts w:ascii="Palatino Linotype" w:hAnsi="Palatino Linotype"/>
          <w:color w:val="000000" w:themeColor="text1"/>
          <w:sz w:val="24"/>
          <w:szCs w:val="24"/>
        </w:rPr>
        <w:t>Preferences Checklist</w:t>
      </w:r>
      <w:r>
        <w:rPr>
          <w:rFonts w:ascii="Palatino Linotype" w:hAnsi="Palatino Linotype"/>
          <w:color w:val="000000" w:themeColor="text1"/>
          <w:sz w:val="24"/>
          <w:szCs w:val="24"/>
        </w:rPr>
        <w:t>;</w:t>
      </w:r>
    </w:p>
    <w:p w14:paraId="15780686" w14:textId="77777777" w:rsidR="00930BD6" w:rsidRPr="00AF35A5" w:rsidRDefault="00930BD6" w:rsidP="00930BD6">
      <w:pPr>
        <w:pStyle w:val="ListParagraph"/>
        <w:numPr>
          <w:ilvl w:val="0"/>
          <w:numId w:val="20"/>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Demonstration </w:t>
      </w:r>
      <w:r>
        <w:rPr>
          <w:rFonts w:ascii="Palatino Linotype" w:hAnsi="Palatino Linotype"/>
          <w:color w:val="000000" w:themeColor="text1"/>
          <w:sz w:val="24"/>
          <w:szCs w:val="24"/>
        </w:rPr>
        <w:t xml:space="preserve">of </w:t>
      </w:r>
      <w:r w:rsidRPr="00AF35A5">
        <w:rPr>
          <w:rFonts w:ascii="Palatino Linotype" w:hAnsi="Palatino Linotype"/>
          <w:color w:val="000000" w:themeColor="text1"/>
          <w:sz w:val="24"/>
          <w:szCs w:val="24"/>
        </w:rPr>
        <w:t>community support: examples could include letters of endorsements should be obtained from community</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based organizations, schools, hospitals, libraries, businesses and consumers;  </w:t>
      </w:r>
    </w:p>
    <w:p w14:paraId="389F0B10" w14:textId="77777777" w:rsidR="00930BD6" w:rsidRPr="00AF35A5" w:rsidRDefault="00930BD6" w:rsidP="00930BD6">
      <w:pPr>
        <w:pStyle w:val="ListParagraph"/>
        <w:numPr>
          <w:ilvl w:val="0"/>
          <w:numId w:val="20"/>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Description of partnerships with local C</w:t>
      </w:r>
      <w:r>
        <w:rPr>
          <w:rFonts w:ascii="Palatino Linotype" w:hAnsi="Palatino Linotype"/>
          <w:color w:val="000000" w:themeColor="text1"/>
          <w:sz w:val="24"/>
          <w:szCs w:val="24"/>
        </w:rPr>
        <w:t xml:space="preserve">ommunity </w:t>
      </w:r>
      <w:r w:rsidRPr="00AF35A5">
        <w:rPr>
          <w:rFonts w:ascii="Palatino Linotype" w:hAnsi="Palatino Linotype"/>
          <w:color w:val="000000" w:themeColor="text1"/>
          <w:sz w:val="24"/>
          <w:szCs w:val="24"/>
        </w:rPr>
        <w:t>B</w:t>
      </w:r>
      <w:r>
        <w:rPr>
          <w:rFonts w:ascii="Palatino Linotype" w:hAnsi="Palatino Linotype"/>
          <w:color w:val="000000" w:themeColor="text1"/>
          <w:sz w:val="24"/>
          <w:szCs w:val="24"/>
        </w:rPr>
        <w:t xml:space="preserve">ased </w:t>
      </w:r>
      <w:r w:rsidRPr="00AF35A5">
        <w:rPr>
          <w:rFonts w:ascii="Palatino Linotype" w:hAnsi="Palatino Linotype"/>
          <w:color w:val="000000" w:themeColor="text1"/>
          <w:sz w:val="24"/>
          <w:szCs w:val="24"/>
        </w:rPr>
        <w:t>O</w:t>
      </w:r>
      <w:r>
        <w:rPr>
          <w:rFonts w:ascii="Palatino Linotype" w:hAnsi="Palatino Linotype"/>
          <w:color w:val="000000" w:themeColor="text1"/>
          <w:sz w:val="24"/>
          <w:szCs w:val="24"/>
        </w:rPr>
        <w:t>rganizations (CBOs)</w:t>
      </w:r>
      <w:r w:rsidRPr="00AF35A5">
        <w:rPr>
          <w:rFonts w:ascii="Palatino Linotype" w:hAnsi="Palatino Linotype"/>
          <w:color w:val="000000" w:themeColor="text1"/>
          <w:sz w:val="24"/>
          <w:szCs w:val="24"/>
        </w:rPr>
        <w:t>s, I</w:t>
      </w:r>
      <w:r>
        <w:rPr>
          <w:rFonts w:ascii="Palatino Linotype" w:hAnsi="Palatino Linotype"/>
          <w:color w:val="000000" w:themeColor="text1"/>
          <w:sz w:val="24"/>
          <w:szCs w:val="24"/>
        </w:rPr>
        <w:t xml:space="preserve">nternet </w:t>
      </w:r>
      <w:r w:rsidRPr="00AF35A5">
        <w:rPr>
          <w:rFonts w:ascii="Palatino Linotype" w:hAnsi="Palatino Linotype"/>
          <w:color w:val="000000" w:themeColor="text1"/>
          <w:sz w:val="24"/>
          <w:szCs w:val="24"/>
        </w:rPr>
        <w:t>S</w:t>
      </w:r>
      <w:r>
        <w:rPr>
          <w:rFonts w:ascii="Palatino Linotype" w:hAnsi="Palatino Linotype"/>
          <w:color w:val="000000" w:themeColor="text1"/>
          <w:sz w:val="24"/>
          <w:szCs w:val="24"/>
        </w:rPr>
        <w:t xml:space="preserve">ervice </w:t>
      </w:r>
      <w:r w:rsidRPr="00AF35A5">
        <w:rPr>
          <w:rFonts w:ascii="Palatino Linotype" w:hAnsi="Palatino Linotype"/>
          <w:color w:val="000000" w:themeColor="text1"/>
          <w:sz w:val="24"/>
          <w:szCs w:val="24"/>
        </w:rPr>
        <w:t>P</w:t>
      </w:r>
      <w:r>
        <w:rPr>
          <w:rFonts w:ascii="Palatino Linotype" w:hAnsi="Palatino Linotype"/>
          <w:color w:val="000000" w:themeColor="text1"/>
          <w:sz w:val="24"/>
          <w:szCs w:val="24"/>
        </w:rPr>
        <w:t>roviders</w:t>
      </w:r>
      <w:r w:rsidRPr="00AF35A5">
        <w:rPr>
          <w:rFonts w:ascii="Palatino Linotype" w:hAnsi="Palatino Linotype"/>
          <w:color w:val="000000" w:themeColor="text1"/>
          <w:sz w:val="24"/>
          <w:szCs w:val="24"/>
        </w:rPr>
        <w:t>, media groups, for</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profit companies and other applicable organizations;</w:t>
      </w:r>
    </w:p>
    <w:p w14:paraId="48782A1F" w14:textId="77777777" w:rsidR="00930BD6" w:rsidRPr="00AF35A5" w:rsidRDefault="00930BD6" w:rsidP="00930BD6">
      <w:pPr>
        <w:pStyle w:val="ListParagraph"/>
        <w:numPr>
          <w:ilvl w:val="0"/>
          <w:numId w:val="20"/>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Description of planned outreach efforts, including sample promotional material, planned community events, volunteer recruitment or any other relevant materials;</w:t>
      </w:r>
    </w:p>
    <w:p w14:paraId="44F4C1C6" w14:textId="77777777" w:rsidR="00930BD6" w:rsidRPr="00AF35A5" w:rsidRDefault="00930BD6" w:rsidP="00930BD6">
      <w:pPr>
        <w:pStyle w:val="ListParagraph"/>
        <w:numPr>
          <w:ilvl w:val="0"/>
          <w:numId w:val="20"/>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Projected number of participants reached through outreach activities;</w:t>
      </w:r>
    </w:p>
    <w:p w14:paraId="7CBAB2F3" w14:textId="77777777" w:rsidR="00930BD6" w:rsidRPr="00AF35A5" w:rsidRDefault="00930BD6" w:rsidP="00930BD6">
      <w:pPr>
        <w:pStyle w:val="ListParagraph"/>
        <w:numPr>
          <w:ilvl w:val="0"/>
          <w:numId w:val="20"/>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Description of partnership with carriers and any existing affordable plans that will be offered in the community;</w:t>
      </w:r>
      <w:r>
        <w:rPr>
          <w:rFonts w:ascii="Palatino Linotype" w:hAnsi="Palatino Linotype"/>
          <w:color w:val="000000" w:themeColor="text1"/>
          <w:sz w:val="24"/>
          <w:szCs w:val="24"/>
        </w:rPr>
        <w:t xml:space="preserve"> and</w:t>
      </w:r>
    </w:p>
    <w:p w14:paraId="2170154E" w14:textId="77777777" w:rsidR="00930BD6" w:rsidRPr="00AE60DE" w:rsidRDefault="00930BD6" w:rsidP="00930BD6">
      <w:pPr>
        <w:pStyle w:val="ListParagraph"/>
        <w:numPr>
          <w:ilvl w:val="0"/>
          <w:numId w:val="20"/>
        </w:numPr>
        <w:contextualSpacing/>
        <w:rPr>
          <w:rFonts w:ascii="Palatino Linotype" w:hAnsi="Palatino Linotype"/>
          <w:color w:val="000000" w:themeColor="text1"/>
          <w:sz w:val="24"/>
          <w:szCs w:val="24"/>
        </w:rPr>
      </w:pPr>
      <w:r w:rsidRPr="00AE60DE">
        <w:rPr>
          <w:rFonts w:ascii="Palatino Linotype" w:hAnsi="Palatino Linotype"/>
          <w:color w:val="000000" w:themeColor="text1"/>
          <w:sz w:val="24"/>
          <w:szCs w:val="24"/>
        </w:rPr>
        <w:t xml:space="preserve">Projected number of new residential broadband subscriptions resulting from the project </w:t>
      </w:r>
      <w:r>
        <w:rPr>
          <w:rFonts w:ascii="Palatino Linotype" w:hAnsi="Palatino Linotype"/>
          <w:color w:val="000000" w:themeColor="text1"/>
          <w:sz w:val="24"/>
          <w:szCs w:val="24"/>
        </w:rPr>
        <w:t xml:space="preserve">for each location </w:t>
      </w:r>
      <w:r w:rsidRPr="00AE60DE">
        <w:rPr>
          <w:rFonts w:ascii="Palatino Linotype" w:hAnsi="Palatino Linotype"/>
          <w:color w:val="000000" w:themeColor="text1"/>
          <w:sz w:val="24"/>
          <w:szCs w:val="24"/>
        </w:rPr>
        <w:t>(including documentation of all assumptions and data sources used to compile estimates).</w:t>
      </w:r>
    </w:p>
    <w:p w14:paraId="63EE2315" w14:textId="77777777" w:rsidR="00930BD6" w:rsidRDefault="00930BD6" w:rsidP="00930BD6">
      <w:pPr>
        <w:pStyle w:val="Heading5"/>
        <w:numPr>
          <w:ilvl w:val="4"/>
          <w:numId w:val="10"/>
        </w:numPr>
        <w:tabs>
          <w:tab w:val="clear" w:pos="1980"/>
        </w:tabs>
        <w:spacing w:before="0" w:after="0"/>
        <w:ind w:left="360"/>
        <w:rPr>
          <w:rFonts w:ascii="Palatino Linotype" w:hAnsi="Palatino Linotype"/>
          <w:i/>
          <w:color w:val="000000" w:themeColor="text1"/>
          <w:sz w:val="24"/>
          <w:szCs w:val="24"/>
        </w:rPr>
      </w:pPr>
    </w:p>
    <w:p w14:paraId="41C4BCFD" w14:textId="77777777" w:rsidR="00930BD6" w:rsidRPr="00AE60DE" w:rsidRDefault="00930BD6" w:rsidP="00930BD6">
      <w:pPr>
        <w:pStyle w:val="Heading5"/>
        <w:numPr>
          <w:ilvl w:val="4"/>
          <w:numId w:val="10"/>
        </w:numPr>
        <w:tabs>
          <w:tab w:val="clear" w:pos="1980"/>
        </w:tabs>
        <w:spacing w:before="0" w:after="0"/>
        <w:ind w:left="360"/>
        <w:rPr>
          <w:rFonts w:ascii="Palatino Linotype" w:hAnsi="Palatino Linotype"/>
          <w:i/>
          <w:color w:val="000000" w:themeColor="text1"/>
          <w:sz w:val="24"/>
          <w:szCs w:val="24"/>
        </w:rPr>
      </w:pPr>
      <w:r w:rsidRPr="00B74875">
        <w:rPr>
          <w:rFonts w:ascii="Palatino Linotype" w:hAnsi="Palatino Linotype"/>
          <w:i/>
          <w:color w:val="000000" w:themeColor="text1"/>
          <w:sz w:val="24"/>
          <w:szCs w:val="24"/>
        </w:rPr>
        <w:t>Additional</w:t>
      </w:r>
      <w:r w:rsidRPr="00AE60DE">
        <w:rPr>
          <w:rFonts w:ascii="Palatino Linotype" w:hAnsi="Palatino Linotype"/>
          <w:i/>
          <w:color w:val="000000" w:themeColor="text1"/>
          <w:sz w:val="24"/>
          <w:szCs w:val="24"/>
        </w:rPr>
        <w:t xml:space="preserve"> </w:t>
      </w:r>
      <w:r w:rsidRPr="0074428D">
        <w:rPr>
          <w:rFonts w:ascii="Palatino Linotype" w:hAnsi="Palatino Linotype"/>
          <w:i/>
          <w:color w:val="000000" w:themeColor="text1"/>
          <w:sz w:val="24"/>
          <w:szCs w:val="24"/>
        </w:rPr>
        <w:t>Information</w:t>
      </w:r>
      <w:r w:rsidRPr="00AE60DE">
        <w:rPr>
          <w:rFonts w:ascii="Palatino Linotype" w:hAnsi="Palatino Linotype"/>
          <w:i/>
          <w:color w:val="000000" w:themeColor="text1"/>
          <w:sz w:val="24"/>
          <w:szCs w:val="24"/>
        </w:rPr>
        <w:t xml:space="preserve"> Required for Digital Literacy </w:t>
      </w:r>
      <w:r w:rsidRPr="006D4671">
        <w:rPr>
          <w:rFonts w:ascii="Palatino Linotype" w:hAnsi="Palatino Linotype"/>
          <w:i/>
          <w:color w:val="000000" w:themeColor="text1"/>
          <w:sz w:val="24"/>
          <w:szCs w:val="24"/>
        </w:rPr>
        <w:t>Projects only</w:t>
      </w:r>
    </w:p>
    <w:p w14:paraId="33930004" w14:textId="77777777" w:rsidR="00930BD6" w:rsidRPr="00AF35A5" w:rsidRDefault="00930BD6" w:rsidP="00930BD6">
      <w:pPr>
        <w:pStyle w:val="ListParagraph"/>
        <w:numPr>
          <w:ilvl w:val="0"/>
          <w:numId w:val="25"/>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Curriculum for training;</w:t>
      </w:r>
    </w:p>
    <w:p w14:paraId="29746595" w14:textId="77777777" w:rsidR="00930BD6" w:rsidRPr="00AF35A5" w:rsidRDefault="00930BD6" w:rsidP="00930BD6">
      <w:pPr>
        <w:pStyle w:val="ListParagraph"/>
        <w:numPr>
          <w:ilvl w:val="0"/>
          <w:numId w:val="25"/>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Description of the type of training to be provided (on</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site instructor and/or tutoring);</w:t>
      </w:r>
    </w:p>
    <w:p w14:paraId="7169CD95" w14:textId="77777777" w:rsidR="00930BD6" w:rsidRDefault="00930BD6" w:rsidP="00930BD6">
      <w:pPr>
        <w:pStyle w:val="ListParagraph"/>
        <w:numPr>
          <w:ilvl w:val="0"/>
          <w:numId w:val="25"/>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Projected number of participants to be trained by the project</w:t>
      </w:r>
      <w:r>
        <w:rPr>
          <w:rFonts w:ascii="Palatino Linotype" w:hAnsi="Palatino Linotype"/>
          <w:color w:val="000000" w:themeColor="text1"/>
          <w:sz w:val="24"/>
          <w:szCs w:val="24"/>
        </w:rPr>
        <w:t xml:space="preserve"> for each location</w:t>
      </w:r>
      <w:r w:rsidRPr="00AF35A5">
        <w:rPr>
          <w:rFonts w:ascii="Palatino Linotype" w:hAnsi="Palatino Linotype"/>
          <w:color w:val="000000" w:themeColor="text1"/>
          <w:sz w:val="24"/>
          <w:szCs w:val="24"/>
        </w:rPr>
        <w:t>;</w:t>
      </w:r>
      <w:r>
        <w:rPr>
          <w:rFonts w:ascii="Palatino Linotype" w:hAnsi="Palatino Linotype"/>
          <w:color w:val="000000" w:themeColor="text1"/>
          <w:sz w:val="24"/>
          <w:szCs w:val="24"/>
        </w:rPr>
        <w:t xml:space="preserve"> and</w:t>
      </w:r>
    </w:p>
    <w:p w14:paraId="0300BFC6" w14:textId="77777777" w:rsidR="00930BD6" w:rsidRPr="00AF35A5" w:rsidRDefault="00930BD6" w:rsidP="00930BD6">
      <w:pPr>
        <w:pStyle w:val="ListParagraph"/>
        <w:numPr>
          <w:ilvl w:val="0"/>
          <w:numId w:val="25"/>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lastRenderedPageBreak/>
        <w:t>Projected number of participants who will receive tutoring or other digital literacy instruction (such as the assistance of knowledgeable volunteers during open computer lab hours) outside of the 8</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hour training</w:t>
      </w:r>
      <w:r>
        <w:rPr>
          <w:rFonts w:ascii="Palatino Linotype" w:hAnsi="Palatino Linotype"/>
          <w:color w:val="000000" w:themeColor="text1"/>
          <w:sz w:val="24"/>
          <w:szCs w:val="24"/>
        </w:rPr>
        <w:t xml:space="preserve"> for each location. </w:t>
      </w:r>
    </w:p>
    <w:p w14:paraId="4EC9BF1C" w14:textId="77777777" w:rsidR="00930BD6" w:rsidRDefault="00930BD6" w:rsidP="00930BD6">
      <w:pPr>
        <w:pStyle w:val="Heading5"/>
        <w:numPr>
          <w:ilvl w:val="4"/>
          <w:numId w:val="10"/>
        </w:numPr>
        <w:tabs>
          <w:tab w:val="clear" w:pos="1980"/>
        </w:tabs>
        <w:spacing w:before="0" w:after="0"/>
        <w:ind w:left="360"/>
        <w:rPr>
          <w:rFonts w:ascii="Palatino Linotype" w:hAnsi="Palatino Linotype"/>
          <w:i/>
          <w:color w:val="000000" w:themeColor="text1"/>
          <w:sz w:val="24"/>
          <w:szCs w:val="24"/>
        </w:rPr>
      </w:pPr>
    </w:p>
    <w:p w14:paraId="2CB56726" w14:textId="77777777" w:rsidR="00930BD6" w:rsidRPr="00AE60DE" w:rsidRDefault="00930BD6" w:rsidP="00930BD6">
      <w:pPr>
        <w:pStyle w:val="Heading5"/>
        <w:numPr>
          <w:ilvl w:val="4"/>
          <w:numId w:val="10"/>
        </w:numPr>
        <w:tabs>
          <w:tab w:val="clear" w:pos="1980"/>
        </w:tabs>
        <w:spacing w:before="0" w:after="0"/>
        <w:ind w:left="360"/>
        <w:rPr>
          <w:rFonts w:ascii="Palatino Linotype" w:hAnsi="Palatino Linotype"/>
          <w:i/>
          <w:color w:val="000000" w:themeColor="text1"/>
          <w:sz w:val="24"/>
          <w:szCs w:val="24"/>
        </w:rPr>
      </w:pPr>
      <w:r w:rsidRPr="00B74875">
        <w:rPr>
          <w:rFonts w:ascii="Palatino Linotype" w:hAnsi="Palatino Linotype"/>
          <w:i/>
          <w:color w:val="000000" w:themeColor="text1"/>
          <w:sz w:val="24"/>
          <w:szCs w:val="24"/>
        </w:rPr>
        <w:t>Additional</w:t>
      </w:r>
      <w:r w:rsidRPr="00AE60DE">
        <w:rPr>
          <w:rFonts w:ascii="Palatino Linotype" w:hAnsi="Palatino Linotype"/>
          <w:i/>
          <w:color w:val="000000" w:themeColor="text1"/>
          <w:sz w:val="24"/>
          <w:szCs w:val="24"/>
        </w:rPr>
        <w:t xml:space="preserve"> </w:t>
      </w:r>
      <w:r w:rsidRPr="0074428D">
        <w:rPr>
          <w:rFonts w:ascii="Palatino Linotype" w:hAnsi="Palatino Linotype"/>
          <w:i/>
          <w:color w:val="000000" w:themeColor="text1"/>
          <w:sz w:val="24"/>
          <w:szCs w:val="24"/>
        </w:rPr>
        <w:t>Information</w:t>
      </w:r>
      <w:r w:rsidRPr="00AE60DE">
        <w:rPr>
          <w:rFonts w:ascii="Palatino Linotype" w:hAnsi="Palatino Linotype"/>
          <w:i/>
          <w:color w:val="000000" w:themeColor="text1"/>
          <w:sz w:val="24"/>
          <w:szCs w:val="24"/>
        </w:rPr>
        <w:t xml:space="preserve"> Required for Broadband Access Projects only</w:t>
      </w:r>
    </w:p>
    <w:p w14:paraId="4642DC58" w14:textId="77777777" w:rsidR="00930BD6" w:rsidRDefault="00930BD6" w:rsidP="00930BD6">
      <w:pPr>
        <w:pStyle w:val="ListParagraph"/>
        <w:numPr>
          <w:ilvl w:val="0"/>
          <w:numId w:val="26"/>
        </w:numPr>
        <w:contextualSpacing/>
        <w:rPr>
          <w:rFonts w:ascii="Palatino Linotype" w:hAnsi="Palatino Linotype"/>
          <w:color w:val="000000" w:themeColor="text1"/>
          <w:sz w:val="24"/>
          <w:szCs w:val="24"/>
        </w:rPr>
      </w:pPr>
      <w:r w:rsidRPr="009204E0">
        <w:rPr>
          <w:rFonts w:ascii="Palatino Linotype" w:hAnsi="Palatino Linotype"/>
          <w:color w:val="000000" w:themeColor="text1"/>
          <w:sz w:val="24"/>
          <w:szCs w:val="24"/>
        </w:rPr>
        <w:t>Description of any planned improvements to an existing space for broadband access, including the purchase of computing devices and any installation or set</w:t>
      </w:r>
      <w:r>
        <w:rPr>
          <w:rFonts w:ascii="Palatino Linotype" w:hAnsi="Palatino Linotype"/>
          <w:color w:val="000000" w:themeColor="text1"/>
          <w:sz w:val="24"/>
          <w:szCs w:val="24"/>
        </w:rPr>
        <w:noBreakHyphen/>
      </w:r>
      <w:r w:rsidRPr="009204E0">
        <w:rPr>
          <w:rFonts w:ascii="Palatino Linotype" w:hAnsi="Palatino Linotype"/>
          <w:color w:val="000000" w:themeColor="text1"/>
          <w:sz w:val="24"/>
          <w:szCs w:val="24"/>
        </w:rPr>
        <w:t xml:space="preserve">up activities; </w:t>
      </w:r>
    </w:p>
    <w:p w14:paraId="0E0BF703" w14:textId="77777777" w:rsidR="00930BD6" w:rsidRDefault="00930BD6" w:rsidP="00930BD6">
      <w:pPr>
        <w:pStyle w:val="ListParagraph"/>
        <w:numPr>
          <w:ilvl w:val="0"/>
          <w:numId w:val="26"/>
        </w:numPr>
        <w:contextualSpacing/>
        <w:rPr>
          <w:rFonts w:ascii="Palatino Linotype" w:hAnsi="Palatino Linotype"/>
          <w:color w:val="000000" w:themeColor="text1"/>
          <w:sz w:val="24"/>
          <w:szCs w:val="24"/>
        </w:rPr>
      </w:pPr>
      <w:r w:rsidRPr="009204E0">
        <w:rPr>
          <w:rFonts w:ascii="Palatino Linotype" w:hAnsi="Palatino Linotype"/>
          <w:color w:val="000000" w:themeColor="text1"/>
          <w:sz w:val="24"/>
          <w:szCs w:val="24"/>
        </w:rPr>
        <w:t>Description of any set up of a new space for broadband access, including the purchase of computing devices and any installation or set</w:t>
      </w:r>
      <w:r>
        <w:rPr>
          <w:rFonts w:ascii="Palatino Linotype" w:hAnsi="Palatino Linotype"/>
          <w:color w:val="000000" w:themeColor="text1"/>
          <w:sz w:val="24"/>
          <w:szCs w:val="24"/>
        </w:rPr>
        <w:noBreakHyphen/>
      </w:r>
      <w:r w:rsidRPr="009204E0">
        <w:rPr>
          <w:rFonts w:ascii="Palatino Linotype" w:hAnsi="Palatino Linotype"/>
          <w:color w:val="000000" w:themeColor="text1"/>
          <w:sz w:val="24"/>
          <w:szCs w:val="24"/>
        </w:rPr>
        <w:t>up activities.  Note that the Adoption Account does not pay for any inside network setup other than to connect computers purchased with fund money to an existing inside network (inclusive of any required routers);</w:t>
      </w:r>
    </w:p>
    <w:p w14:paraId="7C0FD5CC" w14:textId="77777777" w:rsidR="00930BD6" w:rsidRDefault="00930BD6" w:rsidP="00930BD6">
      <w:pPr>
        <w:pStyle w:val="ListParagraph"/>
        <w:numPr>
          <w:ilvl w:val="0"/>
          <w:numId w:val="26"/>
        </w:numPr>
        <w:contextualSpacing/>
        <w:rPr>
          <w:rFonts w:ascii="Palatino Linotype" w:hAnsi="Palatino Linotype"/>
          <w:color w:val="000000" w:themeColor="text1"/>
          <w:sz w:val="24"/>
          <w:szCs w:val="24"/>
        </w:rPr>
      </w:pPr>
      <w:r w:rsidRPr="009204E0">
        <w:rPr>
          <w:rFonts w:ascii="Palatino Linotype" w:hAnsi="Palatino Linotype"/>
          <w:color w:val="000000" w:themeColor="text1"/>
          <w:sz w:val="24"/>
          <w:szCs w:val="24"/>
        </w:rPr>
        <w:t>Projected number of participants served by the project and the projected number of hours of access to be provided;</w:t>
      </w:r>
      <w:r>
        <w:rPr>
          <w:rFonts w:ascii="Palatino Linotype" w:hAnsi="Palatino Linotype"/>
          <w:color w:val="000000" w:themeColor="text1"/>
          <w:sz w:val="24"/>
          <w:szCs w:val="24"/>
        </w:rPr>
        <w:t xml:space="preserve"> and</w:t>
      </w:r>
    </w:p>
    <w:p w14:paraId="0689FDA8" w14:textId="77777777" w:rsidR="00930BD6" w:rsidRDefault="00930BD6" w:rsidP="00930BD6">
      <w:pPr>
        <w:pStyle w:val="ListParagraph"/>
        <w:numPr>
          <w:ilvl w:val="0"/>
          <w:numId w:val="26"/>
        </w:numPr>
        <w:contextualSpacing/>
        <w:rPr>
          <w:rFonts w:ascii="Palatino Linotype" w:hAnsi="Palatino Linotype"/>
          <w:color w:val="000000" w:themeColor="text1"/>
          <w:sz w:val="24"/>
          <w:szCs w:val="24"/>
        </w:rPr>
      </w:pPr>
      <w:r w:rsidRPr="009204E0">
        <w:rPr>
          <w:rFonts w:ascii="Palatino Linotype" w:hAnsi="Palatino Linotype"/>
          <w:color w:val="000000" w:themeColor="text1"/>
          <w:sz w:val="24"/>
          <w:szCs w:val="24"/>
        </w:rPr>
        <w:t>Projected number of participants who receive information regarding broadband plans in the community</w:t>
      </w:r>
      <w:r>
        <w:rPr>
          <w:rFonts w:ascii="Palatino Linotype" w:hAnsi="Palatino Linotype"/>
          <w:color w:val="000000" w:themeColor="text1"/>
          <w:sz w:val="24"/>
          <w:szCs w:val="24"/>
        </w:rPr>
        <w:t>.</w:t>
      </w:r>
    </w:p>
    <w:p w14:paraId="76D4C3F6" w14:textId="77777777" w:rsidR="00930BD6" w:rsidRPr="00AF35A5" w:rsidRDefault="00930BD6" w:rsidP="00930BD6">
      <w:pPr>
        <w:tabs>
          <w:tab w:val="left" w:pos="1440"/>
        </w:tabs>
        <w:rPr>
          <w:rFonts w:ascii="Palatino Linotype" w:hAnsi="Palatino Linotype"/>
          <w:color w:val="000000" w:themeColor="text1"/>
          <w:sz w:val="24"/>
          <w:szCs w:val="24"/>
        </w:rPr>
      </w:pPr>
    </w:p>
    <w:p w14:paraId="5B6E9B78" w14:textId="77777777" w:rsidR="00930BD6" w:rsidRPr="00AF35A5" w:rsidRDefault="00930BD6" w:rsidP="00930BD6">
      <w:pPr>
        <w:pStyle w:val="ListParagraph"/>
        <w:numPr>
          <w:ilvl w:val="0"/>
          <w:numId w:val="19"/>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Work Plan </w:t>
      </w:r>
    </w:p>
    <w:p w14:paraId="3D4F2209" w14:textId="77777777" w:rsidR="00930BD6" w:rsidRDefault="00930BD6" w:rsidP="00930BD6">
      <w:pPr>
        <w:pStyle w:val="ListParagraph"/>
        <w:numPr>
          <w:ilvl w:val="0"/>
          <w:numId w:val="21"/>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The Work Plan </w:t>
      </w:r>
      <w:r>
        <w:rPr>
          <w:rFonts w:ascii="Palatino Linotype" w:hAnsi="Palatino Linotype"/>
          <w:color w:val="000000" w:themeColor="text1"/>
          <w:sz w:val="24"/>
          <w:szCs w:val="24"/>
        </w:rPr>
        <w:t>should</w:t>
      </w:r>
      <w:r w:rsidRPr="00AF35A5">
        <w:rPr>
          <w:rFonts w:ascii="Palatino Linotype" w:hAnsi="Palatino Linotype"/>
          <w:color w:val="000000" w:themeColor="text1"/>
          <w:sz w:val="24"/>
          <w:szCs w:val="24"/>
        </w:rPr>
        <w:t xml:space="preserve"> include detailed functions, activities, and deliverables related to implementing the adoption program.  </w:t>
      </w:r>
    </w:p>
    <w:p w14:paraId="1FD98C23" w14:textId="77777777" w:rsidR="00930BD6" w:rsidRPr="00AF35A5" w:rsidRDefault="00930BD6" w:rsidP="00930BD6">
      <w:pPr>
        <w:pStyle w:val="ListParagraph"/>
        <w:numPr>
          <w:ilvl w:val="0"/>
          <w:numId w:val="21"/>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Work Plan should include a timeline identifying milestone dates for completion of key Work Plan activities and deliverables proposed to be funded; the timeline should describe each of the monthly milestones, including performance metrics to be accomplished;</w:t>
      </w:r>
    </w:p>
    <w:p w14:paraId="77E1DE86" w14:textId="77777777" w:rsidR="00930BD6" w:rsidRPr="00AF35A5" w:rsidRDefault="00930BD6" w:rsidP="00930BD6">
      <w:pPr>
        <w:pStyle w:val="ListParagraph"/>
        <w:numPr>
          <w:ilvl w:val="0"/>
          <w:numId w:val="21"/>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schedule may incorporate a ramp</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up period (a maximum of six months), followed by project deployment (a maximum of 24 months);</w:t>
      </w:r>
    </w:p>
    <w:p w14:paraId="2F22A348" w14:textId="77777777" w:rsidR="00930BD6" w:rsidRPr="00AF35A5" w:rsidRDefault="00930BD6" w:rsidP="00930BD6">
      <w:pPr>
        <w:pStyle w:val="ListParagraph"/>
        <w:numPr>
          <w:ilvl w:val="0"/>
          <w:numId w:val="21"/>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ramp</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up period will incorporate any training room </w:t>
      </w:r>
      <w:r>
        <w:rPr>
          <w:rFonts w:ascii="Palatino Linotype" w:hAnsi="Palatino Linotype"/>
          <w:color w:val="000000" w:themeColor="text1"/>
          <w:sz w:val="24"/>
          <w:szCs w:val="24"/>
        </w:rPr>
        <w:t xml:space="preserve">or computer room </w:t>
      </w:r>
      <w:r w:rsidRPr="00AF35A5">
        <w:rPr>
          <w:rFonts w:ascii="Palatino Linotype" w:hAnsi="Palatino Linotype"/>
          <w:color w:val="000000" w:themeColor="text1"/>
          <w:sz w:val="24"/>
          <w:szCs w:val="24"/>
        </w:rPr>
        <w:t>set</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up activities as well as community outreach;</w:t>
      </w:r>
    </w:p>
    <w:p w14:paraId="5EDECA82" w14:textId="77777777" w:rsidR="00930BD6" w:rsidRDefault="00930BD6" w:rsidP="00930BD6">
      <w:pPr>
        <w:pStyle w:val="ListParagraph"/>
        <w:numPr>
          <w:ilvl w:val="0"/>
          <w:numId w:val="21"/>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project deployment period is where activities to increase digital inclusion occur</w:t>
      </w:r>
      <w:r>
        <w:rPr>
          <w:rFonts w:ascii="Palatino Linotype" w:hAnsi="Palatino Linotype"/>
          <w:color w:val="000000" w:themeColor="text1"/>
          <w:sz w:val="24"/>
          <w:szCs w:val="24"/>
        </w:rPr>
        <w:t xml:space="preserve"> or</w:t>
      </w:r>
      <w:r w:rsidRPr="007C591A">
        <w:rPr>
          <w:rFonts w:ascii="Palatino Linotype" w:hAnsi="Palatino Linotype"/>
          <w:color w:val="000000" w:themeColor="text1"/>
          <w:sz w:val="24"/>
          <w:szCs w:val="24"/>
        </w:rPr>
        <w:t xml:space="preserve"> </w:t>
      </w:r>
      <w:r w:rsidRPr="00D856B3">
        <w:rPr>
          <w:rFonts w:ascii="Palatino Linotype" w:hAnsi="Palatino Linotype"/>
          <w:color w:val="000000" w:themeColor="text1"/>
          <w:sz w:val="24"/>
          <w:szCs w:val="24"/>
        </w:rPr>
        <w:t>where broadband access will be monitored</w:t>
      </w:r>
      <w:r w:rsidRPr="00AF35A5">
        <w:rPr>
          <w:rFonts w:ascii="Palatino Linotype" w:hAnsi="Palatino Linotype"/>
          <w:color w:val="000000" w:themeColor="text1"/>
          <w:sz w:val="24"/>
          <w:szCs w:val="24"/>
        </w:rPr>
        <w:t xml:space="preserve">; community outreach may be ongoing. </w:t>
      </w:r>
    </w:p>
    <w:p w14:paraId="240BD6C3" w14:textId="77777777" w:rsidR="00930BD6" w:rsidRPr="00FD0588" w:rsidRDefault="00930BD6" w:rsidP="00930BD6">
      <w:pPr>
        <w:pStyle w:val="ListParagraph"/>
        <w:tabs>
          <w:tab w:val="left" w:pos="1440"/>
        </w:tabs>
        <w:ind w:left="1080"/>
      </w:pPr>
    </w:p>
    <w:p w14:paraId="753AC224" w14:textId="77777777" w:rsidR="00930BD6" w:rsidRPr="00AF35A5" w:rsidRDefault="00930BD6" w:rsidP="00930BD6">
      <w:pPr>
        <w:pStyle w:val="ListParagraph"/>
        <w:keepNext/>
        <w:keepLines/>
        <w:numPr>
          <w:ilvl w:val="0"/>
          <w:numId w:val="19"/>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Performance Metrics Plan </w:t>
      </w:r>
    </w:p>
    <w:p w14:paraId="6A36CDF8" w14:textId="77777777" w:rsidR="00930BD6" w:rsidRPr="00AF35A5" w:rsidRDefault="00930BD6" w:rsidP="00930BD6">
      <w:pPr>
        <w:pStyle w:val="ListParagraph"/>
        <w:numPr>
          <w:ilvl w:val="0"/>
          <w:numId w:val="22"/>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A detailed description of how outcomes will be measured and tracked for reporting requirements (“milestone/completion” reports)</w:t>
      </w:r>
      <w:r>
        <w:rPr>
          <w:rFonts w:ascii="Palatino Linotype" w:hAnsi="Palatino Linotype"/>
          <w:color w:val="000000" w:themeColor="text1"/>
          <w:sz w:val="24"/>
          <w:szCs w:val="24"/>
        </w:rPr>
        <w:t>.  Outcomes include but are not limited to:</w:t>
      </w:r>
    </w:p>
    <w:p w14:paraId="53889CB4" w14:textId="77777777" w:rsidR="00930BD6" w:rsidRPr="00AF35A5" w:rsidRDefault="00930BD6" w:rsidP="00930BD6">
      <w:pPr>
        <w:pStyle w:val="ListParagraph"/>
        <w:numPr>
          <w:ilvl w:val="5"/>
          <w:numId w:val="12"/>
        </w:numPr>
        <w:ind w:left="1710" w:hanging="270"/>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total number of participants trained</w:t>
      </w:r>
      <w:r>
        <w:rPr>
          <w:rFonts w:ascii="Palatino Linotype" w:hAnsi="Palatino Linotype"/>
          <w:color w:val="000000" w:themeColor="text1"/>
          <w:sz w:val="24"/>
          <w:szCs w:val="24"/>
        </w:rPr>
        <w:t xml:space="preserve"> or provided access</w:t>
      </w:r>
      <w:r w:rsidRPr="00AF35A5">
        <w:rPr>
          <w:rFonts w:ascii="Palatino Linotype" w:hAnsi="Palatino Linotype"/>
          <w:color w:val="000000" w:themeColor="text1"/>
          <w:sz w:val="24"/>
          <w:szCs w:val="24"/>
        </w:rPr>
        <w:t>;</w:t>
      </w:r>
    </w:p>
    <w:p w14:paraId="3AF077AA" w14:textId="77777777" w:rsidR="00930BD6" w:rsidRPr="00AF35A5" w:rsidRDefault="00930BD6" w:rsidP="00930BD6">
      <w:pPr>
        <w:pStyle w:val="ListParagraph"/>
        <w:numPr>
          <w:ilvl w:val="5"/>
          <w:numId w:val="12"/>
        </w:numPr>
        <w:ind w:left="1710" w:hanging="270"/>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lastRenderedPageBreak/>
        <w:t xml:space="preserve">The total number of hours that </w:t>
      </w:r>
      <w:r>
        <w:rPr>
          <w:rFonts w:ascii="Palatino Linotype" w:hAnsi="Palatino Linotype"/>
          <w:color w:val="000000" w:themeColor="text1"/>
          <w:sz w:val="24"/>
          <w:szCs w:val="24"/>
        </w:rPr>
        <w:t xml:space="preserve">training or </w:t>
      </w:r>
      <w:r w:rsidRPr="00AF35A5">
        <w:rPr>
          <w:rFonts w:ascii="Palatino Linotype" w:hAnsi="Palatino Linotype"/>
          <w:color w:val="000000" w:themeColor="text1"/>
          <w:sz w:val="24"/>
          <w:szCs w:val="24"/>
        </w:rPr>
        <w:t>access has been provided to the community and the number of participants served;</w:t>
      </w:r>
    </w:p>
    <w:p w14:paraId="362B792B" w14:textId="77777777" w:rsidR="00930BD6" w:rsidRPr="00260670" w:rsidRDefault="00930BD6" w:rsidP="00930BD6">
      <w:pPr>
        <w:pStyle w:val="ListParagraph"/>
        <w:numPr>
          <w:ilvl w:val="5"/>
          <w:numId w:val="12"/>
        </w:numPr>
        <w:ind w:left="1710" w:hanging="270"/>
        <w:contextualSpacing/>
        <w:rPr>
          <w:rFonts w:ascii="Palatino Linotype" w:hAnsi="Palatino Linotype"/>
          <w:color w:val="000000" w:themeColor="text1"/>
          <w:sz w:val="24"/>
          <w:szCs w:val="24"/>
        </w:rPr>
      </w:pPr>
      <w:r w:rsidRPr="00260670">
        <w:rPr>
          <w:rFonts w:ascii="Palatino Linotype" w:hAnsi="Palatino Linotype"/>
          <w:color w:val="000000" w:themeColor="text1"/>
          <w:sz w:val="24"/>
          <w:szCs w:val="24"/>
        </w:rPr>
        <w:t xml:space="preserve">The number of participants that subsequently subscribe to a broadband Internet service provider to use a device in their home.  </w:t>
      </w:r>
    </w:p>
    <w:p w14:paraId="3CD43A3E" w14:textId="77777777" w:rsidR="00930BD6" w:rsidRPr="00AF35A5" w:rsidRDefault="00930BD6" w:rsidP="00930BD6">
      <w:pPr>
        <w:pStyle w:val="ListParagraph"/>
        <w:numPr>
          <w:ilvl w:val="0"/>
          <w:numId w:val="22"/>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Methods of tracking such as verification of subscription online, such as through ISPs, bill, surveys, sign</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in sheets, etc.</w:t>
      </w:r>
    </w:p>
    <w:p w14:paraId="34CB2B46" w14:textId="77777777" w:rsidR="00930BD6" w:rsidRPr="00AF35A5" w:rsidRDefault="00930BD6" w:rsidP="00930BD6">
      <w:pPr>
        <w:pStyle w:val="ListParagraph"/>
        <w:ind w:left="1440"/>
        <w:rPr>
          <w:rFonts w:ascii="Palatino Linotype" w:hAnsi="Palatino Linotype"/>
          <w:color w:val="000000" w:themeColor="text1"/>
          <w:sz w:val="24"/>
          <w:szCs w:val="24"/>
        </w:rPr>
      </w:pPr>
    </w:p>
    <w:p w14:paraId="7147F298" w14:textId="77777777" w:rsidR="00930BD6" w:rsidRPr="00AF35A5" w:rsidRDefault="00930BD6" w:rsidP="00930BD6">
      <w:pPr>
        <w:pStyle w:val="ListParagraph"/>
        <w:numPr>
          <w:ilvl w:val="0"/>
          <w:numId w:val="19"/>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Budget </w:t>
      </w:r>
    </w:p>
    <w:p w14:paraId="7032AD13" w14:textId="77777777" w:rsidR="00930BD6" w:rsidRPr="00AF35A5" w:rsidRDefault="00930BD6" w:rsidP="00930BD6">
      <w:pPr>
        <w:pStyle w:val="ListParagraph"/>
        <w:numPr>
          <w:ilvl w:val="0"/>
          <w:numId w:val="23"/>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A detailed breakdown of cost elements for the proposed project;</w:t>
      </w:r>
    </w:p>
    <w:p w14:paraId="6326957B" w14:textId="77777777" w:rsidR="00930BD6" w:rsidRPr="00AF35A5" w:rsidRDefault="00930BD6" w:rsidP="00930BD6">
      <w:pPr>
        <w:pStyle w:val="ListParagraph"/>
        <w:numPr>
          <w:ilvl w:val="0"/>
          <w:numId w:val="23"/>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A detailed breakdown of the instructor</w:t>
      </w:r>
      <w:r>
        <w:rPr>
          <w:rFonts w:ascii="Palatino Linotype" w:hAnsi="Palatino Linotype"/>
          <w:color w:val="000000" w:themeColor="text1"/>
          <w:sz w:val="24"/>
          <w:szCs w:val="24"/>
        </w:rPr>
        <w:t>/staff</w:t>
      </w:r>
      <w:r w:rsidRPr="00AF35A5">
        <w:rPr>
          <w:rFonts w:ascii="Palatino Linotype" w:hAnsi="Palatino Linotype"/>
          <w:color w:val="000000" w:themeColor="text1"/>
          <w:sz w:val="24"/>
          <w:szCs w:val="24"/>
        </w:rPr>
        <w:t xml:space="preserve"> pay rate relative to projected number of training </w:t>
      </w:r>
      <w:r>
        <w:rPr>
          <w:rFonts w:ascii="Palatino Linotype" w:hAnsi="Palatino Linotype"/>
          <w:color w:val="000000" w:themeColor="text1"/>
          <w:sz w:val="24"/>
          <w:szCs w:val="24"/>
        </w:rPr>
        <w:t xml:space="preserve">or access </w:t>
      </w:r>
      <w:r w:rsidRPr="00AF35A5">
        <w:rPr>
          <w:rFonts w:ascii="Palatino Linotype" w:hAnsi="Palatino Linotype"/>
          <w:color w:val="000000" w:themeColor="text1"/>
          <w:sz w:val="24"/>
          <w:szCs w:val="24"/>
        </w:rPr>
        <w:t>hours and prep time;</w:t>
      </w:r>
      <w:r>
        <w:rPr>
          <w:rFonts w:ascii="Palatino Linotype" w:hAnsi="Palatino Linotype"/>
          <w:color w:val="000000" w:themeColor="text1"/>
          <w:sz w:val="24"/>
          <w:szCs w:val="24"/>
        </w:rPr>
        <w:t xml:space="preserve"> and</w:t>
      </w:r>
    </w:p>
    <w:p w14:paraId="5A4178F5" w14:textId="77777777" w:rsidR="00930BD6" w:rsidRPr="00AF35A5" w:rsidRDefault="00930BD6" w:rsidP="00930BD6">
      <w:pPr>
        <w:pStyle w:val="ListParagraph"/>
        <w:numPr>
          <w:ilvl w:val="0"/>
          <w:numId w:val="23"/>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Availability of matching funds to be supplied by applicant and/or other sources.</w:t>
      </w:r>
    </w:p>
    <w:p w14:paraId="1CCA30B6" w14:textId="77777777" w:rsidR="00930BD6" w:rsidRDefault="00930BD6" w:rsidP="00930BD6">
      <w:pPr>
        <w:pStyle w:val="sub4"/>
        <w:spacing w:line="240" w:lineRule="auto"/>
        <w:ind w:left="720" w:firstLine="0"/>
        <w:rPr>
          <w:rFonts w:ascii="Palatino Linotype" w:hAnsi="Palatino Linotype"/>
          <w:color w:val="000000" w:themeColor="text1"/>
          <w:sz w:val="24"/>
          <w:szCs w:val="24"/>
        </w:rPr>
      </w:pPr>
    </w:p>
    <w:p w14:paraId="13BB8A90" w14:textId="77777777" w:rsidR="00930BD6" w:rsidRDefault="00930BD6" w:rsidP="00930BD6">
      <w:pPr>
        <w:pStyle w:val="ListParagraph"/>
        <w:numPr>
          <w:ilvl w:val="0"/>
          <w:numId w:val="19"/>
        </w:numPr>
        <w:contextualSpacing/>
        <w:rPr>
          <w:rFonts w:ascii="Palatino Linotype" w:hAnsi="Palatino Linotype"/>
          <w:color w:val="000000" w:themeColor="text1"/>
          <w:sz w:val="24"/>
          <w:szCs w:val="24"/>
        </w:rPr>
      </w:pPr>
      <w:r>
        <w:rPr>
          <w:rFonts w:ascii="Palatino Linotype" w:hAnsi="Palatino Linotype"/>
          <w:color w:val="000000" w:themeColor="text1"/>
          <w:sz w:val="24"/>
          <w:szCs w:val="24"/>
        </w:rPr>
        <w:t>Affidavit</w:t>
      </w:r>
    </w:p>
    <w:p w14:paraId="1CBF84FD" w14:textId="77777777" w:rsidR="00930BD6" w:rsidRPr="00296785" w:rsidRDefault="00930BD6" w:rsidP="00930BD6">
      <w:pPr>
        <w:pStyle w:val="ListParagraph"/>
        <w:numPr>
          <w:ilvl w:val="0"/>
          <w:numId w:val="31"/>
        </w:numPr>
        <w:contextualSpacing/>
        <w:rPr>
          <w:rFonts w:ascii="Palatino Linotype" w:hAnsi="Palatino Linotype"/>
          <w:color w:val="000000" w:themeColor="text1"/>
          <w:sz w:val="24"/>
          <w:szCs w:val="24"/>
        </w:rPr>
      </w:pPr>
      <w:r>
        <w:rPr>
          <w:rFonts w:ascii="Palatino Linotype" w:hAnsi="Palatino Linotype"/>
          <w:color w:val="000000" w:themeColor="text1"/>
          <w:sz w:val="24"/>
          <w:szCs w:val="24"/>
        </w:rPr>
        <w:t>All a</w:t>
      </w:r>
      <w:r w:rsidRPr="00296785">
        <w:rPr>
          <w:rFonts w:ascii="Palatino Linotype" w:hAnsi="Palatino Linotype"/>
          <w:color w:val="000000" w:themeColor="text1"/>
          <w:sz w:val="24"/>
          <w:szCs w:val="24"/>
        </w:rPr>
        <w:t>pplicant</w:t>
      </w:r>
      <w:r>
        <w:rPr>
          <w:rFonts w:ascii="Palatino Linotype" w:hAnsi="Palatino Linotype"/>
          <w:color w:val="000000" w:themeColor="text1"/>
          <w:sz w:val="24"/>
          <w:szCs w:val="24"/>
        </w:rPr>
        <w:t>s</w:t>
      </w:r>
      <w:r w:rsidRPr="00296785">
        <w:rPr>
          <w:rFonts w:ascii="Palatino Linotype" w:hAnsi="Palatino Linotype"/>
          <w:color w:val="000000" w:themeColor="text1"/>
          <w:sz w:val="24"/>
          <w:szCs w:val="24"/>
        </w:rPr>
        <w:t xml:space="preserve"> must submit an affidavit, under penalty of perjury, that to the best of their knowledge all the statements and representations made in the application information submitted is true and correct</w:t>
      </w:r>
      <w:r>
        <w:rPr>
          <w:rFonts w:ascii="Palatino Linotype" w:hAnsi="Palatino Linotype"/>
          <w:color w:val="000000" w:themeColor="text1"/>
          <w:sz w:val="24"/>
          <w:szCs w:val="24"/>
        </w:rPr>
        <w:t xml:space="preserve">. </w:t>
      </w:r>
      <w:r w:rsidRPr="00296785">
        <w:rPr>
          <w:rFonts w:ascii="Palatino Linotype" w:hAnsi="Palatino Linotype"/>
          <w:color w:val="000000" w:themeColor="text1"/>
          <w:sz w:val="24"/>
          <w:szCs w:val="24"/>
        </w:rPr>
        <w:t xml:space="preserve"> Additionally, an Applicant must also agree to abide by the Commission’s Rules of Practice and Procedure, be subject to Public Utilities Commission sections 2108 and 2111</w:t>
      </w:r>
      <w:r>
        <w:rPr>
          <w:rFonts w:ascii="Palatino Linotype" w:hAnsi="Palatino Linotype"/>
          <w:color w:val="000000" w:themeColor="text1"/>
          <w:sz w:val="24"/>
          <w:szCs w:val="24"/>
        </w:rPr>
        <w:t xml:space="preserve">.  </w:t>
      </w:r>
      <w:r w:rsidRPr="00296785">
        <w:rPr>
          <w:rFonts w:ascii="Palatino Linotype" w:hAnsi="Palatino Linotype"/>
          <w:color w:val="000000" w:themeColor="text1"/>
          <w:sz w:val="24"/>
          <w:szCs w:val="24"/>
        </w:rPr>
        <w:t xml:space="preserve">The Commission may impose the maximum penalties allowed under Public Utilities Code </w:t>
      </w:r>
      <w:r>
        <w:rPr>
          <w:rFonts w:ascii="Palatino Linotype" w:hAnsi="Palatino Linotype"/>
          <w:color w:val="000000" w:themeColor="text1"/>
          <w:sz w:val="24"/>
          <w:szCs w:val="24"/>
        </w:rPr>
        <w:t>sections 2</w:t>
      </w:r>
      <w:r w:rsidRPr="00296785">
        <w:rPr>
          <w:rFonts w:ascii="Palatino Linotype" w:hAnsi="Palatino Linotype"/>
          <w:color w:val="000000" w:themeColor="text1"/>
          <w:sz w:val="24"/>
          <w:szCs w:val="24"/>
        </w:rPr>
        <w:t>108 and 2111 for failure to meet the program and project compliance requirements, as determined by the Commission.</w:t>
      </w:r>
    </w:p>
    <w:p w14:paraId="7A5DAD1B" w14:textId="77777777" w:rsidR="00930BD6" w:rsidRPr="00296785" w:rsidRDefault="00930BD6" w:rsidP="00930BD6">
      <w:pPr>
        <w:pStyle w:val="ListParagraph"/>
        <w:ind w:left="1440"/>
        <w:rPr>
          <w:rFonts w:ascii="Palatino Linotype" w:hAnsi="Palatino Linotype"/>
          <w:color w:val="000000" w:themeColor="text1"/>
          <w:sz w:val="24"/>
          <w:szCs w:val="24"/>
        </w:rPr>
      </w:pPr>
    </w:p>
    <w:p w14:paraId="76C6E4C8" w14:textId="77777777" w:rsidR="00930BD6" w:rsidRPr="00892EC8" w:rsidRDefault="00930BD6" w:rsidP="00930BD6">
      <w:pPr>
        <w:pStyle w:val="Heading2"/>
        <w:numPr>
          <w:ilvl w:val="1"/>
          <w:numId w:val="10"/>
        </w:numPr>
      </w:pPr>
      <w:bookmarkStart w:id="588" w:name="_Toc505786737"/>
      <w:bookmarkStart w:id="589" w:name="_Toc514153037"/>
      <w:r w:rsidRPr="00AF35A5">
        <w:t>Evaluation Criteria</w:t>
      </w:r>
      <w:bookmarkEnd w:id="588"/>
      <w:bookmarkEnd w:id="589"/>
    </w:p>
    <w:p w14:paraId="4743D626" w14:textId="77777777" w:rsidR="00930BD6" w:rsidRPr="00AF35A5" w:rsidRDefault="00930BD6" w:rsidP="00930BD6">
      <w:pPr>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Applications will be evaluated based on meeting all the requirements in the Information Required from Applicants and Preference Checklist</w:t>
      </w:r>
      <w:r>
        <w:rPr>
          <w:rFonts w:ascii="Palatino Linotype" w:hAnsi="Palatino Linotype"/>
          <w:color w:val="000000" w:themeColor="text1"/>
          <w:sz w:val="24"/>
          <w:szCs w:val="24"/>
        </w:rPr>
        <w:t xml:space="preserve">.  Applicants are also required to conduct a pre and post implementation survey or report, and </w:t>
      </w:r>
      <w:r w:rsidRPr="00AF35A5">
        <w:rPr>
          <w:rFonts w:ascii="Palatino Linotype" w:hAnsi="Palatino Linotype"/>
          <w:color w:val="000000" w:themeColor="text1"/>
          <w:sz w:val="24"/>
          <w:szCs w:val="24"/>
        </w:rPr>
        <w:t>may</w:t>
      </w:r>
      <w:r>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 xml:space="preserve">submit endorsements or letters of support from the state or local government, community groups, and anchor institutions supporting their proposed adoption project. </w:t>
      </w:r>
      <w:r>
        <w:rPr>
          <w:rFonts w:ascii="Palatino Linotype" w:hAnsi="Palatino Linotype"/>
          <w:color w:val="000000" w:themeColor="text1"/>
          <w:sz w:val="24"/>
          <w:szCs w:val="24"/>
        </w:rPr>
        <w:t xml:space="preserve"> All applications will be reviewed, prioritized, and awarded based on completeness, overall quality, and project costs reasonableness.  </w:t>
      </w:r>
    </w:p>
    <w:p w14:paraId="107B55A3" w14:textId="77777777" w:rsidR="00930BD6" w:rsidRPr="00AF35A5" w:rsidRDefault="00930BD6" w:rsidP="00930BD6">
      <w:pPr>
        <w:pStyle w:val="ListParagraph"/>
        <w:rPr>
          <w:rFonts w:ascii="Palatino Linotype" w:hAnsi="Palatino Linotype"/>
          <w:color w:val="000000" w:themeColor="text1"/>
          <w:sz w:val="24"/>
          <w:szCs w:val="24"/>
        </w:rPr>
      </w:pPr>
      <w:r>
        <w:rPr>
          <w:rFonts w:ascii="Palatino Linotype" w:hAnsi="Palatino Linotype"/>
          <w:color w:val="000000" w:themeColor="text1"/>
          <w:sz w:val="24"/>
          <w:szCs w:val="24"/>
        </w:rPr>
        <w:t xml:space="preserve">  </w:t>
      </w:r>
    </w:p>
    <w:p w14:paraId="6690FBEB" w14:textId="77777777" w:rsidR="00930BD6" w:rsidRPr="00AF35A5" w:rsidRDefault="00930BD6" w:rsidP="00930BD6">
      <w:pPr>
        <w:pStyle w:val="Heading2"/>
        <w:numPr>
          <w:ilvl w:val="1"/>
          <w:numId w:val="10"/>
        </w:numPr>
      </w:pPr>
      <w:bookmarkStart w:id="590" w:name="_Toc505786738"/>
      <w:bookmarkStart w:id="591" w:name="_Toc514153038"/>
      <w:r w:rsidRPr="00AF35A5">
        <w:t>Submission and Timelines</w:t>
      </w:r>
      <w:bookmarkEnd w:id="590"/>
      <w:bookmarkEnd w:id="591"/>
      <w:r w:rsidRPr="00AF35A5">
        <w:t xml:space="preserve">  </w:t>
      </w:r>
    </w:p>
    <w:p w14:paraId="631D5EEE" w14:textId="77777777" w:rsidR="00930BD6" w:rsidRPr="00AF35A5"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The Commission </w:t>
      </w:r>
      <w:r>
        <w:rPr>
          <w:rFonts w:ascii="Palatino Linotype" w:hAnsi="Palatino Linotype"/>
          <w:color w:val="000000" w:themeColor="text1"/>
          <w:sz w:val="24"/>
          <w:szCs w:val="24"/>
        </w:rPr>
        <w:t xml:space="preserve">will begin </w:t>
      </w:r>
      <w:r w:rsidRPr="00AF35A5">
        <w:rPr>
          <w:rFonts w:ascii="Palatino Linotype" w:hAnsi="Palatino Linotype"/>
          <w:color w:val="000000" w:themeColor="text1"/>
          <w:sz w:val="24"/>
          <w:szCs w:val="24"/>
        </w:rPr>
        <w:t>accept</w:t>
      </w:r>
      <w:r>
        <w:rPr>
          <w:rFonts w:ascii="Palatino Linotype" w:hAnsi="Palatino Linotype"/>
          <w:color w:val="000000" w:themeColor="text1"/>
          <w:sz w:val="24"/>
          <w:szCs w:val="24"/>
        </w:rPr>
        <w:t>ing</w:t>
      </w:r>
      <w:r w:rsidRPr="00AF35A5">
        <w:rPr>
          <w:rFonts w:ascii="Palatino Linotype" w:hAnsi="Palatino Linotype"/>
          <w:color w:val="000000" w:themeColor="text1"/>
          <w:sz w:val="24"/>
          <w:szCs w:val="24"/>
        </w:rPr>
        <w:t xml:space="preserve"> applications for grants from the Broadband Adoption Account </w:t>
      </w:r>
      <w:r>
        <w:rPr>
          <w:rFonts w:ascii="Palatino Linotype" w:hAnsi="Palatino Linotype"/>
          <w:color w:val="000000" w:themeColor="text1"/>
          <w:sz w:val="24"/>
          <w:szCs w:val="24"/>
        </w:rPr>
        <w:t>on</w:t>
      </w:r>
      <w:r w:rsidRPr="00AF35A5">
        <w:rPr>
          <w:rFonts w:ascii="Palatino Linotype" w:hAnsi="Palatino Linotype"/>
          <w:color w:val="000000" w:themeColor="text1"/>
          <w:sz w:val="24"/>
          <w:szCs w:val="24"/>
        </w:rPr>
        <w:t xml:space="preserve"> July 1, 2018. </w:t>
      </w:r>
      <w:r>
        <w:rPr>
          <w:rFonts w:ascii="Palatino Linotype" w:hAnsi="Palatino Linotype"/>
          <w:color w:val="000000" w:themeColor="text1"/>
          <w:sz w:val="24"/>
          <w:szCs w:val="24"/>
        </w:rPr>
        <w:t xml:space="preserve"> Please refer to the Commission’s CASF website: </w:t>
      </w:r>
      <w:r w:rsidRPr="00D60605">
        <w:rPr>
          <w:rFonts w:ascii="Palatino Linotype" w:hAnsi="Palatino Linotype"/>
          <w:color w:val="000000" w:themeColor="text1"/>
          <w:sz w:val="24"/>
          <w:szCs w:val="24"/>
        </w:rPr>
        <w:lastRenderedPageBreak/>
        <w:t>http://www.cpuc.ca.gov/casf/</w:t>
      </w:r>
      <w:r>
        <w:rPr>
          <w:rFonts w:ascii="Palatino Linotype" w:hAnsi="Palatino Linotype"/>
          <w:color w:val="000000" w:themeColor="text1"/>
          <w:sz w:val="24"/>
          <w:szCs w:val="24"/>
        </w:rPr>
        <w:t xml:space="preserve"> for the application instructions and package for the Adoption Account.</w:t>
      </w:r>
    </w:p>
    <w:p w14:paraId="78CFB443" w14:textId="77777777" w:rsidR="00930BD6" w:rsidRPr="00AF35A5" w:rsidRDefault="00930BD6" w:rsidP="00930BD6">
      <w:pPr>
        <w:pStyle w:val="ListParagraph"/>
        <w:ind w:left="360"/>
        <w:rPr>
          <w:rFonts w:ascii="Palatino Linotype" w:hAnsi="Palatino Linotype"/>
          <w:color w:val="000000" w:themeColor="text1"/>
          <w:sz w:val="24"/>
          <w:szCs w:val="24"/>
        </w:rPr>
      </w:pPr>
    </w:p>
    <w:p w14:paraId="53436C71" w14:textId="77777777" w:rsidR="00930BD6"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Applications may be submitted at any time.  However, staff will consider applications submitted on or before each deadline listed below as a batch, until all funds have been awarded.  </w:t>
      </w:r>
      <w:r>
        <w:rPr>
          <w:rFonts w:ascii="Palatino Linotype" w:hAnsi="Palatino Linotype"/>
          <w:color w:val="000000" w:themeColor="text1"/>
          <w:sz w:val="24"/>
          <w:szCs w:val="24"/>
        </w:rPr>
        <w:t xml:space="preserve">Note that these application deadlines will also be posted, and updated (if needed), on the Commission’s CASF website: </w:t>
      </w:r>
      <w:hyperlink r:id="rId16" w:history="1">
        <w:r w:rsidRPr="00B60184">
          <w:rPr>
            <w:rStyle w:val="Hyperlink"/>
            <w:rFonts w:ascii="Palatino Linotype" w:hAnsi="Palatino Linotype"/>
            <w:sz w:val="24"/>
            <w:szCs w:val="24"/>
          </w:rPr>
          <w:t>http://www.cpuc.ca.gov/casf/</w:t>
        </w:r>
      </w:hyperlink>
    </w:p>
    <w:p w14:paraId="5CA41FDD" w14:textId="77777777" w:rsidR="00930BD6" w:rsidRPr="00AF35A5" w:rsidRDefault="00930BD6" w:rsidP="00930BD6">
      <w:pPr>
        <w:pStyle w:val="ListParagraph"/>
        <w:ind w:left="360"/>
        <w:rPr>
          <w:rFonts w:ascii="Palatino Linotype" w:hAnsi="Palatino Linotype"/>
          <w:color w:val="000000" w:themeColor="text1"/>
          <w:sz w:val="24"/>
          <w:szCs w:val="24"/>
        </w:rPr>
      </w:pPr>
    </w:p>
    <w:p w14:paraId="1F6741F2" w14:textId="77777777" w:rsidR="00930BD6" w:rsidRPr="00AF35A5"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Deadlines:</w:t>
      </w:r>
    </w:p>
    <w:p w14:paraId="5759A087" w14:textId="77777777" w:rsidR="00930BD6" w:rsidRPr="00690CE2" w:rsidRDefault="00930BD6" w:rsidP="00930BD6">
      <w:pPr>
        <w:pStyle w:val="ListParagraph"/>
        <w:numPr>
          <w:ilvl w:val="0"/>
          <w:numId w:val="24"/>
        </w:numPr>
        <w:autoSpaceDE w:val="0"/>
        <w:autoSpaceDN w:val="0"/>
        <w:adjustRightInd w:val="0"/>
        <w:spacing w:after="47"/>
        <w:contextualSpacing/>
        <w:rPr>
          <w:rFonts w:ascii="Book Antiqua" w:hAnsi="Book Antiqua"/>
          <w:szCs w:val="26"/>
        </w:rPr>
      </w:pPr>
      <w:bookmarkStart w:id="592" w:name="_Hlk534804720"/>
      <w:r>
        <w:rPr>
          <w:rFonts w:ascii="Book Antiqua" w:hAnsi="Book Antiqua"/>
          <w:szCs w:val="26"/>
        </w:rPr>
        <w:t>March</w:t>
      </w:r>
      <w:r w:rsidRPr="00690CE2">
        <w:rPr>
          <w:rFonts w:ascii="Book Antiqua" w:hAnsi="Book Antiqua"/>
          <w:szCs w:val="26"/>
        </w:rPr>
        <w:t xml:space="preserve"> 1, 2019 </w:t>
      </w:r>
    </w:p>
    <w:p w14:paraId="24703D0D" w14:textId="77777777" w:rsidR="00930BD6" w:rsidRPr="00690CE2" w:rsidRDefault="00930BD6" w:rsidP="00930BD6">
      <w:pPr>
        <w:pStyle w:val="ListParagraph"/>
        <w:numPr>
          <w:ilvl w:val="0"/>
          <w:numId w:val="24"/>
        </w:numPr>
        <w:autoSpaceDE w:val="0"/>
        <w:autoSpaceDN w:val="0"/>
        <w:adjustRightInd w:val="0"/>
        <w:spacing w:after="47"/>
        <w:contextualSpacing/>
        <w:rPr>
          <w:rFonts w:ascii="Book Antiqua" w:hAnsi="Book Antiqua"/>
          <w:szCs w:val="26"/>
        </w:rPr>
      </w:pPr>
      <w:r>
        <w:rPr>
          <w:rFonts w:ascii="Book Antiqua" w:hAnsi="Book Antiqua"/>
          <w:szCs w:val="26"/>
        </w:rPr>
        <w:t>August</w:t>
      </w:r>
      <w:r w:rsidRPr="00690CE2">
        <w:rPr>
          <w:rFonts w:ascii="Book Antiqua" w:hAnsi="Book Antiqua"/>
          <w:szCs w:val="26"/>
        </w:rPr>
        <w:t xml:space="preserve"> 1, 2019 </w:t>
      </w:r>
    </w:p>
    <w:p w14:paraId="00E2E5AE" w14:textId="77777777" w:rsidR="00930BD6" w:rsidRPr="00690CE2" w:rsidRDefault="00930BD6" w:rsidP="00930BD6">
      <w:pPr>
        <w:pStyle w:val="ListParagraph"/>
        <w:numPr>
          <w:ilvl w:val="0"/>
          <w:numId w:val="24"/>
        </w:numPr>
        <w:autoSpaceDE w:val="0"/>
        <w:autoSpaceDN w:val="0"/>
        <w:adjustRightInd w:val="0"/>
        <w:spacing w:after="47"/>
        <w:contextualSpacing/>
        <w:rPr>
          <w:rFonts w:ascii="Book Antiqua" w:hAnsi="Book Antiqua"/>
          <w:szCs w:val="26"/>
        </w:rPr>
      </w:pPr>
      <w:r w:rsidRPr="00690CE2">
        <w:rPr>
          <w:rFonts w:ascii="Book Antiqua" w:hAnsi="Book Antiqua"/>
          <w:szCs w:val="26"/>
        </w:rPr>
        <w:t xml:space="preserve">January 1, 2020 </w:t>
      </w:r>
    </w:p>
    <w:p w14:paraId="1B920267" w14:textId="77777777" w:rsidR="00930BD6" w:rsidRPr="00690CE2" w:rsidRDefault="00930BD6" w:rsidP="00930BD6">
      <w:pPr>
        <w:pStyle w:val="ListParagraph"/>
        <w:numPr>
          <w:ilvl w:val="0"/>
          <w:numId w:val="24"/>
        </w:numPr>
        <w:autoSpaceDE w:val="0"/>
        <w:autoSpaceDN w:val="0"/>
        <w:adjustRightInd w:val="0"/>
        <w:spacing w:after="47"/>
        <w:contextualSpacing/>
        <w:rPr>
          <w:rFonts w:ascii="Book Antiqua" w:hAnsi="Book Antiqua"/>
          <w:szCs w:val="26"/>
        </w:rPr>
      </w:pPr>
      <w:r w:rsidRPr="00690CE2">
        <w:rPr>
          <w:rFonts w:ascii="Book Antiqua" w:hAnsi="Book Antiqua"/>
          <w:szCs w:val="26"/>
        </w:rPr>
        <w:t xml:space="preserve">July 1, 2020 </w:t>
      </w:r>
    </w:p>
    <w:p w14:paraId="4B72FA1E" w14:textId="77777777" w:rsidR="00930BD6" w:rsidRPr="00690CE2" w:rsidRDefault="00930BD6" w:rsidP="00930BD6">
      <w:pPr>
        <w:pStyle w:val="ListParagraph"/>
        <w:numPr>
          <w:ilvl w:val="0"/>
          <w:numId w:val="24"/>
        </w:numPr>
        <w:autoSpaceDE w:val="0"/>
        <w:autoSpaceDN w:val="0"/>
        <w:adjustRightInd w:val="0"/>
        <w:spacing w:after="47"/>
        <w:contextualSpacing/>
        <w:rPr>
          <w:rFonts w:ascii="Book Antiqua" w:hAnsi="Book Antiqua"/>
          <w:szCs w:val="26"/>
        </w:rPr>
      </w:pPr>
      <w:r w:rsidRPr="00690CE2">
        <w:rPr>
          <w:rFonts w:ascii="Book Antiqua" w:hAnsi="Book Antiqua"/>
          <w:szCs w:val="26"/>
        </w:rPr>
        <w:t xml:space="preserve">January 1, 2021 </w:t>
      </w:r>
    </w:p>
    <w:p w14:paraId="14F227EE" w14:textId="77777777" w:rsidR="00930BD6" w:rsidRDefault="00930BD6" w:rsidP="00930BD6">
      <w:pPr>
        <w:pStyle w:val="ListParagraph"/>
        <w:numPr>
          <w:ilvl w:val="0"/>
          <w:numId w:val="24"/>
        </w:numPr>
        <w:autoSpaceDE w:val="0"/>
        <w:autoSpaceDN w:val="0"/>
        <w:adjustRightInd w:val="0"/>
        <w:spacing w:after="47"/>
        <w:contextualSpacing/>
        <w:rPr>
          <w:rFonts w:ascii="Book Antiqua" w:hAnsi="Book Antiqua"/>
          <w:szCs w:val="26"/>
        </w:rPr>
      </w:pPr>
      <w:r w:rsidRPr="00394C12">
        <w:rPr>
          <w:rFonts w:ascii="Book Antiqua" w:hAnsi="Book Antiqua"/>
          <w:szCs w:val="26"/>
        </w:rPr>
        <w:t xml:space="preserve">July 1, 2021 </w:t>
      </w:r>
    </w:p>
    <w:p w14:paraId="28F29B25" w14:textId="77777777" w:rsidR="00930BD6" w:rsidRPr="00394C12" w:rsidRDefault="00930BD6" w:rsidP="00930BD6">
      <w:pPr>
        <w:pStyle w:val="ListParagraph"/>
        <w:numPr>
          <w:ilvl w:val="0"/>
          <w:numId w:val="24"/>
        </w:numPr>
        <w:autoSpaceDE w:val="0"/>
        <w:autoSpaceDN w:val="0"/>
        <w:adjustRightInd w:val="0"/>
        <w:spacing w:after="47"/>
        <w:contextualSpacing/>
        <w:rPr>
          <w:rFonts w:ascii="Book Antiqua" w:hAnsi="Book Antiqua"/>
          <w:szCs w:val="26"/>
        </w:rPr>
      </w:pPr>
      <w:r w:rsidRPr="00394C12">
        <w:rPr>
          <w:rFonts w:ascii="Book Antiqua" w:hAnsi="Book Antiqua"/>
          <w:szCs w:val="26"/>
        </w:rPr>
        <w:t xml:space="preserve">January 1, 2022 </w:t>
      </w:r>
    </w:p>
    <w:p w14:paraId="7E36B16E" w14:textId="77777777" w:rsidR="00930BD6" w:rsidRPr="00690CE2" w:rsidRDefault="00930BD6" w:rsidP="00930BD6">
      <w:pPr>
        <w:pStyle w:val="ListParagraph"/>
        <w:numPr>
          <w:ilvl w:val="0"/>
          <w:numId w:val="24"/>
        </w:numPr>
        <w:autoSpaceDE w:val="0"/>
        <w:autoSpaceDN w:val="0"/>
        <w:adjustRightInd w:val="0"/>
        <w:spacing w:after="47"/>
        <w:contextualSpacing/>
        <w:rPr>
          <w:rFonts w:ascii="Book Antiqua" w:hAnsi="Book Antiqua"/>
          <w:szCs w:val="26"/>
        </w:rPr>
      </w:pPr>
      <w:r w:rsidRPr="00690CE2">
        <w:rPr>
          <w:rFonts w:ascii="Book Antiqua" w:hAnsi="Book Antiqua"/>
          <w:szCs w:val="26"/>
        </w:rPr>
        <w:t>July 1, 2022</w:t>
      </w:r>
    </w:p>
    <w:bookmarkEnd w:id="592"/>
    <w:p w14:paraId="1341C4BF" w14:textId="77777777" w:rsidR="00930BD6" w:rsidRPr="00AF35A5" w:rsidRDefault="00930BD6" w:rsidP="00930BD6">
      <w:pPr>
        <w:pStyle w:val="ListParagraph"/>
        <w:ind w:left="360"/>
        <w:rPr>
          <w:rFonts w:ascii="Palatino Linotype" w:hAnsi="Palatino Linotype"/>
          <w:color w:val="000000" w:themeColor="text1"/>
          <w:sz w:val="24"/>
          <w:szCs w:val="24"/>
        </w:rPr>
      </w:pPr>
    </w:p>
    <w:p w14:paraId="5D25898F" w14:textId="77777777" w:rsidR="00930BD6" w:rsidRPr="00AF35A5"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Any deadline falling on a holiday or a weekend will be extended to the following business day.</w:t>
      </w:r>
    </w:p>
    <w:p w14:paraId="041B194E" w14:textId="77777777" w:rsidR="00930BD6" w:rsidRPr="00AF35A5" w:rsidRDefault="00930BD6" w:rsidP="00930BD6">
      <w:pPr>
        <w:pStyle w:val="ListParagraph"/>
        <w:ind w:left="360"/>
        <w:rPr>
          <w:rFonts w:ascii="Palatino Linotype" w:hAnsi="Palatino Linotype"/>
          <w:color w:val="000000" w:themeColor="text1"/>
          <w:sz w:val="24"/>
          <w:szCs w:val="24"/>
        </w:rPr>
      </w:pPr>
    </w:p>
    <w:p w14:paraId="1EA67D76" w14:textId="77777777" w:rsidR="00930BD6" w:rsidRPr="00AF35A5"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Staff will post a list of applicants and projects submitted by the deadline on the CASF webpage.  Further, where possible, staff will post regular updates on applications on the CASF webpage.     </w:t>
      </w:r>
    </w:p>
    <w:p w14:paraId="7427CD37" w14:textId="77777777" w:rsidR="00930BD6" w:rsidRPr="00AF35A5" w:rsidRDefault="00930BD6" w:rsidP="00930BD6">
      <w:pPr>
        <w:pStyle w:val="ListParagraph"/>
        <w:ind w:left="360"/>
        <w:rPr>
          <w:rFonts w:ascii="Palatino Linotype" w:hAnsi="Palatino Linotype"/>
          <w:color w:val="000000" w:themeColor="text1"/>
          <w:sz w:val="24"/>
          <w:szCs w:val="24"/>
        </w:rPr>
      </w:pPr>
    </w:p>
    <w:p w14:paraId="35F89D69" w14:textId="77777777" w:rsidR="00930BD6" w:rsidRPr="00AF35A5" w:rsidRDefault="00930BD6" w:rsidP="00930BD6">
      <w:pPr>
        <w:pStyle w:val="Heading2"/>
        <w:numPr>
          <w:ilvl w:val="1"/>
          <w:numId w:val="10"/>
        </w:numPr>
      </w:pPr>
      <w:bookmarkStart w:id="593" w:name="_Toc505786739"/>
      <w:bookmarkStart w:id="594" w:name="_Toc514153039"/>
      <w:r w:rsidRPr="00AF35A5">
        <w:t>Expedited Review</w:t>
      </w:r>
      <w:bookmarkEnd w:id="593"/>
      <w:bookmarkEnd w:id="594"/>
    </w:p>
    <w:p w14:paraId="1DBB8450" w14:textId="77777777" w:rsidR="00930BD6" w:rsidRPr="005A6075" w:rsidRDefault="00930BD6" w:rsidP="00930BD6">
      <w:pPr>
        <w:pStyle w:val="Heading5"/>
        <w:numPr>
          <w:ilvl w:val="4"/>
          <w:numId w:val="10"/>
        </w:numPr>
        <w:tabs>
          <w:tab w:val="clear" w:pos="1980"/>
        </w:tabs>
        <w:spacing w:before="0" w:after="0"/>
        <w:ind w:left="360"/>
        <w:rPr>
          <w:rFonts w:ascii="Palatino Linotype" w:hAnsi="Palatino Linotype"/>
          <w:b w:val="0"/>
          <w:color w:val="000000" w:themeColor="text1"/>
          <w:sz w:val="24"/>
          <w:szCs w:val="24"/>
        </w:rPr>
      </w:pPr>
      <w:bookmarkStart w:id="595" w:name="_Toc514153040"/>
      <w:r w:rsidRPr="005A6075">
        <w:rPr>
          <w:rFonts w:ascii="Palatino Linotype" w:hAnsi="Palatino Linotype"/>
          <w:b w:val="0"/>
          <w:color w:val="000000" w:themeColor="text1"/>
          <w:sz w:val="24"/>
          <w:szCs w:val="24"/>
        </w:rPr>
        <w:t xml:space="preserve">Projects meeting the below criteria may be eligible for expedited review. </w:t>
      </w:r>
    </w:p>
    <w:bookmarkEnd w:id="595"/>
    <w:p w14:paraId="3DCFA942" w14:textId="77777777" w:rsidR="00930BD6" w:rsidRPr="00AF35A5"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Commission assigns to staff the task of approving applications that meet all of the following criteria:</w:t>
      </w:r>
    </w:p>
    <w:p w14:paraId="629D2BA8" w14:textId="77777777" w:rsidR="00930BD6" w:rsidRPr="00AF35A5" w:rsidRDefault="00930BD6" w:rsidP="00930BD6">
      <w:pPr>
        <w:pStyle w:val="ListParagraph"/>
        <w:numPr>
          <w:ilvl w:val="0"/>
          <w:numId w:val="27"/>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is proposing to serve a low</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income population</w:t>
      </w:r>
      <w:r>
        <w:rPr>
          <w:rFonts w:ascii="Palatino Linotype" w:hAnsi="Palatino Linotype"/>
          <w:color w:val="000000" w:themeColor="text1"/>
          <w:sz w:val="24"/>
          <w:szCs w:val="24"/>
        </w:rPr>
        <w:t>;</w:t>
      </w:r>
    </w:p>
    <w:p w14:paraId="42A0AE56" w14:textId="77777777" w:rsidR="00930BD6" w:rsidRPr="00AF35A5" w:rsidRDefault="00930BD6" w:rsidP="00930BD6">
      <w:pPr>
        <w:pStyle w:val="ListParagraph"/>
        <w:numPr>
          <w:ilvl w:val="0"/>
          <w:numId w:val="27"/>
        </w:numPr>
        <w:contextualSpacing/>
        <w:rPr>
          <w:rFonts w:ascii="Palatino Linotype" w:hAnsi="Palatino Linotype"/>
          <w:color w:val="000000" w:themeColor="text1"/>
          <w:sz w:val="24"/>
          <w:szCs w:val="24"/>
        </w:rPr>
      </w:pPr>
      <w:r>
        <w:rPr>
          <w:rFonts w:ascii="Palatino Linotype" w:hAnsi="Palatino Linotype"/>
          <w:color w:val="000000" w:themeColor="text1"/>
          <w:sz w:val="24"/>
          <w:szCs w:val="24"/>
        </w:rPr>
        <w:t>A</w:t>
      </w:r>
      <w:r w:rsidRPr="00AF35A5">
        <w:rPr>
          <w:rFonts w:ascii="Palatino Linotype" w:hAnsi="Palatino Linotype"/>
          <w:color w:val="000000" w:themeColor="text1"/>
          <w:sz w:val="24"/>
          <w:szCs w:val="24"/>
        </w:rPr>
        <w:t>pplicant is a local government, senior center, school, public library, nonprofit organization, or community</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based organization with programs to increase publicly available or after</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school broadband access and digital inclusion, such as digital literacy training programs</w:t>
      </w:r>
      <w:r>
        <w:rPr>
          <w:rFonts w:ascii="Palatino Linotype" w:hAnsi="Palatino Linotype"/>
          <w:color w:val="000000" w:themeColor="text1"/>
          <w:sz w:val="24"/>
          <w:szCs w:val="24"/>
        </w:rPr>
        <w:t>;</w:t>
      </w:r>
    </w:p>
    <w:p w14:paraId="294CFF12" w14:textId="77777777" w:rsidR="00930BD6" w:rsidRPr="00AF35A5" w:rsidRDefault="00930BD6" w:rsidP="00930BD6">
      <w:pPr>
        <w:pStyle w:val="ListParagraph"/>
        <w:numPr>
          <w:ilvl w:val="0"/>
          <w:numId w:val="27"/>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requests a grant of $100,000 or less</w:t>
      </w:r>
      <w:r>
        <w:rPr>
          <w:rFonts w:ascii="Palatino Linotype" w:hAnsi="Palatino Linotype"/>
          <w:color w:val="000000" w:themeColor="text1"/>
          <w:sz w:val="24"/>
          <w:szCs w:val="24"/>
        </w:rPr>
        <w:t>;</w:t>
      </w:r>
    </w:p>
    <w:p w14:paraId="09E2299D" w14:textId="77777777" w:rsidR="00930BD6" w:rsidRPr="00AF35A5" w:rsidRDefault="00930BD6" w:rsidP="00930BD6">
      <w:pPr>
        <w:pStyle w:val="ListParagraph"/>
        <w:numPr>
          <w:ilvl w:val="0"/>
          <w:numId w:val="27"/>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agrees to perform education and outreach to educate the community of available broadband Internet services</w:t>
      </w:r>
      <w:r>
        <w:rPr>
          <w:rFonts w:ascii="Palatino Linotype" w:hAnsi="Palatino Linotype"/>
          <w:color w:val="000000" w:themeColor="text1"/>
          <w:sz w:val="24"/>
          <w:szCs w:val="24"/>
        </w:rPr>
        <w:t>;</w:t>
      </w:r>
    </w:p>
    <w:p w14:paraId="446317DE" w14:textId="77777777" w:rsidR="00930BD6" w:rsidRPr="007968B0" w:rsidRDefault="00930BD6" w:rsidP="00930BD6">
      <w:pPr>
        <w:pStyle w:val="ListParagraph"/>
        <w:numPr>
          <w:ilvl w:val="0"/>
          <w:numId w:val="27"/>
        </w:numPr>
        <w:contextualSpacing/>
        <w:rPr>
          <w:rFonts w:ascii="Palatino Linotype" w:hAnsi="Palatino Linotype"/>
          <w:color w:val="000000" w:themeColor="text1"/>
          <w:sz w:val="24"/>
          <w:szCs w:val="24"/>
        </w:rPr>
      </w:pPr>
      <w:r w:rsidRPr="007968B0">
        <w:rPr>
          <w:rFonts w:ascii="Palatino Linotype" w:hAnsi="Palatino Linotype"/>
          <w:color w:val="000000" w:themeColor="text1"/>
          <w:sz w:val="24"/>
          <w:szCs w:val="24"/>
        </w:rPr>
        <w:lastRenderedPageBreak/>
        <w:t>Applicant’s requested reimburs</w:t>
      </w:r>
      <w:r>
        <w:rPr>
          <w:rFonts w:ascii="Palatino Linotype" w:hAnsi="Palatino Linotype"/>
          <w:color w:val="000000" w:themeColor="text1"/>
          <w:sz w:val="24"/>
          <w:szCs w:val="24"/>
        </w:rPr>
        <w:t>ement</w:t>
      </w:r>
      <w:r w:rsidRPr="007968B0">
        <w:rPr>
          <w:rFonts w:ascii="Palatino Linotype" w:hAnsi="Palatino Linotype"/>
          <w:color w:val="000000" w:themeColor="text1"/>
          <w:sz w:val="24"/>
          <w:szCs w:val="24"/>
        </w:rPr>
        <w:t xml:space="preserve"> for computing devices for community training rooms or other public space, is no more than $750 per device, with a maximum of 15 devices per location;</w:t>
      </w:r>
    </w:p>
    <w:p w14:paraId="28978374" w14:textId="77777777" w:rsidR="00930BD6" w:rsidRPr="007968B0" w:rsidRDefault="00930BD6" w:rsidP="00930BD6">
      <w:pPr>
        <w:pStyle w:val="ListParagraph"/>
        <w:numPr>
          <w:ilvl w:val="0"/>
          <w:numId w:val="27"/>
        </w:numPr>
        <w:contextualSpacing/>
        <w:rPr>
          <w:rFonts w:ascii="Palatino Linotype" w:hAnsi="Palatino Linotype"/>
          <w:color w:val="000000" w:themeColor="text1"/>
          <w:sz w:val="24"/>
          <w:szCs w:val="24"/>
        </w:rPr>
      </w:pPr>
      <w:r w:rsidRPr="007968B0">
        <w:rPr>
          <w:rFonts w:ascii="Palatino Linotype" w:hAnsi="Palatino Linotype"/>
          <w:color w:val="000000" w:themeColor="text1"/>
          <w:sz w:val="24"/>
          <w:szCs w:val="24"/>
        </w:rPr>
        <w:t>Project provides device technical support responses within 24 hours.</w:t>
      </w:r>
    </w:p>
    <w:p w14:paraId="579AD0E1" w14:textId="77777777" w:rsidR="00930BD6" w:rsidRPr="007968B0" w:rsidRDefault="00930BD6" w:rsidP="00930BD6">
      <w:pPr>
        <w:pStyle w:val="ListParagraph"/>
        <w:numPr>
          <w:ilvl w:val="0"/>
          <w:numId w:val="27"/>
        </w:numPr>
        <w:contextualSpacing/>
        <w:rPr>
          <w:rFonts w:ascii="Palatino Linotype" w:hAnsi="Palatino Linotype"/>
          <w:color w:val="000000" w:themeColor="text1"/>
          <w:sz w:val="24"/>
          <w:szCs w:val="24"/>
        </w:rPr>
      </w:pPr>
      <w:r w:rsidRPr="007968B0">
        <w:rPr>
          <w:rFonts w:ascii="Palatino Linotype" w:hAnsi="Palatino Linotype"/>
          <w:color w:val="000000" w:themeColor="text1"/>
          <w:sz w:val="24"/>
          <w:szCs w:val="24"/>
        </w:rPr>
        <w:t>Device technical support (not network), either by phone or in person, will be able to respond within 24 hours.  Refurbished devices will have at least a six</w:t>
      </w:r>
      <w:r>
        <w:rPr>
          <w:rFonts w:ascii="Palatino Linotype" w:hAnsi="Palatino Linotype"/>
          <w:color w:val="000000" w:themeColor="text1"/>
          <w:sz w:val="24"/>
          <w:szCs w:val="24"/>
        </w:rPr>
        <w:noBreakHyphen/>
      </w:r>
      <w:r w:rsidRPr="007968B0">
        <w:rPr>
          <w:rFonts w:ascii="Palatino Linotype" w:hAnsi="Palatino Linotype"/>
          <w:color w:val="000000" w:themeColor="text1"/>
          <w:sz w:val="24"/>
          <w:szCs w:val="24"/>
        </w:rPr>
        <w:t>month warranty. New devices will have at least a 30</w:t>
      </w:r>
      <w:r>
        <w:rPr>
          <w:rFonts w:ascii="Palatino Linotype" w:hAnsi="Palatino Linotype"/>
          <w:color w:val="000000" w:themeColor="text1"/>
          <w:sz w:val="24"/>
          <w:szCs w:val="24"/>
        </w:rPr>
        <w:noBreakHyphen/>
      </w:r>
      <w:r w:rsidRPr="007968B0">
        <w:rPr>
          <w:rFonts w:ascii="Palatino Linotype" w:hAnsi="Palatino Linotype"/>
          <w:color w:val="000000" w:themeColor="text1"/>
          <w:sz w:val="24"/>
          <w:szCs w:val="24"/>
        </w:rPr>
        <w:t xml:space="preserve">day warranty. </w:t>
      </w:r>
    </w:p>
    <w:p w14:paraId="694C3C79" w14:textId="77777777" w:rsidR="00930BD6" w:rsidRPr="00AF35A5" w:rsidRDefault="00930BD6" w:rsidP="00930BD6">
      <w:pPr>
        <w:pStyle w:val="ListParagraph"/>
        <w:numPr>
          <w:ilvl w:val="0"/>
          <w:numId w:val="27"/>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has identified a designated space for digital literacy training</w:t>
      </w:r>
      <w:r>
        <w:rPr>
          <w:rFonts w:ascii="Palatino Linotype" w:hAnsi="Palatino Linotype"/>
          <w:color w:val="000000" w:themeColor="text1"/>
          <w:sz w:val="24"/>
          <w:szCs w:val="24"/>
        </w:rPr>
        <w:t xml:space="preserve"> or broadband access;</w:t>
      </w:r>
      <w:r w:rsidRPr="00AF35A5">
        <w:rPr>
          <w:rFonts w:ascii="Palatino Linotype" w:hAnsi="Palatino Linotype"/>
          <w:color w:val="000000" w:themeColor="text1"/>
          <w:sz w:val="24"/>
          <w:szCs w:val="24"/>
        </w:rPr>
        <w:t xml:space="preserve"> </w:t>
      </w:r>
    </w:p>
    <w:p w14:paraId="2CB8EE03" w14:textId="77777777" w:rsidR="00930BD6" w:rsidRPr="00AF35A5" w:rsidRDefault="00930BD6" w:rsidP="00930BD6">
      <w:pPr>
        <w:pStyle w:val="ListParagraph"/>
        <w:numPr>
          <w:ilvl w:val="0"/>
          <w:numId w:val="27"/>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Applicants must be ready to provide classes within six months of being selected for a CASF grant and must submit a work plan with major milestones showing how they propose to meet this deadline</w:t>
      </w:r>
      <w:r>
        <w:rPr>
          <w:rFonts w:ascii="Palatino Linotype" w:hAnsi="Palatino Linotype"/>
          <w:color w:val="000000" w:themeColor="text1"/>
          <w:sz w:val="24"/>
          <w:szCs w:val="24"/>
        </w:rPr>
        <w:t>; and</w:t>
      </w:r>
    </w:p>
    <w:p w14:paraId="4D8FACD3" w14:textId="77777777" w:rsidR="00930BD6" w:rsidRPr="00AF35A5" w:rsidRDefault="00930BD6" w:rsidP="00930BD6">
      <w:pPr>
        <w:pStyle w:val="ListParagraph"/>
        <w:numPr>
          <w:ilvl w:val="0"/>
          <w:numId w:val="27"/>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Applicants must </w:t>
      </w:r>
      <w:r>
        <w:rPr>
          <w:rFonts w:ascii="Palatino Linotype" w:hAnsi="Palatino Linotype"/>
          <w:color w:val="000000" w:themeColor="text1"/>
          <w:sz w:val="24"/>
          <w:szCs w:val="24"/>
        </w:rPr>
        <w:t>complete</w:t>
      </w:r>
      <w:r w:rsidRPr="00AF35A5">
        <w:rPr>
          <w:rFonts w:ascii="Palatino Linotype" w:hAnsi="Palatino Linotype"/>
          <w:color w:val="000000" w:themeColor="text1"/>
          <w:sz w:val="24"/>
          <w:szCs w:val="24"/>
        </w:rPr>
        <w:t xml:space="preserve"> the adoption project </w:t>
      </w:r>
      <w:r>
        <w:rPr>
          <w:rFonts w:ascii="Palatino Linotype" w:hAnsi="Palatino Linotype"/>
          <w:color w:val="000000" w:themeColor="text1"/>
          <w:sz w:val="24"/>
          <w:szCs w:val="24"/>
        </w:rPr>
        <w:t>within</w:t>
      </w:r>
      <w:r w:rsidRPr="00AF35A5">
        <w:rPr>
          <w:rFonts w:ascii="Palatino Linotype" w:hAnsi="Palatino Linotype"/>
          <w:color w:val="000000" w:themeColor="text1"/>
          <w:sz w:val="24"/>
          <w:szCs w:val="24"/>
        </w:rPr>
        <w:t xml:space="preserve"> 24 months </w:t>
      </w:r>
      <w:r>
        <w:rPr>
          <w:rFonts w:ascii="Palatino Linotype" w:hAnsi="Palatino Linotype"/>
          <w:color w:val="000000" w:themeColor="text1"/>
          <w:sz w:val="24"/>
          <w:szCs w:val="24"/>
        </w:rPr>
        <w:t xml:space="preserve">from the ramp up period, </w:t>
      </w:r>
      <w:r w:rsidRPr="00AF35A5">
        <w:rPr>
          <w:rFonts w:ascii="Palatino Linotype" w:hAnsi="Palatino Linotype"/>
          <w:color w:val="000000" w:themeColor="text1"/>
          <w:sz w:val="24"/>
          <w:szCs w:val="24"/>
        </w:rPr>
        <w:t xml:space="preserve">or </w:t>
      </w:r>
      <w:r>
        <w:rPr>
          <w:rFonts w:ascii="Palatino Linotype" w:hAnsi="Palatino Linotype"/>
          <w:color w:val="000000" w:themeColor="text1"/>
          <w:sz w:val="24"/>
          <w:szCs w:val="24"/>
        </w:rPr>
        <w:t>earlier if</w:t>
      </w:r>
      <w:r w:rsidRPr="00AF35A5">
        <w:rPr>
          <w:rFonts w:ascii="Palatino Linotype" w:hAnsi="Palatino Linotype"/>
          <w:color w:val="000000" w:themeColor="text1"/>
          <w:sz w:val="24"/>
          <w:szCs w:val="24"/>
        </w:rPr>
        <w:t xml:space="preserve"> work plan milestones/deliverables have been accomplished.  </w:t>
      </w:r>
    </w:p>
    <w:p w14:paraId="1BE5FC49" w14:textId="77777777" w:rsidR="00930BD6" w:rsidRDefault="00930BD6" w:rsidP="00930BD6">
      <w:pPr>
        <w:pStyle w:val="Heading5"/>
        <w:numPr>
          <w:ilvl w:val="4"/>
          <w:numId w:val="10"/>
        </w:numPr>
        <w:tabs>
          <w:tab w:val="clear" w:pos="1980"/>
        </w:tabs>
        <w:spacing w:before="0" w:after="0"/>
        <w:ind w:left="360"/>
        <w:rPr>
          <w:rFonts w:ascii="Palatino Linotype" w:hAnsi="Palatino Linotype"/>
          <w:i/>
          <w:color w:val="000000" w:themeColor="text1"/>
          <w:sz w:val="24"/>
          <w:szCs w:val="24"/>
        </w:rPr>
      </w:pPr>
    </w:p>
    <w:p w14:paraId="610C49FE" w14:textId="77777777" w:rsidR="00930BD6" w:rsidRPr="002467DD" w:rsidRDefault="00930BD6" w:rsidP="00930BD6">
      <w:pPr>
        <w:pStyle w:val="Heading5"/>
        <w:numPr>
          <w:ilvl w:val="4"/>
          <w:numId w:val="10"/>
        </w:numPr>
        <w:tabs>
          <w:tab w:val="clear" w:pos="1980"/>
        </w:tabs>
        <w:spacing w:before="0" w:after="0"/>
        <w:ind w:left="360"/>
        <w:rPr>
          <w:rFonts w:ascii="Palatino Linotype" w:hAnsi="Palatino Linotype"/>
          <w:i/>
          <w:color w:val="000000" w:themeColor="text1"/>
          <w:sz w:val="24"/>
          <w:szCs w:val="24"/>
        </w:rPr>
      </w:pPr>
      <w:r w:rsidRPr="00B74875">
        <w:rPr>
          <w:rFonts w:ascii="Palatino Linotype" w:hAnsi="Palatino Linotype"/>
          <w:i/>
          <w:color w:val="000000" w:themeColor="text1"/>
          <w:sz w:val="24"/>
          <w:szCs w:val="24"/>
        </w:rPr>
        <w:t>Additional</w:t>
      </w:r>
      <w:r w:rsidRPr="002467DD">
        <w:rPr>
          <w:rFonts w:ascii="Palatino Linotype" w:hAnsi="Palatino Linotype"/>
          <w:i/>
          <w:color w:val="000000" w:themeColor="text1"/>
          <w:sz w:val="24"/>
          <w:szCs w:val="24"/>
        </w:rPr>
        <w:t xml:space="preserve"> </w:t>
      </w:r>
      <w:r>
        <w:rPr>
          <w:rFonts w:ascii="Palatino Linotype" w:hAnsi="Palatino Linotype"/>
          <w:i/>
          <w:color w:val="000000" w:themeColor="text1"/>
          <w:sz w:val="24"/>
          <w:szCs w:val="24"/>
        </w:rPr>
        <w:t>Criteria</w:t>
      </w:r>
      <w:r w:rsidRPr="002467DD">
        <w:rPr>
          <w:rFonts w:ascii="Palatino Linotype" w:hAnsi="Palatino Linotype"/>
          <w:i/>
          <w:color w:val="000000" w:themeColor="text1"/>
          <w:sz w:val="24"/>
          <w:szCs w:val="24"/>
        </w:rPr>
        <w:t xml:space="preserve"> for Digital Literacy </w:t>
      </w:r>
      <w:r w:rsidRPr="006D4671">
        <w:rPr>
          <w:rFonts w:ascii="Palatino Linotype" w:hAnsi="Palatino Linotype"/>
          <w:i/>
          <w:color w:val="000000" w:themeColor="text1"/>
          <w:sz w:val="24"/>
          <w:szCs w:val="24"/>
        </w:rPr>
        <w:t>Projects only</w:t>
      </w:r>
    </w:p>
    <w:p w14:paraId="2F7F8E6F" w14:textId="77777777" w:rsidR="00930BD6" w:rsidRPr="00AF35A5" w:rsidRDefault="00930BD6" w:rsidP="00930BD6">
      <w:pPr>
        <w:pStyle w:val="ListParagraph"/>
        <w:numPr>
          <w:ilvl w:val="0"/>
          <w:numId w:val="30"/>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or partner organization possesses at least one</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year experience in digital literacy training or has previously carried out at least one digital literacy project</w:t>
      </w:r>
      <w:r>
        <w:rPr>
          <w:rFonts w:ascii="Palatino Linotype" w:hAnsi="Palatino Linotype"/>
          <w:color w:val="000000" w:themeColor="text1"/>
          <w:sz w:val="24"/>
          <w:szCs w:val="24"/>
        </w:rPr>
        <w:t>;</w:t>
      </w:r>
    </w:p>
    <w:p w14:paraId="4B880726" w14:textId="77777777" w:rsidR="00930BD6" w:rsidRDefault="00930BD6" w:rsidP="00930BD6">
      <w:pPr>
        <w:pStyle w:val="ListParagraph"/>
        <w:numPr>
          <w:ilvl w:val="0"/>
          <w:numId w:val="30"/>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must provide at least eight hours of digital literacy training to each participant, through digital literacy classes, one on one tutoring or self</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paced instruction</w:t>
      </w:r>
      <w:r>
        <w:rPr>
          <w:rFonts w:ascii="Palatino Linotype" w:hAnsi="Palatino Linotype"/>
          <w:color w:val="000000" w:themeColor="text1"/>
          <w:sz w:val="24"/>
          <w:szCs w:val="24"/>
        </w:rPr>
        <w:t>; and</w:t>
      </w:r>
    </w:p>
    <w:p w14:paraId="3C8719F1" w14:textId="77777777" w:rsidR="00930BD6" w:rsidRDefault="00930BD6" w:rsidP="00930BD6">
      <w:pPr>
        <w:pStyle w:val="ListParagraph"/>
        <w:ind w:left="360"/>
        <w:rPr>
          <w:rFonts w:ascii="Palatino Linotype" w:hAnsi="Palatino Linotype"/>
          <w:color w:val="000000" w:themeColor="text1"/>
          <w:sz w:val="24"/>
          <w:szCs w:val="24"/>
        </w:rPr>
      </w:pPr>
      <w:r>
        <w:rPr>
          <w:rFonts w:ascii="Palatino Linotype" w:hAnsi="Palatino Linotype"/>
          <w:color w:val="000000" w:themeColor="text1"/>
          <w:sz w:val="24"/>
          <w:szCs w:val="24"/>
        </w:rPr>
        <w:t>A</w:t>
      </w:r>
      <w:r w:rsidRPr="00313068">
        <w:rPr>
          <w:rFonts w:ascii="Palatino Linotype" w:hAnsi="Palatino Linotype"/>
          <w:color w:val="000000" w:themeColor="text1"/>
          <w:sz w:val="24"/>
          <w:szCs w:val="24"/>
        </w:rPr>
        <w:t>pplicant</w:t>
      </w:r>
      <w:r>
        <w:rPr>
          <w:rFonts w:ascii="Palatino Linotype" w:hAnsi="Palatino Linotype"/>
          <w:color w:val="000000" w:themeColor="text1"/>
          <w:sz w:val="24"/>
          <w:szCs w:val="24"/>
        </w:rPr>
        <w:t>’s requested reimbursement for take</w:t>
      </w:r>
      <w:r>
        <w:rPr>
          <w:rFonts w:ascii="Palatino Linotype" w:hAnsi="Palatino Linotype"/>
          <w:color w:val="000000" w:themeColor="text1"/>
          <w:sz w:val="24"/>
          <w:szCs w:val="24"/>
        </w:rPr>
        <w:noBreakHyphen/>
        <w:t xml:space="preserve">home </w:t>
      </w:r>
      <w:r w:rsidRPr="00313068">
        <w:rPr>
          <w:rFonts w:ascii="Palatino Linotype" w:hAnsi="Palatino Linotype"/>
          <w:color w:val="000000" w:themeColor="text1"/>
          <w:sz w:val="24"/>
          <w:szCs w:val="24"/>
        </w:rPr>
        <w:t xml:space="preserve">computing devices </w:t>
      </w:r>
      <w:r>
        <w:rPr>
          <w:rFonts w:ascii="Palatino Linotype" w:hAnsi="Palatino Linotype"/>
          <w:color w:val="000000" w:themeColor="text1"/>
          <w:sz w:val="24"/>
          <w:szCs w:val="24"/>
        </w:rPr>
        <w:t xml:space="preserve">is no more than </w:t>
      </w:r>
      <w:r w:rsidRPr="00FA7E7F">
        <w:rPr>
          <w:rFonts w:ascii="Palatino Linotype" w:hAnsi="Palatino Linotype"/>
          <w:color w:val="000000" w:themeColor="text1"/>
          <w:sz w:val="24"/>
          <w:szCs w:val="24"/>
        </w:rPr>
        <w:t>$150 per device</w:t>
      </w:r>
      <w:r>
        <w:rPr>
          <w:rFonts w:ascii="Palatino Linotype" w:hAnsi="Palatino Linotype"/>
          <w:color w:val="000000" w:themeColor="text1"/>
          <w:sz w:val="24"/>
          <w:szCs w:val="24"/>
        </w:rPr>
        <w:t xml:space="preserve">, limited to </w:t>
      </w:r>
      <w:r w:rsidRPr="00FA7E7F">
        <w:rPr>
          <w:rFonts w:ascii="Palatino Linotype" w:hAnsi="Palatino Linotype"/>
          <w:color w:val="000000" w:themeColor="text1"/>
          <w:sz w:val="24"/>
          <w:szCs w:val="24"/>
        </w:rPr>
        <w:t xml:space="preserve">one computing device per eligible household, </w:t>
      </w:r>
      <w:r>
        <w:rPr>
          <w:rFonts w:ascii="Palatino Linotype" w:hAnsi="Palatino Linotype"/>
          <w:color w:val="000000" w:themeColor="text1"/>
          <w:sz w:val="24"/>
          <w:szCs w:val="24"/>
        </w:rPr>
        <w:t xml:space="preserve">and no more than </w:t>
      </w:r>
      <w:r w:rsidRPr="00FA7E7F">
        <w:rPr>
          <w:rFonts w:ascii="Palatino Linotype" w:hAnsi="Palatino Linotype"/>
          <w:color w:val="000000" w:themeColor="text1"/>
          <w:sz w:val="24"/>
          <w:szCs w:val="24"/>
        </w:rPr>
        <w:t>$10,000 per</w:t>
      </w:r>
      <w:r>
        <w:rPr>
          <w:rFonts w:ascii="Palatino Linotype" w:hAnsi="Palatino Linotype"/>
          <w:color w:val="000000" w:themeColor="text1"/>
          <w:sz w:val="24"/>
          <w:szCs w:val="24"/>
        </w:rPr>
        <w:t xml:space="preserve"> application/project location.</w:t>
      </w:r>
    </w:p>
    <w:p w14:paraId="25FB03ED" w14:textId="77777777" w:rsidR="00930BD6" w:rsidRPr="00AF35A5" w:rsidRDefault="00930BD6" w:rsidP="00930BD6">
      <w:pPr>
        <w:pStyle w:val="ListParagraph"/>
        <w:ind w:left="360"/>
        <w:rPr>
          <w:rFonts w:ascii="Palatino Linotype" w:hAnsi="Palatino Linotype"/>
          <w:color w:val="000000" w:themeColor="text1"/>
          <w:sz w:val="24"/>
          <w:szCs w:val="24"/>
        </w:rPr>
      </w:pPr>
    </w:p>
    <w:p w14:paraId="29D2589E" w14:textId="77777777" w:rsidR="00930BD6" w:rsidRPr="00AF35A5" w:rsidRDefault="00930BD6" w:rsidP="00930BD6">
      <w:pPr>
        <w:pStyle w:val="Heading2"/>
        <w:numPr>
          <w:ilvl w:val="1"/>
          <w:numId w:val="10"/>
        </w:numPr>
      </w:pPr>
      <w:bookmarkStart w:id="596" w:name="_Toc505786740"/>
      <w:bookmarkStart w:id="597" w:name="_Toc514153042"/>
      <w:r w:rsidRPr="00AF35A5">
        <w:t>Resolution Review</w:t>
      </w:r>
      <w:bookmarkEnd w:id="596"/>
      <w:bookmarkEnd w:id="597"/>
    </w:p>
    <w:p w14:paraId="059E5DC0" w14:textId="77777777" w:rsidR="00930BD6" w:rsidRPr="00AF35A5" w:rsidRDefault="00930BD6" w:rsidP="00930BD6">
      <w:pPr>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An application that does not meet the above expedited review criteria may still be considered for a grant via the traditional Commission Resolution approval process.</w:t>
      </w:r>
    </w:p>
    <w:p w14:paraId="277F32A4" w14:textId="77777777" w:rsidR="00930BD6" w:rsidRPr="00AF35A5" w:rsidRDefault="00930BD6" w:rsidP="00930BD6">
      <w:pPr>
        <w:ind w:left="360"/>
        <w:rPr>
          <w:rFonts w:ascii="Palatino Linotype" w:hAnsi="Palatino Linotype"/>
          <w:color w:val="000000" w:themeColor="text1"/>
          <w:sz w:val="24"/>
          <w:szCs w:val="24"/>
        </w:rPr>
      </w:pPr>
    </w:p>
    <w:p w14:paraId="55C697A4" w14:textId="77777777" w:rsidR="00930BD6" w:rsidRPr="005D0855" w:rsidRDefault="00930BD6" w:rsidP="00930BD6">
      <w:pPr>
        <w:pStyle w:val="Heading2"/>
        <w:numPr>
          <w:ilvl w:val="1"/>
          <w:numId w:val="10"/>
        </w:numPr>
      </w:pPr>
      <w:r w:rsidRPr="005D0855">
        <w:t>Staff Review</w:t>
      </w:r>
    </w:p>
    <w:p w14:paraId="2733AC8F" w14:textId="77777777" w:rsidR="00930BD6" w:rsidRPr="00AF35A5" w:rsidRDefault="00930BD6" w:rsidP="00930BD6">
      <w:pPr>
        <w:ind w:left="360"/>
        <w:rPr>
          <w:rFonts w:ascii="Palatino Linotype" w:hAnsi="Palatino Linotype"/>
          <w:color w:val="000000" w:themeColor="text1"/>
          <w:sz w:val="24"/>
          <w:szCs w:val="24"/>
        </w:rPr>
      </w:pPr>
      <w:r w:rsidRPr="002C62B8">
        <w:rPr>
          <w:rFonts w:ascii="Palatino Linotype" w:hAnsi="Palatino Linotype"/>
          <w:color w:val="000000" w:themeColor="text1"/>
          <w:sz w:val="24"/>
          <w:szCs w:val="24"/>
        </w:rPr>
        <w:t>Staff shall notify an applicant by letter specifying reasons for rejection</w:t>
      </w:r>
      <w:r w:rsidRPr="00AF35A5">
        <w:rPr>
          <w:rFonts w:ascii="Palatino Linotype" w:hAnsi="Palatino Linotype"/>
          <w:color w:val="000000" w:themeColor="text1"/>
          <w:sz w:val="24"/>
          <w:szCs w:val="24"/>
        </w:rPr>
        <w:t xml:space="preserve"> should an application fail to meet the Commission criteria or other factors. </w:t>
      </w:r>
    </w:p>
    <w:p w14:paraId="046FB94D" w14:textId="1B055BB7" w:rsidR="00930BD6" w:rsidRDefault="00930BD6" w:rsidP="00930BD6">
      <w:pPr>
        <w:rPr>
          <w:rFonts w:ascii="Palatino Linotype" w:hAnsi="Palatino Linotype"/>
          <w:b/>
          <w:strike/>
          <w:color w:val="000000" w:themeColor="text1"/>
          <w:sz w:val="24"/>
          <w:szCs w:val="24"/>
        </w:rPr>
      </w:pPr>
    </w:p>
    <w:p w14:paraId="379C4A4E" w14:textId="54A6E865" w:rsidR="00A76ABC" w:rsidRDefault="00A76ABC" w:rsidP="00930BD6">
      <w:pPr>
        <w:rPr>
          <w:rFonts w:ascii="Palatino Linotype" w:hAnsi="Palatino Linotype"/>
          <w:b/>
          <w:strike/>
          <w:color w:val="000000" w:themeColor="text1"/>
          <w:sz w:val="24"/>
          <w:szCs w:val="24"/>
        </w:rPr>
      </w:pPr>
    </w:p>
    <w:p w14:paraId="222E6068" w14:textId="77777777" w:rsidR="00A76ABC" w:rsidRPr="00AF35A5" w:rsidRDefault="00A76ABC" w:rsidP="00930BD6">
      <w:pPr>
        <w:rPr>
          <w:rFonts w:ascii="Palatino Linotype" w:hAnsi="Palatino Linotype"/>
          <w:b/>
          <w:strike/>
          <w:color w:val="000000" w:themeColor="text1"/>
          <w:sz w:val="24"/>
          <w:szCs w:val="24"/>
        </w:rPr>
      </w:pPr>
    </w:p>
    <w:p w14:paraId="4D248029" w14:textId="77777777" w:rsidR="00930BD6" w:rsidRPr="00AF35A5" w:rsidRDefault="00930BD6" w:rsidP="00470ACF">
      <w:pPr>
        <w:pStyle w:val="Heading2"/>
        <w:keepNext/>
        <w:keepLines/>
        <w:numPr>
          <w:ilvl w:val="1"/>
          <w:numId w:val="10"/>
        </w:numPr>
      </w:pPr>
      <w:bookmarkStart w:id="598" w:name="_Toc505786742"/>
      <w:bookmarkStart w:id="599" w:name="_Toc514153043"/>
      <w:r w:rsidRPr="00AF35A5">
        <w:lastRenderedPageBreak/>
        <w:t>Reporting</w:t>
      </w:r>
      <w:bookmarkStart w:id="600" w:name="_Toc505695669"/>
      <w:bookmarkStart w:id="601" w:name="_Toc505695670"/>
      <w:bookmarkStart w:id="602" w:name="_Toc505694007"/>
      <w:bookmarkStart w:id="603" w:name="_Toc505694059"/>
      <w:bookmarkStart w:id="604" w:name="_Toc505694163"/>
      <w:bookmarkStart w:id="605" w:name="_Toc505694217"/>
      <w:bookmarkStart w:id="606" w:name="_Toc505694270"/>
      <w:bookmarkStart w:id="607" w:name="_Toc505694334"/>
      <w:bookmarkStart w:id="608" w:name="_Toc505694392"/>
      <w:bookmarkStart w:id="609" w:name="_Toc505694450"/>
      <w:bookmarkStart w:id="610" w:name="_Toc505694508"/>
      <w:bookmarkStart w:id="611" w:name="_Toc505694560"/>
      <w:bookmarkStart w:id="612" w:name="_Toc505694612"/>
      <w:bookmarkStart w:id="613" w:name="_Toc505694663"/>
      <w:bookmarkStart w:id="614" w:name="_Toc505694715"/>
      <w:bookmarkStart w:id="615" w:name="_Toc505694767"/>
      <w:bookmarkStart w:id="616" w:name="_Toc505694819"/>
      <w:bookmarkStart w:id="617" w:name="_Toc505694877"/>
      <w:bookmarkStart w:id="618" w:name="_Toc505694941"/>
      <w:bookmarkStart w:id="619" w:name="_Toc505694993"/>
      <w:bookmarkStart w:id="620" w:name="_Toc505695045"/>
      <w:bookmarkStart w:id="621" w:name="_Toc505695097"/>
      <w:bookmarkStart w:id="622" w:name="_Toc505695149"/>
      <w:bookmarkStart w:id="623" w:name="_Toc505695201"/>
      <w:bookmarkStart w:id="624" w:name="_Toc505695254"/>
      <w:bookmarkStart w:id="625" w:name="_Toc505695310"/>
      <w:bookmarkStart w:id="626" w:name="_Toc505695363"/>
      <w:bookmarkStart w:id="627" w:name="_Toc505695417"/>
      <w:bookmarkStart w:id="628" w:name="_Toc505695471"/>
      <w:bookmarkStart w:id="629" w:name="_Toc505695521"/>
      <w:bookmarkStart w:id="630" w:name="_Toc505695571"/>
      <w:bookmarkStart w:id="631" w:name="_Toc505694008"/>
      <w:bookmarkStart w:id="632" w:name="_Toc505694060"/>
      <w:bookmarkStart w:id="633" w:name="_Toc505694164"/>
      <w:bookmarkStart w:id="634" w:name="_Toc505694218"/>
      <w:bookmarkStart w:id="635" w:name="_Toc505694271"/>
      <w:bookmarkStart w:id="636" w:name="_Toc505694335"/>
      <w:bookmarkStart w:id="637" w:name="_Toc505694393"/>
      <w:bookmarkStart w:id="638" w:name="_Toc505694451"/>
      <w:bookmarkStart w:id="639" w:name="_Toc505694509"/>
      <w:bookmarkStart w:id="640" w:name="_Toc505694561"/>
      <w:bookmarkStart w:id="641" w:name="_Toc505694613"/>
      <w:bookmarkStart w:id="642" w:name="_Toc505694664"/>
      <w:bookmarkStart w:id="643" w:name="_Toc505694716"/>
      <w:bookmarkStart w:id="644" w:name="_Toc505694768"/>
      <w:bookmarkStart w:id="645" w:name="_Toc505694820"/>
      <w:bookmarkStart w:id="646" w:name="_Toc505694878"/>
      <w:bookmarkStart w:id="647" w:name="_Toc505694942"/>
      <w:bookmarkStart w:id="648" w:name="_Toc505694994"/>
      <w:bookmarkStart w:id="649" w:name="_Toc505695046"/>
      <w:bookmarkStart w:id="650" w:name="_Toc505695098"/>
      <w:bookmarkStart w:id="651" w:name="_Toc505695150"/>
      <w:bookmarkStart w:id="652" w:name="_Toc505695202"/>
      <w:bookmarkStart w:id="653" w:name="_Toc505695255"/>
      <w:bookmarkStart w:id="654" w:name="_Toc505695311"/>
      <w:bookmarkStart w:id="655" w:name="_Toc505695364"/>
      <w:bookmarkStart w:id="656" w:name="_Toc505695418"/>
      <w:bookmarkStart w:id="657" w:name="_Toc505695472"/>
      <w:bookmarkStart w:id="658" w:name="_Toc505695522"/>
      <w:bookmarkStart w:id="659" w:name="_Toc505695572"/>
      <w:bookmarkStart w:id="660" w:name="_Toc505694165"/>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14:paraId="0C557FC9" w14:textId="77777777" w:rsidR="00930BD6" w:rsidRPr="00B55C26" w:rsidRDefault="00930BD6" w:rsidP="00470ACF">
      <w:pPr>
        <w:pStyle w:val="ListParagraph"/>
        <w:keepNext/>
        <w:keepLines/>
        <w:ind w:left="360"/>
        <w:rPr>
          <w:rFonts w:ascii="Palatino Linotype" w:hAnsi="Palatino Linotype"/>
          <w:color w:val="000000" w:themeColor="text1"/>
          <w:sz w:val="24"/>
          <w:szCs w:val="24"/>
        </w:rPr>
      </w:pPr>
      <w:r w:rsidRPr="00B55C26">
        <w:rPr>
          <w:rFonts w:ascii="Palatino Linotype" w:hAnsi="Palatino Linotype"/>
          <w:color w:val="000000" w:themeColor="text1"/>
          <w:sz w:val="24"/>
          <w:szCs w:val="24"/>
        </w:rPr>
        <w:t>Staff will provide a template for all necessary reports in the Administrative Man</w:t>
      </w:r>
      <w:r>
        <w:rPr>
          <w:rFonts w:ascii="Palatino Linotype" w:hAnsi="Palatino Linotype"/>
          <w:color w:val="000000" w:themeColor="text1"/>
          <w:sz w:val="24"/>
          <w:szCs w:val="24"/>
        </w:rPr>
        <w:t>u</w:t>
      </w:r>
      <w:r w:rsidRPr="00B55C26">
        <w:rPr>
          <w:rFonts w:ascii="Palatino Linotype" w:hAnsi="Palatino Linotype"/>
          <w:color w:val="000000" w:themeColor="text1"/>
          <w:sz w:val="24"/>
          <w:szCs w:val="24"/>
        </w:rPr>
        <w:t xml:space="preserve">al which will be posted on the CPUC CASF website, along with the Adoption Account Instructions and Application forms. </w:t>
      </w:r>
      <w:r>
        <w:rPr>
          <w:rFonts w:ascii="Palatino Linotype" w:hAnsi="Palatino Linotype"/>
          <w:color w:val="000000" w:themeColor="text1"/>
          <w:sz w:val="24"/>
          <w:szCs w:val="24"/>
        </w:rPr>
        <w:t xml:space="preserve"> Up to t</w:t>
      </w:r>
      <w:r w:rsidRPr="00B55C26">
        <w:rPr>
          <w:rFonts w:ascii="Palatino Linotype" w:hAnsi="Palatino Linotype"/>
          <w:color w:val="000000" w:themeColor="text1"/>
          <w:sz w:val="24"/>
          <w:szCs w:val="24"/>
        </w:rPr>
        <w:t>hree reports will be required throughout the course of the project:</w:t>
      </w:r>
    </w:p>
    <w:p w14:paraId="47140228" w14:textId="77777777" w:rsidR="00930BD6" w:rsidRDefault="00930BD6" w:rsidP="00930BD6">
      <w:pPr>
        <w:pStyle w:val="ListParagraph"/>
        <w:ind w:left="360"/>
        <w:rPr>
          <w:rFonts w:ascii="Palatino Linotype" w:hAnsi="Palatino Linotype"/>
          <w:b/>
          <w:color w:val="000000" w:themeColor="text1"/>
          <w:sz w:val="24"/>
          <w:szCs w:val="24"/>
        </w:rPr>
      </w:pPr>
    </w:p>
    <w:p w14:paraId="65A3A4F3" w14:textId="77777777" w:rsidR="00930BD6" w:rsidRPr="00AF35A5" w:rsidRDefault="00930BD6" w:rsidP="00930BD6">
      <w:pPr>
        <w:pStyle w:val="ListParagraph"/>
        <w:ind w:left="360"/>
        <w:rPr>
          <w:rFonts w:ascii="Palatino Linotype" w:hAnsi="Palatino Linotype"/>
          <w:color w:val="000000" w:themeColor="text1"/>
          <w:sz w:val="24"/>
          <w:szCs w:val="24"/>
        </w:rPr>
      </w:pPr>
      <w:r>
        <w:rPr>
          <w:rFonts w:ascii="Palatino Linotype" w:hAnsi="Palatino Linotype"/>
          <w:b/>
          <w:color w:val="000000" w:themeColor="text1"/>
          <w:sz w:val="24"/>
          <w:szCs w:val="24"/>
        </w:rPr>
        <w:t>R</w:t>
      </w:r>
      <w:r w:rsidRPr="00AF35A5">
        <w:rPr>
          <w:rFonts w:ascii="Palatino Linotype" w:hAnsi="Palatino Linotype"/>
          <w:b/>
          <w:color w:val="000000" w:themeColor="text1"/>
          <w:sz w:val="24"/>
          <w:szCs w:val="24"/>
        </w:rPr>
        <w:t>amp</w:t>
      </w:r>
      <w:r>
        <w:rPr>
          <w:rFonts w:ascii="Palatino Linotype" w:hAnsi="Palatino Linotype"/>
          <w:b/>
          <w:color w:val="000000" w:themeColor="text1"/>
          <w:sz w:val="24"/>
          <w:szCs w:val="24"/>
        </w:rPr>
        <w:noBreakHyphen/>
      </w:r>
      <w:r w:rsidRPr="00AF35A5">
        <w:rPr>
          <w:rFonts w:ascii="Palatino Linotype" w:hAnsi="Palatino Linotype"/>
          <w:b/>
          <w:color w:val="000000" w:themeColor="text1"/>
          <w:sz w:val="24"/>
          <w:szCs w:val="24"/>
        </w:rPr>
        <w:t>up period</w:t>
      </w:r>
      <w:r>
        <w:rPr>
          <w:rFonts w:ascii="Palatino Linotype" w:hAnsi="Palatino Linotype"/>
          <w:b/>
          <w:color w:val="000000" w:themeColor="text1"/>
          <w:sz w:val="24"/>
          <w:szCs w:val="24"/>
        </w:rPr>
        <w:t xml:space="preserve"> report</w:t>
      </w:r>
      <w:r w:rsidRPr="00AF35A5">
        <w:rPr>
          <w:rFonts w:ascii="Palatino Linotype" w:hAnsi="Palatino Linotype"/>
          <w:b/>
          <w:color w:val="000000" w:themeColor="text1"/>
          <w:sz w:val="24"/>
          <w:szCs w:val="24"/>
        </w:rPr>
        <w:t>:</w:t>
      </w:r>
      <w:r w:rsidRPr="00AF35A5">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A</w:t>
      </w:r>
      <w:r w:rsidRPr="00AF35A5">
        <w:rPr>
          <w:rFonts w:ascii="Palatino Linotype" w:hAnsi="Palatino Linotype"/>
          <w:color w:val="000000" w:themeColor="text1"/>
          <w:sz w:val="24"/>
          <w:szCs w:val="24"/>
        </w:rPr>
        <w:t xml:space="preserve"> “ramp</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up period report” is </w:t>
      </w:r>
      <w:r>
        <w:rPr>
          <w:rFonts w:ascii="Palatino Linotype" w:hAnsi="Palatino Linotype"/>
          <w:color w:val="000000" w:themeColor="text1"/>
          <w:sz w:val="24"/>
          <w:szCs w:val="24"/>
        </w:rPr>
        <w:t>required (if applicable), after completion of the ramp up activities and when deployment is set to begin.  This report must be submitted by no later than 3 months after the completion of the ramp up activities.  In this report, recipients will report on the completion of the ramp up activities per the work plan, milestones met, as well as request payment for relevant expenses to date</w:t>
      </w:r>
      <w:r w:rsidRPr="00AF35A5">
        <w:rPr>
          <w:rFonts w:ascii="Palatino Linotype" w:hAnsi="Palatino Linotype"/>
          <w:color w:val="000000" w:themeColor="text1"/>
          <w:sz w:val="24"/>
          <w:szCs w:val="24"/>
        </w:rPr>
        <w:t>.</w:t>
      </w:r>
      <w:r>
        <w:rPr>
          <w:rFonts w:ascii="Palatino Linotype" w:hAnsi="Palatino Linotype"/>
          <w:color w:val="000000" w:themeColor="text1"/>
          <w:sz w:val="24"/>
          <w:szCs w:val="24"/>
        </w:rPr>
        <w:t xml:space="preserve">  The ramp up period may not exceed 6 months from the time the application is approved.  </w:t>
      </w:r>
    </w:p>
    <w:p w14:paraId="51FBF81C" w14:textId="77777777" w:rsidR="00930BD6" w:rsidRPr="002A2B6D" w:rsidRDefault="00930BD6" w:rsidP="00930BD6">
      <w:pPr>
        <w:pStyle w:val="ListParagraph"/>
        <w:ind w:left="360"/>
        <w:rPr>
          <w:rFonts w:ascii="Palatino Linotype" w:hAnsi="Palatino Linotype"/>
          <w:b/>
          <w:i/>
          <w:color w:val="000000" w:themeColor="text1"/>
          <w:sz w:val="24"/>
          <w:szCs w:val="24"/>
        </w:rPr>
      </w:pPr>
    </w:p>
    <w:p w14:paraId="4A6A3159" w14:textId="77777777" w:rsidR="00930BD6" w:rsidRDefault="00930BD6" w:rsidP="00930BD6">
      <w:pPr>
        <w:pStyle w:val="ListParagraph"/>
        <w:ind w:left="360"/>
        <w:rPr>
          <w:rFonts w:ascii="Palatino Linotype" w:hAnsi="Palatino Linotype"/>
          <w:color w:val="000000" w:themeColor="text1"/>
          <w:sz w:val="24"/>
          <w:szCs w:val="24"/>
        </w:rPr>
      </w:pPr>
      <w:r>
        <w:rPr>
          <w:rFonts w:ascii="Palatino Linotype" w:hAnsi="Palatino Linotype"/>
          <w:b/>
          <w:color w:val="000000" w:themeColor="text1"/>
          <w:sz w:val="24"/>
          <w:szCs w:val="24"/>
        </w:rPr>
        <w:t xml:space="preserve">Year 1 Progress Report: </w:t>
      </w:r>
      <w:r w:rsidRPr="00AF35A5">
        <w:rPr>
          <w:rFonts w:ascii="Palatino Linotype" w:hAnsi="Palatino Linotype"/>
          <w:b/>
          <w:color w:val="000000" w:themeColor="text1"/>
          <w:sz w:val="24"/>
          <w:szCs w:val="24"/>
        </w:rPr>
        <w:t xml:space="preserve"> </w:t>
      </w:r>
      <w:r>
        <w:rPr>
          <w:rFonts w:ascii="Palatino Linotype" w:hAnsi="Palatino Linotype"/>
          <w:color w:val="000000" w:themeColor="text1"/>
          <w:sz w:val="24"/>
          <w:szCs w:val="24"/>
        </w:rPr>
        <w:t xml:space="preserve">The Year 1 progress report is required at the end of the first year of deployment.  This report must be submitted by no later than 3 months after the end of the first year of deployment.  In this report, recipients will report on the status of Year 1 milestones per the work plan, as well as request payment for relevant expenses to date. </w:t>
      </w:r>
    </w:p>
    <w:p w14:paraId="66F401BD" w14:textId="77777777" w:rsidR="00930BD6" w:rsidRDefault="00930BD6" w:rsidP="00930BD6">
      <w:pPr>
        <w:pStyle w:val="ListParagraph"/>
        <w:ind w:left="360"/>
        <w:rPr>
          <w:rFonts w:ascii="Palatino Linotype" w:hAnsi="Palatino Linotype"/>
          <w:color w:val="000000" w:themeColor="text1"/>
          <w:sz w:val="24"/>
          <w:szCs w:val="24"/>
        </w:rPr>
      </w:pPr>
    </w:p>
    <w:p w14:paraId="39F3AAC5" w14:textId="77777777" w:rsidR="00930BD6" w:rsidRPr="00AF35A5" w:rsidRDefault="00930BD6" w:rsidP="00930BD6">
      <w:pPr>
        <w:pStyle w:val="ListParagraph"/>
        <w:ind w:left="360"/>
        <w:rPr>
          <w:rFonts w:ascii="Palatino Linotype" w:hAnsi="Palatino Linotype"/>
          <w:color w:val="000000" w:themeColor="text1"/>
          <w:sz w:val="24"/>
          <w:szCs w:val="24"/>
        </w:rPr>
      </w:pPr>
      <w:r w:rsidRPr="002A2B6D">
        <w:rPr>
          <w:rFonts w:ascii="Palatino Linotype" w:hAnsi="Palatino Linotype"/>
          <w:b/>
          <w:color w:val="000000" w:themeColor="text1"/>
          <w:sz w:val="24"/>
          <w:szCs w:val="24"/>
        </w:rPr>
        <w:t>Year 2 Completion Report</w:t>
      </w:r>
      <w:r>
        <w:rPr>
          <w:rFonts w:ascii="Palatino Linotype" w:hAnsi="Palatino Linotype"/>
          <w:color w:val="000000" w:themeColor="text1"/>
          <w:sz w:val="24"/>
          <w:szCs w:val="24"/>
        </w:rPr>
        <w:t xml:space="preserve">:  The Year 2 </w:t>
      </w:r>
      <w:r w:rsidRPr="00AF35A5">
        <w:rPr>
          <w:rFonts w:ascii="Palatino Linotype" w:hAnsi="Palatino Linotype"/>
          <w:color w:val="000000" w:themeColor="text1"/>
          <w:sz w:val="24"/>
          <w:szCs w:val="24"/>
        </w:rPr>
        <w:t>completion report is required at the end of the 24</w:t>
      </w:r>
      <w:r>
        <w:rPr>
          <w:rFonts w:ascii="Palatino Linotype" w:hAnsi="Palatino Linotype"/>
          <w:color w:val="000000" w:themeColor="text1"/>
          <w:sz w:val="24"/>
          <w:szCs w:val="24"/>
        </w:rPr>
        <w:t>-</w:t>
      </w:r>
      <w:r w:rsidRPr="00AF35A5">
        <w:rPr>
          <w:rFonts w:ascii="Palatino Linotype" w:hAnsi="Palatino Linotype"/>
          <w:color w:val="000000" w:themeColor="text1"/>
          <w:sz w:val="24"/>
          <w:szCs w:val="24"/>
        </w:rPr>
        <w:t>month period, or after the work plan milestones/deliverables have been accomplished</w:t>
      </w:r>
      <w:r>
        <w:rPr>
          <w:rFonts w:ascii="Palatino Linotype" w:hAnsi="Palatino Linotype"/>
          <w:color w:val="000000" w:themeColor="text1"/>
          <w:sz w:val="24"/>
          <w:szCs w:val="24"/>
        </w:rPr>
        <w:t xml:space="preserve"> if earlier than the 24-month period</w:t>
      </w:r>
      <w:r w:rsidRPr="00AF35A5">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 xml:space="preserve"> This report must be submitted by no later than 3 months </w:t>
      </w:r>
      <w:r w:rsidRPr="00AF35A5">
        <w:rPr>
          <w:rFonts w:ascii="Palatino Linotype" w:hAnsi="Palatino Linotype"/>
          <w:color w:val="000000" w:themeColor="text1"/>
          <w:sz w:val="24"/>
          <w:szCs w:val="24"/>
        </w:rPr>
        <w:t>after completion of the project</w:t>
      </w:r>
      <w:r>
        <w:rPr>
          <w:rFonts w:ascii="Palatino Linotype" w:hAnsi="Palatino Linotype"/>
          <w:color w:val="000000" w:themeColor="text1"/>
          <w:sz w:val="24"/>
          <w:szCs w:val="24"/>
        </w:rPr>
        <w:t xml:space="preserve">.  In this report, recipients will report on the completion of the overall project, milestones met per the work plan, as well as request payment for final and remaining relevant expenses. </w:t>
      </w:r>
    </w:p>
    <w:p w14:paraId="53EB0BC0" w14:textId="77777777" w:rsidR="00930BD6" w:rsidRPr="00AF35A5"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The completion report </w:t>
      </w:r>
      <w:r>
        <w:rPr>
          <w:rFonts w:ascii="Palatino Linotype" w:hAnsi="Palatino Linotype"/>
          <w:color w:val="000000" w:themeColor="text1"/>
          <w:sz w:val="24"/>
          <w:szCs w:val="24"/>
        </w:rPr>
        <w:t>shall</w:t>
      </w:r>
      <w:r w:rsidRPr="00AF35A5">
        <w:rPr>
          <w:rFonts w:ascii="Palatino Linotype" w:hAnsi="Palatino Linotype"/>
          <w:color w:val="000000" w:themeColor="text1"/>
          <w:sz w:val="24"/>
          <w:szCs w:val="24"/>
        </w:rPr>
        <w:t xml:space="preserve"> include:</w:t>
      </w:r>
    </w:p>
    <w:p w14:paraId="7B2EA9D3" w14:textId="77777777" w:rsidR="00930BD6" w:rsidRPr="00AF35A5" w:rsidRDefault="00930BD6" w:rsidP="00930BD6">
      <w:pPr>
        <w:pStyle w:val="ListParagraph"/>
        <w:numPr>
          <w:ilvl w:val="0"/>
          <w:numId w:val="28"/>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A summary of all work done including an itemized list of materials purchased and money spent;</w:t>
      </w:r>
    </w:p>
    <w:p w14:paraId="48360521" w14:textId="77777777" w:rsidR="00930BD6" w:rsidRPr="00AF35A5" w:rsidRDefault="00930BD6" w:rsidP="00930BD6">
      <w:pPr>
        <w:pStyle w:val="ListParagraph"/>
        <w:numPr>
          <w:ilvl w:val="0"/>
          <w:numId w:val="28"/>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A description of each milestone in the period and how that milestone was met.</w:t>
      </w:r>
    </w:p>
    <w:p w14:paraId="5B6F9808" w14:textId="77777777" w:rsidR="00930BD6" w:rsidRPr="00AF35A5" w:rsidRDefault="00930BD6" w:rsidP="00930BD6">
      <w:pPr>
        <w:pStyle w:val="ListParagraph"/>
        <w:numPr>
          <w:ilvl w:val="0"/>
          <w:numId w:val="28"/>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total number of participants trained</w:t>
      </w:r>
      <w:r>
        <w:rPr>
          <w:rFonts w:ascii="Palatino Linotype" w:hAnsi="Palatino Linotype"/>
          <w:color w:val="000000" w:themeColor="text1"/>
          <w:sz w:val="24"/>
          <w:szCs w:val="24"/>
        </w:rPr>
        <w:t xml:space="preserve"> or hours of access provided, (if applicable)</w:t>
      </w:r>
      <w:r w:rsidRPr="00AF35A5">
        <w:rPr>
          <w:rFonts w:ascii="Palatino Linotype" w:hAnsi="Palatino Linotype"/>
          <w:color w:val="000000" w:themeColor="text1"/>
          <w:sz w:val="24"/>
          <w:szCs w:val="24"/>
        </w:rPr>
        <w:t>;</w:t>
      </w:r>
      <w:r>
        <w:rPr>
          <w:rFonts w:ascii="Palatino Linotype" w:hAnsi="Palatino Linotype"/>
          <w:color w:val="000000" w:themeColor="text1"/>
          <w:sz w:val="24"/>
          <w:szCs w:val="24"/>
        </w:rPr>
        <w:t xml:space="preserve"> and</w:t>
      </w:r>
    </w:p>
    <w:p w14:paraId="63284AF6" w14:textId="77777777" w:rsidR="00930BD6" w:rsidRPr="00AF35A5" w:rsidRDefault="00930BD6" w:rsidP="00930BD6">
      <w:pPr>
        <w:pStyle w:val="ListParagraph"/>
        <w:numPr>
          <w:ilvl w:val="0"/>
          <w:numId w:val="28"/>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The number of participants that subsequently subscribe to a broadband Internet service provider to use a device in their home.  </w:t>
      </w:r>
    </w:p>
    <w:p w14:paraId="1BD0BA54" w14:textId="77777777" w:rsidR="00930BD6" w:rsidRPr="00AF35A5" w:rsidRDefault="00930BD6" w:rsidP="00930BD6">
      <w:pPr>
        <w:pStyle w:val="ListParagraph"/>
        <w:rPr>
          <w:rFonts w:ascii="Palatino Linotype" w:hAnsi="Palatino Linotype"/>
          <w:color w:val="000000" w:themeColor="text1"/>
          <w:sz w:val="24"/>
          <w:szCs w:val="24"/>
        </w:rPr>
      </w:pPr>
    </w:p>
    <w:p w14:paraId="3188DEC4" w14:textId="77777777" w:rsidR="00930BD6"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Grantees must maintain files, invoices, and other related documentation for three years after final payment.  Grantees shall make these records available to the Commission upon request and agree that these records are subject to audit and </w:t>
      </w:r>
      <w:r w:rsidRPr="00AF35A5">
        <w:rPr>
          <w:rFonts w:ascii="Palatino Linotype" w:hAnsi="Palatino Linotype"/>
          <w:color w:val="000000" w:themeColor="text1"/>
          <w:sz w:val="24"/>
          <w:szCs w:val="24"/>
        </w:rPr>
        <w:lastRenderedPageBreak/>
        <w:t xml:space="preserve">review by the Commission at any time within three years after the Grantee incurred the expense being audited.  </w:t>
      </w:r>
    </w:p>
    <w:p w14:paraId="6AD6CC28" w14:textId="77777777" w:rsidR="00930BD6" w:rsidRPr="00AF35A5" w:rsidRDefault="00930BD6" w:rsidP="00930BD6">
      <w:pPr>
        <w:pStyle w:val="ListParagraph"/>
        <w:ind w:left="360"/>
        <w:rPr>
          <w:rFonts w:ascii="Palatino Linotype" w:hAnsi="Palatino Linotype"/>
          <w:color w:val="000000" w:themeColor="text1"/>
          <w:sz w:val="24"/>
          <w:szCs w:val="24"/>
        </w:rPr>
      </w:pPr>
    </w:p>
    <w:p w14:paraId="4D631B42" w14:textId="77777777" w:rsidR="00930BD6" w:rsidRPr="00AF35A5" w:rsidRDefault="00930BD6" w:rsidP="00930BD6">
      <w:pPr>
        <w:pStyle w:val="Heading2"/>
        <w:numPr>
          <w:ilvl w:val="1"/>
          <w:numId w:val="10"/>
        </w:numPr>
      </w:pPr>
      <w:bookmarkStart w:id="661" w:name="_Toc505694166"/>
      <w:bookmarkStart w:id="662" w:name="_Toc505786743"/>
      <w:bookmarkStart w:id="663" w:name="_Toc514153044"/>
      <w:r w:rsidRPr="00AF35A5">
        <w:t>Payment</w:t>
      </w:r>
      <w:bookmarkEnd w:id="661"/>
      <w:bookmarkEnd w:id="662"/>
      <w:bookmarkEnd w:id="663"/>
      <w:r w:rsidRPr="00AF35A5">
        <w:t xml:space="preserve"> </w:t>
      </w:r>
    </w:p>
    <w:p w14:paraId="6E198F36" w14:textId="77777777" w:rsidR="00930BD6" w:rsidRDefault="00930BD6" w:rsidP="00930BD6">
      <w:pPr>
        <w:pStyle w:val="ListParagraph"/>
        <w:numPr>
          <w:ilvl w:val="0"/>
          <w:numId w:val="29"/>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Grantees </w:t>
      </w:r>
      <w:r>
        <w:rPr>
          <w:rFonts w:ascii="Palatino Linotype" w:hAnsi="Palatino Linotype"/>
          <w:color w:val="000000" w:themeColor="text1"/>
          <w:sz w:val="24"/>
          <w:szCs w:val="24"/>
        </w:rPr>
        <w:t>may submit up to three payment requests throughout the project period.  Payment requests will accompany the 3 reports required above (Ramp Up Period (if applicable), Year 1, Year 2).</w:t>
      </w:r>
    </w:p>
    <w:p w14:paraId="6597FB75" w14:textId="77777777" w:rsidR="00930BD6" w:rsidRPr="00AF35A5" w:rsidRDefault="00930BD6" w:rsidP="00930BD6">
      <w:pPr>
        <w:pStyle w:val="ListParagraph"/>
        <w:numPr>
          <w:ilvl w:val="0"/>
          <w:numId w:val="29"/>
        </w:numPr>
        <w:contextualSpacing/>
        <w:rPr>
          <w:rFonts w:ascii="Palatino Linotype" w:hAnsi="Palatino Linotype"/>
          <w:color w:val="000000" w:themeColor="text1"/>
          <w:sz w:val="24"/>
          <w:szCs w:val="24"/>
        </w:rPr>
      </w:pPr>
      <w:r>
        <w:rPr>
          <w:rFonts w:ascii="Palatino Linotype" w:hAnsi="Palatino Linotype"/>
          <w:color w:val="000000" w:themeColor="text1"/>
          <w:sz w:val="24"/>
          <w:szCs w:val="24"/>
        </w:rPr>
        <w:t>The relevant</w:t>
      </w:r>
      <w:r w:rsidRPr="00AF35A5">
        <w:rPr>
          <w:rFonts w:ascii="Palatino Linotype" w:hAnsi="Palatino Linotype"/>
          <w:color w:val="000000" w:themeColor="text1"/>
          <w:sz w:val="24"/>
          <w:szCs w:val="24"/>
        </w:rPr>
        <w:t xml:space="preserve"> project report </w:t>
      </w:r>
      <w:r>
        <w:rPr>
          <w:rFonts w:ascii="Palatino Linotype" w:hAnsi="Palatino Linotype"/>
          <w:color w:val="000000" w:themeColor="text1"/>
          <w:sz w:val="24"/>
          <w:szCs w:val="24"/>
        </w:rPr>
        <w:t xml:space="preserve">must be submitted in order for a </w:t>
      </w:r>
      <w:r w:rsidRPr="00AF35A5">
        <w:rPr>
          <w:rFonts w:ascii="Palatino Linotype" w:hAnsi="Palatino Linotype"/>
          <w:color w:val="000000" w:themeColor="text1"/>
          <w:sz w:val="24"/>
          <w:szCs w:val="24"/>
        </w:rPr>
        <w:t>payment request</w:t>
      </w:r>
      <w:r>
        <w:rPr>
          <w:rFonts w:ascii="Palatino Linotype" w:hAnsi="Palatino Linotype"/>
          <w:color w:val="000000" w:themeColor="text1"/>
          <w:sz w:val="24"/>
          <w:szCs w:val="24"/>
        </w:rPr>
        <w:t xml:space="preserve"> to be granted</w:t>
      </w:r>
      <w:r w:rsidRPr="00AF35A5">
        <w:rPr>
          <w:rFonts w:ascii="Palatino Linotype" w:hAnsi="Palatino Linotype"/>
          <w:color w:val="000000" w:themeColor="text1"/>
          <w:sz w:val="24"/>
          <w:szCs w:val="24"/>
        </w:rPr>
        <w:t xml:space="preserve">. </w:t>
      </w:r>
    </w:p>
    <w:p w14:paraId="1296A6A0" w14:textId="77777777" w:rsidR="00930BD6" w:rsidRPr="00AF35A5" w:rsidRDefault="00930BD6" w:rsidP="00930BD6">
      <w:pPr>
        <w:pStyle w:val="ListParagraph"/>
        <w:numPr>
          <w:ilvl w:val="0"/>
          <w:numId w:val="29"/>
        </w:numPr>
        <w:contextualSpacing/>
        <w:rPr>
          <w:rFonts w:ascii="Palatino Linotype" w:hAnsi="Palatino Linotype"/>
          <w:color w:val="000000" w:themeColor="text1"/>
          <w:sz w:val="24"/>
          <w:szCs w:val="24"/>
        </w:rPr>
      </w:pPr>
      <w:r>
        <w:rPr>
          <w:rFonts w:ascii="Palatino Linotype" w:hAnsi="Palatino Linotype"/>
          <w:color w:val="000000" w:themeColor="text1"/>
          <w:sz w:val="24"/>
          <w:szCs w:val="24"/>
        </w:rPr>
        <w:t>P</w:t>
      </w:r>
      <w:r w:rsidRPr="00AF35A5">
        <w:rPr>
          <w:rFonts w:ascii="Palatino Linotype" w:hAnsi="Palatino Linotype"/>
          <w:color w:val="000000" w:themeColor="text1"/>
          <w:sz w:val="24"/>
          <w:szCs w:val="24"/>
        </w:rPr>
        <w:t xml:space="preserve">ayment request </w:t>
      </w:r>
      <w:r>
        <w:rPr>
          <w:rFonts w:ascii="Palatino Linotype" w:hAnsi="Palatino Linotype"/>
          <w:color w:val="000000" w:themeColor="text1"/>
          <w:sz w:val="24"/>
          <w:szCs w:val="24"/>
        </w:rPr>
        <w:t xml:space="preserve">for the </w:t>
      </w:r>
      <w:r w:rsidRPr="00AF35A5">
        <w:rPr>
          <w:rFonts w:ascii="Palatino Linotype" w:hAnsi="Palatino Linotype"/>
          <w:color w:val="000000" w:themeColor="text1"/>
          <w:sz w:val="24"/>
          <w:szCs w:val="24"/>
        </w:rPr>
        <w:t>ramp</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up period</w:t>
      </w:r>
      <w:r>
        <w:rPr>
          <w:rFonts w:ascii="Palatino Linotype" w:hAnsi="Palatino Linotype"/>
          <w:color w:val="000000" w:themeColor="text1"/>
          <w:sz w:val="24"/>
          <w:szCs w:val="24"/>
        </w:rPr>
        <w:t>, if requested,</w:t>
      </w:r>
      <w:r w:rsidRPr="00AF35A5">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may not exceed</w:t>
      </w:r>
      <w:r w:rsidRPr="00AF35A5">
        <w:rPr>
          <w:rFonts w:ascii="Palatino Linotype" w:hAnsi="Palatino Linotype"/>
          <w:color w:val="000000" w:themeColor="text1"/>
          <w:sz w:val="24"/>
          <w:szCs w:val="24"/>
        </w:rPr>
        <w:t xml:space="preserve"> 25% of grant amount</w:t>
      </w:r>
      <w:r>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 xml:space="preserve">  </w:t>
      </w:r>
    </w:p>
    <w:p w14:paraId="388309EA" w14:textId="77777777" w:rsidR="00930BD6" w:rsidRPr="00AF35A5" w:rsidRDefault="00930BD6" w:rsidP="00930BD6">
      <w:pPr>
        <w:pStyle w:val="ListParagraph"/>
        <w:numPr>
          <w:ilvl w:val="0"/>
          <w:numId w:val="29"/>
        </w:numPr>
        <w:contextualSpacing/>
        <w:rPr>
          <w:rFonts w:ascii="Palatino Linotype" w:hAnsi="Palatino Linotype"/>
          <w:color w:val="000000" w:themeColor="text1"/>
          <w:sz w:val="24"/>
          <w:szCs w:val="24"/>
        </w:rPr>
      </w:pPr>
      <w:r>
        <w:rPr>
          <w:rFonts w:ascii="Palatino Linotype" w:hAnsi="Palatino Linotype"/>
          <w:color w:val="000000" w:themeColor="text1"/>
          <w:sz w:val="24"/>
          <w:szCs w:val="24"/>
        </w:rPr>
        <w:t>All p</w:t>
      </w:r>
      <w:r w:rsidRPr="00AF35A5">
        <w:rPr>
          <w:rFonts w:ascii="Palatino Linotype" w:hAnsi="Palatino Linotype"/>
          <w:color w:val="000000" w:themeColor="text1"/>
          <w:sz w:val="24"/>
          <w:szCs w:val="24"/>
        </w:rPr>
        <w:t xml:space="preserve">ayments </w:t>
      </w:r>
      <w:r>
        <w:rPr>
          <w:rFonts w:ascii="Palatino Linotype" w:hAnsi="Palatino Linotype"/>
          <w:color w:val="000000" w:themeColor="text1"/>
          <w:sz w:val="24"/>
          <w:szCs w:val="24"/>
        </w:rPr>
        <w:t xml:space="preserve">requests </w:t>
      </w:r>
      <w:r w:rsidRPr="00AF35A5">
        <w:rPr>
          <w:rFonts w:ascii="Palatino Linotype" w:hAnsi="Palatino Linotype"/>
          <w:color w:val="000000" w:themeColor="text1"/>
          <w:sz w:val="24"/>
          <w:szCs w:val="24"/>
        </w:rPr>
        <w:t>require documentation of outcome in “milestone” report.</w:t>
      </w:r>
    </w:p>
    <w:p w14:paraId="16201BEB" w14:textId="77777777" w:rsidR="00930BD6" w:rsidRPr="00AF35A5" w:rsidRDefault="00930BD6" w:rsidP="00930BD6">
      <w:pPr>
        <w:pStyle w:val="ListParagraph"/>
        <w:numPr>
          <w:ilvl w:val="0"/>
          <w:numId w:val="29"/>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Grantees shall submit final requests for payment no later than </w:t>
      </w:r>
      <w:r>
        <w:rPr>
          <w:rFonts w:ascii="Palatino Linotype" w:hAnsi="Palatino Linotype"/>
          <w:color w:val="000000" w:themeColor="text1"/>
          <w:sz w:val="24"/>
          <w:szCs w:val="24"/>
        </w:rPr>
        <w:t>3 months</w:t>
      </w:r>
      <w:r w:rsidRPr="00AF35A5">
        <w:rPr>
          <w:rFonts w:ascii="Palatino Linotype" w:hAnsi="Palatino Linotype"/>
          <w:color w:val="000000" w:themeColor="text1"/>
          <w:sz w:val="24"/>
          <w:szCs w:val="24"/>
        </w:rPr>
        <w:t xml:space="preserve"> after completion of the project.</w:t>
      </w:r>
    </w:p>
    <w:p w14:paraId="68DBCBE7" w14:textId="77777777" w:rsidR="00930BD6" w:rsidRPr="00AF35A5" w:rsidRDefault="00930BD6" w:rsidP="00930BD6">
      <w:pPr>
        <w:pStyle w:val="ListParagraph"/>
        <w:numPr>
          <w:ilvl w:val="0"/>
          <w:numId w:val="29"/>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Payment will be based upon receipt and approval of invoices and other supporting documents showing the expenditures incurred for the project are in accordance with their </w:t>
      </w:r>
      <w:r>
        <w:rPr>
          <w:rFonts w:ascii="Palatino Linotype" w:hAnsi="Palatino Linotype"/>
          <w:color w:val="000000" w:themeColor="text1"/>
          <w:sz w:val="24"/>
          <w:szCs w:val="24"/>
        </w:rPr>
        <w:t xml:space="preserve">approved </w:t>
      </w:r>
      <w:r w:rsidRPr="00AF35A5">
        <w:rPr>
          <w:rFonts w:ascii="Palatino Linotype" w:hAnsi="Palatino Linotype"/>
          <w:color w:val="000000" w:themeColor="text1"/>
          <w:sz w:val="24"/>
          <w:szCs w:val="24"/>
        </w:rPr>
        <w:t>application</w:t>
      </w:r>
      <w:r>
        <w:rPr>
          <w:rFonts w:ascii="Palatino Linotype" w:hAnsi="Palatino Linotype"/>
          <w:color w:val="000000" w:themeColor="text1"/>
          <w:sz w:val="24"/>
          <w:szCs w:val="24"/>
        </w:rPr>
        <w:t xml:space="preserve"> and budget</w:t>
      </w:r>
      <w:r w:rsidRPr="00AF35A5">
        <w:rPr>
          <w:rFonts w:ascii="Palatino Linotype" w:hAnsi="Palatino Linotype"/>
          <w:color w:val="000000" w:themeColor="text1"/>
          <w:sz w:val="24"/>
          <w:szCs w:val="24"/>
        </w:rPr>
        <w:t>.</w:t>
      </w:r>
    </w:p>
    <w:p w14:paraId="532A4C56" w14:textId="77777777" w:rsidR="00930BD6" w:rsidRPr="00AF35A5" w:rsidRDefault="00930BD6" w:rsidP="00930BD6">
      <w:pPr>
        <w:pStyle w:val="ListParagraph"/>
        <w:numPr>
          <w:ilvl w:val="0"/>
          <w:numId w:val="29"/>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Grantees must notify the Commission as soon as they become aware that they may not be able to meet project deadlines.  </w:t>
      </w:r>
    </w:p>
    <w:p w14:paraId="18BF5CE8" w14:textId="77777777" w:rsidR="00930BD6" w:rsidRPr="00AF35A5" w:rsidRDefault="00930BD6" w:rsidP="00930BD6">
      <w:pPr>
        <w:pStyle w:val="ListParagraph"/>
        <w:numPr>
          <w:ilvl w:val="0"/>
          <w:numId w:val="29"/>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Payment will be made in accordance with, and within the time specified in California Government Code § 927 et seq.</w:t>
      </w:r>
    </w:p>
    <w:p w14:paraId="005BE5B6" w14:textId="77777777" w:rsidR="00930BD6" w:rsidRPr="00AF35A5" w:rsidRDefault="00930BD6" w:rsidP="00930BD6">
      <w:pPr>
        <w:pStyle w:val="ListParagraph"/>
        <w:numPr>
          <w:ilvl w:val="0"/>
          <w:numId w:val="29"/>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Commission has the right to conduct any necessary audit, verification, and discovery during project implementation to ensure that CASF funds are spent in accordance with the terms of approval granted by the Commission.</w:t>
      </w:r>
    </w:p>
    <w:p w14:paraId="608817C9" w14:textId="77777777" w:rsidR="00930BD6" w:rsidRPr="00AF35A5" w:rsidRDefault="00930BD6" w:rsidP="00930BD6">
      <w:pPr>
        <w:pStyle w:val="ListParagraph"/>
        <w:numPr>
          <w:ilvl w:val="0"/>
          <w:numId w:val="29"/>
        </w:numPr>
        <w:contextualSpacing/>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recipient’s invoices will be subject to audit by the Commission at any time within three years of final payment.</w:t>
      </w:r>
    </w:p>
    <w:p w14:paraId="60055B5A" w14:textId="77777777" w:rsidR="00930BD6" w:rsidRPr="00AF35A5" w:rsidRDefault="00930BD6" w:rsidP="00930BD6">
      <w:pPr>
        <w:pStyle w:val="ListParagraph"/>
        <w:rPr>
          <w:rFonts w:ascii="Palatino Linotype" w:hAnsi="Palatino Linotype"/>
          <w:b/>
          <w:color w:val="000000" w:themeColor="text1"/>
          <w:sz w:val="24"/>
          <w:szCs w:val="24"/>
        </w:rPr>
      </w:pPr>
    </w:p>
    <w:p w14:paraId="488E720C" w14:textId="77777777" w:rsidR="00930BD6" w:rsidRPr="00AF35A5" w:rsidRDefault="00930BD6" w:rsidP="00930BD6">
      <w:pPr>
        <w:pStyle w:val="Heading2"/>
        <w:numPr>
          <w:ilvl w:val="1"/>
          <w:numId w:val="10"/>
        </w:numPr>
      </w:pPr>
      <w:r w:rsidRPr="00AF35A5">
        <w:t xml:space="preserve"> </w:t>
      </w:r>
      <w:bookmarkStart w:id="664" w:name="_Toc505694167"/>
      <w:bookmarkStart w:id="665" w:name="_Toc505786744"/>
      <w:bookmarkStart w:id="666" w:name="_Toc514153045"/>
      <w:r w:rsidRPr="00AF35A5">
        <w:t>Execution and Performance</w:t>
      </w:r>
      <w:bookmarkEnd w:id="664"/>
      <w:bookmarkEnd w:id="665"/>
      <w:bookmarkEnd w:id="666"/>
      <w:r w:rsidRPr="00AF35A5">
        <w:t xml:space="preserve"> </w:t>
      </w:r>
    </w:p>
    <w:p w14:paraId="1BBA14D9" w14:textId="7AFCAE1F" w:rsidR="00930BD6" w:rsidRPr="00AF35A5"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Grantees </w:t>
      </w:r>
      <w:r>
        <w:rPr>
          <w:rFonts w:ascii="Palatino Linotype" w:hAnsi="Palatino Linotype"/>
          <w:color w:val="000000" w:themeColor="text1"/>
          <w:sz w:val="24"/>
          <w:szCs w:val="24"/>
        </w:rPr>
        <w:t>must</w:t>
      </w:r>
      <w:r w:rsidRPr="00AF35A5">
        <w:rPr>
          <w:rFonts w:ascii="Palatino Linotype" w:hAnsi="Palatino Linotype"/>
          <w:color w:val="000000" w:themeColor="text1"/>
          <w:sz w:val="24"/>
          <w:szCs w:val="24"/>
        </w:rPr>
        <w:t xml:space="preserve"> start the project within six months after the grant approval (after the ramp</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up time</w:t>
      </w:r>
      <w:r>
        <w:rPr>
          <w:rFonts w:ascii="Palatino Linotype" w:hAnsi="Palatino Linotype"/>
          <w:color w:val="000000" w:themeColor="text1"/>
          <w:sz w:val="24"/>
          <w:szCs w:val="24"/>
        </w:rPr>
        <w:t xml:space="preserve"> if applicable</w:t>
      </w:r>
      <w:r w:rsidRPr="00AF35A5">
        <w:rPr>
          <w:rFonts w:ascii="Palatino Linotype" w:hAnsi="Palatino Linotype"/>
          <w:color w:val="000000" w:themeColor="text1"/>
          <w:sz w:val="24"/>
          <w:szCs w:val="24"/>
        </w:rPr>
        <w:t>) and complete the project within a 24</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month timeframe or </w:t>
      </w:r>
      <w:r>
        <w:rPr>
          <w:rFonts w:ascii="Palatino Linotype" w:hAnsi="Palatino Linotype"/>
          <w:color w:val="000000" w:themeColor="text1"/>
          <w:sz w:val="24"/>
          <w:szCs w:val="24"/>
        </w:rPr>
        <w:t>earlier</w:t>
      </w:r>
      <w:r w:rsidRPr="00AF35A5">
        <w:rPr>
          <w:rFonts w:ascii="Palatino Linotype" w:hAnsi="Palatino Linotype"/>
          <w:color w:val="000000" w:themeColor="text1"/>
          <w:sz w:val="24"/>
          <w:szCs w:val="24"/>
        </w:rPr>
        <w:t xml:space="preserve">.  The Commission may withhold or terminate grant payments if the grantee does not comply with any of the requirements set forth in its application and compliance with the CASF.  </w:t>
      </w:r>
      <w:proofErr w:type="gramStart"/>
      <w:r w:rsidRPr="00AF35A5">
        <w:rPr>
          <w:rFonts w:ascii="Palatino Linotype" w:hAnsi="Palatino Linotype"/>
          <w:color w:val="000000" w:themeColor="text1"/>
          <w:sz w:val="24"/>
          <w:szCs w:val="24"/>
        </w:rPr>
        <w:t>In the event that</w:t>
      </w:r>
      <w:proofErr w:type="gramEnd"/>
      <w:r w:rsidRPr="00AF35A5">
        <w:rPr>
          <w:rFonts w:ascii="Palatino Linotype" w:hAnsi="Palatino Linotype"/>
          <w:color w:val="000000" w:themeColor="text1"/>
          <w:sz w:val="24"/>
          <w:szCs w:val="24"/>
        </w:rPr>
        <w:t xml:space="preserve"> the grantee fails to complete the project in accordance with the terms of approval granted by the Commission, the grantee</w:t>
      </w:r>
      <w:r>
        <w:rPr>
          <w:rFonts w:ascii="Palatino Linotype" w:hAnsi="Palatino Linotype"/>
          <w:color w:val="000000" w:themeColor="text1"/>
          <w:sz w:val="24"/>
          <w:szCs w:val="24"/>
        </w:rPr>
        <w:t xml:space="preserve"> must</w:t>
      </w:r>
      <w:r w:rsidRPr="00AF35A5">
        <w:rPr>
          <w:rFonts w:ascii="Palatino Linotype" w:hAnsi="Palatino Linotype"/>
          <w:color w:val="000000" w:themeColor="text1"/>
          <w:sz w:val="24"/>
          <w:szCs w:val="24"/>
        </w:rPr>
        <w:t xml:space="preserve"> reimburse some or all the CASF funds that it has received.</w:t>
      </w:r>
    </w:p>
    <w:p w14:paraId="4CBE7E2E" w14:textId="77777777" w:rsidR="00930BD6" w:rsidRPr="00AF35A5" w:rsidRDefault="00930BD6" w:rsidP="00930BD6">
      <w:pPr>
        <w:rPr>
          <w:rFonts w:ascii="Palatino Linotype" w:hAnsi="Palatino Linotype"/>
          <w:color w:val="000000" w:themeColor="text1"/>
          <w:sz w:val="24"/>
          <w:szCs w:val="24"/>
        </w:rPr>
      </w:pPr>
    </w:p>
    <w:p w14:paraId="42FB9123" w14:textId="77777777" w:rsidR="00930BD6" w:rsidRPr="00AF35A5"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CASF grant recipient must complete all performance under the award on or before the termination date of the award.</w:t>
      </w:r>
    </w:p>
    <w:p w14:paraId="47FBD12B" w14:textId="77777777" w:rsidR="00930BD6" w:rsidRPr="00AF35A5"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lastRenderedPageBreak/>
        <w:tab/>
      </w:r>
    </w:p>
    <w:p w14:paraId="22943637" w14:textId="77777777" w:rsidR="00930BD6" w:rsidRDefault="00930BD6" w:rsidP="00930BD6">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Material changes in the entries for this application, such as discontinuing operation or bankruptcy, or change of name (DBA), change of address, telephone, fax number or E</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mail address should be reported by a letter to the C</w:t>
      </w:r>
      <w:r>
        <w:rPr>
          <w:rFonts w:ascii="Palatino Linotype" w:hAnsi="Palatino Linotype"/>
          <w:color w:val="000000" w:themeColor="text1"/>
          <w:sz w:val="24"/>
          <w:szCs w:val="24"/>
        </w:rPr>
        <w:t xml:space="preserve">alifornia </w:t>
      </w:r>
      <w:r w:rsidRPr="00AF35A5">
        <w:rPr>
          <w:rFonts w:ascii="Palatino Linotype" w:hAnsi="Palatino Linotype"/>
          <w:color w:val="000000" w:themeColor="text1"/>
          <w:sz w:val="24"/>
          <w:szCs w:val="24"/>
        </w:rPr>
        <w:t>P</w:t>
      </w:r>
      <w:r>
        <w:rPr>
          <w:rFonts w:ascii="Palatino Linotype" w:hAnsi="Palatino Linotype"/>
          <w:color w:val="000000" w:themeColor="text1"/>
          <w:sz w:val="24"/>
          <w:szCs w:val="24"/>
        </w:rPr>
        <w:t xml:space="preserve">ublic </w:t>
      </w:r>
      <w:r w:rsidRPr="00AF35A5">
        <w:rPr>
          <w:rFonts w:ascii="Palatino Linotype" w:hAnsi="Palatino Linotype"/>
          <w:color w:val="000000" w:themeColor="text1"/>
          <w:sz w:val="24"/>
          <w:szCs w:val="24"/>
        </w:rPr>
        <w:t>U</w:t>
      </w:r>
      <w:r>
        <w:rPr>
          <w:rFonts w:ascii="Palatino Linotype" w:hAnsi="Palatino Linotype"/>
          <w:color w:val="000000" w:themeColor="text1"/>
          <w:sz w:val="24"/>
          <w:szCs w:val="24"/>
        </w:rPr>
        <w:t xml:space="preserve">tilities </w:t>
      </w:r>
      <w:r w:rsidRPr="00AF35A5">
        <w:rPr>
          <w:rFonts w:ascii="Palatino Linotype" w:hAnsi="Palatino Linotype"/>
          <w:color w:val="000000" w:themeColor="text1"/>
          <w:sz w:val="24"/>
          <w:szCs w:val="24"/>
        </w:rPr>
        <w:t>C</w:t>
      </w:r>
      <w:r>
        <w:rPr>
          <w:rFonts w:ascii="Palatino Linotype" w:hAnsi="Palatino Linotype"/>
          <w:color w:val="000000" w:themeColor="text1"/>
          <w:sz w:val="24"/>
          <w:szCs w:val="24"/>
        </w:rPr>
        <w:t>ommission</w:t>
      </w:r>
      <w:r w:rsidRPr="00AF35A5">
        <w:rPr>
          <w:rFonts w:ascii="Palatino Linotype" w:hAnsi="Palatino Linotype"/>
          <w:color w:val="000000" w:themeColor="text1"/>
          <w:sz w:val="24"/>
          <w:szCs w:val="24"/>
        </w:rPr>
        <w:t xml:space="preserve">, Director of the Communications Division, 505 Van Ness Avenue, San Francisco, CA  94102 and </w:t>
      </w:r>
      <w:hyperlink r:id="rId17" w:history="1">
        <w:r w:rsidRPr="00BF7097">
          <w:rPr>
            <w:rStyle w:val="Hyperlink"/>
            <w:rFonts w:ascii="Palatino Linotype" w:hAnsi="Palatino Linotype"/>
            <w:sz w:val="24"/>
            <w:szCs w:val="24"/>
          </w:rPr>
          <w:t>CDCompliance@cpuc.ca.gov</w:t>
        </w:r>
      </w:hyperlink>
      <w:r w:rsidRPr="00AF35A5">
        <w:rPr>
          <w:rFonts w:ascii="Palatino Linotype" w:hAnsi="Palatino Linotype"/>
          <w:color w:val="000000" w:themeColor="text1"/>
          <w:sz w:val="24"/>
          <w:szCs w:val="24"/>
        </w:rPr>
        <w:t>.</w:t>
      </w:r>
      <w:bookmarkStart w:id="667" w:name="_Toc499547630"/>
      <w:bookmarkStart w:id="668" w:name="_Toc499566784"/>
      <w:bookmarkStart w:id="669" w:name="_Toc499567767"/>
      <w:bookmarkStart w:id="670" w:name="_Toc499567847"/>
      <w:bookmarkStart w:id="671" w:name="_Toc514153049"/>
      <w:bookmarkEnd w:id="667"/>
      <w:bookmarkEnd w:id="668"/>
      <w:bookmarkEnd w:id="669"/>
      <w:bookmarkEnd w:id="670"/>
    </w:p>
    <w:p w14:paraId="2AF09C6C" w14:textId="77777777" w:rsidR="00930BD6" w:rsidRDefault="00930BD6" w:rsidP="00930BD6">
      <w:pPr>
        <w:pStyle w:val="ListParagraph"/>
        <w:ind w:left="360"/>
        <w:rPr>
          <w:rFonts w:ascii="Palatino Linotype" w:hAnsi="Palatino Linotype"/>
          <w:color w:val="000000" w:themeColor="text1"/>
          <w:sz w:val="24"/>
          <w:szCs w:val="24"/>
        </w:rPr>
        <w:sectPr w:rsidR="00930BD6">
          <w:headerReference w:type="default" r:id="rId18"/>
          <w:footerReference w:type="default" r:id="rId19"/>
          <w:headerReference w:type="first" r:id="rId20"/>
          <w:footerReference w:type="first" r:id="rId21"/>
          <w:pgSz w:w="12240" w:h="15840" w:code="1"/>
          <w:pgMar w:top="1152" w:right="1440" w:bottom="1440" w:left="1440" w:header="720" w:footer="720" w:gutter="0"/>
          <w:pgNumType w:start="1"/>
          <w:cols w:space="720"/>
          <w:titlePg/>
        </w:sectPr>
      </w:pPr>
    </w:p>
    <w:p w14:paraId="6BAD96CD" w14:textId="77777777" w:rsidR="00930BD6" w:rsidRPr="00AF35A5" w:rsidRDefault="00930BD6" w:rsidP="00930BD6">
      <w:pPr>
        <w:pStyle w:val="Heading5"/>
        <w:numPr>
          <w:ilvl w:val="0"/>
          <w:numId w:val="0"/>
        </w:numPr>
        <w:spacing w:before="0" w:after="0"/>
        <w:jc w:val="center"/>
        <w:rPr>
          <w:rFonts w:ascii="Palatino Linotype" w:hAnsi="Palatino Linotype"/>
          <w:color w:val="000000" w:themeColor="text1"/>
          <w:sz w:val="24"/>
          <w:szCs w:val="24"/>
        </w:rPr>
      </w:pPr>
      <w:r w:rsidRPr="00AF35A5">
        <w:rPr>
          <w:rFonts w:ascii="Palatino Linotype" w:hAnsi="Palatino Linotype"/>
          <w:color w:val="000000" w:themeColor="text1"/>
          <w:sz w:val="24"/>
          <w:szCs w:val="24"/>
        </w:rPr>
        <w:lastRenderedPageBreak/>
        <w:t>Attachment 1</w:t>
      </w:r>
      <w:bookmarkEnd w:id="671"/>
    </w:p>
    <w:p w14:paraId="7D7F1FD2" w14:textId="77777777" w:rsidR="00930BD6" w:rsidRPr="00AF35A5" w:rsidRDefault="00930BD6" w:rsidP="00930BD6">
      <w:pPr>
        <w:pStyle w:val="sub4"/>
        <w:ind w:firstLine="0"/>
        <w:jc w:val="center"/>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Preference Checklist</w:t>
      </w:r>
    </w:p>
    <w:p w14:paraId="10F4A41E" w14:textId="77777777" w:rsidR="00930BD6" w:rsidRPr="00CC50F3" w:rsidRDefault="00930BD6" w:rsidP="00930BD6">
      <w:pPr>
        <w:rPr>
          <w:rFonts w:ascii="Palatino Linotype" w:hAnsi="Palatino Linotype"/>
          <w:color w:val="000000" w:themeColor="text1"/>
          <w:sz w:val="2"/>
          <w:szCs w:val="24"/>
        </w:rPr>
      </w:pPr>
    </w:p>
    <w:p w14:paraId="1448CADF" w14:textId="77777777" w:rsidR="00930BD6" w:rsidRPr="00AF35A5" w:rsidRDefault="00930BD6" w:rsidP="00930BD6">
      <w:pPr>
        <w:pStyle w:val="ListParagraph"/>
        <w:numPr>
          <w:ilvl w:val="0"/>
          <w:numId w:val="13"/>
        </w:numPr>
        <w:spacing w:after="160" w:line="259" w:lineRule="auto"/>
        <w:contextualSpacing/>
        <w:rPr>
          <w:rFonts w:ascii="Palatino Linotype" w:hAnsi="Palatino Linotype"/>
          <w:b/>
          <w:color w:val="000000" w:themeColor="text1"/>
          <w:sz w:val="24"/>
          <w:szCs w:val="24"/>
        </w:rPr>
      </w:pPr>
      <w:bookmarkStart w:id="672" w:name="_Toc505694026"/>
      <w:bookmarkStart w:id="673" w:name="_Toc505694078"/>
      <w:bookmarkStart w:id="674" w:name="_Toc505694182"/>
      <w:bookmarkStart w:id="675" w:name="_Toc505694236"/>
      <w:bookmarkStart w:id="676" w:name="_Toc505694289"/>
      <w:bookmarkStart w:id="677" w:name="_Toc505694353"/>
      <w:bookmarkStart w:id="678" w:name="_Toc505694411"/>
      <w:bookmarkStart w:id="679" w:name="_Toc505694469"/>
      <w:bookmarkStart w:id="680" w:name="_Toc505694527"/>
      <w:bookmarkStart w:id="681" w:name="_Toc505694579"/>
      <w:bookmarkStart w:id="682" w:name="_Toc505694631"/>
      <w:bookmarkStart w:id="683" w:name="_Toc505694682"/>
      <w:bookmarkStart w:id="684" w:name="_Toc505694734"/>
      <w:bookmarkStart w:id="685" w:name="_Toc505694786"/>
      <w:bookmarkStart w:id="686" w:name="_Toc505694838"/>
      <w:bookmarkStart w:id="687" w:name="_Toc505694896"/>
      <w:bookmarkStart w:id="688" w:name="_Toc505694960"/>
      <w:bookmarkStart w:id="689" w:name="_Toc505695012"/>
      <w:bookmarkStart w:id="690" w:name="_Toc505695064"/>
      <w:bookmarkStart w:id="691" w:name="_Toc505695116"/>
      <w:bookmarkStart w:id="692" w:name="_Toc505695168"/>
      <w:bookmarkStart w:id="693" w:name="_Toc505695220"/>
      <w:bookmarkStart w:id="694" w:name="_Toc505695273"/>
      <w:bookmarkStart w:id="695" w:name="_Toc505695329"/>
      <w:bookmarkStart w:id="696" w:name="_Toc505695382"/>
      <w:bookmarkStart w:id="697" w:name="_Toc505695436"/>
      <w:bookmarkStart w:id="698" w:name="_Toc505695487"/>
      <w:bookmarkStart w:id="699" w:name="_Toc505695537"/>
      <w:bookmarkStart w:id="700" w:name="_Toc505695588"/>
      <w:bookmarkStart w:id="701" w:name="_Toc505695635"/>
      <w:bookmarkStart w:id="702" w:name="_Toc505695686"/>
      <w:bookmarkStart w:id="703" w:name="_Toc505695735"/>
      <w:bookmarkStart w:id="704" w:name="_Toc505695782"/>
      <w:bookmarkStart w:id="705" w:name="_Toc505695830"/>
      <w:bookmarkStart w:id="706" w:name="_Toc505695878"/>
      <w:bookmarkStart w:id="707" w:name="_Toc505695927"/>
      <w:bookmarkStart w:id="708" w:name="_Toc505695977"/>
      <w:bookmarkStart w:id="709" w:name="_Toc505696083"/>
      <w:bookmarkStart w:id="710" w:name="_Toc505694027"/>
      <w:bookmarkStart w:id="711" w:name="_Toc505694079"/>
      <w:bookmarkStart w:id="712" w:name="_Toc505694183"/>
      <w:bookmarkStart w:id="713" w:name="_Toc505694237"/>
      <w:bookmarkStart w:id="714" w:name="_Toc505694290"/>
      <w:bookmarkStart w:id="715" w:name="_Toc505694354"/>
      <w:bookmarkStart w:id="716" w:name="_Toc505694412"/>
      <w:bookmarkStart w:id="717" w:name="_Toc505694470"/>
      <w:bookmarkStart w:id="718" w:name="_Toc505694528"/>
      <w:bookmarkStart w:id="719" w:name="_Toc505694580"/>
      <w:bookmarkStart w:id="720" w:name="_Toc505694632"/>
      <w:bookmarkStart w:id="721" w:name="_Toc505694683"/>
      <w:bookmarkStart w:id="722" w:name="_Toc505694735"/>
      <w:bookmarkStart w:id="723" w:name="_Toc505694787"/>
      <w:bookmarkStart w:id="724" w:name="_Toc505694839"/>
      <w:bookmarkStart w:id="725" w:name="_Toc505694897"/>
      <w:bookmarkStart w:id="726" w:name="_Toc505694961"/>
      <w:bookmarkStart w:id="727" w:name="_Toc505695013"/>
      <w:bookmarkStart w:id="728" w:name="_Toc505695065"/>
      <w:bookmarkStart w:id="729" w:name="_Toc505695117"/>
      <w:bookmarkStart w:id="730" w:name="_Toc505695169"/>
      <w:bookmarkStart w:id="731" w:name="_Toc505695221"/>
      <w:bookmarkStart w:id="732" w:name="_Toc505695274"/>
      <w:bookmarkStart w:id="733" w:name="_Toc505695330"/>
      <w:bookmarkStart w:id="734" w:name="_Toc505695383"/>
      <w:bookmarkStart w:id="735" w:name="_Toc505695437"/>
      <w:bookmarkStart w:id="736" w:name="_Toc505695488"/>
      <w:bookmarkStart w:id="737" w:name="_Toc505695538"/>
      <w:bookmarkStart w:id="738" w:name="_Toc505695589"/>
      <w:bookmarkStart w:id="739" w:name="_Toc505695636"/>
      <w:bookmarkStart w:id="740" w:name="_Toc505695687"/>
      <w:bookmarkStart w:id="741" w:name="_Toc505695736"/>
      <w:bookmarkStart w:id="742" w:name="_Toc505695783"/>
      <w:bookmarkStart w:id="743" w:name="_Toc505695831"/>
      <w:bookmarkStart w:id="744" w:name="_Toc505695879"/>
      <w:bookmarkStart w:id="745" w:name="_Toc505695928"/>
      <w:bookmarkStart w:id="746" w:name="_Toc505695978"/>
      <w:bookmarkStart w:id="747" w:name="_Toc505696084"/>
      <w:bookmarkStart w:id="748" w:name="_Toc505694028"/>
      <w:bookmarkStart w:id="749" w:name="_Toc505694080"/>
      <w:bookmarkStart w:id="750" w:name="_Toc505694184"/>
      <w:bookmarkStart w:id="751" w:name="_Toc505694238"/>
      <w:bookmarkStart w:id="752" w:name="_Toc505694291"/>
      <w:bookmarkStart w:id="753" w:name="_Toc505694355"/>
      <w:bookmarkStart w:id="754" w:name="_Toc505694413"/>
      <w:bookmarkStart w:id="755" w:name="_Toc505694471"/>
      <w:bookmarkStart w:id="756" w:name="_Toc505694529"/>
      <w:bookmarkStart w:id="757" w:name="_Toc505694581"/>
      <w:bookmarkStart w:id="758" w:name="_Toc505694633"/>
      <w:bookmarkStart w:id="759" w:name="_Toc505694684"/>
      <w:bookmarkStart w:id="760" w:name="_Toc505694736"/>
      <w:bookmarkStart w:id="761" w:name="_Toc505694788"/>
      <w:bookmarkStart w:id="762" w:name="_Toc505694840"/>
      <w:bookmarkStart w:id="763" w:name="_Toc505694898"/>
      <w:bookmarkStart w:id="764" w:name="_Toc505694962"/>
      <w:bookmarkStart w:id="765" w:name="_Toc505695014"/>
      <w:bookmarkStart w:id="766" w:name="_Toc505695066"/>
      <w:bookmarkStart w:id="767" w:name="_Toc505695118"/>
      <w:bookmarkStart w:id="768" w:name="_Toc505695170"/>
      <w:bookmarkStart w:id="769" w:name="_Toc505695222"/>
      <w:bookmarkStart w:id="770" w:name="_Toc505695275"/>
      <w:bookmarkStart w:id="771" w:name="_Toc505695331"/>
      <w:bookmarkStart w:id="772" w:name="_Toc505695384"/>
      <w:bookmarkStart w:id="773" w:name="_Toc505695438"/>
      <w:bookmarkStart w:id="774" w:name="_Toc505695489"/>
      <w:bookmarkStart w:id="775" w:name="_Toc505695539"/>
      <w:bookmarkStart w:id="776" w:name="_Toc505695590"/>
      <w:bookmarkStart w:id="777" w:name="_Toc505695637"/>
      <w:bookmarkStart w:id="778" w:name="_Toc505695688"/>
      <w:bookmarkStart w:id="779" w:name="_Toc505695737"/>
      <w:bookmarkStart w:id="780" w:name="_Toc505695784"/>
      <w:bookmarkStart w:id="781" w:name="_Toc505695832"/>
      <w:bookmarkStart w:id="782" w:name="_Toc505695880"/>
      <w:bookmarkStart w:id="783" w:name="_Toc505695929"/>
      <w:bookmarkStart w:id="784" w:name="_Toc505695979"/>
      <w:bookmarkStart w:id="785" w:name="_Toc505696085"/>
      <w:bookmarkStart w:id="786" w:name="_Toc505694029"/>
      <w:bookmarkStart w:id="787" w:name="_Toc505694081"/>
      <w:bookmarkStart w:id="788" w:name="_Toc505694185"/>
      <w:bookmarkStart w:id="789" w:name="_Toc505694239"/>
      <w:bookmarkStart w:id="790" w:name="_Toc505694292"/>
      <w:bookmarkStart w:id="791" w:name="_Toc505694356"/>
      <w:bookmarkStart w:id="792" w:name="_Toc505694414"/>
      <w:bookmarkStart w:id="793" w:name="_Toc505694472"/>
      <w:bookmarkStart w:id="794" w:name="_Toc505694530"/>
      <w:bookmarkStart w:id="795" w:name="_Toc505694582"/>
      <w:bookmarkStart w:id="796" w:name="_Toc505694634"/>
      <w:bookmarkStart w:id="797" w:name="_Toc505694685"/>
      <w:bookmarkStart w:id="798" w:name="_Toc505694737"/>
      <w:bookmarkStart w:id="799" w:name="_Toc505694789"/>
      <w:bookmarkStart w:id="800" w:name="_Toc505694841"/>
      <w:bookmarkStart w:id="801" w:name="_Toc505694899"/>
      <w:bookmarkStart w:id="802" w:name="_Toc505694963"/>
      <w:bookmarkStart w:id="803" w:name="_Toc505695015"/>
      <w:bookmarkStart w:id="804" w:name="_Toc505695067"/>
      <w:bookmarkStart w:id="805" w:name="_Toc505695119"/>
      <w:bookmarkStart w:id="806" w:name="_Toc505695171"/>
      <w:bookmarkStart w:id="807" w:name="_Toc505695223"/>
      <w:bookmarkStart w:id="808" w:name="_Toc505695276"/>
      <w:bookmarkStart w:id="809" w:name="_Toc505695332"/>
      <w:bookmarkStart w:id="810" w:name="_Toc505695385"/>
      <w:bookmarkStart w:id="811" w:name="_Toc505695439"/>
      <w:bookmarkStart w:id="812" w:name="_Toc505695490"/>
      <w:bookmarkStart w:id="813" w:name="_Toc505695540"/>
      <w:bookmarkStart w:id="814" w:name="_Toc505695591"/>
      <w:bookmarkStart w:id="815" w:name="_Toc505695638"/>
      <w:bookmarkStart w:id="816" w:name="_Toc505695689"/>
      <w:bookmarkStart w:id="817" w:name="_Toc505695738"/>
      <w:bookmarkStart w:id="818" w:name="_Toc505695785"/>
      <w:bookmarkStart w:id="819" w:name="_Toc505695833"/>
      <w:bookmarkStart w:id="820" w:name="_Toc505695881"/>
      <w:bookmarkStart w:id="821" w:name="_Toc505695930"/>
      <w:bookmarkStart w:id="822" w:name="_Toc505695980"/>
      <w:bookmarkStart w:id="823" w:name="_Toc505696086"/>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sidRPr="00AF35A5">
        <w:rPr>
          <w:rFonts w:ascii="Palatino Linotype" w:hAnsi="Palatino Linotype"/>
          <w:b/>
          <w:color w:val="000000" w:themeColor="text1"/>
          <w:sz w:val="24"/>
          <w:szCs w:val="24"/>
        </w:rPr>
        <w:t>Project is serving a low</w:t>
      </w:r>
      <w:r>
        <w:rPr>
          <w:rFonts w:ascii="Palatino Linotype" w:hAnsi="Palatino Linotype"/>
          <w:b/>
          <w:color w:val="000000" w:themeColor="text1"/>
          <w:sz w:val="24"/>
          <w:szCs w:val="24"/>
        </w:rPr>
        <w:noBreakHyphen/>
      </w:r>
      <w:r w:rsidRPr="00AF35A5">
        <w:rPr>
          <w:rFonts w:ascii="Palatino Linotype" w:hAnsi="Palatino Linotype"/>
          <w:b/>
          <w:color w:val="000000" w:themeColor="text1"/>
          <w:sz w:val="24"/>
          <w:szCs w:val="24"/>
        </w:rPr>
        <w:t>income community.</w:t>
      </w:r>
    </w:p>
    <w:p w14:paraId="479B9ACA" w14:textId="77777777" w:rsidR="00930BD6" w:rsidRPr="00AF35A5" w:rsidRDefault="00930BD6" w:rsidP="00930BD6">
      <w:pPr>
        <w:pStyle w:val="ListParagraph"/>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community with a medi</w:t>
      </w:r>
      <w:r>
        <w:rPr>
          <w:rFonts w:ascii="Palatino Linotype" w:hAnsi="Palatino Linotype"/>
          <w:color w:val="000000" w:themeColor="text1"/>
          <w:sz w:val="24"/>
          <w:szCs w:val="24"/>
        </w:rPr>
        <w:t>an</w:t>
      </w:r>
      <w:r w:rsidRPr="00AF35A5">
        <w:rPr>
          <w:rFonts w:ascii="Palatino Linotype" w:hAnsi="Palatino Linotype"/>
          <w:color w:val="000000" w:themeColor="text1"/>
          <w:sz w:val="24"/>
          <w:szCs w:val="24"/>
        </w:rPr>
        <w:t xml:space="preserve"> household income </w:t>
      </w:r>
      <w:r>
        <w:rPr>
          <w:rFonts w:ascii="Palatino Linotype" w:hAnsi="Palatino Linotype"/>
          <w:color w:val="000000" w:themeColor="text1"/>
          <w:sz w:val="24"/>
          <w:szCs w:val="24"/>
        </w:rPr>
        <w:t xml:space="preserve">at or </w:t>
      </w:r>
      <w:r w:rsidRPr="00AF35A5">
        <w:rPr>
          <w:rFonts w:ascii="Palatino Linotype" w:hAnsi="Palatino Linotype"/>
          <w:color w:val="000000" w:themeColor="text1"/>
          <w:sz w:val="24"/>
          <w:szCs w:val="24"/>
        </w:rPr>
        <w:t xml:space="preserve">below the </w:t>
      </w:r>
      <w:r w:rsidRPr="00927177">
        <w:rPr>
          <w:rFonts w:ascii="Palatino Linotype" w:hAnsi="Palatino Linotype"/>
          <w:color w:val="000000" w:themeColor="text1"/>
          <w:sz w:val="24"/>
          <w:szCs w:val="24"/>
        </w:rPr>
        <w:t>CARE income limits for a household of four</w:t>
      </w:r>
      <w:r w:rsidRPr="00127FEC">
        <w:rPr>
          <w:rStyle w:val="FootnoteReference"/>
          <w:rFonts w:ascii="Palatino Linotype" w:hAnsi="Palatino Linotype"/>
          <w:color w:val="000000" w:themeColor="text1"/>
          <w:szCs w:val="24"/>
        </w:rPr>
        <w:footnoteReference w:id="20"/>
      </w:r>
    </w:p>
    <w:p w14:paraId="378DFFB1" w14:textId="77777777" w:rsidR="00930BD6" w:rsidRPr="00AF35A5" w:rsidRDefault="00930BD6" w:rsidP="00930BD6">
      <w:pPr>
        <w:pStyle w:val="ListParagraph"/>
        <w:numPr>
          <w:ilvl w:val="0"/>
          <w:numId w:val="13"/>
        </w:numPr>
        <w:spacing w:after="160" w:line="259" w:lineRule="auto"/>
        <w:contextualSpacing/>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 xml:space="preserve">Project is serving a community with a high percentage of residents with limited English proficiency. </w:t>
      </w:r>
    </w:p>
    <w:p w14:paraId="5D96E7A4" w14:textId="77777777" w:rsidR="00930BD6" w:rsidRPr="00AF35A5" w:rsidRDefault="00930BD6" w:rsidP="00930BD6">
      <w:pPr>
        <w:pStyle w:val="ListParagraph"/>
        <w:rPr>
          <w:rFonts w:ascii="Palatino Linotype" w:hAnsi="Palatino Linotype"/>
          <w:color w:val="000000" w:themeColor="text1"/>
          <w:sz w:val="24"/>
          <w:szCs w:val="24"/>
        </w:rPr>
      </w:pPr>
      <w:r w:rsidRPr="00AF35A5">
        <w:rPr>
          <w:rFonts w:ascii="Palatino Linotype" w:hAnsi="Palatino Linotype"/>
          <w:color w:val="000000" w:themeColor="text1"/>
          <w:sz w:val="24"/>
          <w:szCs w:val="24"/>
        </w:rPr>
        <w:t>More than 50% of residents have limited English proficiency</w:t>
      </w:r>
    </w:p>
    <w:p w14:paraId="01415D37" w14:textId="77777777" w:rsidR="00930BD6" w:rsidRPr="00AF35A5" w:rsidRDefault="00930BD6" w:rsidP="00930BD6">
      <w:pPr>
        <w:pStyle w:val="ListParagraph"/>
        <w:numPr>
          <w:ilvl w:val="0"/>
          <w:numId w:val="13"/>
        </w:numPr>
        <w:spacing w:after="160" w:line="259" w:lineRule="auto"/>
        <w:contextualSpacing/>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Project is serving a community with a high percentage of residents with limited educational attainment.</w:t>
      </w:r>
    </w:p>
    <w:p w14:paraId="43A1CA44" w14:textId="77777777" w:rsidR="00930BD6" w:rsidRPr="00AF35A5" w:rsidRDefault="00930BD6" w:rsidP="00930BD6">
      <w:pPr>
        <w:pStyle w:val="ListParagraph"/>
        <w:rPr>
          <w:rFonts w:ascii="Palatino Linotype" w:hAnsi="Palatino Linotype"/>
          <w:color w:val="000000" w:themeColor="text1"/>
          <w:sz w:val="24"/>
          <w:szCs w:val="24"/>
        </w:rPr>
      </w:pPr>
      <w:r w:rsidRPr="00AF35A5">
        <w:rPr>
          <w:rFonts w:ascii="Palatino Linotype" w:hAnsi="Palatino Linotype"/>
          <w:color w:val="000000" w:themeColor="text1"/>
          <w:sz w:val="24"/>
          <w:szCs w:val="24"/>
        </w:rPr>
        <w:t>More than 50% of residents have only a high school diploma or less.</w:t>
      </w:r>
    </w:p>
    <w:p w14:paraId="30D970E4" w14:textId="77777777" w:rsidR="00930BD6" w:rsidRPr="00AF35A5" w:rsidRDefault="00930BD6" w:rsidP="00930BD6">
      <w:pPr>
        <w:pStyle w:val="ListParagraph"/>
        <w:numPr>
          <w:ilvl w:val="0"/>
          <w:numId w:val="13"/>
        </w:numPr>
        <w:spacing w:after="160" w:line="259" w:lineRule="auto"/>
        <w:contextualSpacing/>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Project is serving a rural community.</w:t>
      </w:r>
    </w:p>
    <w:p w14:paraId="20CCA622" w14:textId="77777777" w:rsidR="00930BD6" w:rsidRPr="00AF35A5" w:rsidRDefault="00930BD6" w:rsidP="00930BD6">
      <w:pPr>
        <w:pStyle w:val="ListParagraph"/>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 project is located in a "rural" area if it meets one of the following criteria: </w:t>
      </w:r>
    </w:p>
    <w:p w14:paraId="660E2EE1" w14:textId="77777777" w:rsidR="00930BD6" w:rsidRPr="00AF35A5" w:rsidRDefault="00930BD6" w:rsidP="00930BD6">
      <w:pPr>
        <w:pStyle w:val="ListParagraph"/>
        <w:ind w:left="1440" w:hanging="27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1) It is in area that is eligible for federal program under the United States Department of Agriculture (USDA) Section 515 program; </w:t>
      </w:r>
    </w:p>
    <w:p w14:paraId="49296759" w14:textId="77777777" w:rsidR="00930BD6" w:rsidRPr="00AF35A5" w:rsidRDefault="00930BD6" w:rsidP="00930BD6">
      <w:pPr>
        <w:pStyle w:val="ListParagraph"/>
        <w:ind w:left="1440" w:hanging="270"/>
        <w:rPr>
          <w:rFonts w:ascii="Palatino Linotype" w:hAnsi="Palatino Linotype"/>
          <w:color w:val="000000" w:themeColor="text1"/>
          <w:sz w:val="24"/>
          <w:szCs w:val="24"/>
        </w:rPr>
      </w:pPr>
      <w:r w:rsidRPr="00AF35A5">
        <w:rPr>
          <w:rFonts w:ascii="Palatino Linotype" w:hAnsi="Palatino Linotype"/>
          <w:color w:val="000000" w:themeColor="text1"/>
          <w:sz w:val="24"/>
          <w:szCs w:val="24"/>
        </w:rPr>
        <w:t>2) It is in a city with a population of 40,000 or less or in a non</w:t>
      </w:r>
      <w:r>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urbanized area; </w:t>
      </w:r>
      <w:r>
        <w:rPr>
          <w:rFonts w:ascii="Palatino Linotype" w:hAnsi="Palatino Linotype"/>
          <w:color w:val="000000" w:themeColor="text1"/>
          <w:sz w:val="24"/>
          <w:szCs w:val="24"/>
        </w:rPr>
        <w:t>or</w:t>
      </w:r>
    </w:p>
    <w:p w14:paraId="546E939A" w14:textId="77777777" w:rsidR="00930BD6" w:rsidRPr="00AF35A5" w:rsidRDefault="00930BD6" w:rsidP="00930BD6">
      <w:pPr>
        <w:pStyle w:val="ListParagraph"/>
        <w:ind w:left="1440" w:hanging="270"/>
        <w:rPr>
          <w:rFonts w:ascii="Palatino Linotype" w:hAnsi="Palatino Linotype"/>
          <w:color w:val="000000" w:themeColor="text1"/>
          <w:sz w:val="24"/>
          <w:szCs w:val="24"/>
        </w:rPr>
      </w:pPr>
      <w:r w:rsidRPr="00AF35A5">
        <w:rPr>
          <w:rFonts w:ascii="Palatino Linotype" w:hAnsi="Palatino Linotype"/>
          <w:color w:val="000000" w:themeColor="text1"/>
          <w:sz w:val="24"/>
          <w:szCs w:val="24"/>
        </w:rPr>
        <w:t>3) It is in an unincorporated area of a county and is not in an urbanized area.</w:t>
      </w:r>
    </w:p>
    <w:p w14:paraId="312165B8" w14:textId="77777777" w:rsidR="00930BD6" w:rsidRPr="00AF35A5" w:rsidRDefault="00930BD6" w:rsidP="00930BD6">
      <w:pPr>
        <w:pStyle w:val="ListParagraph"/>
        <w:numPr>
          <w:ilvl w:val="0"/>
          <w:numId w:val="13"/>
        </w:numPr>
        <w:spacing w:after="160" w:line="259" w:lineRule="auto"/>
        <w:contextualSpacing/>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Project has community support, endorsements and/or partnerships.</w:t>
      </w:r>
    </w:p>
    <w:p w14:paraId="69481776" w14:textId="77777777" w:rsidR="00930BD6" w:rsidRPr="00AF35A5" w:rsidRDefault="00930BD6" w:rsidP="00930BD6">
      <w:pPr>
        <w:pStyle w:val="ListParagraph"/>
        <w:numPr>
          <w:ilvl w:val="0"/>
          <w:numId w:val="13"/>
        </w:numPr>
        <w:spacing w:after="160" w:line="259" w:lineRule="auto"/>
        <w:contextualSpacing/>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Project is serving a community with some other demonstrated disadvantage which affects broadband adoption, documented by applicant.</w:t>
      </w:r>
    </w:p>
    <w:p w14:paraId="0DB8FEFC" w14:textId="77777777" w:rsidR="00930BD6" w:rsidRDefault="00930BD6" w:rsidP="00930BD6">
      <w:pPr>
        <w:pStyle w:val="ListParagraph"/>
        <w:numPr>
          <w:ilvl w:val="0"/>
          <w:numId w:val="13"/>
        </w:numPr>
        <w:spacing w:after="160" w:line="259" w:lineRule="auto"/>
        <w:contextualSpacing/>
        <w:rPr>
          <w:rFonts w:ascii="Palatino Linotype" w:hAnsi="Palatino Linotype"/>
          <w:b/>
          <w:color w:val="000000" w:themeColor="text1"/>
          <w:sz w:val="24"/>
          <w:szCs w:val="24"/>
        </w:rPr>
        <w:sectPr w:rsidR="00930BD6">
          <w:headerReference w:type="default" r:id="rId22"/>
          <w:footerReference w:type="default" r:id="rId23"/>
          <w:headerReference w:type="first" r:id="rId24"/>
          <w:footerReference w:type="first" r:id="rId25"/>
          <w:pgSz w:w="12240" w:h="15840" w:code="1"/>
          <w:pgMar w:top="1152" w:right="1440" w:bottom="1440" w:left="1440" w:header="720" w:footer="720" w:gutter="0"/>
          <w:pgNumType w:start="1"/>
          <w:cols w:space="720"/>
          <w:titlePg/>
        </w:sectPr>
      </w:pPr>
      <w:r w:rsidRPr="00AF35A5">
        <w:rPr>
          <w:rFonts w:ascii="Palatino Linotype" w:hAnsi="Palatino Linotype"/>
          <w:b/>
          <w:color w:val="000000" w:themeColor="text1"/>
          <w:sz w:val="24"/>
          <w:szCs w:val="24"/>
        </w:rPr>
        <w:t>Project considers coordination with other public purpose programs and funding sources.</w:t>
      </w:r>
    </w:p>
    <w:p w14:paraId="0D1AB95B" w14:textId="77777777" w:rsidR="00930BD6" w:rsidRDefault="00930BD6" w:rsidP="00930BD6">
      <w:pPr>
        <w:pStyle w:val="ListParagraph"/>
        <w:numPr>
          <w:ilvl w:val="0"/>
          <w:numId w:val="13"/>
        </w:numPr>
        <w:spacing w:after="160" w:line="259" w:lineRule="auto"/>
        <w:contextualSpacing/>
        <w:rPr>
          <w:rFonts w:ascii="Palatino Linotype" w:hAnsi="Palatino Linotype"/>
          <w:b/>
          <w:color w:val="000000" w:themeColor="text1"/>
          <w:sz w:val="24"/>
          <w:szCs w:val="24"/>
        </w:rPr>
      </w:pPr>
    </w:p>
    <w:p w14:paraId="55458730" w14:textId="77777777" w:rsidR="00930BD6" w:rsidRPr="005B6D2E" w:rsidRDefault="00930BD6" w:rsidP="00930BD6">
      <w:pPr>
        <w:pStyle w:val="ListParagraph"/>
        <w:spacing w:after="160" w:line="259" w:lineRule="auto"/>
        <w:jc w:val="center"/>
        <w:rPr>
          <w:rFonts w:ascii="Palatino Linotype" w:hAnsi="Palatino Linotype"/>
          <w:b/>
          <w:color w:val="000000" w:themeColor="text1"/>
          <w:sz w:val="24"/>
          <w:szCs w:val="24"/>
        </w:rPr>
      </w:pPr>
      <w:r w:rsidRPr="005B6D2E">
        <w:rPr>
          <w:rFonts w:ascii="Palatino Linotype" w:hAnsi="Palatino Linotype"/>
          <w:b/>
          <w:color w:val="000000" w:themeColor="text1"/>
          <w:sz w:val="24"/>
          <w:szCs w:val="24"/>
        </w:rPr>
        <w:t>Attachment 2</w:t>
      </w:r>
    </w:p>
    <w:p w14:paraId="67601FF1" w14:textId="77777777" w:rsidR="00930BD6" w:rsidRPr="005B6D2E" w:rsidRDefault="00930BD6" w:rsidP="00930BD6">
      <w:pPr>
        <w:pStyle w:val="ListParagraph"/>
        <w:spacing w:after="160" w:line="259" w:lineRule="auto"/>
        <w:jc w:val="center"/>
        <w:rPr>
          <w:rFonts w:ascii="Palatino Linotype" w:hAnsi="Palatino Linotype"/>
          <w:b/>
          <w:color w:val="000000" w:themeColor="text1"/>
          <w:sz w:val="24"/>
          <w:szCs w:val="24"/>
        </w:rPr>
      </w:pPr>
      <w:r w:rsidRPr="005B6D2E">
        <w:rPr>
          <w:rFonts w:ascii="Palatino Linotype" w:hAnsi="Palatino Linotype"/>
          <w:b/>
          <w:color w:val="000000" w:themeColor="text1"/>
          <w:sz w:val="24"/>
          <w:szCs w:val="24"/>
        </w:rPr>
        <w:t>Consent Form</w:t>
      </w:r>
    </w:p>
    <w:p w14:paraId="6DB642C8" w14:textId="77777777" w:rsidR="00930BD6" w:rsidRDefault="00930BD6" w:rsidP="00930BD6">
      <w:pPr>
        <w:pStyle w:val="ListParagraph"/>
        <w:spacing w:after="160" w:line="259" w:lineRule="auto"/>
        <w:jc w:val="center"/>
        <w:rPr>
          <w:rFonts w:ascii="Palatino Linotype" w:hAnsi="Palatino Linotype"/>
          <w:b/>
          <w:color w:val="000000" w:themeColor="text1"/>
          <w:sz w:val="24"/>
          <w:szCs w:val="24"/>
        </w:rPr>
      </w:pPr>
    </w:p>
    <w:p w14:paraId="042CD185"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r w:rsidRPr="007F7844">
        <w:rPr>
          <w:rFonts w:ascii="Palatino Linotype" w:hAnsi="Palatino Linotype"/>
          <w:color w:val="000000" w:themeColor="text1"/>
          <w:sz w:val="24"/>
          <w:szCs w:val="24"/>
        </w:rPr>
        <w:t>Name of Grantee: _______________________________________________</w:t>
      </w:r>
    </w:p>
    <w:p w14:paraId="466E8D4B"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r w:rsidRPr="007F7844">
        <w:rPr>
          <w:rFonts w:ascii="Palatino Linotype" w:hAnsi="Palatino Linotype"/>
          <w:color w:val="000000" w:themeColor="text1"/>
          <w:sz w:val="24"/>
          <w:szCs w:val="24"/>
        </w:rPr>
        <w:t>The Grantee identified above hereby acknowledges receipt of the California Public Utilities Commission Resolution T-_____________</w:t>
      </w:r>
      <w:r>
        <w:rPr>
          <w:rFonts w:ascii="Palatino Linotype" w:hAnsi="Palatino Linotype"/>
          <w:color w:val="000000" w:themeColor="text1"/>
          <w:sz w:val="24"/>
          <w:szCs w:val="24"/>
        </w:rPr>
        <w:t>or Approval Letter Dated ____________</w:t>
      </w:r>
      <w:r w:rsidRPr="007F7844">
        <w:rPr>
          <w:rFonts w:ascii="Palatino Linotype" w:hAnsi="Palatino Linotype"/>
          <w:color w:val="000000" w:themeColor="text1"/>
          <w:sz w:val="24"/>
          <w:szCs w:val="24"/>
        </w:rPr>
        <w:t xml:space="preserve"> and agrees to comply with all grant terms, conditions, and requirements set forth in the Resolution</w:t>
      </w:r>
      <w:r>
        <w:rPr>
          <w:rFonts w:ascii="Palatino Linotype" w:hAnsi="Palatino Linotype"/>
          <w:color w:val="000000" w:themeColor="text1"/>
          <w:sz w:val="24"/>
          <w:szCs w:val="24"/>
        </w:rPr>
        <w:t xml:space="preserve"> or Approval Letter</w:t>
      </w:r>
      <w:r w:rsidRPr="007F7844">
        <w:rPr>
          <w:rFonts w:ascii="Palatino Linotype" w:hAnsi="Palatino Linotype"/>
          <w:color w:val="000000" w:themeColor="text1"/>
          <w:sz w:val="24"/>
          <w:szCs w:val="24"/>
        </w:rPr>
        <w:t xml:space="preserve">. </w:t>
      </w:r>
    </w:p>
    <w:p w14:paraId="1A2F5602"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p>
    <w:p w14:paraId="25034373"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r w:rsidRPr="007F7844">
        <w:rPr>
          <w:rFonts w:ascii="Palatino Linotype" w:hAnsi="Palatino Linotype"/>
          <w:color w:val="000000" w:themeColor="text1"/>
          <w:sz w:val="24"/>
          <w:szCs w:val="24"/>
        </w:rPr>
        <w:t>Undersigned representative of ____________________________________ [Name of Grantee] is duly authorized to execute this Consent Form on behalf of the Grantee and to bind the Grantee to the terms, conditions, and requirements set forth in California Public Utilities Commission Resolution T-_____________.</w:t>
      </w:r>
    </w:p>
    <w:p w14:paraId="093F5983"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p>
    <w:p w14:paraId="5E59BC0C"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r w:rsidRPr="007F7844">
        <w:rPr>
          <w:rFonts w:ascii="Palatino Linotype" w:hAnsi="Palatino Linotype"/>
          <w:color w:val="000000" w:themeColor="text1"/>
          <w:sz w:val="24"/>
          <w:szCs w:val="24"/>
        </w:rPr>
        <w:t>Dated this _____ day of __________, 20___.</w:t>
      </w:r>
    </w:p>
    <w:p w14:paraId="339000CF"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p>
    <w:p w14:paraId="367BE6FB"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p>
    <w:p w14:paraId="4A590699"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p>
    <w:p w14:paraId="545EE623"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p>
    <w:p w14:paraId="57AF9C4A"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r w:rsidRPr="007F7844">
        <w:rPr>
          <w:rFonts w:ascii="Palatino Linotype" w:hAnsi="Palatino Linotype"/>
          <w:color w:val="000000" w:themeColor="text1"/>
          <w:sz w:val="24"/>
          <w:szCs w:val="24"/>
        </w:rPr>
        <w:t xml:space="preserve">                                                                                                                                                                       </w:t>
      </w:r>
    </w:p>
    <w:p w14:paraId="070B98FB" w14:textId="77777777" w:rsidR="00930BD6" w:rsidRDefault="00930BD6" w:rsidP="00930BD6">
      <w:pPr>
        <w:pStyle w:val="ListParagraph"/>
        <w:spacing w:after="160" w:line="259" w:lineRule="auto"/>
        <w:rPr>
          <w:rFonts w:ascii="Palatino Linotype" w:hAnsi="Palatino Linotype"/>
          <w:color w:val="000000" w:themeColor="text1"/>
          <w:sz w:val="24"/>
          <w:szCs w:val="24"/>
        </w:rPr>
      </w:pPr>
      <w:r w:rsidRPr="007F7844">
        <w:rPr>
          <w:rFonts w:ascii="Palatino Linotype" w:hAnsi="Palatino Linotype"/>
          <w:color w:val="000000" w:themeColor="text1"/>
          <w:sz w:val="24"/>
          <w:szCs w:val="24"/>
        </w:rPr>
        <w:t xml:space="preserve">Signature                                                                    </w:t>
      </w:r>
    </w:p>
    <w:p w14:paraId="62F87D58"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r w:rsidRPr="007F7844">
        <w:rPr>
          <w:rFonts w:ascii="Palatino Linotype" w:hAnsi="Palatino Linotype"/>
          <w:color w:val="000000" w:themeColor="text1"/>
          <w:sz w:val="24"/>
          <w:szCs w:val="24"/>
        </w:rPr>
        <w:t>Printed Name</w:t>
      </w:r>
    </w:p>
    <w:p w14:paraId="71ED8098"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p>
    <w:p w14:paraId="3F6B2913"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r w:rsidRPr="007F7844">
        <w:rPr>
          <w:rFonts w:ascii="Palatino Linotype" w:hAnsi="Palatino Linotype"/>
          <w:color w:val="000000" w:themeColor="text1"/>
          <w:sz w:val="24"/>
          <w:szCs w:val="24"/>
        </w:rPr>
        <w:t xml:space="preserve">Title:                                                                                                                                                                </w:t>
      </w:r>
    </w:p>
    <w:p w14:paraId="0D13A070"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r w:rsidRPr="007F7844">
        <w:rPr>
          <w:rFonts w:ascii="Palatino Linotype" w:hAnsi="Palatino Linotype"/>
          <w:color w:val="000000" w:themeColor="text1"/>
          <w:sz w:val="24"/>
          <w:szCs w:val="24"/>
        </w:rPr>
        <w:t>Organization or Name of Company</w:t>
      </w:r>
    </w:p>
    <w:p w14:paraId="44FE96B2"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p>
    <w:p w14:paraId="75E7F25E"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r w:rsidRPr="007F7844">
        <w:rPr>
          <w:rFonts w:ascii="Palatino Linotype" w:hAnsi="Palatino Linotype"/>
          <w:color w:val="000000" w:themeColor="text1"/>
          <w:sz w:val="24"/>
          <w:szCs w:val="24"/>
        </w:rPr>
        <w:lastRenderedPageBreak/>
        <w:t xml:space="preserve">                                                                                                                                                                       </w:t>
      </w:r>
    </w:p>
    <w:p w14:paraId="5E49F9D5"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r w:rsidRPr="007F7844">
        <w:rPr>
          <w:rFonts w:ascii="Palatino Linotype" w:hAnsi="Palatino Linotype"/>
          <w:color w:val="000000" w:themeColor="text1"/>
          <w:sz w:val="24"/>
          <w:szCs w:val="24"/>
        </w:rPr>
        <w:t>Business Address (include street address, suite/apt. number, city, state, and ZIP Code):</w:t>
      </w:r>
    </w:p>
    <w:p w14:paraId="5702399E"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p>
    <w:p w14:paraId="0B69490E"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r w:rsidRPr="007F7844">
        <w:rPr>
          <w:rFonts w:ascii="Palatino Linotype" w:hAnsi="Palatino Linotype"/>
          <w:color w:val="000000" w:themeColor="text1"/>
          <w:sz w:val="24"/>
          <w:szCs w:val="24"/>
        </w:rPr>
        <w:t xml:space="preserve">                                                                                                                                                                       </w:t>
      </w:r>
    </w:p>
    <w:p w14:paraId="61244BB7"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p>
    <w:p w14:paraId="48799D12" w14:textId="77777777" w:rsidR="00930BD6" w:rsidRPr="007F7844" w:rsidRDefault="00930BD6" w:rsidP="00930BD6">
      <w:pPr>
        <w:pStyle w:val="ListParagraph"/>
        <w:spacing w:after="160" w:line="259" w:lineRule="auto"/>
        <w:rPr>
          <w:rFonts w:ascii="Palatino Linotype" w:hAnsi="Palatino Linotype"/>
          <w:color w:val="000000" w:themeColor="text1"/>
          <w:sz w:val="24"/>
          <w:szCs w:val="24"/>
        </w:rPr>
      </w:pPr>
      <w:r w:rsidRPr="007F7844">
        <w:rPr>
          <w:rFonts w:ascii="Palatino Linotype" w:hAnsi="Palatino Linotype"/>
          <w:color w:val="000000" w:themeColor="text1"/>
          <w:sz w:val="24"/>
          <w:szCs w:val="24"/>
        </w:rPr>
        <w:t xml:space="preserve">Telephone Number (include area code):                                                                   </w:t>
      </w:r>
    </w:p>
    <w:p w14:paraId="7C8BA376" w14:textId="77777777" w:rsidR="00930BD6" w:rsidRDefault="00930BD6" w:rsidP="00930BD6">
      <w:pPr>
        <w:pStyle w:val="ListParagraph"/>
        <w:spacing w:after="160" w:line="259" w:lineRule="auto"/>
        <w:rPr>
          <w:rFonts w:ascii="Palatino Linotype" w:hAnsi="Palatino Linotype"/>
          <w:color w:val="000000" w:themeColor="text1"/>
          <w:sz w:val="24"/>
          <w:szCs w:val="24"/>
        </w:rPr>
      </w:pPr>
      <w:r w:rsidRPr="007F7844">
        <w:rPr>
          <w:rFonts w:ascii="Palatino Linotype" w:hAnsi="Palatino Linotype"/>
          <w:color w:val="000000" w:themeColor="text1"/>
          <w:sz w:val="24"/>
          <w:szCs w:val="24"/>
        </w:rPr>
        <w:t xml:space="preserve">Email Address:                                                                              </w:t>
      </w:r>
    </w:p>
    <w:p w14:paraId="140AE39A" w14:textId="77777777" w:rsidR="00930BD6" w:rsidRPr="000D0FA4" w:rsidRDefault="00930BD6" w:rsidP="000D0FA4">
      <w:pPr>
        <w:pStyle w:val="ListParagraph"/>
        <w:spacing w:after="160" w:line="259" w:lineRule="auto"/>
        <w:jc w:val="center"/>
        <w:rPr>
          <w:b/>
        </w:rPr>
      </w:pPr>
      <w:r w:rsidRPr="000D0FA4">
        <w:rPr>
          <w:rFonts w:ascii="Palatino Linotype" w:hAnsi="Palatino Linotype"/>
          <w:b/>
          <w:color w:val="000000" w:themeColor="text1"/>
          <w:sz w:val="24"/>
          <w:szCs w:val="24"/>
        </w:rPr>
        <w:t>(End of Appendix 1)</w:t>
      </w:r>
    </w:p>
    <w:p w14:paraId="00CA36A2" w14:textId="77777777" w:rsidR="00930BD6" w:rsidRDefault="00930BD6" w:rsidP="00930BD6">
      <w:pPr>
        <w:pStyle w:val="standard"/>
        <w:jc w:val="center"/>
      </w:pPr>
    </w:p>
    <w:p w14:paraId="689E945B" w14:textId="77777777" w:rsidR="00930BD6" w:rsidRPr="00287668" w:rsidRDefault="00930BD6" w:rsidP="00930BD6"/>
    <w:p w14:paraId="26AE470B" w14:textId="77777777" w:rsidR="00930BD6" w:rsidRPr="00287668" w:rsidRDefault="00930BD6" w:rsidP="00930BD6"/>
    <w:p w14:paraId="06E84A17" w14:textId="77777777" w:rsidR="00930BD6" w:rsidRPr="00287668" w:rsidRDefault="00930BD6" w:rsidP="00930BD6"/>
    <w:p w14:paraId="186F06B6" w14:textId="77777777" w:rsidR="00930BD6" w:rsidRPr="00287668" w:rsidRDefault="00930BD6" w:rsidP="00930BD6"/>
    <w:p w14:paraId="766129FD" w14:textId="77777777" w:rsidR="00930BD6" w:rsidRPr="00287668" w:rsidRDefault="00930BD6" w:rsidP="00930BD6"/>
    <w:p w14:paraId="0894BFC2" w14:textId="77777777" w:rsidR="00930BD6" w:rsidRPr="00287668" w:rsidRDefault="00930BD6" w:rsidP="00930BD6"/>
    <w:p w14:paraId="4D8D17DE" w14:textId="77777777" w:rsidR="00930BD6" w:rsidRPr="00287668" w:rsidRDefault="00930BD6" w:rsidP="00930BD6"/>
    <w:p w14:paraId="38D987CD" w14:textId="77777777" w:rsidR="00930BD6" w:rsidRPr="00287668" w:rsidRDefault="00930BD6" w:rsidP="00930BD6"/>
    <w:p w14:paraId="0C3B8962" w14:textId="77777777" w:rsidR="00930BD6" w:rsidRPr="00287668" w:rsidRDefault="00930BD6" w:rsidP="00930BD6"/>
    <w:p w14:paraId="63123A22" w14:textId="77777777" w:rsidR="00930BD6" w:rsidRPr="00287668" w:rsidRDefault="00930BD6" w:rsidP="00930BD6"/>
    <w:p w14:paraId="4D4D19C5" w14:textId="77777777" w:rsidR="00930BD6" w:rsidRPr="00287668" w:rsidRDefault="00930BD6" w:rsidP="00930BD6"/>
    <w:p w14:paraId="53C26D3B" w14:textId="7F25AAAC" w:rsidR="00F5120D" w:rsidRPr="00287668" w:rsidRDefault="00F5120D" w:rsidP="00287668">
      <w:pPr>
        <w:tabs>
          <w:tab w:val="left" w:pos="6450"/>
        </w:tabs>
      </w:pPr>
    </w:p>
    <w:sectPr w:rsidR="00F5120D" w:rsidRPr="00287668">
      <w:headerReference w:type="default" r:id="rId26"/>
      <w:footerReference w:type="default" r:id="rId27"/>
      <w:headerReference w:type="first" r:id="rId28"/>
      <w:footerReference w:type="first" r:id="rId29"/>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0494E" w14:textId="77777777" w:rsidR="00ED1403" w:rsidRDefault="00ED1403">
      <w:r>
        <w:separator/>
      </w:r>
    </w:p>
  </w:endnote>
  <w:endnote w:type="continuationSeparator" w:id="0">
    <w:p w14:paraId="22B9001B" w14:textId="77777777" w:rsidR="00ED1403" w:rsidRDefault="00ED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2040502050505030304"/>
    <w:charset w:val="00"/>
    <w:family w:val="roman"/>
    <w:pitch w:val="variable"/>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Antiqua">
    <w:altName w:val="Book Antiqu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558533"/>
      <w:docPartObj>
        <w:docPartGallery w:val="Page Numbers (Bottom of Page)"/>
        <w:docPartUnique/>
      </w:docPartObj>
    </w:sdtPr>
    <w:sdtEndPr>
      <w:rPr>
        <w:noProof/>
      </w:rPr>
    </w:sdtEndPr>
    <w:sdtContent>
      <w:p w14:paraId="3AB9EBDB" w14:textId="0C265F21" w:rsidR="00341FFB" w:rsidRDefault="00341FFB" w:rsidP="00340EB2">
        <w:pPr>
          <w:pStyle w:val="Footer"/>
        </w:pPr>
        <w:r>
          <w:noBreakHyphen/>
          <w:t xml:space="preserve"> </w:t>
        </w:r>
        <w:r>
          <w:fldChar w:fldCharType="begin"/>
        </w:r>
        <w:r>
          <w:instrText xml:space="preserve"> PAGE   \* MERGEFORMAT </w:instrText>
        </w:r>
        <w:r>
          <w:fldChar w:fldCharType="separate"/>
        </w:r>
        <w:r w:rsidR="005B49AA">
          <w:rPr>
            <w:noProof/>
          </w:rPr>
          <w:t>10</w:t>
        </w:r>
        <w:r>
          <w:rPr>
            <w:noProof/>
          </w:rPr>
          <w:fldChar w:fldCharType="end"/>
        </w:r>
        <w:r>
          <w:t xml:space="preserve"> </w:t>
        </w:r>
        <w:r>
          <w:noBreakHyphen/>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08969"/>
      <w:docPartObj>
        <w:docPartGallery w:val="Page Numbers (Bottom of Page)"/>
        <w:docPartUnique/>
      </w:docPartObj>
    </w:sdtPr>
    <w:sdtEndPr>
      <w:rPr>
        <w:noProof/>
      </w:rPr>
    </w:sdtEndPr>
    <w:sdtContent>
      <w:p w14:paraId="373A582A" w14:textId="5DBB2DF3" w:rsidR="00341FFB" w:rsidRDefault="00341FFB" w:rsidP="00287668">
        <w:pPr>
          <w:pStyle w:val="Footer"/>
          <w:jc w:val="left"/>
        </w:pPr>
        <w:r>
          <w:rPr>
            <w:rFonts w:ascii="Tahoma" w:hAnsi="Tahoma" w:cs="Tahoma"/>
            <w:sz w:val="17"/>
            <w:szCs w:val="17"/>
          </w:rPr>
          <w:tab/>
          <w:t xml:space="preserve">- </w:t>
        </w:r>
        <w:r>
          <w:fldChar w:fldCharType="begin"/>
        </w:r>
        <w:r>
          <w:instrText xml:space="preserve"> PAGE   \* MERGEFORMAT </w:instrText>
        </w:r>
        <w:r>
          <w:fldChar w:fldCharType="separate"/>
        </w:r>
        <w:r w:rsidR="005B49AA">
          <w:rPr>
            <w:noProof/>
          </w:rPr>
          <w:t>1</w:t>
        </w:r>
        <w:r>
          <w:rPr>
            <w:noProof/>
          </w:rPr>
          <w:fldChar w:fldCharType="end"/>
        </w:r>
        <w:r>
          <w:rPr>
            <w:noProof/>
          </w:rPr>
          <w:t xml:space="preserve"> -</w:t>
        </w:r>
      </w:p>
    </w:sdtContent>
  </w:sdt>
  <w:p w14:paraId="54551D9F" w14:textId="77777777" w:rsidR="00341FFB" w:rsidRDefault="00341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088304"/>
      <w:docPartObj>
        <w:docPartGallery w:val="Page Numbers (Bottom of Page)"/>
        <w:docPartUnique/>
      </w:docPartObj>
    </w:sdtPr>
    <w:sdtEndPr>
      <w:rPr>
        <w:noProof/>
      </w:rPr>
    </w:sdtEndPr>
    <w:sdtContent>
      <w:p w14:paraId="0456A111" w14:textId="75C3D1D1" w:rsidR="00341FFB" w:rsidRDefault="000B1736" w:rsidP="00287668">
        <w:pPr>
          <w:pStyle w:val="Footer"/>
          <w:jc w:val="left"/>
        </w:pPr>
        <w:r>
          <w:rPr>
            <w:rFonts w:ascii="Tahoma" w:hAnsi="Tahoma" w:cs="Tahoma"/>
            <w:sz w:val="17"/>
            <w:szCs w:val="17"/>
          </w:rPr>
          <w:t>270438889</w:t>
        </w:r>
        <w:r w:rsidR="00341FFB">
          <w:rPr>
            <w:rFonts w:ascii="Tahoma" w:hAnsi="Tahoma" w:cs="Tahoma"/>
            <w:sz w:val="17"/>
            <w:szCs w:val="17"/>
          </w:rPr>
          <w:tab/>
          <w:t xml:space="preserve">- </w:t>
        </w:r>
        <w:r w:rsidR="00341FFB">
          <w:fldChar w:fldCharType="begin"/>
        </w:r>
        <w:r w:rsidR="00341FFB">
          <w:instrText xml:space="preserve"> PAGE   \* MERGEFORMAT </w:instrText>
        </w:r>
        <w:r w:rsidR="00341FFB">
          <w:fldChar w:fldCharType="separate"/>
        </w:r>
        <w:r w:rsidR="005B49AA">
          <w:rPr>
            <w:noProof/>
          </w:rPr>
          <w:t>1</w:t>
        </w:r>
        <w:r w:rsidR="00341FFB">
          <w:rPr>
            <w:noProof/>
          </w:rPr>
          <w:fldChar w:fldCharType="end"/>
        </w:r>
        <w:r w:rsidR="00341FFB">
          <w:rPr>
            <w:noProof/>
          </w:rPr>
          <w:t xml:space="preserve"> -</w:t>
        </w:r>
      </w:p>
    </w:sdtContent>
  </w:sdt>
  <w:p w14:paraId="0A6DC798" w14:textId="77777777" w:rsidR="00341FFB" w:rsidRDefault="00341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792619"/>
      <w:docPartObj>
        <w:docPartGallery w:val="Page Numbers (Bottom of Page)"/>
        <w:docPartUnique/>
      </w:docPartObj>
    </w:sdtPr>
    <w:sdtEndPr>
      <w:rPr>
        <w:noProof/>
      </w:rPr>
    </w:sdtEndPr>
    <w:sdtContent>
      <w:p w14:paraId="58D35EF3" w14:textId="77777777" w:rsidR="00341FFB" w:rsidRDefault="00341FFB" w:rsidP="00340EB2">
        <w:pPr>
          <w:pStyle w:val="Footer"/>
        </w:pPr>
        <w:r>
          <w:noBreakHyphen/>
          <w:t xml:space="preserve"> </w:t>
        </w:r>
        <w:r>
          <w:fldChar w:fldCharType="begin"/>
        </w:r>
        <w:r>
          <w:instrText xml:space="preserve"> PAGE   \* MERGEFORMAT </w:instrText>
        </w:r>
        <w:r>
          <w:fldChar w:fldCharType="separate"/>
        </w:r>
        <w:r>
          <w:rPr>
            <w:noProof/>
          </w:rPr>
          <w:t>9</w:t>
        </w:r>
        <w:r>
          <w:rPr>
            <w:noProof/>
          </w:rPr>
          <w:fldChar w:fldCharType="end"/>
        </w:r>
        <w:r>
          <w:t xml:space="preserve"> </w:t>
        </w:r>
        <w:r>
          <w:noBreakHyphen/>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62DC" w14:textId="77777777" w:rsidR="00341FFB" w:rsidRPr="00B436FE" w:rsidRDefault="00341FFB" w:rsidP="00B436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3FCE" w14:textId="7C7FF540" w:rsidR="00341FFB" w:rsidRDefault="00341FFB">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5B49AA">
      <w:rPr>
        <w:rStyle w:val="PageNumber"/>
        <w:noProof/>
      </w:rPr>
      <w:t>13</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432295"/>
      <w:docPartObj>
        <w:docPartGallery w:val="Page Numbers (Bottom of Page)"/>
        <w:docPartUnique/>
      </w:docPartObj>
    </w:sdtPr>
    <w:sdtEndPr>
      <w:rPr>
        <w:noProof/>
      </w:rPr>
    </w:sdtEndPr>
    <w:sdtContent>
      <w:p w14:paraId="4532AFF0" w14:textId="676E668D" w:rsidR="00341FFB" w:rsidRDefault="00341FFB" w:rsidP="00287668">
        <w:pPr>
          <w:pStyle w:val="Footer"/>
          <w:jc w:val="left"/>
        </w:pPr>
        <w:r>
          <w:rPr>
            <w:rFonts w:ascii="Tahoma" w:hAnsi="Tahoma" w:cs="Tahoma"/>
            <w:sz w:val="17"/>
            <w:szCs w:val="17"/>
          </w:rPr>
          <w:tab/>
          <w:t xml:space="preserve">- </w:t>
        </w:r>
        <w:r>
          <w:fldChar w:fldCharType="begin"/>
        </w:r>
        <w:r>
          <w:instrText xml:space="preserve"> PAGE   \* MERGEFORMAT </w:instrText>
        </w:r>
        <w:r>
          <w:fldChar w:fldCharType="separate"/>
        </w:r>
        <w:r w:rsidR="005B49AA">
          <w:rPr>
            <w:noProof/>
          </w:rPr>
          <w:t>1</w:t>
        </w:r>
        <w:r>
          <w:rPr>
            <w:noProof/>
          </w:rPr>
          <w:fldChar w:fldCharType="end"/>
        </w:r>
        <w:r>
          <w:rPr>
            <w:noProof/>
          </w:rPr>
          <w:t xml:space="preserve"> -</w:t>
        </w:r>
      </w:p>
    </w:sdtContent>
  </w:sdt>
  <w:p w14:paraId="449461C7" w14:textId="77777777" w:rsidR="00341FFB" w:rsidRDefault="00341F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BF719" w14:textId="77777777" w:rsidR="00341FFB" w:rsidRDefault="00341FFB">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204737"/>
      <w:docPartObj>
        <w:docPartGallery w:val="Page Numbers (Bottom of Page)"/>
        <w:docPartUnique/>
      </w:docPartObj>
    </w:sdtPr>
    <w:sdtEndPr>
      <w:rPr>
        <w:noProof/>
      </w:rPr>
    </w:sdtEndPr>
    <w:sdtContent>
      <w:p w14:paraId="0781C8AA" w14:textId="338CB2C4" w:rsidR="00341FFB" w:rsidRDefault="00341FFB" w:rsidP="00287668">
        <w:pPr>
          <w:pStyle w:val="Footer"/>
          <w:jc w:val="left"/>
        </w:pPr>
        <w:r>
          <w:rPr>
            <w:rFonts w:ascii="Tahoma" w:hAnsi="Tahoma" w:cs="Tahoma"/>
            <w:sz w:val="17"/>
            <w:szCs w:val="17"/>
          </w:rPr>
          <w:tab/>
          <w:t xml:space="preserve">- </w:t>
        </w:r>
        <w:r>
          <w:fldChar w:fldCharType="begin"/>
        </w:r>
        <w:r>
          <w:instrText xml:space="preserve"> PAGE   \* MERGEFORMAT </w:instrText>
        </w:r>
        <w:r>
          <w:fldChar w:fldCharType="separate"/>
        </w:r>
        <w:r w:rsidR="005B49AA">
          <w:rPr>
            <w:noProof/>
          </w:rPr>
          <w:t>1</w:t>
        </w:r>
        <w:r>
          <w:rPr>
            <w:noProof/>
          </w:rPr>
          <w:fldChar w:fldCharType="end"/>
        </w:r>
        <w:r>
          <w:rPr>
            <w:noProof/>
          </w:rPr>
          <w:t xml:space="preserve"> -</w:t>
        </w:r>
      </w:p>
    </w:sdtContent>
  </w:sdt>
  <w:p w14:paraId="18FBE5A5" w14:textId="77777777" w:rsidR="00341FFB" w:rsidRDefault="00341FF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74DC" w14:textId="7DF1DA63" w:rsidR="00341FFB" w:rsidRDefault="00341FFB">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5B49AA">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C6C8A" w14:textId="77777777" w:rsidR="00ED1403" w:rsidRDefault="00ED1403">
      <w:r>
        <w:separator/>
      </w:r>
    </w:p>
  </w:footnote>
  <w:footnote w:type="continuationSeparator" w:id="0">
    <w:p w14:paraId="2E76CD9F" w14:textId="77777777" w:rsidR="00ED1403" w:rsidRDefault="00ED1403">
      <w:r>
        <w:continuationSeparator/>
      </w:r>
    </w:p>
  </w:footnote>
  <w:footnote w:type="continuationNotice" w:id="1">
    <w:p w14:paraId="097A7983" w14:textId="77777777" w:rsidR="00ED1403" w:rsidRDefault="00ED1403">
      <w:pPr>
        <w:rPr>
          <w:sz w:val="22"/>
        </w:rPr>
      </w:pPr>
    </w:p>
    <w:p w14:paraId="3A945BD3" w14:textId="77777777" w:rsidR="00ED1403" w:rsidRDefault="00ED1403">
      <w:pPr>
        <w:jc w:val="right"/>
        <w:rPr>
          <w:sz w:val="22"/>
        </w:rPr>
      </w:pPr>
      <w:r>
        <w:rPr>
          <w:i/>
          <w:sz w:val="22"/>
        </w:rPr>
        <w:t>Footnote continued on next page</w:t>
      </w:r>
    </w:p>
  </w:footnote>
  <w:footnote w:id="2">
    <w:p w14:paraId="21E2783B" w14:textId="77777777" w:rsidR="00341FFB" w:rsidRPr="00287668" w:rsidRDefault="00341FFB" w:rsidP="00930BD6">
      <w:pPr>
        <w:pStyle w:val="FootnoteText"/>
        <w:rPr>
          <w:sz w:val="22"/>
          <w:szCs w:val="22"/>
        </w:rPr>
      </w:pPr>
      <w:r>
        <w:rPr>
          <w:rStyle w:val="FootnoteReference"/>
        </w:rPr>
        <w:footnoteRef/>
      </w:r>
      <w:r>
        <w:t xml:space="preserve">  </w:t>
      </w:r>
      <w:r w:rsidRPr="00287668">
        <w:rPr>
          <w:rFonts w:ascii="Book Antiqua" w:hAnsi="Book Antiqua" w:cs="BookAntiqua"/>
          <w:sz w:val="22"/>
          <w:szCs w:val="22"/>
        </w:rPr>
        <w:t>AB 1665 is codified at Public Utilities (Pub. Util.) Code section 281</w:t>
      </w:r>
      <w:r w:rsidRPr="00287668">
        <w:rPr>
          <w:rFonts w:ascii="BookAntiqua" w:hAnsi="BookAntiqua" w:cs="BookAntiqua"/>
          <w:sz w:val="22"/>
          <w:szCs w:val="22"/>
        </w:rPr>
        <w:t>.</w:t>
      </w:r>
    </w:p>
  </w:footnote>
  <w:footnote w:id="3">
    <w:p w14:paraId="082B24DC" w14:textId="77777777" w:rsidR="00341FFB" w:rsidRPr="00287668" w:rsidRDefault="00341FFB" w:rsidP="00930BD6">
      <w:pPr>
        <w:pStyle w:val="FootnoteText"/>
        <w:rPr>
          <w:sz w:val="22"/>
          <w:szCs w:val="22"/>
        </w:rPr>
      </w:pPr>
      <w:r>
        <w:rPr>
          <w:rStyle w:val="FootnoteReference"/>
        </w:rPr>
        <w:footnoteRef/>
      </w:r>
      <w:r>
        <w:t xml:space="preserve">  </w:t>
      </w:r>
      <w:r w:rsidRPr="00287668">
        <w:rPr>
          <w:sz w:val="22"/>
          <w:szCs w:val="22"/>
        </w:rPr>
        <w:t xml:space="preserve">Decision Implementing the California Advanced Services Fund Broadband Adoption, Public Housing and Loan Accounts [D.18-06-032] (2018), Appendix 1, </w:t>
      </w:r>
      <w:r>
        <w:rPr>
          <w:sz w:val="22"/>
          <w:szCs w:val="22"/>
        </w:rPr>
        <w:t>at</w:t>
      </w:r>
      <w:r w:rsidRPr="00287668">
        <w:rPr>
          <w:sz w:val="22"/>
          <w:szCs w:val="22"/>
        </w:rPr>
        <w:t xml:space="preserve"> 14. </w:t>
      </w:r>
      <w:r>
        <w:rPr>
          <w:sz w:val="22"/>
          <w:szCs w:val="22"/>
        </w:rPr>
        <w:t xml:space="preserve"> </w:t>
      </w:r>
      <w:r w:rsidRPr="00287668">
        <w:rPr>
          <w:sz w:val="22"/>
          <w:szCs w:val="22"/>
        </w:rPr>
        <w:t>In D.18-06-032, the Commission also implemented provisions of AB 1665 relating to the Broadband Public Housing Account and Broadband Infrastructure Revolving Loan Account.</w:t>
      </w:r>
    </w:p>
  </w:footnote>
  <w:footnote w:id="4">
    <w:p w14:paraId="7A31D2F3" w14:textId="77777777" w:rsidR="00341FFB" w:rsidRPr="00287668" w:rsidRDefault="00341FFB" w:rsidP="00930BD6">
      <w:pPr>
        <w:pStyle w:val="FootnoteText"/>
        <w:rPr>
          <w:i/>
          <w:sz w:val="22"/>
          <w:szCs w:val="22"/>
        </w:rPr>
      </w:pPr>
      <w:r>
        <w:rPr>
          <w:rStyle w:val="FootnoteReference"/>
        </w:rPr>
        <w:footnoteRef/>
      </w:r>
      <w:r>
        <w:t xml:space="preserve">  </w:t>
      </w:r>
      <w:r w:rsidRPr="00287668">
        <w:rPr>
          <w:i/>
          <w:sz w:val="22"/>
          <w:szCs w:val="22"/>
        </w:rPr>
        <w:t>Ibid.</w:t>
      </w:r>
    </w:p>
  </w:footnote>
  <w:footnote w:id="5">
    <w:p w14:paraId="6476BBF8" w14:textId="13F71AB1" w:rsidR="00341FFB" w:rsidRPr="00287668" w:rsidRDefault="00341FFB" w:rsidP="00930BD6">
      <w:pPr>
        <w:pStyle w:val="FootnoteText"/>
        <w:rPr>
          <w:sz w:val="22"/>
          <w:szCs w:val="22"/>
        </w:rPr>
      </w:pPr>
      <w:r>
        <w:rPr>
          <w:rStyle w:val="FootnoteReference"/>
        </w:rPr>
        <w:footnoteRef/>
      </w:r>
      <w:r>
        <w:t xml:space="preserve">  </w:t>
      </w:r>
      <w:r>
        <w:rPr>
          <w:sz w:val="22"/>
          <w:szCs w:val="22"/>
        </w:rPr>
        <w:t>D.18-06-32</w:t>
      </w:r>
      <w:r w:rsidRPr="00287668">
        <w:rPr>
          <w:sz w:val="22"/>
          <w:szCs w:val="22"/>
        </w:rPr>
        <w:t xml:space="preserve"> </w:t>
      </w:r>
      <w:r>
        <w:rPr>
          <w:sz w:val="22"/>
          <w:szCs w:val="22"/>
        </w:rPr>
        <w:t>at</w:t>
      </w:r>
      <w:r w:rsidRPr="00287668">
        <w:rPr>
          <w:sz w:val="22"/>
          <w:szCs w:val="22"/>
        </w:rPr>
        <w:t xml:space="preserve"> 12-13</w:t>
      </w:r>
      <w:r>
        <w:rPr>
          <w:sz w:val="22"/>
          <w:szCs w:val="22"/>
        </w:rPr>
        <w:t>.</w:t>
      </w:r>
    </w:p>
  </w:footnote>
  <w:footnote w:id="6">
    <w:p w14:paraId="3A161780" w14:textId="77777777" w:rsidR="00341FFB" w:rsidRPr="00823021" w:rsidRDefault="00341FFB">
      <w:pPr>
        <w:pStyle w:val="FootnoteText"/>
        <w:rPr>
          <w:sz w:val="22"/>
          <w:szCs w:val="22"/>
        </w:rPr>
      </w:pPr>
      <w:r>
        <w:rPr>
          <w:rStyle w:val="FootnoteReference"/>
        </w:rPr>
        <w:footnoteRef/>
      </w:r>
      <w:r>
        <w:t xml:space="preserve">  </w:t>
      </w:r>
      <w:r w:rsidRPr="00823021">
        <w:rPr>
          <w:sz w:val="22"/>
          <w:szCs w:val="22"/>
        </w:rPr>
        <w:t>CETF Comments at 2.</w:t>
      </w:r>
    </w:p>
  </w:footnote>
  <w:footnote w:id="7">
    <w:p w14:paraId="7C904D62" w14:textId="77777777" w:rsidR="00341FFB" w:rsidRPr="00823021" w:rsidRDefault="00341FFB">
      <w:pPr>
        <w:pStyle w:val="FootnoteText"/>
        <w:rPr>
          <w:sz w:val="22"/>
          <w:szCs w:val="22"/>
        </w:rPr>
      </w:pPr>
      <w:r w:rsidRPr="00823021">
        <w:rPr>
          <w:rStyle w:val="FootnoteReference"/>
          <w:sz w:val="22"/>
          <w:szCs w:val="22"/>
        </w:rPr>
        <w:footnoteRef/>
      </w:r>
      <w:r w:rsidRPr="00823021">
        <w:rPr>
          <w:sz w:val="22"/>
          <w:szCs w:val="22"/>
        </w:rPr>
        <w:t xml:space="preserve">  CETF Comments at 2-3.</w:t>
      </w:r>
    </w:p>
  </w:footnote>
  <w:footnote w:id="8">
    <w:p w14:paraId="46F5982B" w14:textId="77777777" w:rsidR="00341FFB" w:rsidRPr="00823021" w:rsidRDefault="00341FFB">
      <w:pPr>
        <w:pStyle w:val="FootnoteText"/>
        <w:rPr>
          <w:sz w:val="22"/>
          <w:szCs w:val="22"/>
        </w:rPr>
      </w:pPr>
      <w:r w:rsidRPr="00823021">
        <w:rPr>
          <w:rStyle w:val="FootnoteReference"/>
          <w:sz w:val="22"/>
          <w:szCs w:val="22"/>
        </w:rPr>
        <w:footnoteRef/>
      </w:r>
      <w:r w:rsidRPr="00823021">
        <w:rPr>
          <w:sz w:val="22"/>
          <w:szCs w:val="22"/>
        </w:rPr>
        <w:t xml:space="preserve">  Joint Consumers Reply comments, at 1-2.</w:t>
      </w:r>
    </w:p>
  </w:footnote>
  <w:footnote w:id="9">
    <w:p w14:paraId="56DB954B" w14:textId="77777777" w:rsidR="00341FFB" w:rsidRPr="00823021" w:rsidRDefault="00341FFB">
      <w:pPr>
        <w:pStyle w:val="FootnoteText"/>
        <w:rPr>
          <w:sz w:val="22"/>
          <w:szCs w:val="22"/>
        </w:rPr>
      </w:pPr>
      <w:r w:rsidRPr="00823021">
        <w:rPr>
          <w:rStyle w:val="FootnoteReference"/>
          <w:sz w:val="22"/>
          <w:szCs w:val="22"/>
        </w:rPr>
        <w:footnoteRef/>
      </w:r>
      <w:r w:rsidRPr="00823021">
        <w:rPr>
          <w:sz w:val="22"/>
          <w:szCs w:val="22"/>
        </w:rPr>
        <w:t xml:space="preserve">  Joint Consumers Reply comments, at 2-4.</w:t>
      </w:r>
    </w:p>
  </w:footnote>
  <w:footnote w:id="10">
    <w:p w14:paraId="40FB38C2" w14:textId="2E4BF3F2" w:rsidR="00341FFB" w:rsidRPr="00287668" w:rsidRDefault="00341FFB" w:rsidP="00930BD6">
      <w:pPr>
        <w:pStyle w:val="FootnoteText"/>
        <w:rPr>
          <w:sz w:val="22"/>
          <w:szCs w:val="22"/>
        </w:rPr>
      </w:pPr>
      <w:r>
        <w:rPr>
          <w:rStyle w:val="FootnoteReference"/>
        </w:rPr>
        <w:footnoteRef/>
      </w:r>
      <w:r>
        <w:t xml:space="preserve">  </w:t>
      </w:r>
      <w:r w:rsidRPr="00287668">
        <w:rPr>
          <w:sz w:val="22"/>
          <w:szCs w:val="22"/>
        </w:rPr>
        <w:t xml:space="preserve">D.18-06-32, </w:t>
      </w:r>
      <w:r>
        <w:rPr>
          <w:sz w:val="22"/>
          <w:szCs w:val="22"/>
        </w:rPr>
        <w:t>at</w:t>
      </w:r>
      <w:r w:rsidRPr="00287668">
        <w:rPr>
          <w:sz w:val="22"/>
          <w:szCs w:val="22"/>
        </w:rPr>
        <w:t xml:space="preserve"> 19</w:t>
      </w:r>
      <w:r>
        <w:rPr>
          <w:sz w:val="22"/>
          <w:szCs w:val="22"/>
        </w:rPr>
        <w:t>, Appendix 1 at 6.</w:t>
      </w:r>
    </w:p>
  </w:footnote>
  <w:footnote w:id="11">
    <w:p w14:paraId="00BD5481" w14:textId="77777777" w:rsidR="00341FFB" w:rsidRPr="00287668" w:rsidRDefault="00341FFB" w:rsidP="00930BD6">
      <w:pPr>
        <w:pStyle w:val="FootnoteText"/>
        <w:rPr>
          <w:sz w:val="22"/>
          <w:szCs w:val="22"/>
        </w:rPr>
      </w:pPr>
      <w:r>
        <w:rPr>
          <w:rStyle w:val="FootnoteReference"/>
        </w:rPr>
        <w:footnoteRef/>
      </w:r>
      <w:r>
        <w:t xml:space="preserve">  </w:t>
      </w:r>
      <w:r w:rsidRPr="00287668">
        <w:rPr>
          <w:sz w:val="22"/>
          <w:szCs w:val="22"/>
        </w:rPr>
        <w:t xml:space="preserve">D.18-06-032 Appendix 1, </w:t>
      </w:r>
      <w:r>
        <w:rPr>
          <w:sz w:val="22"/>
          <w:szCs w:val="22"/>
        </w:rPr>
        <w:t>at</w:t>
      </w:r>
      <w:r w:rsidRPr="00287668">
        <w:rPr>
          <w:sz w:val="22"/>
          <w:szCs w:val="22"/>
        </w:rPr>
        <w:t xml:space="preserve"> 10.</w:t>
      </w:r>
    </w:p>
  </w:footnote>
  <w:footnote w:id="12">
    <w:p w14:paraId="7A5F8D29" w14:textId="77777777" w:rsidR="00341FFB" w:rsidRPr="00AF35A5" w:rsidRDefault="00341FFB" w:rsidP="00930BD6">
      <w:pPr>
        <w:pStyle w:val="FootnoteText"/>
        <w:rPr>
          <w:rFonts w:ascii="Palatino Linotype" w:hAnsi="Palatino Linotype"/>
          <w:color w:val="000000" w:themeColor="text1"/>
          <w:sz w:val="20"/>
        </w:rPr>
      </w:pPr>
      <w:r w:rsidRPr="00AF35A5">
        <w:rPr>
          <w:rStyle w:val="FootnoteReference"/>
          <w:rFonts w:ascii="Times New Roman" w:hAnsi="Times New Roman"/>
          <w:color w:val="000000" w:themeColor="text1"/>
          <w:sz w:val="20"/>
        </w:rPr>
        <w:footnoteRef/>
      </w:r>
      <w:r w:rsidRPr="00AF35A5">
        <w:rPr>
          <w:rFonts w:ascii="Times New Roman" w:hAnsi="Times New Roman"/>
          <w:color w:val="000000" w:themeColor="text1"/>
          <w:sz w:val="20"/>
        </w:rPr>
        <w:t xml:space="preserve"> </w:t>
      </w:r>
      <w:r w:rsidRPr="00AF35A5">
        <w:rPr>
          <w:rFonts w:ascii="Palatino Linotype" w:hAnsi="Palatino Linotype"/>
          <w:color w:val="000000" w:themeColor="text1"/>
          <w:sz w:val="20"/>
        </w:rPr>
        <w:t>Pub. Util. Code, § 281 (j)(6).</w:t>
      </w:r>
    </w:p>
  </w:footnote>
  <w:footnote w:id="13">
    <w:p w14:paraId="3EB755DB" w14:textId="77777777" w:rsidR="00341FFB" w:rsidRPr="00AF35A5" w:rsidRDefault="00341FFB" w:rsidP="00930BD6">
      <w:pPr>
        <w:pStyle w:val="FootnoteText"/>
        <w:rPr>
          <w:rFonts w:ascii="Palatino Linotype" w:hAnsi="Palatino Linotype"/>
          <w:color w:val="000000" w:themeColor="text1"/>
          <w:sz w:val="20"/>
        </w:rPr>
      </w:pPr>
      <w:r w:rsidRPr="00AF35A5">
        <w:rPr>
          <w:rStyle w:val="FootnoteReference"/>
          <w:rFonts w:ascii="Palatino Linotype" w:hAnsi="Palatino Linotype"/>
          <w:color w:val="000000" w:themeColor="text1"/>
          <w:sz w:val="20"/>
        </w:rPr>
        <w:footnoteRef/>
      </w:r>
      <w:r w:rsidRPr="00AF35A5">
        <w:rPr>
          <w:rFonts w:ascii="Palatino Linotype" w:hAnsi="Palatino Linotype"/>
          <w:color w:val="000000" w:themeColor="text1"/>
          <w:sz w:val="20"/>
        </w:rPr>
        <w:t xml:space="preserve"> “NTIA Broadband Adoption Toolkit,” published May 2013, draws on the experience of the recipients of grants from the Broadband Technology Opportunities Program and provides examples of grants.  Available at </w:t>
      </w:r>
      <w:hyperlink r:id="rId1" w:history="1">
        <w:r w:rsidRPr="00AF35A5">
          <w:rPr>
            <w:rStyle w:val="Hyperlink"/>
            <w:rFonts w:ascii="Palatino Linotype" w:hAnsi="Palatino Linotype"/>
            <w:color w:val="000000" w:themeColor="text1"/>
            <w:sz w:val="20"/>
          </w:rPr>
          <w:t>https://www2.ntia.doc.gov/files/toolkit_042913.pdf</w:t>
        </w:r>
      </w:hyperlink>
      <w:r w:rsidRPr="00AF35A5">
        <w:rPr>
          <w:rFonts w:ascii="Palatino Linotype" w:hAnsi="Palatino Linotype"/>
          <w:color w:val="000000" w:themeColor="text1"/>
          <w:sz w:val="20"/>
        </w:rPr>
        <w:t>.</w:t>
      </w:r>
    </w:p>
  </w:footnote>
  <w:footnote w:id="14">
    <w:p w14:paraId="1A659099" w14:textId="77777777" w:rsidR="00341FFB" w:rsidRPr="00AF35A5" w:rsidRDefault="00341FFB" w:rsidP="00930BD6">
      <w:pPr>
        <w:pStyle w:val="FootnoteText"/>
        <w:rPr>
          <w:rFonts w:ascii="Palatino Linotype" w:hAnsi="Palatino Linotype"/>
          <w:color w:val="000000" w:themeColor="text1"/>
          <w:sz w:val="20"/>
        </w:rPr>
      </w:pPr>
      <w:r w:rsidRPr="00AF35A5">
        <w:rPr>
          <w:rStyle w:val="FootnoteReference"/>
          <w:rFonts w:ascii="Palatino Linotype" w:hAnsi="Palatino Linotype"/>
          <w:color w:val="000000" w:themeColor="text1"/>
          <w:sz w:val="20"/>
        </w:rPr>
        <w:footnoteRef/>
      </w:r>
      <w:r w:rsidRPr="00AF35A5">
        <w:rPr>
          <w:rFonts w:ascii="Palatino Linotype" w:hAnsi="Palatino Linotype"/>
          <w:color w:val="000000" w:themeColor="text1"/>
          <w:sz w:val="20"/>
        </w:rPr>
        <w:t xml:space="preserve"> According to the annual survey conducted for the California Emerging Technology Fund (CETF), as of July, 2016, California has an overall adoption rate of 84% (</w:t>
      </w:r>
      <w:hyperlink r:id="rId2" w:history="1">
        <w:r w:rsidRPr="00AF35A5">
          <w:rPr>
            <w:rStyle w:val="Hyperlink"/>
            <w:rFonts w:ascii="Palatino Linotype" w:hAnsi="Palatino Linotype"/>
            <w:color w:val="000000" w:themeColor="text1"/>
            <w:sz w:val="20"/>
          </w:rPr>
          <w:t>http://www.cetfund.org/node/9318</w:t>
        </w:r>
      </w:hyperlink>
      <w:r w:rsidRPr="00AF35A5">
        <w:rPr>
          <w:rFonts w:ascii="Palatino Linotype" w:hAnsi="Palatino Linotype"/>
          <w:color w:val="000000" w:themeColor="text1"/>
          <w:sz w:val="20"/>
        </w:rPr>
        <w:t xml:space="preserve">).   </w:t>
      </w:r>
    </w:p>
  </w:footnote>
  <w:footnote w:id="15">
    <w:p w14:paraId="4568EF7C" w14:textId="77777777" w:rsidR="00341FFB" w:rsidRPr="00AF35A5" w:rsidRDefault="00341FFB" w:rsidP="00930BD6">
      <w:pPr>
        <w:pStyle w:val="FootnoteText"/>
        <w:spacing w:line="240" w:lineRule="exact"/>
        <w:rPr>
          <w:rFonts w:ascii="Palatino Linotype" w:hAnsi="Palatino Linotype"/>
          <w:color w:val="000000" w:themeColor="text1"/>
          <w:sz w:val="20"/>
        </w:rPr>
      </w:pPr>
      <w:r w:rsidRPr="00AF35A5">
        <w:rPr>
          <w:rStyle w:val="FootnoteReference"/>
          <w:rFonts w:ascii="Palatino Linotype" w:hAnsi="Palatino Linotype"/>
          <w:color w:val="000000" w:themeColor="text1"/>
          <w:sz w:val="20"/>
        </w:rPr>
        <w:footnoteRef/>
      </w:r>
      <w:r w:rsidRPr="00AF35A5">
        <w:rPr>
          <w:rFonts w:ascii="Palatino Linotype" w:hAnsi="Palatino Linotype"/>
          <w:color w:val="000000" w:themeColor="text1"/>
          <w:sz w:val="20"/>
        </w:rPr>
        <w:t xml:space="preserve"> California Broadband Report, A Summary of Broadband Availability and Adoption in California as of June 30, 2011, Pages 22</w:t>
      </w:r>
      <w:r>
        <w:rPr>
          <w:rFonts w:ascii="Palatino Linotype" w:hAnsi="Palatino Linotype"/>
          <w:color w:val="000000" w:themeColor="text1"/>
          <w:sz w:val="20"/>
        </w:rPr>
        <w:noBreakHyphen/>
      </w:r>
      <w:r w:rsidRPr="00AF35A5">
        <w:rPr>
          <w:rFonts w:ascii="Palatino Linotype" w:hAnsi="Palatino Linotype"/>
          <w:color w:val="000000" w:themeColor="text1"/>
          <w:sz w:val="20"/>
        </w:rPr>
        <w:t xml:space="preserve">28, show correlation of factors relative to adoption.  See </w:t>
      </w:r>
      <w:hyperlink r:id="rId3" w:history="1">
        <w:r w:rsidRPr="00AF35A5">
          <w:rPr>
            <w:rStyle w:val="Hyperlink"/>
            <w:rFonts w:ascii="Palatino Linotype" w:hAnsi="Palatino Linotype"/>
            <w:color w:val="000000" w:themeColor="text1"/>
            <w:sz w:val="20"/>
          </w:rPr>
          <w:t>http://www.cpuc.ca.gov/General.aspx?id=5753</w:t>
        </w:r>
      </w:hyperlink>
      <w:r w:rsidRPr="00AF35A5">
        <w:rPr>
          <w:rFonts w:ascii="Palatino Linotype" w:hAnsi="Palatino Linotype"/>
          <w:color w:val="000000" w:themeColor="text1"/>
          <w:sz w:val="20"/>
        </w:rPr>
        <w:t xml:space="preserve"> </w:t>
      </w:r>
    </w:p>
  </w:footnote>
  <w:footnote w:id="16">
    <w:p w14:paraId="65B840D6" w14:textId="77777777" w:rsidR="00341FFB" w:rsidRPr="00AF35A5" w:rsidRDefault="00341FFB" w:rsidP="00930BD6">
      <w:pPr>
        <w:pStyle w:val="FootnoteText"/>
        <w:rPr>
          <w:rFonts w:ascii="Palatino Linotype" w:hAnsi="Palatino Linotype"/>
          <w:color w:val="000000" w:themeColor="text1"/>
          <w:sz w:val="20"/>
        </w:rPr>
      </w:pPr>
      <w:r w:rsidRPr="00AF35A5">
        <w:rPr>
          <w:rStyle w:val="FootnoteReference"/>
          <w:rFonts w:ascii="Palatino Linotype" w:hAnsi="Palatino Linotype"/>
          <w:color w:val="000000" w:themeColor="text1"/>
          <w:sz w:val="20"/>
        </w:rPr>
        <w:footnoteRef/>
      </w:r>
      <w:r w:rsidRPr="00AF35A5">
        <w:rPr>
          <w:rFonts w:ascii="Palatino Linotype" w:hAnsi="Palatino Linotype"/>
          <w:color w:val="000000" w:themeColor="text1"/>
          <w:sz w:val="20"/>
        </w:rPr>
        <w:t xml:space="preserve"> </w:t>
      </w:r>
      <w:r>
        <w:rPr>
          <w:rFonts w:ascii="Palatino Linotype" w:hAnsi="Palatino Linotype"/>
          <w:color w:val="000000" w:themeColor="text1"/>
          <w:sz w:val="20"/>
        </w:rPr>
        <w:t xml:space="preserve">CARE income limits can be found here: </w:t>
      </w:r>
      <w:r w:rsidRPr="00EA7316">
        <w:rPr>
          <w:rFonts w:ascii="Palatino Linotype" w:hAnsi="Palatino Linotype"/>
          <w:color w:val="000000" w:themeColor="text1"/>
          <w:sz w:val="20"/>
        </w:rPr>
        <w:t>http://consumers.cpuc.ca.gov/lowincomerates/</w:t>
      </w:r>
      <w:r>
        <w:rPr>
          <w:rFonts w:ascii="Palatino Linotype" w:hAnsi="Palatino Linotype"/>
          <w:color w:val="000000" w:themeColor="text1"/>
          <w:sz w:val="20"/>
        </w:rPr>
        <w:t>.</w:t>
      </w:r>
    </w:p>
  </w:footnote>
  <w:footnote w:id="17">
    <w:p w14:paraId="689C34F2" w14:textId="77777777" w:rsidR="00341FFB" w:rsidRPr="00851445" w:rsidRDefault="00341FFB" w:rsidP="00930BD6">
      <w:pPr>
        <w:pStyle w:val="FootnoteText"/>
        <w:rPr>
          <w:rFonts w:ascii="Palatino Linotype" w:hAnsi="Palatino Linotype"/>
          <w:color w:val="000000" w:themeColor="text1"/>
          <w:sz w:val="20"/>
          <w:lang w:val="it-IT"/>
        </w:rPr>
      </w:pPr>
      <w:r w:rsidRPr="00AF35A5">
        <w:rPr>
          <w:rStyle w:val="FootnoteReference"/>
          <w:rFonts w:ascii="Palatino Linotype" w:hAnsi="Palatino Linotype"/>
          <w:color w:val="000000" w:themeColor="text1"/>
          <w:sz w:val="20"/>
        </w:rPr>
        <w:footnoteRef/>
      </w:r>
      <w:r w:rsidRPr="00851445">
        <w:rPr>
          <w:rFonts w:ascii="Palatino Linotype" w:hAnsi="Palatino Linotype"/>
          <w:color w:val="000000" w:themeColor="text1"/>
          <w:sz w:val="20"/>
          <w:lang w:val="it-IT"/>
        </w:rPr>
        <w:t xml:space="preserve"> Pub. Util. Code, § 281 (i)(4)(A).</w:t>
      </w:r>
    </w:p>
  </w:footnote>
  <w:footnote w:id="18">
    <w:p w14:paraId="36118BA3" w14:textId="6948AD5A" w:rsidR="005B49AA" w:rsidRPr="00752D15" w:rsidRDefault="005B49AA">
      <w:pPr>
        <w:pStyle w:val="FootnoteText"/>
        <w:rPr>
          <w:rFonts w:ascii="Palatino Linotype" w:hAnsi="Palatino Linotype"/>
          <w:sz w:val="20"/>
        </w:rPr>
      </w:pPr>
      <w:r w:rsidRPr="00752D15">
        <w:rPr>
          <w:rStyle w:val="FootnoteReference"/>
          <w:rFonts w:ascii="Palatino Linotype" w:hAnsi="Palatino Linotype"/>
          <w:sz w:val="20"/>
        </w:rPr>
        <w:footnoteRef/>
      </w:r>
      <w:r w:rsidRPr="00752D15">
        <w:rPr>
          <w:rFonts w:ascii="Palatino Linotype" w:hAnsi="Palatino Linotype"/>
          <w:sz w:val="20"/>
        </w:rPr>
        <w:t xml:space="preserve"> The 85 percent cap applies to both individual budget line items as well as the overall budget.   </w:t>
      </w:r>
    </w:p>
  </w:footnote>
  <w:footnote w:id="19">
    <w:p w14:paraId="4BA814A2" w14:textId="77777777" w:rsidR="00341FFB" w:rsidRPr="00AF35A5" w:rsidRDefault="00341FFB" w:rsidP="00930BD6">
      <w:pPr>
        <w:pStyle w:val="FootnoteText"/>
        <w:rPr>
          <w:color w:val="000000" w:themeColor="text1"/>
          <w:sz w:val="20"/>
        </w:rPr>
      </w:pPr>
      <w:r w:rsidRPr="00AF35A5">
        <w:rPr>
          <w:rStyle w:val="FootnoteReference"/>
          <w:color w:val="000000" w:themeColor="text1"/>
          <w:sz w:val="20"/>
        </w:rPr>
        <w:footnoteRef/>
      </w:r>
      <w:r w:rsidRPr="00AF35A5">
        <w:rPr>
          <w:color w:val="000000" w:themeColor="text1"/>
          <w:sz w:val="20"/>
        </w:rPr>
        <w:t xml:space="preserve"> </w:t>
      </w:r>
      <w:r w:rsidRPr="00AF35A5">
        <w:rPr>
          <w:rFonts w:ascii="Palatino Linotype" w:hAnsi="Palatino Linotype"/>
          <w:color w:val="000000" w:themeColor="text1"/>
          <w:sz w:val="20"/>
        </w:rPr>
        <w:t xml:space="preserve">“NTIA Broadband Adoption Toolkit,” published May 2013, draws on the experience of the recipients of grants from the Broadband Technology Opportunities Program and provides examples of grants.  Available at </w:t>
      </w:r>
      <w:hyperlink r:id="rId4" w:history="1">
        <w:r w:rsidRPr="00AF35A5">
          <w:rPr>
            <w:rStyle w:val="Hyperlink"/>
            <w:rFonts w:ascii="Palatino Linotype" w:hAnsi="Palatino Linotype"/>
            <w:color w:val="000000" w:themeColor="text1"/>
            <w:sz w:val="20"/>
          </w:rPr>
          <w:t>https://www2.ntia.doc.gov/files/toolkit_042913.pdf</w:t>
        </w:r>
      </w:hyperlink>
      <w:r w:rsidRPr="00AF35A5">
        <w:rPr>
          <w:rFonts w:ascii="Palatino Linotype" w:hAnsi="Palatino Linotype"/>
          <w:color w:val="000000" w:themeColor="text1"/>
          <w:sz w:val="20"/>
        </w:rPr>
        <w:t>..</w:t>
      </w:r>
    </w:p>
  </w:footnote>
  <w:footnote w:id="20">
    <w:p w14:paraId="0A2C7A33" w14:textId="77777777" w:rsidR="00341FFB" w:rsidRPr="00AF35A5" w:rsidRDefault="00341FFB" w:rsidP="00930BD6">
      <w:pPr>
        <w:pStyle w:val="FootnoteText"/>
        <w:rPr>
          <w:rFonts w:ascii="Palatino Linotype" w:hAnsi="Palatino Linotype"/>
          <w:color w:val="000000" w:themeColor="text1"/>
          <w:sz w:val="20"/>
        </w:rPr>
      </w:pPr>
      <w:r w:rsidRPr="00AF35A5">
        <w:rPr>
          <w:rStyle w:val="FootnoteReference"/>
          <w:rFonts w:ascii="Palatino Linotype" w:hAnsi="Palatino Linotype"/>
          <w:color w:val="000000" w:themeColor="text1"/>
          <w:sz w:val="20"/>
        </w:rPr>
        <w:footnoteRef/>
      </w:r>
      <w:r w:rsidRPr="00AF35A5">
        <w:rPr>
          <w:rFonts w:ascii="Palatino Linotype" w:hAnsi="Palatino Linotype"/>
          <w:color w:val="000000" w:themeColor="text1"/>
          <w:sz w:val="20"/>
        </w:rPr>
        <w:t xml:space="preserve"> </w:t>
      </w:r>
      <w:r>
        <w:rPr>
          <w:rFonts w:ascii="Palatino Linotype" w:hAnsi="Palatino Linotype"/>
          <w:color w:val="000000" w:themeColor="text1"/>
          <w:sz w:val="20"/>
        </w:rPr>
        <w:t xml:space="preserve">CARE income limits can be found here: </w:t>
      </w:r>
      <w:r w:rsidRPr="00EA7316">
        <w:rPr>
          <w:rFonts w:ascii="Palatino Linotype" w:hAnsi="Palatino Linotype"/>
          <w:color w:val="000000" w:themeColor="text1"/>
          <w:sz w:val="20"/>
        </w:rPr>
        <w:t>http://consumers.cpuc.ca.gov/lowincomerates/</w:t>
      </w:r>
      <w:r>
        <w:rPr>
          <w:rFonts w:ascii="Palatino Linotype" w:hAnsi="Palatino Linotype"/>
          <w:color w:val="000000" w:themeColor="text1"/>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6DB" w14:textId="3AAA9F04" w:rsidR="00341FFB" w:rsidRPr="002628E6" w:rsidRDefault="00341FFB" w:rsidP="00297E65">
    <w:pPr>
      <w:pStyle w:val="Header"/>
      <w:tabs>
        <w:tab w:val="clear" w:pos="8640"/>
        <w:tab w:val="right" w:pos="9360"/>
      </w:tabs>
      <w:rPr>
        <w:b/>
      </w:rPr>
    </w:pPr>
    <w:r>
      <w:t>R.12-10-</w:t>
    </w:r>
    <w:proofErr w:type="gramStart"/>
    <w:r>
      <w:t>012  COM</w:t>
    </w:r>
    <w:proofErr w:type="gramEnd"/>
    <w:r>
      <w:t>/MGA/</w:t>
    </w:r>
    <w:proofErr w:type="spellStart"/>
    <w:r>
      <w:t>avs</w:t>
    </w:r>
    <w:proofErr w:type="spellEnd"/>
    <w:r>
      <w:tab/>
    </w:r>
    <w:r>
      <w:tab/>
    </w:r>
  </w:p>
  <w:p w14:paraId="40072D1B" w14:textId="77777777" w:rsidR="00341FFB" w:rsidRDefault="00341FFB" w:rsidP="00297E65"/>
  <w:p w14:paraId="6E5A2B04" w14:textId="77777777" w:rsidR="00341FFB" w:rsidRDefault="00341FFB" w:rsidP="002876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AF8D" w14:textId="77777777" w:rsidR="00341FFB" w:rsidRPr="002628E6" w:rsidRDefault="00341FFB" w:rsidP="00F5120D">
    <w:pPr>
      <w:pStyle w:val="Header"/>
      <w:tabs>
        <w:tab w:val="clear" w:pos="8640"/>
        <w:tab w:val="right" w:pos="9360"/>
      </w:tabs>
      <w:rPr>
        <w:b/>
      </w:rPr>
    </w:pPr>
    <w:r>
      <w:t>R.12-10-012  COM/MGA/avs</w:t>
    </w:r>
    <w:r>
      <w:tab/>
    </w:r>
    <w:r>
      <w:tab/>
    </w:r>
  </w:p>
  <w:p w14:paraId="796A7B5D" w14:textId="77777777" w:rsidR="00341FFB" w:rsidRDefault="00341FFB" w:rsidP="00F5120D"/>
  <w:p w14:paraId="3926811B" w14:textId="77777777" w:rsidR="00341FFB" w:rsidRDefault="00341FFB" w:rsidP="00287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5DFE" w14:textId="77777777" w:rsidR="00341FFB" w:rsidRDefault="00341FFB" w:rsidP="00030ABA">
    <w:pPr>
      <w:pStyle w:val="Header"/>
    </w:pPr>
  </w:p>
  <w:p w14:paraId="57A1913E" w14:textId="77777777" w:rsidR="00341FFB" w:rsidRPr="00030ABA" w:rsidRDefault="00341FFB" w:rsidP="00287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5B07" w14:textId="77777777" w:rsidR="00341FFB" w:rsidRPr="002628E6" w:rsidRDefault="00341FFB" w:rsidP="00297E65">
    <w:pPr>
      <w:pStyle w:val="Header"/>
      <w:tabs>
        <w:tab w:val="clear" w:pos="8640"/>
        <w:tab w:val="right" w:pos="9360"/>
      </w:tabs>
      <w:rPr>
        <w:b/>
      </w:rPr>
    </w:pPr>
    <w:r>
      <w:t>R.12-10-012  COM/MGA/avs</w:t>
    </w:r>
    <w:r>
      <w:tab/>
    </w:r>
    <w:r>
      <w:tab/>
    </w:r>
    <w:r w:rsidRPr="002628E6">
      <w:rPr>
        <w:b/>
      </w:rPr>
      <w:t>PROPOSED DECISION</w:t>
    </w:r>
  </w:p>
  <w:p w14:paraId="78DF2076" w14:textId="77777777" w:rsidR="00341FFB" w:rsidRDefault="00341FFB" w:rsidP="00297E65">
    <w:pPr>
      <w:pStyle w:val="Header"/>
      <w:rPr>
        <w:b/>
      </w:rPr>
    </w:pPr>
    <w:r>
      <w:t xml:space="preserve">[1/14/19] </w:t>
    </w:r>
    <w:r>
      <w:rPr>
        <w:i/>
      </w:rPr>
      <w:t xml:space="preserve">Internal Review </w:t>
    </w:r>
    <w:r w:rsidRPr="002628E6">
      <w:t>Draft</w:t>
    </w:r>
    <w:r>
      <w:rPr>
        <w:i/>
      </w:rPr>
      <w:t xml:space="preserve">; Subject to </w:t>
    </w:r>
    <w:r>
      <w:rPr>
        <w:b/>
        <w:i/>
      </w:rPr>
      <w:t>ALJ Division Review</w:t>
    </w:r>
  </w:p>
  <w:p w14:paraId="22ED5810" w14:textId="77777777" w:rsidR="00341FFB" w:rsidRDefault="00341FFB" w:rsidP="00297E65">
    <w:pPr>
      <w:pStyle w:val="Header"/>
    </w:pPr>
    <w:r>
      <w:rPr>
        <w:b/>
      </w:rPr>
      <w:t xml:space="preserve">CONFIDENTIAL; </w:t>
    </w:r>
    <w:r>
      <w:rPr>
        <w:i/>
      </w:rPr>
      <w:t>Deliberative Process Privilege</w:t>
    </w:r>
  </w:p>
  <w:p w14:paraId="065827C5" w14:textId="77777777" w:rsidR="00341FFB" w:rsidRDefault="00341FFB" w:rsidP="00297E65"/>
  <w:p w14:paraId="7EFA6EC1" w14:textId="77777777" w:rsidR="00341FFB" w:rsidRDefault="00341FFB" w:rsidP="002876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2056" w14:textId="77777777" w:rsidR="00341FFB" w:rsidRPr="002628E6" w:rsidRDefault="00341FFB" w:rsidP="00297E65">
    <w:pPr>
      <w:pStyle w:val="Header"/>
      <w:tabs>
        <w:tab w:val="clear" w:pos="8640"/>
        <w:tab w:val="right" w:pos="9360"/>
      </w:tabs>
      <w:rPr>
        <w:b/>
      </w:rPr>
    </w:pPr>
    <w:r>
      <w:t>R.12-10-012  COM/MGA/avs</w:t>
    </w:r>
    <w:r>
      <w:tab/>
    </w:r>
    <w:r>
      <w:tab/>
    </w:r>
  </w:p>
  <w:p w14:paraId="0801A239" w14:textId="77777777" w:rsidR="00341FFB" w:rsidRDefault="00341FFB" w:rsidP="00297E65"/>
  <w:p w14:paraId="41B91496" w14:textId="77777777" w:rsidR="00341FFB" w:rsidRDefault="00341FFB" w:rsidP="002876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BAE5" w14:textId="77777777" w:rsidR="00341FFB" w:rsidRPr="002628E6" w:rsidRDefault="00341FFB" w:rsidP="00F5120D">
    <w:pPr>
      <w:pStyle w:val="Header"/>
      <w:tabs>
        <w:tab w:val="clear" w:pos="8640"/>
        <w:tab w:val="right" w:pos="9360"/>
      </w:tabs>
      <w:rPr>
        <w:b/>
      </w:rPr>
    </w:pPr>
    <w:r>
      <w:t>R.12-10-012  COM/MGA/avs</w:t>
    </w:r>
    <w:r>
      <w:tab/>
    </w:r>
    <w:r>
      <w:tab/>
    </w:r>
  </w:p>
  <w:p w14:paraId="402CCEAB" w14:textId="77777777" w:rsidR="00341FFB" w:rsidRDefault="00341FFB" w:rsidP="00F5120D">
    <w:pPr>
      <w:pStyle w:val="Header"/>
    </w:pPr>
  </w:p>
  <w:p w14:paraId="120154E9" w14:textId="77777777" w:rsidR="00341FFB" w:rsidRDefault="00341FFB" w:rsidP="00426E70">
    <w:pPr>
      <w:pStyle w:val="Header"/>
      <w:rPr>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A16E4" w14:textId="77777777" w:rsidR="00341FFB" w:rsidRPr="002628E6" w:rsidRDefault="00341FFB" w:rsidP="00F5120D">
    <w:pPr>
      <w:pStyle w:val="Header"/>
      <w:tabs>
        <w:tab w:val="clear" w:pos="8640"/>
        <w:tab w:val="right" w:pos="9360"/>
      </w:tabs>
      <w:rPr>
        <w:b/>
      </w:rPr>
    </w:pPr>
    <w:r>
      <w:t>R.12-10-012  COM/MGA/avs</w:t>
    </w:r>
    <w:r>
      <w:tab/>
    </w:r>
    <w:r>
      <w:tab/>
    </w:r>
  </w:p>
  <w:p w14:paraId="78EA6ABA" w14:textId="77777777" w:rsidR="00341FFB" w:rsidRDefault="00341FFB" w:rsidP="00F5120D"/>
  <w:p w14:paraId="540D654B" w14:textId="77777777" w:rsidR="00341FFB" w:rsidRDefault="00341FFB" w:rsidP="002876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D8A7" w14:textId="77777777" w:rsidR="00341FFB" w:rsidRPr="002628E6" w:rsidRDefault="00341FFB" w:rsidP="00F5120D">
    <w:pPr>
      <w:pStyle w:val="Header"/>
      <w:tabs>
        <w:tab w:val="clear" w:pos="8640"/>
        <w:tab w:val="right" w:pos="9360"/>
      </w:tabs>
      <w:rPr>
        <w:b/>
      </w:rPr>
    </w:pPr>
    <w:r>
      <w:t>R.12-10-012  COM/MGA/avs</w:t>
    </w:r>
    <w:r>
      <w:tab/>
    </w:r>
    <w:r>
      <w:tab/>
    </w:r>
  </w:p>
  <w:p w14:paraId="7E0C41A7" w14:textId="77777777" w:rsidR="00341FFB" w:rsidRDefault="00341FFB" w:rsidP="00F5120D">
    <w:pPr>
      <w:pStyle w:val="Header"/>
      <w:rPr>
        <w:b/>
      </w:rPr>
    </w:pPr>
    <w:r>
      <w:t xml:space="preserve">[1/14/19] </w:t>
    </w:r>
    <w:r>
      <w:rPr>
        <w:i/>
      </w:rPr>
      <w:t xml:space="preserve">Internal Review </w:t>
    </w:r>
    <w:r w:rsidRPr="002628E6">
      <w:t>Draft</w:t>
    </w:r>
    <w:r>
      <w:rPr>
        <w:i/>
      </w:rPr>
      <w:t xml:space="preserve">; Subject to </w:t>
    </w:r>
    <w:r>
      <w:rPr>
        <w:b/>
        <w:i/>
      </w:rPr>
      <w:t>ALJ Division Review</w:t>
    </w:r>
  </w:p>
  <w:p w14:paraId="373F8C58" w14:textId="77777777" w:rsidR="00341FFB" w:rsidRDefault="00341FFB" w:rsidP="00F5120D">
    <w:pPr>
      <w:pStyle w:val="Header"/>
    </w:pPr>
    <w:r>
      <w:rPr>
        <w:b/>
      </w:rPr>
      <w:t xml:space="preserve">CONFIDENTIAL; </w:t>
    </w:r>
    <w:r>
      <w:rPr>
        <w:i/>
      </w:rPr>
      <w:t>Deliberative Process Privilege</w:t>
    </w:r>
  </w:p>
  <w:p w14:paraId="1BF7DC5F" w14:textId="77777777" w:rsidR="00341FFB" w:rsidRDefault="00341FFB" w:rsidP="00F5120D">
    <w:pPr>
      <w:pStyle w:val="Header"/>
    </w:pPr>
  </w:p>
  <w:p w14:paraId="0ECDD82B" w14:textId="77777777" w:rsidR="00341FFB" w:rsidRDefault="00341FFB" w:rsidP="00426E70">
    <w:pPr>
      <w:pStyle w:val="Header"/>
      <w:rPr>
        <w: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CB6D" w14:textId="77777777" w:rsidR="00341FFB" w:rsidRPr="002628E6" w:rsidRDefault="00341FFB" w:rsidP="00F5120D">
    <w:pPr>
      <w:pStyle w:val="Header"/>
      <w:tabs>
        <w:tab w:val="clear" w:pos="8640"/>
        <w:tab w:val="right" w:pos="9360"/>
      </w:tabs>
      <w:rPr>
        <w:b/>
      </w:rPr>
    </w:pPr>
    <w:r>
      <w:t>R.12-10-012  COM/MGA/avs</w:t>
    </w:r>
    <w:r>
      <w:tab/>
    </w:r>
    <w:r>
      <w:tab/>
    </w:r>
  </w:p>
  <w:p w14:paraId="20D938BE" w14:textId="270ECE9A" w:rsidR="00341FFB" w:rsidRDefault="00341FFB" w:rsidP="00287668">
    <w:pPr>
      <w:pStyle w:val="Header"/>
    </w:pPr>
  </w:p>
  <w:p w14:paraId="7E18B7B8" w14:textId="77777777" w:rsidR="00341FFB" w:rsidRDefault="00341FFB" w:rsidP="002876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496B" w14:textId="77777777" w:rsidR="00341FFB" w:rsidRPr="002628E6" w:rsidRDefault="00341FFB" w:rsidP="00F5120D">
    <w:pPr>
      <w:pStyle w:val="Header"/>
      <w:tabs>
        <w:tab w:val="clear" w:pos="8640"/>
        <w:tab w:val="right" w:pos="9360"/>
      </w:tabs>
      <w:rPr>
        <w:b/>
      </w:rPr>
    </w:pPr>
    <w:r>
      <w:t>R.12-10-012  COM/MGA/avs</w:t>
    </w:r>
    <w:r>
      <w:tab/>
    </w:r>
    <w:r>
      <w:tab/>
    </w:r>
  </w:p>
  <w:p w14:paraId="37DC4D48" w14:textId="77777777" w:rsidR="00341FFB" w:rsidRDefault="00341FFB" w:rsidP="00F5120D">
    <w:pPr>
      <w:pStyle w:val="Header"/>
    </w:pPr>
  </w:p>
  <w:p w14:paraId="591A6DB2" w14:textId="1BA08605" w:rsidR="00341FFB" w:rsidRDefault="00341FFB" w:rsidP="00426E70">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EBC05C4"/>
    <w:lvl w:ilvl="0">
      <w:start w:val="1"/>
      <w:numFmt w:val="decimal"/>
      <w:lvlText w:val="%1."/>
      <w:legacy w:legacy="1" w:legacySpace="0" w:legacyIndent="720"/>
      <w:lvlJc w:val="left"/>
      <w:pPr>
        <w:ind w:left="720" w:hanging="720"/>
      </w:pPr>
      <w:rPr>
        <w:b/>
      </w:r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0D92AFB"/>
    <w:multiLevelType w:val="hybridMultilevel"/>
    <w:tmpl w:val="4E5C91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C36175"/>
    <w:multiLevelType w:val="hybridMultilevel"/>
    <w:tmpl w:val="4E5C91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2710"/>
    <w:multiLevelType w:val="hybridMultilevel"/>
    <w:tmpl w:val="9C60B5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F3F2F"/>
    <w:multiLevelType w:val="hybridMultilevel"/>
    <w:tmpl w:val="401CBD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3B381E"/>
    <w:multiLevelType w:val="singleLevel"/>
    <w:tmpl w:val="2FB6A734"/>
    <w:lvl w:ilvl="0">
      <w:start w:val="1"/>
      <w:numFmt w:val="decimal"/>
      <w:lvlText w:val="%1."/>
      <w:legacy w:legacy="1" w:legacySpace="144" w:legacyIndent="0"/>
      <w:lvlJc w:val="left"/>
    </w:lvl>
  </w:abstractNum>
  <w:abstractNum w:abstractNumId="6" w15:restartNumberingAfterBreak="0">
    <w:nsid w:val="1ACC2C16"/>
    <w:multiLevelType w:val="hybridMultilevel"/>
    <w:tmpl w:val="868E8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C517DD"/>
    <w:multiLevelType w:val="hybridMultilevel"/>
    <w:tmpl w:val="401CBD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FE391D"/>
    <w:multiLevelType w:val="hybridMultilevel"/>
    <w:tmpl w:val="868E8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46C60EE"/>
    <w:multiLevelType w:val="hybridMultilevel"/>
    <w:tmpl w:val="868E8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2155E0"/>
    <w:multiLevelType w:val="hybridMultilevel"/>
    <w:tmpl w:val="79648EB8"/>
    <w:lvl w:ilvl="0" w:tplc="04090019">
      <w:start w:val="1"/>
      <w:numFmt w:val="lowerLetter"/>
      <w:lvlText w:val="%1."/>
      <w:lvlJc w:val="left"/>
      <w:pPr>
        <w:ind w:left="1080" w:hanging="360"/>
      </w:p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3" w15:restartNumberingAfterBreak="0">
    <w:nsid w:val="3AC66BD4"/>
    <w:multiLevelType w:val="hybridMultilevel"/>
    <w:tmpl w:val="9C60B5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5677E4"/>
    <w:multiLevelType w:val="hybridMultilevel"/>
    <w:tmpl w:val="9C60B5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62204"/>
    <w:multiLevelType w:val="hybridMultilevel"/>
    <w:tmpl w:val="868E8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D538C3"/>
    <w:multiLevelType w:val="hybridMultilevel"/>
    <w:tmpl w:val="C016C29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14734"/>
    <w:multiLevelType w:val="hybridMultilevel"/>
    <w:tmpl w:val="9C60B5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307FE"/>
    <w:multiLevelType w:val="hybridMultilevel"/>
    <w:tmpl w:val="868E8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4B3F3E"/>
    <w:multiLevelType w:val="hybridMultilevel"/>
    <w:tmpl w:val="868E8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0273FB"/>
    <w:multiLevelType w:val="hybridMultilevel"/>
    <w:tmpl w:val="8228C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97D28"/>
    <w:multiLevelType w:val="hybridMultilevel"/>
    <w:tmpl w:val="761EEDE4"/>
    <w:lvl w:ilvl="0" w:tplc="4DE854DA">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232833"/>
    <w:multiLevelType w:val="hybridMultilevel"/>
    <w:tmpl w:val="9C60B5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D726F"/>
    <w:multiLevelType w:val="singleLevel"/>
    <w:tmpl w:val="2FB6A734"/>
    <w:lvl w:ilvl="0">
      <w:start w:val="1"/>
      <w:numFmt w:val="decimal"/>
      <w:lvlText w:val="%1."/>
      <w:legacy w:legacy="1" w:legacySpace="144" w:legacyIndent="0"/>
      <w:lvlJc w:val="left"/>
    </w:lvl>
  </w:abstractNum>
  <w:abstractNum w:abstractNumId="25" w15:restartNumberingAfterBreak="0">
    <w:nsid w:val="6E9053B0"/>
    <w:multiLevelType w:val="hybridMultilevel"/>
    <w:tmpl w:val="BE4CD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980E5E"/>
    <w:multiLevelType w:val="hybridMultilevel"/>
    <w:tmpl w:val="C89C8B10"/>
    <w:lvl w:ilvl="0" w:tplc="FD02D69E">
      <w:start w:val="1"/>
      <w:numFmt w:val="upperRoman"/>
      <w:lvlText w:val="%1."/>
      <w:lvlJc w:val="left"/>
      <w:pPr>
        <w:ind w:left="1240" w:hanging="720"/>
      </w:pPr>
      <w:rPr>
        <w:rFonts w:hint="default"/>
      </w:rPr>
    </w:lvl>
    <w:lvl w:ilvl="1" w:tplc="A334725A">
      <w:start w:val="1"/>
      <w:numFmt w:val="upperLetter"/>
      <w:lvlText w:val="%2."/>
      <w:lvlJc w:val="left"/>
      <w:pPr>
        <w:ind w:left="1600" w:hanging="360"/>
      </w:pPr>
    </w:lvl>
    <w:lvl w:ilvl="2" w:tplc="0409001B" w:tentative="1">
      <w:start w:val="1"/>
      <w:numFmt w:val="lowerRoman"/>
      <w:lvlText w:val="%3."/>
      <w:lvlJc w:val="right"/>
      <w:pPr>
        <w:ind w:left="2320" w:hanging="180"/>
      </w:pPr>
    </w:lvl>
    <w:lvl w:ilvl="3" w:tplc="0409000F">
      <w:start w:val="1"/>
      <w:numFmt w:val="decimal"/>
      <w:lvlText w:val="%4."/>
      <w:lvlJc w:val="left"/>
      <w:pPr>
        <w:ind w:left="720" w:hanging="360"/>
      </w:pPr>
    </w:lvl>
    <w:lvl w:ilvl="4" w:tplc="04090019">
      <w:start w:val="1"/>
      <w:numFmt w:val="lowerLetter"/>
      <w:lvlText w:val="%5."/>
      <w:lvlJc w:val="left"/>
      <w:pPr>
        <w:ind w:left="1080" w:hanging="360"/>
      </w:pPr>
    </w:lvl>
    <w:lvl w:ilvl="5" w:tplc="04090001">
      <w:start w:val="1"/>
      <w:numFmt w:val="bullet"/>
      <w:lvlText w:val=""/>
      <w:lvlJc w:val="left"/>
      <w:pPr>
        <w:ind w:left="4480" w:hanging="180"/>
      </w:pPr>
      <w:rPr>
        <w:rFonts w:ascii="Symbol" w:hAnsi="Symbol" w:hint="default"/>
      </w:rPr>
    </w:lvl>
    <w:lvl w:ilvl="6" w:tplc="0409000F">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7" w15:restartNumberingAfterBreak="0">
    <w:nsid w:val="6EC670F6"/>
    <w:multiLevelType w:val="multilevel"/>
    <w:tmpl w:val="4496BF58"/>
    <w:lvl w:ilvl="0">
      <w:start w:val="1"/>
      <w:numFmt w:val="decimal"/>
      <w:lvlText w:val="%1."/>
      <w:lvlJc w:val="left"/>
      <w:pPr>
        <w:tabs>
          <w:tab w:val="num" w:pos="1350"/>
        </w:tabs>
        <w:ind w:left="1350" w:hanging="720"/>
      </w:pPr>
      <w:rPr>
        <w:rFonts w:cs="Times New Roman" w:hint="default"/>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1710"/>
        </w:tabs>
        <w:ind w:left="171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70"/>
        </w:tabs>
        <w:ind w:left="3150" w:hanging="72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8" w15:restartNumberingAfterBreak="0">
    <w:nsid w:val="79C6684E"/>
    <w:multiLevelType w:val="hybridMultilevel"/>
    <w:tmpl w:val="868E8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1C30FD"/>
    <w:multiLevelType w:val="singleLevel"/>
    <w:tmpl w:val="2FB6A734"/>
    <w:lvl w:ilvl="0">
      <w:start w:val="1"/>
      <w:numFmt w:val="decimal"/>
      <w:lvlText w:val="%1."/>
      <w:legacy w:legacy="1" w:legacySpace="144" w:legacyIndent="0"/>
      <w:lvlJc w:val="left"/>
    </w:lvl>
  </w:abstractNum>
  <w:abstractNum w:abstractNumId="30" w15:restartNumberingAfterBreak="0">
    <w:nsid w:val="7B8E3ECB"/>
    <w:multiLevelType w:val="hybridMultilevel"/>
    <w:tmpl w:val="9C60B5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9"/>
  </w:num>
  <w:num w:numId="4">
    <w:abstractNumId w:val="14"/>
  </w:num>
  <w:num w:numId="5">
    <w:abstractNumId w:val="12"/>
  </w:num>
  <w:num w:numId="6">
    <w:abstractNumId w:val="0"/>
  </w:num>
  <w:num w:numId="7">
    <w:abstractNumId w:val="2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
  </w:num>
  <w:num w:numId="12">
    <w:abstractNumId w:val="26"/>
  </w:num>
  <w:num w:numId="13">
    <w:abstractNumId w:val="22"/>
  </w:num>
  <w:num w:numId="14">
    <w:abstractNumId w:val="17"/>
  </w:num>
  <w:num w:numId="15">
    <w:abstractNumId w:val="11"/>
  </w:num>
  <w:num w:numId="16">
    <w:abstractNumId w:val="4"/>
  </w:num>
  <w:num w:numId="17">
    <w:abstractNumId w:val="7"/>
  </w:num>
  <w:num w:numId="18">
    <w:abstractNumId w:val="2"/>
  </w:num>
  <w:num w:numId="19">
    <w:abstractNumId w:val="3"/>
  </w:num>
  <w:num w:numId="20">
    <w:abstractNumId w:val="28"/>
  </w:num>
  <w:num w:numId="21">
    <w:abstractNumId w:val="6"/>
  </w:num>
  <w:num w:numId="22">
    <w:abstractNumId w:val="19"/>
  </w:num>
  <w:num w:numId="23">
    <w:abstractNumId w:val="20"/>
  </w:num>
  <w:num w:numId="24">
    <w:abstractNumId w:val="18"/>
  </w:num>
  <w:num w:numId="25">
    <w:abstractNumId w:val="16"/>
  </w:num>
  <w:num w:numId="26">
    <w:abstractNumId w:val="8"/>
  </w:num>
  <w:num w:numId="27">
    <w:abstractNumId w:val="23"/>
  </w:num>
  <w:num w:numId="28">
    <w:abstractNumId w:val="13"/>
  </w:num>
  <w:num w:numId="29">
    <w:abstractNumId w:val="15"/>
  </w:num>
  <w:num w:numId="30">
    <w:abstractNumId w:val="30"/>
  </w:num>
  <w:num w:numId="31">
    <w:abstractNumId w:val="10"/>
  </w:num>
  <w:num w:numId="32">
    <w:abstractNumId w:val="0"/>
  </w:num>
  <w:num w:numId="33">
    <w:abstractNumId w:val="0"/>
  </w:num>
  <w:num w:numId="34">
    <w:abstractNumId w:val="0"/>
  </w:num>
  <w:num w:numId="35">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53"/>
    <w:rsid w:val="000104E9"/>
    <w:rsid w:val="00015B93"/>
    <w:rsid w:val="00023551"/>
    <w:rsid w:val="00030ABA"/>
    <w:rsid w:val="00053824"/>
    <w:rsid w:val="0006259D"/>
    <w:rsid w:val="000712C0"/>
    <w:rsid w:val="00072C56"/>
    <w:rsid w:val="00082D01"/>
    <w:rsid w:val="00096F5E"/>
    <w:rsid w:val="000A49E5"/>
    <w:rsid w:val="000B1736"/>
    <w:rsid w:val="000D0FA4"/>
    <w:rsid w:val="000D26DC"/>
    <w:rsid w:val="000F0BAD"/>
    <w:rsid w:val="0010205F"/>
    <w:rsid w:val="00114E28"/>
    <w:rsid w:val="00121DFC"/>
    <w:rsid w:val="001228D8"/>
    <w:rsid w:val="001251D7"/>
    <w:rsid w:val="00130846"/>
    <w:rsid w:val="00131345"/>
    <w:rsid w:val="00134E7B"/>
    <w:rsid w:val="00162C19"/>
    <w:rsid w:val="00184004"/>
    <w:rsid w:val="00192F9B"/>
    <w:rsid w:val="001934CE"/>
    <w:rsid w:val="0019760B"/>
    <w:rsid w:val="001C2219"/>
    <w:rsid w:val="001C3542"/>
    <w:rsid w:val="001C75AC"/>
    <w:rsid w:val="001D1F79"/>
    <w:rsid w:val="001E7A1C"/>
    <w:rsid w:val="00203264"/>
    <w:rsid w:val="00213DEC"/>
    <w:rsid w:val="00233646"/>
    <w:rsid w:val="0024185A"/>
    <w:rsid w:val="002431A5"/>
    <w:rsid w:val="00246E59"/>
    <w:rsid w:val="00256916"/>
    <w:rsid w:val="00261B16"/>
    <w:rsid w:val="0026366E"/>
    <w:rsid w:val="00274FF7"/>
    <w:rsid w:val="00287668"/>
    <w:rsid w:val="00297E65"/>
    <w:rsid w:val="002C3882"/>
    <w:rsid w:val="002E0C9A"/>
    <w:rsid w:val="002E340F"/>
    <w:rsid w:val="002E3ACD"/>
    <w:rsid w:val="002E46B2"/>
    <w:rsid w:val="002E6ED2"/>
    <w:rsid w:val="002F1D65"/>
    <w:rsid w:val="00311F15"/>
    <w:rsid w:val="003256A1"/>
    <w:rsid w:val="00340EB2"/>
    <w:rsid w:val="00341FFB"/>
    <w:rsid w:val="00342B3D"/>
    <w:rsid w:val="00346339"/>
    <w:rsid w:val="00383687"/>
    <w:rsid w:val="003A6D6E"/>
    <w:rsid w:val="003C3101"/>
    <w:rsid w:val="003D0D3B"/>
    <w:rsid w:val="003D5ADC"/>
    <w:rsid w:val="003F3121"/>
    <w:rsid w:val="003F6D22"/>
    <w:rsid w:val="00406FF8"/>
    <w:rsid w:val="00414BFF"/>
    <w:rsid w:val="00417DA1"/>
    <w:rsid w:val="00425C35"/>
    <w:rsid w:val="00426E70"/>
    <w:rsid w:val="00442915"/>
    <w:rsid w:val="00443408"/>
    <w:rsid w:val="004600FC"/>
    <w:rsid w:val="0046283C"/>
    <w:rsid w:val="0046318B"/>
    <w:rsid w:val="00470254"/>
    <w:rsid w:val="00470ACF"/>
    <w:rsid w:val="00481F54"/>
    <w:rsid w:val="004A6417"/>
    <w:rsid w:val="004B32DC"/>
    <w:rsid w:val="004B36B3"/>
    <w:rsid w:val="004D64BD"/>
    <w:rsid w:val="004E5655"/>
    <w:rsid w:val="004F4A3D"/>
    <w:rsid w:val="005237D7"/>
    <w:rsid w:val="00546294"/>
    <w:rsid w:val="00562D9D"/>
    <w:rsid w:val="00570032"/>
    <w:rsid w:val="00572536"/>
    <w:rsid w:val="005A7314"/>
    <w:rsid w:val="005B49AA"/>
    <w:rsid w:val="005B6D2E"/>
    <w:rsid w:val="005C2161"/>
    <w:rsid w:val="005D0B45"/>
    <w:rsid w:val="005D4F9A"/>
    <w:rsid w:val="005D5207"/>
    <w:rsid w:val="005D7820"/>
    <w:rsid w:val="005D7FDD"/>
    <w:rsid w:val="005F3E33"/>
    <w:rsid w:val="005F5FFB"/>
    <w:rsid w:val="005F7E81"/>
    <w:rsid w:val="00636DD2"/>
    <w:rsid w:val="00646C8C"/>
    <w:rsid w:val="0065332C"/>
    <w:rsid w:val="00672020"/>
    <w:rsid w:val="00673A30"/>
    <w:rsid w:val="006752E6"/>
    <w:rsid w:val="00684016"/>
    <w:rsid w:val="006872AC"/>
    <w:rsid w:val="006964C4"/>
    <w:rsid w:val="006977FB"/>
    <w:rsid w:val="00697E8E"/>
    <w:rsid w:val="006C1B74"/>
    <w:rsid w:val="006E0596"/>
    <w:rsid w:val="006E0778"/>
    <w:rsid w:val="006F7C42"/>
    <w:rsid w:val="00715EC0"/>
    <w:rsid w:val="00720E51"/>
    <w:rsid w:val="00745604"/>
    <w:rsid w:val="00752D15"/>
    <w:rsid w:val="007554AE"/>
    <w:rsid w:val="00763ABD"/>
    <w:rsid w:val="007645FA"/>
    <w:rsid w:val="007850D9"/>
    <w:rsid w:val="0079487D"/>
    <w:rsid w:val="0079799C"/>
    <w:rsid w:val="007A20D4"/>
    <w:rsid w:val="007A2AE0"/>
    <w:rsid w:val="007A604B"/>
    <w:rsid w:val="007B1459"/>
    <w:rsid w:val="007B3400"/>
    <w:rsid w:val="007B73D1"/>
    <w:rsid w:val="007C050E"/>
    <w:rsid w:val="007C44F0"/>
    <w:rsid w:val="007D4BAC"/>
    <w:rsid w:val="007E49CF"/>
    <w:rsid w:val="007E57FD"/>
    <w:rsid w:val="007E6E0C"/>
    <w:rsid w:val="007E72FD"/>
    <w:rsid w:val="007F0B7F"/>
    <w:rsid w:val="007F3A20"/>
    <w:rsid w:val="008202CC"/>
    <w:rsid w:val="00823021"/>
    <w:rsid w:val="00834834"/>
    <w:rsid w:val="00841323"/>
    <w:rsid w:val="00852ED9"/>
    <w:rsid w:val="0085401B"/>
    <w:rsid w:val="00862D60"/>
    <w:rsid w:val="00864749"/>
    <w:rsid w:val="008653D5"/>
    <w:rsid w:val="008852EE"/>
    <w:rsid w:val="008C27E3"/>
    <w:rsid w:val="008C5D35"/>
    <w:rsid w:val="008C7CD3"/>
    <w:rsid w:val="008E268F"/>
    <w:rsid w:val="008E2817"/>
    <w:rsid w:val="008E5493"/>
    <w:rsid w:val="008F3DAC"/>
    <w:rsid w:val="008F5123"/>
    <w:rsid w:val="009029AD"/>
    <w:rsid w:val="00917F94"/>
    <w:rsid w:val="0092162C"/>
    <w:rsid w:val="00930BD6"/>
    <w:rsid w:val="00930FC7"/>
    <w:rsid w:val="00931B13"/>
    <w:rsid w:val="00952245"/>
    <w:rsid w:val="009535EB"/>
    <w:rsid w:val="00956E6B"/>
    <w:rsid w:val="00974CF4"/>
    <w:rsid w:val="00984D3B"/>
    <w:rsid w:val="00985F1B"/>
    <w:rsid w:val="009A46CC"/>
    <w:rsid w:val="009A7794"/>
    <w:rsid w:val="009D07C9"/>
    <w:rsid w:val="00A06403"/>
    <w:rsid w:val="00A13677"/>
    <w:rsid w:val="00A17453"/>
    <w:rsid w:val="00A47C1F"/>
    <w:rsid w:val="00A57BD0"/>
    <w:rsid w:val="00A617DC"/>
    <w:rsid w:val="00A76ABC"/>
    <w:rsid w:val="00AA4A84"/>
    <w:rsid w:val="00AB154A"/>
    <w:rsid w:val="00AB633B"/>
    <w:rsid w:val="00AD1FD8"/>
    <w:rsid w:val="00AF1B8B"/>
    <w:rsid w:val="00B01773"/>
    <w:rsid w:val="00B0495B"/>
    <w:rsid w:val="00B069F6"/>
    <w:rsid w:val="00B30FF9"/>
    <w:rsid w:val="00B436FE"/>
    <w:rsid w:val="00B53159"/>
    <w:rsid w:val="00B5547E"/>
    <w:rsid w:val="00B65C9B"/>
    <w:rsid w:val="00BB16B3"/>
    <w:rsid w:val="00BB4DC0"/>
    <w:rsid w:val="00BC1FEE"/>
    <w:rsid w:val="00BC2692"/>
    <w:rsid w:val="00BE4AF7"/>
    <w:rsid w:val="00C04660"/>
    <w:rsid w:val="00C05662"/>
    <w:rsid w:val="00C069BE"/>
    <w:rsid w:val="00C107CC"/>
    <w:rsid w:val="00C11CF6"/>
    <w:rsid w:val="00C22B5C"/>
    <w:rsid w:val="00C35816"/>
    <w:rsid w:val="00C61DC2"/>
    <w:rsid w:val="00C75013"/>
    <w:rsid w:val="00C8138A"/>
    <w:rsid w:val="00C8414D"/>
    <w:rsid w:val="00CB7A70"/>
    <w:rsid w:val="00D042E9"/>
    <w:rsid w:val="00D165A0"/>
    <w:rsid w:val="00D20DCC"/>
    <w:rsid w:val="00D25007"/>
    <w:rsid w:val="00D31C0B"/>
    <w:rsid w:val="00D444A1"/>
    <w:rsid w:val="00D553FB"/>
    <w:rsid w:val="00D7057F"/>
    <w:rsid w:val="00D75BAB"/>
    <w:rsid w:val="00DB7567"/>
    <w:rsid w:val="00DC05C7"/>
    <w:rsid w:val="00DC6D3E"/>
    <w:rsid w:val="00DE0471"/>
    <w:rsid w:val="00DF2276"/>
    <w:rsid w:val="00E00903"/>
    <w:rsid w:val="00E11C4E"/>
    <w:rsid w:val="00E31664"/>
    <w:rsid w:val="00E35ACB"/>
    <w:rsid w:val="00E47965"/>
    <w:rsid w:val="00E525F7"/>
    <w:rsid w:val="00E550A1"/>
    <w:rsid w:val="00E57EE1"/>
    <w:rsid w:val="00E60E5E"/>
    <w:rsid w:val="00E67AA7"/>
    <w:rsid w:val="00E71CFB"/>
    <w:rsid w:val="00E847C5"/>
    <w:rsid w:val="00E87D7C"/>
    <w:rsid w:val="00E90811"/>
    <w:rsid w:val="00E927D7"/>
    <w:rsid w:val="00E96DDE"/>
    <w:rsid w:val="00EA6CC5"/>
    <w:rsid w:val="00ED1403"/>
    <w:rsid w:val="00ED4B60"/>
    <w:rsid w:val="00F075C7"/>
    <w:rsid w:val="00F11CBD"/>
    <w:rsid w:val="00F124D4"/>
    <w:rsid w:val="00F253D9"/>
    <w:rsid w:val="00F31813"/>
    <w:rsid w:val="00F3498C"/>
    <w:rsid w:val="00F352BB"/>
    <w:rsid w:val="00F41F45"/>
    <w:rsid w:val="00F5120D"/>
    <w:rsid w:val="00F525B8"/>
    <w:rsid w:val="00F64F07"/>
    <w:rsid w:val="00F65F1A"/>
    <w:rsid w:val="00F97602"/>
    <w:rsid w:val="00FA0AFD"/>
    <w:rsid w:val="00FA5E18"/>
    <w:rsid w:val="00FD0342"/>
    <w:rsid w:val="00FD382A"/>
    <w:rsid w:val="00FD5436"/>
    <w:rsid w:val="00FE5EC7"/>
    <w:rsid w:val="00FE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EA38A"/>
  <w15:docId w15:val="{3D61E2CC-5F3E-4165-829F-C4D0C23C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rsid w:val="00B01773"/>
    <w:pPr>
      <w:spacing w:after="120"/>
      <w:ind w:left="360" w:hanging="360"/>
      <w:outlineLvl w:val="0"/>
    </w:pPr>
    <w:rPr>
      <w:rFonts w:ascii="Helvetica" w:hAnsi="Helvetica"/>
      <w:b/>
      <w:kern w:val="28"/>
      <w:szCs w:val="26"/>
    </w:rPr>
  </w:style>
  <w:style w:type="paragraph" w:styleId="Heading2">
    <w:name w:val="heading 2"/>
    <w:basedOn w:val="Normal"/>
    <w:next w:val="standard"/>
    <w:qFormat/>
    <w:rsid w:val="00162C19"/>
    <w:pPr>
      <w:spacing w:after="120"/>
      <w:ind w:left="1350" w:hanging="630"/>
      <w:outlineLvl w:val="1"/>
    </w:pPr>
    <w:rPr>
      <w:rFonts w:ascii="Helvetica" w:hAnsi="Helvetica"/>
      <w:b/>
      <w:szCs w:val="26"/>
    </w:rPr>
  </w:style>
  <w:style w:type="paragraph" w:styleId="Heading3">
    <w:name w:val="heading 3"/>
    <w:basedOn w:val="Normal"/>
    <w:next w:val="standard"/>
    <w:qFormat/>
    <w:rsid w:val="00B01773"/>
    <w:pPr>
      <w:spacing w:after="120"/>
      <w:ind w:left="1440"/>
      <w:outlineLvl w:val="2"/>
    </w:pPr>
    <w:rPr>
      <w:rFonts w:ascii="Helvetica" w:hAnsi="Helvetica"/>
      <w:b/>
      <w:szCs w:val="26"/>
    </w:rPr>
  </w:style>
  <w:style w:type="paragraph" w:styleId="Heading4">
    <w:name w:val="heading 4"/>
    <w:basedOn w:val="Normal"/>
    <w:next w:val="standard"/>
    <w:qFormat/>
    <w:pPr>
      <w:keepNext/>
      <w:numPr>
        <w:ilvl w:val="3"/>
        <w:numId w:val="6"/>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6"/>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6"/>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6"/>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6"/>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ALTS FOOTNOTE"/>
    <w:basedOn w:val="Normal"/>
    <w:link w:val="FootnoteTextChar"/>
    <w:pPr>
      <w:spacing w:after="120"/>
    </w:pPr>
    <w:rPr>
      <w:sz w:val="24"/>
    </w:rPr>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ind w:left="72" w:firstLine="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4"/>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5"/>
      </w:numPr>
    </w:pPr>
    <w:rPr>
      <w:rFonts w:cs="Times New Roman"/>
      <w:bCs w:val="0"/>
      <w:szCs w:val="20"/>
    </w:rPr>
  </w:style>
  <w:style w:type="character" w:styleId="Emphasis">
    <w:name w:val="Emphasis"/>
    <w:basedOn w:val="DefaultParagraphFont"/>
    <w:qFormat/>
    <w:rsid w:val="00134E7B"/>
    <w:rPr>
      <w:i/>
      <w:iCs/>
    </w:rPr>
  </w:style>
  <w:style w:type="character" w:customStyle="1" w:styleId="HeaderChar">
    <w:name w:val="Header Char"/>
    <w:basedOn w:val="DefaultParagraphFont"/>
    <w:link w:val="Header"/>
    <w:rsid w:val="00426E70"/>
    <w:rPr>
      <w:rFonts w:ascii="Palatino" w:hAnsi="Palatino"/>
      <w:sz w:val="26"/>
    </w:rPr>
  </w:style>
  <w:style w:type="character" w:styleId="CommentReference">
    <w:name w:val="annotation reference"/>
    <w:basedOn w:val="DefaultParagraphFont"/>
    <w:semiHidden/>
    <w:unhideWhenUsed/>
    <w:rsid w:val="008F5123"/>
    <w:rPr>
      <w:sz w:val="16"/>
      <w:szCs w:val="16"/>
    </w:rPr>
  </w:style>
  <w:style w:type="paragraph" w:styleId="CommentText">
    <w:name w:val="annotation text"/>
    <w:basedOn w:val="Normal"/>
    <w:link w:val="CommentTextChar"/>
    <w:semiHidden/>
    <w:unhideWhenUsed/>
    <w:rsid w:val="008F5123"/>
    <w:rPr>
      <w:sz w:val="20"/>
    </w:rPr>
  </w:style>
  <w:style w:type="character" w:customStyle="1" w:styleId="CommentTextChar">
    <w:name w:val="Comment Text Char"/>
    <w:basedOn w:val="DefaultParagraphFont"/>
    <w:link w:val="CommentText"/>
    <w:semiHidden/>
    <w:rsid w:val="008F5123"/>
    <w:rPr>
      <w:rFonts w:ascii="Palatino" w:hAnsi="Palatino"/>
    </w:rPr>
  </w:style>
  <w:style w:type="paragraph" w:styleId="CommentSubject">
    <w:name w:val="annotation subject"/>
    <w:basedOn w:val="CommentText"/>
    <w:next w:val="CommentText"/>
    <w:link w:val="CommentSubjectChar"/>
    <w:semiHidden/>
    <w:unhideWhenUsed/>
    <w:rsid w:val="008F5123"/>
    <w:rPr>
      <w:b/>
      <w:bCs/>
    </w:rPr>
  </w:style>
  <w:style w:type="character" w:customStyle="1" w:styleId="CommentSubjectChar">
    <w:name w:val="Comment Subject Char"/>
    <w:basedOn w:val="CommentTextChar"/>
    <w:link w:val="CommentSubject"/>
    <w:semiHidden/>
    <w:rsid w:val="008F5123"/>
    <w:rPr>
      <w:rFonts w:ascii="Palatino" w:hAnsi="Palatino"/>
      <w:b/>
      <w:bCs/>
    </w:rPr>
  </w:style>
  <w:style w:type="paragraph" w:styleId="BalloonText">
    <w:name w:val="Balloon Text"/>
    <w:basedOn w:val="Normal"/>
    <w:link w:val="BalloonTextChar"/>
    <w:semiHidden/>
    <w:unhideWhenUsed/>
    <w:rsid w:val="008F5123"/>
    <w:rPr>
      <w:rFonts w:ascii="Segoe UI" w:hAnsi="Segoe UI" w:cs="Segoe UI"/>
      <w:sz w:val="18"/>
      <w:szCs w:val="18"/>
    </w:rPr>
  </w:style>
  <w:style w:type="character" w:customStyle="1" w:styleId="BalloonTextChar">
    <w:name w:val="Balloon Text Char"/>
    <w:basedOn w:val="DefaultParagraphFont"/>
    <w:link w:val="BalloonText"/>
    <w:semiHidden/>
    <w:rsid w:val="008F5123"/>
    <w:rPr>
      <w:rFonts w:ascii="Segoe UI" w:hAnsi="Segoe UI" w:cs="Segoe UI"/>
      <w:sz w:val="18"/>
      <w:szCs w:val="18"/>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rsid w:val="00E57EE1"/>
    <w:rPr>
      <w:rFonts w:ascii="Palatino" w:hAnsi="Palatino"/>
      <w:sz w:val="24"/>
    </w:rPr>
  </w:style>
  <w:style w:type="paragraph" w:customStyle="1" w:styleId="xxmsolistparagraph">
    <w:name w:val="x_xmsolistparagraph"/>
    <w:basedOn w:val="Normal"/>
    <w:rsid w:val="00F124D4"/>
    <w:rPr>
      <w:rFonts w:ascii="Calibri" w:eastAsiaTheme="minorHAnsi" w:hAnsi="Calibri" w:cs="Calibri"/>
      <w:sz w:val="22"/>
      <w:szCs w:val="22"/>
    </w:rPr>
  </w:style>
  <w:style w:type="paragraph" w:styleId="ListParagraph">
    <w:name w:val="List Paragraph"/>
    <w:basedOn w:val="Normal"/>
    <w:uiPriority w:val="34"/>
    <w:qFormat/>
    <w:rsid w:val="00F65F1A"/>
    <w:pPr>
      <w:ind w:left="720"/>
    </w:pPr>
    <w:rPr>
      <w:rFonts w:ascii="Calibri" w:eastAsiaTheme="minorHAnsi" w:hAnsi="Calibri" w:cs="Calibri"/>
      <w:sz w:val="22"/>
      <w:szCs w:val="22"/>
    </w:rPr>
  </w:style>
  <w:style w:type="paragraph" w:customStyle="1" w:styleId="xxxxmsolistparagraph">
    <w:name w:val="x_x_xxmsolistparagraph"/>
    <w:basedOn w:val="Normal"/>
    <w:rsid w:val="000A49E5"/>
    <w:rPr>
      <w:rFonts w:ascii="Calibri" w:eastAsiaTheme="minorHAnsi" w:hAnsi="Calibri"/>
      <w:sz w:val="22"/>
      <w:szCs w:val="22"/>
    </w:rPr>
  </w:style>
  <w:style w:type="paragraph" w:customStyle="1" w:styleId="xxmsolistparagraph0">
    <w:name w:val="x_x_msolistparagraph"/>
    <w:basedOn w:val="Normal"/>
    <w:rsid w:val="00FA5E18"/>
    <w:pPr>
      <w:spacing w:before="100" w:beforeAutospacing="1" w:after="100" w:afterAutospacing="1"/>
    </w:pPr>
    <w:rPr>
      <w:rFonts w:ascii="Calibri" w:eastAsiaTheme="minorHAnsi" w:hAnsi="Calibri"/>
      <w:sz w:val="22"/>
      <w:szCs w:val="22"/>
    </w:rPr>
  </w:style>
  <w:style w:type="character" w:customStyle="1" w:styleId="FooterChar">
    <w:name w:val="Footer Char"/>
    <w:link w:val="Footer"/>
    <w:uiPriority w:val="99"/>
    <w:rsid w:val="00340EB2"/>
    <w:rPr>
      <w:rFonts w:ascii="Palatino" w:hAnsi="Palatino"/>
      <w:sz w:val="26"/>
    </w:rPr>
  </w:style>
  <w:style w:type="paragraph" w:styleId="Revision">
    <w:name w:val="Revision"/>
    <w:hidden/>
    <w:uiPriority w:val="99"/>
    <w:semiHidden/>
    <w:rsid w:val="00287668"/>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4475">
      <w:bodyDiv w:val="1"/>
      <w:marLeft w:val="0"/>
      <w:marRight w:val="0"/>
      <w:marTop w:val="0"/>
      <w:marBottom w:val="0"/>
      <w:divBdr>
        <w:top w:val="none" w:sz="0" w:space="0" w:color="auto"/>
        <w:left w:val="none" w:sz="0" w:space="0" w:color="auto"/>
        <w:bottom w:val="none" w:sz="0" w:space="0" w:color="auto"/>
        <w:right w:val="none" w:sz="0" w:space="0" w:color="auto"/>
      </w:divBdr>
    </w:div>
    <w:div w:id="686638746">
      <w:bodyDiv w:val="1"/>
      <w:marLeft w:val="0"/>
      <w:marRight w:val="0"/>
      <w:marTop w:val="0"/>
      <w:marBottom w:val="0"/>
      <w:divBdr>
        <w:top w:val="none" w:sz="0" w:space="0" w:color="auto"/>
        <w:left w:val="none" w:sz="0" w:space="0" w:color="auto"/>
        <w:bottom w:val="none" w:sz="0" w:space="0" w:color="auto"/>
        <w:right w:val="none" w:sz="0" w:space="0" w:color="auto"/>
      </w:divBdr>
    </w:div>
    <w:div w:id="759570890">
      <w:bodyDiv w:val="1"/>
      <w:marLeft w:val="0"/>
      <w:marRight w:val="0"/>
      <w:marTop w:val="0"/>
      <w:marBottom w:val="0"/>
      <w:divBdr>
        <w:top w:val="none" w:sz="0" w:space="0" w:color="auto"/>
        <w:left w:val="none" w:sz="0" w:space="0" w:color="auto"/>
        <w:bottom w:val="none" w:sz="0" w:space="0" w:color="auto"/>
        <w:right w:val="none" w:sz="0" w:space="0" w:color="auto"/>
      </w:divBdr>
    </w:div>
    <w:div w:id="876427030">
      <w:bodyDiv w:val="1"/>
      <w:marLeft w:val="0"/>
      <w:marRight w:val="0"/>
      <w:marTop w:val="0"/>
      <w:marBottom w:val="0"/>
      <w:divBdr>
        <w:top w:val="none" w:sz="0" w:space="0" w:color="auto"/>
        <w:left w:val="none" w:sz="0" w:space="0" w:color="auto"/>
        <w:bottom w:val="none" w:sz="0" w:space="0" w:color="auto"/>
        <w:right w:val="none" w:sz="0" w:space="0" w:color="auto"/>
      </w:divBdr>
    </w:div>
    <w:div w:id="1085540365">
      <w:bodyDiv w:val="1"/>
      <w:marLeft w:val="0"/>
      <w:marRight w:val="0"/>
      <w:marTop w:val="0"/>
      <w:marBottom w:val="0"/>
      <w:divBdr>
        <w:top w:val="none" w:sz="0" w:space="0" w:color="auto"/>
        <w:left w:val="none" w:sz="0" w:space="0" w:color="auto"/>
        <w:bottom w:val="none" w:sz="0" w:space="0" w:color="auto"/>
        <w:right w:val="none" w:sz="0" w:space="0" w:color="auto"/>
      </w:divBdr>
    </w:div>
    <w:div w:id="1537545199">
      <w:bodyDiv w:val="1"/>
      <w:marLeft w:val="0"/>
      <w:marRight w:val="0"/>
      <w:marTop w:val="0"/>
      <w:marBottom w:val="0"/>
      <w:divBdr>
        <w:top w:val="none" w:sz="0" w:space="0" w:color="auto"/>
        <w:left w:val="none" w:sz="0" w:space="0" w:color="auto"/>
        <w:bottom w:val="none" w:sz="0" w:space="0" w:color="auto"/>
        <w:right w:val="none" w:sz="0" w:space="0" w:color="auto"/>
      </w:divBdr>
    </w:div>
    <w:div w:id="1550990657">
      <w:bodyDiv w:val="1"/>
      <w:marLeft w:val="0"/>
      <w:marRight w:val="0"/>
      <w:marTop w:val="0"/>
      <w:marBottom w:val="0"/>
      <w:divBdr>
        <w:top w:val="none" w:sz="0" w:space="0" w:color="auto"/>
        <w:left w:val="none" w:sz="0" w:space="0" w:color="auto"/>
        <w:bottom w:val="none" w:sz="0" w:space="0" w:color="auto"/>
        <w:right w:val="none" w:sz="0" w:space="0" w:color="auto"/>
      </w:divBdr>
    </w:div>
    <w:div w:id="1576665200">
      <w:bodyDiv w:val="1"/>
      <w:marLeft w:val="0"/>
      <w:marRight w:val="0"/>
      <w:marTop w:val="0"/>
      <w:marBottom w:val="0"/>
      <w:divBdr>
        <w:top w:val="none" w:sz="0" w:space="0" w:color="auto"/>
        <w:left w:val="none" w:sz="0" w:space="0" w:color="auto"/>
        <w:bottom w:val="none" w:sz="0" w:space="0" w:color="auto"/>
        <w:right w:val="none" w:sz="0" w:space="0" w:color="auto"/>
      </w:divBdr>
    </w:div>
    <w:div w:id="1630278666">
      <w:bodyDiv w:val="1"/>
      <w:marLeft w:val="0"/>
      <w:marRight w:val="0"/>
      <w:marTop w:val="0"/>
      <w:marBottom w:val="0"/>
      <w:divBdr>
        <w:top w:val="none" w:sz="0" w:space="0" w:color="auto"/>
        <w:left w:val="none" w:sz="0" w:space="0" w:color="auto"/>
        <w:bottom w:val="none" w:sz="0" w:space="0" w:color="auto"/>
        <w:right w:val="none" w:sz="0" w:space="0" w:color="auto"/>
      </w:divBdr>
    </w:div>
    <w:div w:id="17812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DCompliance@cpuc.ca.gov"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cpuc.ca.gov/casf/" TargetMode="Externa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puc.ca.gov/General.aspx?id=5753" TargetMode="External"/><Relationship Id="rId2" Type="http://schemas.openxmlformats.org/officeDocument/2006/relationships/hyperlink" Target="http://www.cetfund.org/node/9318" TargetMode="External"/><Relationship Id="rId1" Type="http://schemas.openxmlformats.org/officeDocument/2006/relationships/hyperlink" Target="https://www2.ntia.doc.gov/files/toolkit_042913.pdf" TargetMode="External"/><Relationship Id="rId4" Type="http://schemas.openxmlformats.org/officeDocument/2006/relationships/hyperlink" Target="https://www2.ntia.doc.gov/files/toolkit_0429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tr\Desktop\Draft%20PD_Adoption%20Program%20Phase%20II%20Chan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1A049-E9E9-4FD9-9B5E-6C0445A6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PD_Adoption Program Phase II Changes.dotx</Template>
  <TotalTime>109</TotalTime>
  <Pages>27</Pages>
  <Words>5964</Words>
  <Characters>34001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39886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Tran, Ava N.</dc:creator>
  <cp:lastModifiedBy>Swansen, Antonina</cp:lastModifiedBy>
  <cp:revision>8</cp:revision>
  <cp:lastPrinted>2019-03-01T21:24:00Z</cp:lastPrinted>
  <dcterms:created xsi:type="dcterms:W3CDTF">2019-03-01T19:32:00Z</dcterms:created>
  <dcterms:modified xsi:type="dcterms:W3CDTF">2019-03-01T21:25:00Z</dcterms:modified>
</cp:coreProperties>
</file>