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80446" w14:textId="45E81B9E" w:rsidR="00082728" w:rsidRPr="00082728" w:rsidRDefault="00CF17DE" w:rsidP="00082728">
      <w:pPr>
        <w:pStyle w:val="titlebar"/>
        <w:rPr>
          <w:sz w:val="24"/>
        </w:rPr>
      </w:pPr>
      <w:r w:rsidRPr="000A6D41">
        <w:rPr>
          <w:sz w:val="24"/>
        </w:rPr>
        <w:t>PUBLIC UTILITIES COMMISSION OF THE STATE OF CALIFORNIA</w:t>
      </w:r>
    </w:p>
    <w:p w14:paraId="5834C90B" w14:textId="7FC3D25B" w:rsidR="00CF17DE" w:rsidRPr="00082728" w:rsidRDefault="00082728" w:rsidP="00082728">
      <w:pPr>
        <w:ind w:left="6480"/>
        <w:rPr>
          <w:b/>
          <w:sz w:val="24"/>
        </w:rPr>
      </w:pPr>
      <w:r w:rsidRPr="00082728">
        <w:rPr>
          <w:b/>
          <w:sz w:val="24"/>
        </w:rPr>
        <w:t>Agenda I</w:t>
      </w:r>
      <w:r>
        <w:rPr>
          <w:b/>
          <w:sz w:val="24"/>
        </w:rPr>
        <w:t>D</w:t>
      </w:r>
      <w:r w:rsidRPr="00082728">
        <w:rPr>
          <w:b/>
          <w:sz w:val="24"/>
        </w:rPr>
        <w:t>#</w:t>
      </w:r>
      <w:r w:rsidR="00532F96">
        <w:rPr>
          <w:b/>
          <w:sz w:val="24"/>
        </w:rPr>
        <w:t xml:space="preserve"> 17307</w:t>
      </w:r>
    </w:p>
    <w:p w14:paraId="7C118402" w14:textId="370410FD" w:rsidR="00CF17DE" w:rsidRPr="000A6D41" w:rsidRDefault="00593807">
      <w:pPr>
        <w:rPr>
          <w:b/>
          <w:sz w:val="24"/>
        </w:rPr>
      </w:pPr>
      <w:r w:rsidRPr="000A6D41">
        <w:rPr>
          <w:b/>
          <w:sz w:val="24"/>
        </w:rPr>
        <w:t>ENERGY DIVISION</w:t>
      </w:r>
      <w:r w:rsidRPr="000A6D41">
        <w:rPr>
          <w:b/>
          <w:sz w:val="24"/>
        </w:rPr>
        <w:tab/>
      </w:r>
      <w:r w:rsidRPr="000A6D41">
        <w:rPr>
          <w:b/>
          <w:sz w:val="24"/>
        </w:rPr>
        <w:tab/>
      </w:r>
      <w:r w:rsidRPr="000A6D41">
        <w:rPr>
          <w:b/>
          <w:sz w:val="24"/>
        </w:rPr>
        <w:tab/>
      </w:r>
      <w:r w:rsidRPr="000A6D41">
        <w:rPr>
          <w:b/>
          <w:sz w:val="24"/>
        </w:rPr>
        <w:tab/>
      </w:r>
      <w:r w:rsidRPr="000A6D41">
        <w:rPr>
          <w:b/>
          <w:sz w:val="24"/>
        </w:rPr>
        <w:tab/>
      </w:r>
      <w:r w:rsidR="000A1BCF" w:rsidRPr="000A6D41">
        <w:rPr>
          <w:b/>
          <w:sz w:val="24"/>
        </w:rPr>
        <w:tab/>
      </w:r>
      <w:r w:rsidR="00CF17DE" w:rsidRPr="000A6D41">
        <w:rPr>
          <w:b/>
          <w:sz w:val="24"/>
        </w:rPr>
        <w:t>RESOLUTION E-</w:t>
      </w:r>
      <w:r w:rsidR="00FC7526" w:rsidRPr="000A6D41">
        <w:rPr>
          <w:b/>
          <w:sz w:val="24"/>
        </w:rPr>
        <w:t>4971</w:t>
      </w:r>
    </w:p>
    <w:p w14:paraId="470238D6" w14:textId="2F3E2ABE" w:rsidR="00CF17DE" w:rsidRPr="000A6D41" w:rsidRDefault="000A1BCF" w:rsidP="000A1BCF">
      <w:pPr>
        <w:ind w:left="1440" w:firstLine="720"/>
        <w:rPr>
          <w:b/>
          <w:sz w:val="24"/>
        </w:rPr>
      </w:pPr>
      <w:r w:rsidRPr="000A6D41">
        <w:rPr>
          <w:b/>
          <w:sz w:val="24"/>
        </w:rPr>
        <w:tab/>
      </w:r>
      <w:r w:rsidRPr="000A6D41">
        <w:rPr>
          <w:b/>
          <w:sz w:val="24"/>
        </w:rPr>
        <w:tab/>
      </w:r>
      <w:r w:rsidRPr="000A6D41">
        <w:rPr>
          <w:b/>
          <w:sz w:val="24"/>
        </w:rPr>
        <w:tab/>
      </w:r>
      <w:r w:rsidRPr="000A6D41">
        <w:rPr>
          <w:b/>
          <w:sz w:val="24"/>
        </w:rPr>
        <w:tab/>
      </w:r>
      <w:r w:rsidRPr="000A6D41">
        <w:rPr>
          <w:b/>
          <w:sz w:val="24"/>
        </w:rPr>
        <w:tab/>
      </w:r>
      <w:r w:rsidRPr="000A6D41">
        <w:rPr>
          <w:b/>
          <w:sz w:val="24"/>
        </w:rPr>
        <w:tab/>
      </w:r>
      <w:r w:rsidR="00596B02">
        <w:rPr>
          <w:b/>
          <w:sz w:val="24"/>
        </w:rPr>
        <w:t>April 25</w:t>
      </w:r>
      <w:r w:rsidRPr="000A6D41">
        <w:rPr>
          <w:b/>
          <w:sz w:val="24"/>
        </w:rPr>
        <w:t>, 2019</w:t>
      </w:r>
    </w:p>
    <w:p w14:paraId="3B4B4A2D" w14:textId="77777777" w:rsidR="00CF17DE" w:rsidRPr="000A6D41" w:rsidRDefault="00CF17DE">
      <w:pPr>
        <w:tabs>
          <w:tab w:val="right" w:pos="8910"/>
        </w:tabs>
        <w:ind w:left="1440" w:firstLine="720"/>
        <w:rPr>
          <w:b/>
          <w:sz w:val="24"/>
        </w:rPr>
      </w:pPr>
    </w:p>
    <w:p w14:paraId="5269716B" w14:textId="77777777" w:rsidR="00CF17DE" w:rsidRPr="000A6D41" w:rsidRDefault="00CF17DE">
      <w:pPr>
        <w:pStyle w:val="mainex"/>
        <w:rPr>
          <w:u w:val="single"/>
        </w:rPr>
      </w:pPr>
      <w:bookmarkStart w:id="0" w:name="_Ref404993683"/>
      <w:r w:rsidRPr="000A6D41">
        <w:rPr>
          <w:u w:val="single"/>
        </w:rPr>
        <w:t>RESOLUTION</w:t>
      </w:r>
    </w:p>
    <w:p w14:paraId="3231043E" w14:textId="77777777" w:rsidR="00CF17DE" w:rsidRPr="000A6D41" w:rsidRDefault="00CF17DE"/>
    <w:p w14:paraId="4772CC76" w14:textId="6D556030" w:rsidR="0010769D" w:rsidRPr="000A6D41" w:rsidRDefault="00B927B5" w:rsidP="0010769D">
      <w:pPr>
        <w:pStyle w:val="Res-Caption"/>
        <w:rPr>
          <w:rFonts w:ascii="Palatino Linotype" w:hAnsi="Palatino Linotype"/>
        </w:rPr>
      </w:pPr>
      <w:r w:rsidRPr="000A6D41">
        <w:rPr>
          <w:rFonts w:ascii="Palatino Linotype" w:hAnsi="Palatino Linotype"/>
        </w:rPr>
        <w:t>Resolution E-</w:t>
      </w:r>
      <w:r w:rsidR="00FC7526" w:rsidRPr="000A6D41">
        <w:rPr>
          <w:rFonts w:ascii="Palatino Linotype" w:hAnsi="Palatino Linotype"/>
        </w:rPr>
        <w:t>4971</w:t>
      </w:r>
      <w:r w:rsidRPr="000A6D41">
        <w:rPr>
          <w:rFonts w:ascii="Palatino Linotype" w:hAnsi="Palatino Linotype"/>
        </w:rPr>
        <w:t>.</w:t>
      </w:r>
      <w:r w:rsidR="0078412D" w:rsidRPr="000A6D41">
        <w:rPr>
          <w:rFonts w:ascii="Palatino Linotype" w:hAnsi="Palatino Linotype"/>
        </w:rPr>
        <w:t xml:space="preserve"> D</w:t>
      </w:r>
      <w:r w:rsidR="008C3AC1" w:rsidRPr="000A6D41">
        <w:rPr>
          <w:rFonts w:ascii="Palatino Linotype" w:hAnsi="Palatino Linotype"/>
        </w:rPr>
        <w:t xml:space="preserve">enies </w:t>
      </w:r>
      <w:r w:rsidR="0078412D" w:rsidRPr="000A6D41">
        <w:rPr>
          <w:rFonts w:ascii="Palatino Linotype" w:hAnsi="Palatino Linotype"/>
        </w:rPr>
        <w:t xml:space="preserve">Pacific Gas and </w:t>
      </w:r>
      <w:r w:rsidR="00B02388" w:rsidRPr="000A6D41">
        <w:rPr>
          <w:rFonts w:ascii="Palatino Linotype" w:hAnsi="Palatino Linotype"/>
        </w:rPr>
        <w:t>Electric’s request</w:t>
      </w:r>
      <w:r w:rsidR="008C3AC1" w:rsidRPr="000A6D41">
        <w:rPr>
          <w:rFonts w:ascii="Palatino Linotype" w:hAnsi="Palatino Linotype"/>
        </w:rPr>
        <w:t xml:space="preserve"> for deviation </w:t>
      </w:r>
      <w:r w:rsidR="00B92847" w:rsidRPr="000A6D41">
        <w:rPr>
          <w:rFonts w:ascii="Palatino Linotype" w:hAnsi="Palatino Linotype"/>
        </w:rPr>
        <w:t>from Electric Rule 20A</w:t>
      </w:r>
      <w:r w:rsidR="001F303D" w:rsidRPr="000A6D41">
        <w:rPr>
          <w:rFonts w:ascii="Palatino Linotype" w:hAnsi="Palatino Linotype"/>
        </w:rPr>
        <w:t xml:space="preserve"> </w:t>
      </w:r>
      <w:r w:rsidR="0010769D" w:rsidRPr="000A6D41">
        <w:rPr>
          <w:rFonts w:ascii="Palatino Linotype" w:hAnsi="Palatino Linotype"/>
        </w:rPr>
        <w:t>in Accordance with</w:t>
      </w:r>
    </w:p>
    <w:p w14:paraId="1D7C875B" w14:textId="3A12DED6" w:rsidR="00B927B5" w:rsidRPr="000A6D41" w:rsidRDefault="0010769D" w:rsidP="0010769D">
      <w:pPr>
        <w:pStyle w:val="Res-Caption"/>
        <w:rPr>
          <w:rFonts w:ascii="Palatino Linotype" w:hAnsi="Palatino Linotype"/>
        </w:rPr>
      </w:pPr>
      <w:r w:rsidRPr="000A6D41">
        <w:rPr>
          <w:rFonts w:ascii="Palatino Linotype" w:hAnsi="Palatino Linotype"/>
        </w:rPr>
        <w:t xml:space="preserve">General Order 96-B, Section 9.2.3. </w:t>
      </w:r>
    </w:p>
    <w:p w14:paraId="4D6176D0" w14:textId="77777777" w:rsidR="00801D70" w:rsidRPr="000A6D41" w:rsidRDefault="00801D70">
      <w:pPr>
        <w:pStyle w:val="Res-Caption"/>
        <w:rPr>
          <w:rFonts w:ascii="Palatino Linotype" w:hAnsi="Palatino Linotype"/>
        </w:rPr>
      </w:pPr>
    </w:p>
    <w:p w14:paraId="2F17F1B7" w14:textId="77777777" w:rsidR="00DF35CC" w:rsidRPr="000A6D41" w:rsidRDefault="00801D70" w:rsidP="00DF35CC">
      <w:pPr>
        <w:pStyle w:val="Res-Caption"/>
        <w:rPr>
          <w:rFonts w:ascii="Palatino Linotype" w:hAnsi="Palatino Linotype"/>
        </w:rPr>
      </w:pPr>
      <w:r w:rsidRPr="000A6D41">
        <w:rPr>
          <w:rFonts w:ascii="Palatino Linotype" w:hAnsi="Palatino Linotype"/>
        </w:rPr>
        <w:t>PROPOSED OUTCOME:</w:t>
      </w:r>
      <w:r w:rsidR="00142FB8" w:rsidRPr="000A6D41">
        <w:rPr>
          <w:rFonts w:ascii="Palatino Linotype" w:hAnsi="Palatino Linotype"/>
        </w:rPr>
        <w:t xml:space="preserve"> </w:t>
      </w:r>
    </w:p>
    <w:p w14:paraId="403AFA1F" w14:textId="319A47E3" w:rsidR="00BC13BB" w:rsidRDefault="0078412D" w:rsidP="00A23AF8">
      <w:pPr>
        <w:pStyle w:val="Res-Caption"/>
        <w:numPr>
          <w:ilvl w:val="0"/>
          <w:numId w:val="7"/>
        </w:numPr>
        <w:rPr>
          <w:rFonts w:ascii="Palatino Linotype" w:hAnsi="Palatino Linotype"/>
        </w:rPr>
      </w:pPr>
      <w:r w:rsidRPr="000A6D41">
        <w:rPr>
          <w:rFonts w:ascii="Palatino Linotype" w:hAnsi="Palatino Linotype"/>
        </w:rPr>
        <w:t>Denies Pacific Gas and Electric’s request for deviation from Electric Rule 20A on the behalf of the City of Live Oak</w:t>
      </w:r>
      <w:r w:rsidR="0010769D" w:rsidRPr="000A6D41">
        <w:rPr>
          <w:rFonts w:ascii="Palatino Linotype" w:hAnsi="Palatino Linotype"/>
        </w:rPr>
        <w:t xml:space="preserve">’s Rule 20A project. </w:t>
      </w:r>
    </w:p>
    <w:p w14:paraId="06C49407" w14:textId="78BCA709" w:rsidR="00BC13BB" w:rsidRDefault="00BC13BB" w:rsidP="00A23AF8">
      <w:pPr>
        <w:pStyle w:val="Res-Caption"/>
        <w:numPr>
          <w:ilvl w:val="0"/>
          <w:numId w:val="7"/>
        </w:numPr>
        <w:rPr>
          <w:rFonts w:ascii="Palatino Linotype" w:hAnsi="Palatino Linotype"/>
        </w:rPr>
      </w:pPr>
      <w:r w:rsidRPr="000A6D41">
        <w:rPr>
          <w:rFonts w:ascii="Palatino Linotype" w:hAnsi="Palatino Linotype"/>
        </w:rPr>
        <w:t>Pacific Gas and Electric is</w:t>
      </w:r>
      <w:r w:rsidR="007713AD">
        <w:rPr>
          <w:rFonts w:ascii="Palatino Linotype" w:hAnsi="Palatino Linotype"/>
        </w:rPr>
        <w:t xml:space="preserve"> ordered</w:t>
      </w:r>
      <w:r w:rsidRPr="000A6D41">
        <w:rPr>
          <w:rFonts w:ascii="Palatino Linotype" w:hAnsi="Palatino Linotype"/>
        </w:rPr>
        <w:t xml:space="preserve"> to</w:t>
      </w:r>
      <w:r w:rsidRPr="00BC13BB">
        <w:t xml:space="preserve"> </w:t>
      </w:r>
      <w:r>
        <w:t xml:space="preserve">comply with Rule 20A </w:t>
      </w:r>
      <w:r w:rsidR="00841642">
        <w:t xml:space="preserve">Section 2.c </w:t>
      </w:r>
      <w:r>
        <w:t xml:space="preserve">and </w:t>
      </w:r>
      <w:r w:rsidRPr="00BC13BB">
        <w:rPr>
          <w:rFonts w:ascii="Palatino Linotype" w:hAnsi="Palatino Linotype"/>
        </w:rPr>
        <w:t>reallocate $554,000 of unused work credits</w:t>
      </w:r>
      <w:r>
        <w:rPr>
          <w:rFonts w:ascii="Palatino Linotype" w:hAnsi="Palatino Linotype"/>
        </w:rPr>
        <w:t xml:space="preserve"> from communities </w:t>
      </w:r>
      <w:r w:rsidRPr="00BC13BB">
        <w:t>that have not participated in the Rule 20A program over the past eight years to the City of Live Oak</w:t>
      </w:r>
      <w:r>
        <w:t>.</w:t>
      </w:r>
      <w:r w:rsidRPr="00BC13BB">
        <w:t xml:space="preserve"> </w:t>
      </w:r>
    </w:p>
    <w:p w14:paraId="2321FB58" w14:textId="40A517E3" w:rsidR="00F51F8B" w:rsidRPr="000A6D41" w:rsidRDefault="00547A34" w:rsidP="00A23AF8">
      <w:pPr>
        <w:pStyle w:val="Res-Caption"/>
        <w:numPr>
          <w:ilvl w:val="0"/>
          <w:numId w:val="7"/>
        </w:numPr>
        <w:rPr>
          <w:rFonts w:ascii="Palatino Linotype" w:hAnsi="Palatino Linotype"/>
        </w:rPr>
      </w:pPr>
      <w:r w:rsidRPr="000A6D41">
        <w:rPr>
          <w:rFonts w:ascii="Palatino Linotype" w:hAnsi="Palatino Linotype"/>
        </w:rPr>
        <w:t>Pacific Gas and Electric</w:t>
      </w:r>
      <w:r w:rsidR="0010769D" w:rsidRPr="000A6D41">
        <w:rPr>
          <w:rFonts w:ascii="Palatino Linotype" w:hAnsi="Palatino Linotype"/>
        </w:rPr>
        <w:t xml:space="preserve"> </w:t>
      </w:r>
      <w:r w:rsidR="004E1506">
        <w:rPr>
          <w:rFonts w:ascii="Palatino Linotype" w:hAnsi="Palatino Linotype"/>
        </w:rPr>
        <w:t>shall</w:t>
      </w:r>
      <w:r w:rsidR="0010769D" w:rsidRPr="000A6D41">
        <w:rPr>
          <w:rFonts w:ascii="Palatino Linotype" w:hAnsi="Palatino Linotype"/>
        </w:rPr>
        <w:t xml:space="preserve"> notify </w:t>
      </w:r>
      <w:r w:rsidR="00BC13BB">
        <w:rPr>
          <w:rFonts w:ascii="Palatino Linotype" w:hAnsi="Palatino Linotype"/>
        </w:rPr>
        <w:t>these inactive</w:t>
      </w:r>
      <w:r w:rsidR="0010769D" w:rsidRPr="000A6D41">
        <w:rPr>
          <w:rFonts w:ascii="Palatino Linotype" w:hAnsi="Palatino Linotype"/>
        </w:rPr>
        <w:t xml:space="preserve"> communities that </w:t>
      </w:r>
      <w:r w:rsidR="004E1506">
        <w:rPr>
          <w:rFonts w:ascii="Palatino Linotype" w:hAnsi="Palatino Linotype"/>
        </w:rPr>
        <w:t>work credits</w:t>
      </w:r>
      <w:r w:rsidR="004E1506" w:rsidRPr="000A6D41">
        <w:rPr>
          <w:rFonts w:ascii="Palatino Linotype" w:hAnsi="Palatino Linotype"/>
        </w:rPr>
        <w:t xml:space="preserve"> </w:t>
      </w:r>
      <w:r w:rsidR="0010769D" w:rsidRPr="000A6D41">
        <w:rPr>
          <w:rFonts w:ascii="Palatino Linotype" w:hAnsi="Palatino Linotype"/>
        </w:rPr>
        <w:t xml:space="preserve">previously allocated to them </w:t>
      </w:r>
      <w:r w:rsidR="004E1506">
        <w:rPr>
          <w:rFonts w:ascii="Palatino Linotype" w:hAnsi="Palatino Linotype"/>
        </w:rPr>
        <w:t>will</w:t>
      </w:r>
      <w:r w:rsidR="004E1506" w:rsidRPr="000A6D41">
        <w:rPr>
          <w:rFonts w:ascii="Palatino Linotype" w:hAnsi="Palatino Linotype"/>
        </w:rPr>
        <w:t xml:space="preserve"> </w:t>
      </w:r>
      <w:r w:rsidR="0010769D" w:rsidRPr="000A6D41">
        <w:rPr>
          <w:rFonts w:ascii="Palatino Linotype" w:hAnsi="Palatino Linotype"/>
        </w:rPr>
        <w:t xml:space="preserve">be transferred to </w:t>
      </w:r>
      <w:r w:rsidR="00191C9E" w:rsidRPr="000A6D41">
        <w:rPr>
          <w:rFonts w:ascii="Palatino Linotype" w:hAnsi="Palatino Linotype"/>
        </w:rPr>
        <w:t xml:space="preserve">the City of </w:t>
      </w:r>
      <w:r w:rsidR="00EE20E6" w:rsidRPr="000A6D41">
        <w:rPr>
          <w:rFonts w:ascii="Palatino Linotype" w:hAnsi="Palatino Linotype"/>
        </w:rPr>
        <w:t>Live Oak’s</w:t>
      </w:r>
      <w:r w:rsidR="0010769D" w:rsidRPr="000A6D41">
        <w:rPr>
          <w:rFonts w:ascii="Palatino Linotype" w:hAnsi="Palatino Linotype"/>
        </w:rPr>
        <w:t xml:space="preserve"> account, effective 90 days from the effective date of this Resolution </w:t>
      </w:r>
      <w:r w:rsidR="004E1506">
        <w:rPr>
          <w:rFonts w:ascii="Palatino Linotype" w:hAnsi="Palatino Linotype"/>
        </w:rPr>
        <w:t>which is</w:t>
      </w:r>
      <w:r w:rsidR="00FA5BC8">
        <w:rPr>
          <w:rFonts w:ascii="Palatino Linotype" w:hAnsi="Palatino Linotype"/>
        </w:rPr>
        <w:t xml:space="preserve"> </w:t>
      </w:r>
      <w:r w:rsidR="00082728">
        <w:rPr>
          <w:rFonts w:ascii="Palatino Linotype" w:hAnsi="Palatino Linotype"/>
        </w:rPr>
        <w:br/>
      </w:r>
      <w:r w:rsidR="005D09C5" w:rsidRPr="000A6D41">
        <w:rPr>
          <w:rFonts w:ascii="Palatino Linotype" w:hAnsi="Palatino Linotype"/>
        </w:rPr>
        <w:t>Ju</w:t>
      </w:r>
      <w:r w:rsidR="005D09C5">
        <w:rPr>
          <w:rFonts w:ascii="Palatino Linotype" w:hAnsi="Palatino Linotype"/>
        </w:rPr>
        <w:t>ly</w:t>
      </w:r>
      <w:r w:rsidR="005D09C5" w:rsidRPr="000A6D41">
        <w:rPr>
          <w:rFonts w:ascii="Palatino Linotype" w:hAnsi="Palatino Linotype"/>
        </w:rPr>
        <w:t xml:space="preserve"> </w:t>
      </w:r>
      <w:r w:rsidR="00CB08B5" w:rsidRPr="000A6D41">
        <w:rPr>
          <w:rFonts w:ascii="Palatino Linotype" w:hAnsi="Palatino Linotype"/>
        </w:rPr>
        <w:t>2</w:t>
      </w:r>
      <w:r w:rsidR="005D09C5">
        <w:rPr>
          <w:rFonts w:ascii="Palatino Linotype" w:hAnsi="Palatino Linotype"/>
        </w:rPr>
        <w:t>4</w:t>
      </w:r>
      <w:r w:rsidR="0010769D" w:rsidRPr="000A6D41">
        <w:rPr>
          <w:rFonts w:ascii="Palatino Linotype" w:hAnsi="Palatino Linotype"/>
        </w:rPr>
        <w:t>, 20</w:t>
      </w:r>
      <w:r w:rsidR="00EE20E6" w:rsidRPr="000A6D41">
        <w:rPr>
          <w:rFonts w:ascii="Palatino Linotype" w:hAnsi="Palatino Linotype"/>
        </w:rPr>
        <w:t>19</w:t>
      </w:r>
      <w:r w:rsidR="0010769D" w:rsidRPr="000A6D41">
        <w:rPr>
          <w:rFonts w:ascii="Palatino Linotype" w:hAnsi="Palatino Linotype"/>
        </w:rPr>
        <w:t>.</w:t>
      </w:r>
    </w:p>
    <w:p w14:paraId="763D75BE" w14:textId="20E99E64" w:rsidR="0010769D" w:rsidRPr="000A6D41" w:rsidRDefault="0010769D" w:rsidP="0010769D">
      <w:pPr>
        <w:pStyle w:val="Res-Caption"/>
        <w:ind w:left="1440"/>
        <w:rPr>
          <w:rFonts w:ascii="Palatino Linotype" w:hAnsi="Palatino Linotype"/>
        </w:rPr>
      </w:pPr>
    </w:p>
    <w:p w14:paraId="69B41643" w14:textId="77777777" w:rsidR="00F51F8B" w:rsidRPr="000A6D41" w:rsidRDefault="00F51F8B">
      <w:pPr>
        <w:pStyle w:val="Res-Caption"/>
        <w:rPr>
          <w:rFonts w:ascii="Palatino Linotype" w:hAnsi="Palatino Linotype"/>
        </w:rPr>
      </w:pPr>
      <w:r w:rsidRPr="000A6D41">
        <w:rPr>
          <w:rFonts w:ascii="Palatino Linotype" w:hAnsi="Palatino Linotype"/>
        </w:rPr>
        <w:t>SAFETY CONSIDERATIONS:</w:t>
      </w:r>
    </w:p>
    <w:p w14:paraId="3CC70A7E" w14:textId="628E4312" w:rsidR="00142FB8" w:rsidRPr="000A6D41" w:rsidRDefault="00B61585" w:rsidP="00142FB8">
      <w:pPr>
        <w:pStyle w:val="Res-Caption"/>
        <w:numPr>
          <w:ilvl w:val="0"/>
          <w:numId w:val="6"/>
        </w:numPr>
        <w:rPr>
          <w:rFonts w:ascii="Palatino Linotype" w:hAnsi="Palatino Linotype"/>
        </w:rPr>
      </w:pPr>
      <w:r w:rsidRPr="000A6D41">
        <w:rPr>
          <w:rFonts w:ascii="Palatino Linotype" w:hAnsi="Palatino Linotype"/>
        </w:rPr>
        <w:t>There are no safety considerations</w:t>
      </w:r>
      <w:r w:rsidR="00394C33">
        <w:rPr>
          <w:rFonts w:ascii="Palatino Linotype" w:hAnsi="Palatino Linotype"/>
        </w:rPr>
        <w:t>.</w:t>
      </w:r>
    </w:p>
    <w:p w14:paraId="4944A22B" w14:textId="77777777" w:rsidR="00801D70" w:rsidRPr="000A6D41" w:rsidRDefault="00801D70">
      <w:pPr>
        <w:pStyle w:val="Res-Caption"/>
        <w:rPr>
          <w:rFonts w:ascii="Palatino Linotype" w:hAnsi="Palatino Linotype"/>
        </w:rPr>
      </w:pPr>
    </w:p>
    <w:p w14:paraId="690E2396" w14:textId="77777777" w:rsidR="00801D70" w:rsidRPr="000A6D41" w:rsidRDefault="00801D70">
      <w:pPr>
        <w:pStyle w:val="Res-Caption"/>
        <w:rPr>
          <w:rFonts w:ascii="Palatino Linotype" w:hAnsi="Palatino Linotype"/>
        </w:rPr>
      </w:pPr>
      <w:r w:rsidRPr="000A6D41">
        <w:rPr>
          <w:rFonts w:ascii="Palatino Linotype" w:hAnsi="Palatino Linotype"/>
        </w:rPr>
        <w:t xml:space="preserve">ESTIMATED COST:  </w:t>
      </w:r>
    </w:p>
    <w:p w14:paraId="5E7814C5" w14:textId="48A66BAD" w:rsidR="003F6E5A" w:rsidRPr="000A6D41" w:rsidRDefault="003F6E5A" w:rsidP="003F6E5A">
      <w:pPr>
        <w:pStyle w:val="Res-Caption"/>
        <w:numPr>
          <w:ilvl w:val="0"/>
          <w:numId w:val="6"/>
        </w:numPr>
        <w:rPr>
          <w:rFonts w:ascii="Palatino Linotype" w:hAnsi="Palatino Linotype"/>
        </w:rPr>
      </w:pPr>
      <w:r w:rsidRPr="000A6D41">
        <w:rPr>
          <w:rFonts w:ascii="Palatino Linotype" w:hAnsi="Palatino Linotype"/>
        </w:rPr>
        <w:t xml:space="preserve">There is no </w:t>
      </w:r>
      <w:r w:rsidR="00CB78B1">
        <w:rPr>
          <w:rFonts w:ascii="Palatino Linotype" w:hAnsi="Palatino Linotype"/>
        </w:rPr>
        <w:t xml:space="preserve">incremental </w:t>
      </w:r>
      <w:r w:rsidRPr="000A6D41">
        <w:rPr>
          <w:rFonts w:ascii="Palatino Linotype" w:hAnsi="Palatino Linotype"/>
        </w:rPr>
        <w:t>impact</w:t>
      </w:r>
      <w:r w:rsidR="00CB78B1" w:rsidRPr="00CB78B1">
        <w:rPr>
          <w:rFonts w:ascii="Palatino Linotype" w:hAnsi="Palatino Linotype"/>
        </w:rPr>
        <w:t xml:space="preserve"> </w:t>
      </w:r>
      <w:r w:rsidR="00CB78B1">
        <w:rPr>
          <w:rFonts w:ascii="Palatino Linotype" w:hAnsi="Palatino Linotype"/>
        </w:rPr>
        <w:t xml:space="preserve">on </w:t>
      </w:r>
      <w:r w:rsidR="00CB78B1" w:rsidRPr="000A6D41">
        <w:rPr>
          <w:rFonts w:ascii="Palatino Linotype" w:hAnsi="Palatino Linotype"/>
        </w:rPr>
        <w:t>cost</w:t>
      </w:r>
      <w:r w:rsidR="005F28AF" w:rsidRPr="000A6D41">
        <w:rPr>
          <w:rFonts w:ascii="Palatino Linotype" w:hAnsi="Palatino Linotype"/>
        </w:rPr>
        <w:t>. T</w:t>
      </w:r>
      <w:r w:rsidR="00B92847" w:rsidRPr="000A6D41">
        <w:rPr>
          <w:rFonts w:ascii="Palatino Linotype" w:hAnsi="Palatino Linotype"/>
        </w:rPr>
        <w:t xml:space="preserve">he </w:t>
      </w:r>
      <w:r w:rsidR="005F28AF" w:rsidRPr="000A6D41">
        <w:rPr>
          <w:rFonts w:ascii="Palatino Linotype" w:hAnsi="Palatino Linotype"/>
        </w:rPr>
        <w:t>R</w:t>
      </w:r>
      <w:r w:rsidR="00B92847" w:rsidRPr="000A6D41">
        <w:rPr>
          <w:rFonts w:ascii="Palatino Linotype" w:hAnsi="Palatino Linotype"/>
        </w:rPr>
        <w:t>esolution requires Rule 20A work credits</w:t>
      </w:r>
      <w:r w:rsidR="00CB6600" w:rsidRPr="000A6D41">
        <w:rPr>
          <w:rFonts w:ascii="Palatino Linotype" w:hAnsi="Palatino Linotype"/>
        </w:rPr>
        <w:t xml:space="preserve"> </w:t>
      </w:r>
      <w:r w:rsidR="00B92847" w:rsidRPr="000A6D41">
        <w:rPr>
          <w:rFonts w:ascii="Palatino Linotype" w:hAnsi="Palatino Linotype"/>
        </w:rPr>
        <w:t xml:space="preserve">to be reallocated from communities in </w:t>
      </w:r>
      <w:r w:rsidR="00F00E1D" w:rsidRPr="000A6D41">
        <w:rPr>
          <w:rFonts w:ascii="Palatino Linotype" w:hAnsi="Palatino Linotype"/>
        </w:rPr>
        <w:t xml:space="preserve">Pacific Gas </w:t>
      </w:r>
      <w:r w:rsidR="00547A34" w:rsidRPr="000A6D41">
        <w:rPr>
          <w:rFonts w:ascii="Palatino Linotype" w:hAnsi="Palatino Linotype"/>
        </w:rPr>
        <w:t>and Electric’s</w:t>
      </w:r>
      <w:r w:rsidR="00B92847" w:rsidRPr="000A6D41">
        <w:rPr>
          <w:rFonts w:ascii="Palatino Linotype" w:hAnsi="Palatino Linotype"/>
        </w:rPr>
        <w:t xml:space="preserve"> service territory with inactive Rule 20A programs to the City of Live Oak.</w:t>
      </w:r>
    </w:p>
    <w:p w14:paraId="068651D7" w14:textId="77777777" w:rsidR="00CF17DE" w:rsidRPr="000A6D41" w:rsidRDefault="00CF17DE">
      <w:pPr>
        <w:pStyle w:val="Res-Caption"/>
        <w:rPr>
          <w:rFonts w:ascii="Palatino Linotype" w:hAnsi="Palatino Linotype"/>
        </w:rPr>
      </w:pPr>
    </w:p>
    <w:p w14:paraId="69FE55CE" w14:textId="44494420" w:rsidR="00CF17DE" w:rsidRPr="000A6D41" w:rsidRDefault="00CF17DE">
      <w:pPr>
        <w:pStyle w:val="Res-Caption"/>
        <w:rPr>
          <w:rFonts w:ascii="Palatino Linotype" w:hAnsi="Palatino Linotype"/>
        </w:rPr>
      </w:pPr>
      <w:r w:rsidRPr="000A6D41">
        <w:rPr>
          <w:rFonts w:ascii="Palatino Linotype" w:hAnsi="Palatino Linotype"/>
        </w:rPr>
        <w:t xml:space="preserve">By Advice Letter </w:t>
      </w:r>
      <w:r w:rsidR="008C3AC1" w:rsidRPr="000A6D41">
        <w:rPr>
          <w:rFonts w:ascii="Palatino Linotype" w:hAnsi="Palatino Linotype"/>
        </w:rPr>
        <w:t>5403-E-A</w:t>
      </w:r>
      <w:r w:rsidR="003F6E5A" w:rsidRPr="000A6D41">
        <w:rPr>
          <w:rFonts w:ascii="Palatino Linotype" w:hAnsi="Palatino Linotype"/>
        </w:rPr>
        <w:t>,</w:t>
      </w:r>
      <w:r w:rsidRPr="000A6D41">
        <w:rPr>
          <w:rFonts w:ascii="Palatino Linotype" w:hAnsi="Palatino Linotype"/>
        </w:rPr>
        <w:t xml:space="preserve"> Filed on </w:t>
      </w:r>
      <w:r w:rsidR="0078412D" w:rsidRPr="000A6D41">
        <w:rPr>
          <w:rFonts w:ascii="Palatino Linotype" w:hAnsi="Palatino Linotype"/>
        </w:rPr>
        <w:t>October 26, 2018</w:t>
      </w:r>
      <w:r w:rsidRPr="000A6D41">
        <w:rPr>
          <w:rFonts w:ascii="Palatino Linotype" w:hAnsi="Palatino Linotype"/>
        </w:rPr>
        <w:t xml:space="preserve">. </w:t>
      </w:r>
    </w:p>
    <w:p w14:paraId="5D2EC296" w14:textId="77777777" w:rsidR="00CF17DE" w:rsidRPr="000A6D41" w:rsidRDefault="00CF17DE">
      <w:pPr>
        <w:jc w:val="center"/>
        <w:rPr>
          <w:rFonts w:ascii="Palatino Linotype" w:hAnsi="Palatino Linotype"/>
        </w:rPr>
      </w:pPr>
      <w:r w:rsidRPr="000A6D41">
        <w:rPr>
          <w:rFonts w:ascii="Palatino Linotype" w:hAnsi="Palatino Linotype"/>
        </w:rPr>
        <w:t>__________________________________________________________</w:t>
      </w:r>
    </w:p>
    <w:p w14:paraId="2220C703" w14:textId="77777777" w:rsidR="00CF17DE" w:rsidRPr="00082728" w:rsidRDefault="00CF17DE">
      <w:pPr>
        <w:pStyle w:val="Heading1"/>
      </w:pPr>
      <w:r w:rsidRPr="00082728">
        <w:lastRenderedPageBreak/>
        <w:t>Summary</w:t>
      </w:r>
      <w:bookmarkEnd w:id="0"/>
    </w:p>
    <w:p w14:paraId="06B80CF6" w14:textId="7B6D6DD9" w:rsidR="003578E0" w:rsidRPr="000A6D41" w:rsidRDefault="00CF17DE" w:rsidP="008406D0">
      <w:pPr>
        <w:rPr>
          <w:rFonts w:ascii="Palatino Linotype" w:hAnsi="Palatino Linotype"/>
        </w:rPr>
      </w:pPr>
      <w:r w:rsidRPr="000A6D41">
        <w:rPr>
          <w:rFonts w:ascii="Palatino Linotype" w:hAnsi="Palatino Linotype"/>
        </w:rPr>
        <w:t xml:space="preserve">This Resolution </w:t>
      </w:r>
      <w:r w:rsidR="00795834" w:rsidRPr="000A6D41">
        <w:rPr>
          <w:rFonts w:ascii="Palatino Linotype" w:hAnsi="Palatino Linotype"/>
        </w:rPr>
        <w:t xml:space="preserve">denies </w:t>
      </w:r>
      <w:r w:rsidR="00F94003" w:rsidRPr="000A6D41">
        <w:rPr>
          <w:rFonts w:ascii="Palatino Linotype" w:hAnsi="Palatino Linotype"/>
        </w:rPr>
        <w:t>Pacific Gas and Electric’s (PG&amp;E)</w:t>
      </w:r>
      <w:r w:rsidR="00795834" w:rsidRPr="000A6D41">
        <w:rPr>
          <w:rFonts w:ascii="Palatino Linotype" w:hAnsi="Palatino Linotype"/>
        </w:rPr>
        <w:t xml:space="preserve"> request </w:t>
      </w:r>
      <w:r w:rsidR="00F94003" w:rsidRPr="000A6D41">
        <w:rPr>
          <w:rFonts w:ascii="Palatino Linotype" w:hAnsi="Palatino Linotype"/>
        </w:rPr>
        <w:t xml:space="preserve">to </w:t>
      </w:r>
      <w:r w:rsidR="00795834" w:rsidRPr="000A6D41">
        <w:rPr>
          <w:rFonts w:ascii="Palatino Linotype" w:hAnsi="Palatino Linotype"/>
        </w:rPr>
        <w:t>deviat</w:t>
      </w:r>
      <w:r w:rsidR="00F94003" w:rsidRPr="000A6D41">
        <w:rPr>
          <w:rFonts w:ascii="Palatino Linotype" w:hAnsi="Palatino Linotype"/>
        </w:rPr>
        <w:t>e</w:t>
      </w:r>
      <w:r w:rsidR="00795834" w:rsidRPr="000A6D41">
        <w:rPr>
          <w:rFonts w:ascii="Palatino Linotype" w:hAnsi="Palatino Linotype"/>
        </w:rPr>
        <w:t xml:space="preserve"> from Electric Rule 20A in </w:t>
      </w:r>
      <w:r w:rsidR="002C12A5" w:rsidRPr="000A6D41">
        <w:rPr>
          <w:rFonts w:ascii="Palatino Linotype" w:hAnsi="Palatino Linotype"/>
        </w:rPr>
        <w:t>a</w:t>
      </w:r>
      <w:r w:rsidR="00795834" w:rsidRPr="000A6D41">
        <w:rPr>
          <w:rFonts w:ascii="Palatino Linotype" w:hAnsi="Palatino Linotype"/>
        </w:rPr>
        <w:t>ccordance with General Order 96-B, Section 9.2.3</w:t>
      </w:r>
      <w:r w:rsidR="0030040A">
        <w:rPr>
          <w:rFonts w:ascii="Palatino Linotype" w:hAnsi="Palatino Linotype"/>
        </w:rPr>
        <w:t>. PG&amp;E request</w:t>
      </w:r>
      <w:r w:rsidR="00136BF7">
        <w:rPr>
          <w:rFonts w:ascii="Palatino Linotype" w:hAnsi="Palatino Linotype"/>
        </w:rPr>
        <w:t>s</w:t>
      </w:r>
      <w:r w:rsidR="0030040A">
        <w:rPr>
          <w:rFonts w:ascii="Palatino Linotype" w:hAnsi="Palatino Linotype"/>
        </w:rPr>
        <w:t xml:space="preserve"> </w:t>
      </w:r>
      <w:r w:rsidR="00136BF7">
        <w:rPr>
          <w:rFonts w:ascii="Palatino Linotype" w:hAnsi="Palatino Linotype"/>
        </w:rPr>
        <w:t xml:space="preserve">to </w:t>
      </w:r>
      <w:r w:rsidR="0030040A">
        <w:rPr>
          <w:rFonts w:ascii="Palatino Linotype" w:hAnsi="Palatino Linotype"/>
        </w:rPr>
        <w:t>deviat</w:t>
      </w:r>
      <w:r w:rsidR="00136BF7">
        <w:rPr>
          <w:rFonts w:ascii="Palatino Linotype" w:hAnsi="Palatino Linotype"/>
        </w:rPr>
        <w:t>e</w:t>
      </w:r>
      <w:r w:rsidR="006247DA">
        <w:rPr>
          <w:rFonts w:ascii="Palatino Linotype" w:hAnsi="Palatino Linotype"/>
        </w:rPr>
        <w:t xml:space="preserve"> </w:t>
      </w:r>
      <w:r w:rsidR="0030040A">
        <w:rPr>
          <w:rFonts w:ascii="Palatino Linotype" w:hAnsi="Palatino Linotype"/>
        </w:rPr>
        <w:t xml:space="preserve">to </w:t>
      </w:r>
      <w:r w:rsidR="00F94003" w:rsidRPr="000A6D41">
        <w:rPr>
          <w:rFonts w:ascii="Palatino Linotype" w:hAnsi="Palatino Linotype"/>
        </w:rPr>
        <w:t xml:space="preserve">allow the City of Live Oak to </w:t>
      </w:r>
      <w:r w:rsidR="0086091C" w:rsidRPr="000A6D41">
        <w:rPr>
          <w:rFonts w:ascii="Palatino Linotype" w:hAnsi="Palatino Linotype"/>
        </w:rPr>
        <w:t xml:space="preserve">borrow Rule 20A work credits </w:t>
      </w:r>
      <w:r w:rsidR="00416DC7">
        <w:rPr>
          <w:rFonts w:ascii="Palatino Linotype" w:hAnsi="Palatino Linotype"/>
        </w:rPr>
        <w:t xml:space="preserve">up to 200 years </w:t>
      </w:r>
      <w:r w:rsidR="0086091C" w:rsidRPr="000A6D41">
        <w:rPr>
          <w:rFonts w:ascii="Palatino Linotype" w:hAnsi="Palatino Linotype"/>
        </w:rPr>
        <w:t xml:space="preserve">beyond the </w:t>
      </w:r>
      <w:r w:rsidR="00025747" w:rsidRPr="000A6D41">
        <w:rPr>
          <w:rFonts w:ascii="Palatino Linotype" w:hAnsi="Palatino Linotype"/>
        </w:rPr>
        <w:t>five-year borrow</w:t>
      </w:r>
      <w:r w:rsidR="0086091C" w:rsidRPr="000A6D41">
        <w:rPr>
          <w:rFonts w:ascii="Palatino Linotype" w:hAnsi="Palatino Linotype"/>
        </w:rPr>
        <w:t xml:space="preserve"> limit</w:t>
      </w:r>
      <w:r w:rsidR="003B4DED" w:rsidRPr="000A6D41">
        <w:rPr>
          <w:rFonts w:ascii="Palatino Linotype" w:hAnsi="Palatino Linotype"/>
        </w:rPr>
        <w:t xml:space="preserve"> for </w:t>
      </w:r>
      <w:r w:rsidR="00CB08B5" w:rsidRPr="000A6D41">
        <w:rPr>
          <w:rFonts w:ascii="Palatino Linotype" w:hAnsi="Palatino Linotype"/>
        </w:rPr>
        <w:t>the City’s</w:t>
      </w:r>
      <w:r w:rsidR="003B4DED" w:rsidRPr="000A6D41">
        <w:rPr>
          <w:rFonts w:ascii="Palatino Linotype" w:hAnsi="Palatino Linotype"/>
        </w:rPr>
        <w:t xml:space="preserve"> Rule 20A project.</w:t>
      </w:r>
      <w:r w:rsidR="003578E0" w:rsidRPr="000A6D41">
        <w:rPr>
          <w:rStyle w:val="FootnoteReference"/>
          <w:rFonts w:ascii="Palatino Linotype" w:hAnsi="Palatino Linotype"/>
        </w:rPr>
        <w:footnoteReference w:id="2"/>
      </w:r>
      <w:r w:rsidR="003578E0" w:rsidRPr="000A6D41">
        <w:rPr>
          <w:rFonts w:ascii="Palatino Linotype" w:hAnsi="Palatino Linotype"/>
        </w:rPr>
        <w:t xml:space="preserve"> Instead, PG&amp;E is </w:t>
      </w:r>
      <w:r w:rsidR="0030040A">
        <w:rPr>
          <w:rFonts w:ascii="Palatino Linotype" w:hAnsi="Palatino Linotype"/>
        </w:rPr>
        <w:t>ordered to</w:t>
      </w:r>
      <w:r w:rsidR="0030040A" w:rsidRPr="000A6D41">
        <w:rPr>
          <w:rFonts w:ascii="Palatino Linotype" w:hAnsi="Palatino Linotype"/>
        </w:rPr>
        <w:t xml:space="preserve"> </w:t>
      </w:r>
      <w:r w:rsidR="003578E0">
        <w:rPr>
          <w:rFonts w:ascii="Palatino Linotype" w:hAnsi="Palatino Linotype"/>
        </w:rPr>
        <w:t xml:space="preserve">reallocate $554,000 of unused work credits </w:t>
      </w:r>
      <w:r w:rsidR="00F838B3">
        <w:rPr>
          <w:rFonts w:ascii="Palatino Linotype" w:hAnsi="Palatino Linotype"/>
        </w:rPr>
        <w:t xml:space="preserve">– the equivalent of 29 years of allocations for the City of Live Oak – </w:t>
      </w:r>
      <w:r w:rsidR="003578E0">
        <w:rPr>
          <w:rFonts w:ascii="Palatino Linotype" w:hAnsi="Palatino Linotype"/>
        </w:rPr>
        <w:t>proportionately from</w:t>
      </w:r>
      <w:r w:rsidR="003578E0" w:rsidRPr="000A6D41">
        <w:rPr>
          <w:rFonts w:ascii="Palatino Linotype" w:hAnsi="Palatino Linotype"/>
        </w:rPr>
        <w:t xml:space="preserve"> 92 communities </w:t>
      </w:r>
      <w:r w:rsidR="003578E0">
        <w:t>that have not participated in the Rule 20A program over the past eight years</w:t>
      </w:r>
      <w:r w:rsidR="003578E0" w:rsidRPr="000A6D41">
        <w:rPr>
          <w:rFonts w:ascii="Palatino Linotype" w:hAnsi="Palatino Linotype"/>
        </w:rPr>
        <w:t xml:space="preserve"> to the City of Live Oak</w:t>
      </w:r>
      <w:r w:rsidR="003578E0">
        <w:rPr>
          <w:rFonts w:ascii="Palatino Linotype" w:hAnsi="Palatino Linotype"/>
        </w:rPr>
        <w:t xml:space="preserve"> </w:t>
      </w:r>
      <w:r w:rsidR="00E03D3A">
        <w:rPr>
          <w:rFonts w:ascii="Palatino Linotype" w:hAnsi="Palatino Linotype"/>
        </w:rPr>
        <w:t xml:space="preserve">in accordance with Rule 20A Section 2.c </w:t>
      </w:r>
      <w:r w:rsidR="003578E0">
        <w:rPr>
          <w:rFonts w:ascii="Palatino Linotype" w:hAnsi="Palatino Linotype"/>
        </w:rPr>
        <w:t xml:space="preserve">so that </w:t>
      </w:r>
      <w:r w:rsidR="00E03D3A">
        <w:rPr>
          <w:rFonts w:ascii="Palatino Linotype" w:hAnsi="Palatino Linotype"/>
        </w:rPr>
        <w:t>the City</w:t>
      </w:r>
      <w:r w:rsidR="003578E0">
        <w:rPr>
          <w:rFonts w:ascii="Palatino Linotype" w:hAnsi="Palatino Linotype"/>
        </w:rPr>
        <w:t xml:space="preserve"> may complete its Rule 20A project</w:t>
      </w:r>
      <w:r w:rsidR="003578E0" w:rsidRPr="000A6D41">
        <w:rPr>
          <w:rFonts w:ascii="Palatino Linotype" w:hAnsi="Palatino Linotype"/>
        </w:rPr>
        <w:t>.</w:t>
      </w:r>
      <w:r w:rsidR="00F838B3">
        <w:rPr>
          <w:rStyle w:val="FootnoteReference"/>
          <w:rFonts w:ascii="Palatino Linotype" w:hAnsi="Palatino Linotype"/>
        </w:rPr>
        <w:footnoteReference w:id="3"/>
      </w:r>
      <w:r w:rsidR="004873A3">
        <w:rPr>
          <w:rFonts w:ascii="Palatino Linotype" w:hAnsi="Palatino Linotype"/>
        </w:rPr>
        <w:t xml:space="preserve"> </w:t>
      </w:r>
      <w:r w:rsidR="003578E0">
        <w:rPr>
          <w:rFonts w:ascii="Palatino Linotype" w:hAnsi="Palatino Linotype"/>
        </w:rPr>
        <w:t xml:space="preserve">PG&amp;E shall notify these communities </w:t>
      </w:r>
      <w:r w:rsidR="00E03D3A">
        <w:rPr>
          <w:rFonts w:ascii="Palatino Linotype" w:hAnsi="Palatino Linotype"/>
        </w:rPr>
        <w:t>in writing of this reallocation</w:t>
      </w:r>
      <w:r w:rsidR="004E1506">
        <w:rPr>
          <w:rFonts w:ascii="Palatino Linotype" w:hAnsi="Palatino Linotype"/>
        </w:rPr>
        <w:t xml:space="preserve"> and inform the</w:t>
      </w:r>
      <w:r w:rsidR="00E03D3A">
        <w:rPr>
          <w:rFonts w:ascii="Palatino Linotype" w:hAnsi="Palatino Linotype"/>
        </w:rPr>
        <w:t xml:space="preserve"> communities </w:t>
      </w:r>
      <w:r w:rsidR="004E1506">
        <w:rPr>
          <w:rFonts w:ascii="Palatino Linotype" w:hAnsi="Palatino Linotype"/>
        </w:rPr>
        <w:t>that</w:t>
      </w:r>
      <w:r w:rsidR="00136BF7">
        <w:rPr>
          <w:rFonts w:ascii="Palatino Linotype" w:hAnsi="Palatino Linotype"/>
        </w:rPr>
        <w:t xml:space="preserve"> </w:t>
      </w:r>
      <w:r w:rsidR="00165514">
        <w:rPr>
          <w:rFonts w:ascii="Palatino Linotype" w:hAnsi="Palatino Linotype"/>
        </w:rPr>
        <w:t xml:space="preserve">they </w:t>
      </w:r>
      <w:r w:rsidR="003578E0">
        <w:rPr>
          <w:rFonts w:ascii="Palatino Linotype" w:hAnsi="Palatino Linotype"/>
        </w:rPr>
        <w:t>have</w:t>
      </w:r>
      <w:r w:rsidR="003578E0" w:rsidRPr="000A6D41">
        <w:rPr>
          <w:rFonts w:ascii="Palatino Linotype" w:hAnsi="Palatino Linotype"/>
        </w:rPr>
        <w:t xml:space="preserve"> 90 days from the effective date of this Resolution</w:t>
      </w:r>
      <w:r w:rsidR="003578E0">
        <w:rPr>
          <w:rFonts w:ascii="Palatino Linotype" w:hAnsi="Palatino Linotype"/>
        </w:rPr>
        <w:t xml:space="preserve"> in which they</w:t>
      </w:r>
      <w:r w:rsidR="003578E0" w:rsidRPr="000A6D41">
        <w:rPr>
          <w:rFonts w:ascii="Palatino Linotype" w:hAnsi="Palatino Linotype"/>
        </w:rPr>
        <w:t xml:space="preserve"> may become active by form</w:t>
      </w:r>
      <w:r w:rsidR="00D6022E">
        <w:rPr>
          <w:rFonts w:ascii="Palatino Linotype" w:hAnsi="Palatino Linotype"/>
        </w:rPr>
        <w:t>ing</w:t>
      </w:r>
      <w:r w:rsidR="003578E0" w:rsidRPr="000A6D41">
        <w:rPr>
          <w:rFonts w:ascii="Palatino Linotype" w:hAnsi="Palatino Linotype"/>
        </w:rPr>
        <w:t xml:space="preserve"> </w:t>
      </w:r>
      <w:r w:rsidR="00D6022E">
        <w:rPr>
          <w:rFonts w:ascii="Palatino Linotype" w:hAnsi="Palatino Linotype"/>
        </w:rPr>
        <w:t>an</w:t>
      </w:r>
      <w:r w:rsidR="003578E0">
        <w:rPr>
          <w:rFonts w:ascii="Palatino Linotype" w:hAnsi="Palatino Linotype"/>
        </w:rPr>
        <w:t xml:space="preserve"> </w:t>
      </w:r>
      <w:r w:rsidR="003578E0" w:rsidRPr="000A6D41">
        <w:rPr>
          <w:rFonts w:ascii="Palatino Linotype" w:hAnsi="Palatino Linotype"/>
        </w:rPr>
        <w:t xml:space="preserve">undergrounding district to avoid forfeiting any of </w:t>
      </w:r>
      <w:r w:rsidR="003578E0">
        <w:rPr>
          <w:rFonts w:ascii="Palatino Linotype" w:hAnsi="Palatino Linotype"/>
        </w:rPr>
        <w:t>their</w:t>
      </w:r>
      <w:r w:rsidR="003578E0" w:rsidRPr="000A6D41">
        <w:rPr>
          <w:rFonts w:ascii="Palatino Linotype" w:hAnsi="Palatino Linotype"/>
        </w:rPr>
        <w:t xml:space="preserve"> Rule 20A </w:t>
      </w:r>
      <w:r w:rsidR="004E1506">
        <w:rPr>
          <w:rFonts w:ascii="Palatino Linotype" w:hAnsi="Palatino Linotype"/>
        </w:rPr>
        <w:t>credits</w:t>
      </w:r>
      <w:r w:rsidR="003578E0" w:rsidRPr="000A6D41">
        <w:rPr>
          <w:rFonts w:ascii="Palatino Linotype" w:hAnsi="Palatino Linotype"/>
        </w:rPr>
        <w:t xml:space="preserve">. </w:t>
      </w:r>
      <w:r w:rsidR="00D6022E">
        <w:rPr>
          <w:rFonts w:ascii="Palatino Linotype" w:hAnsi="Palatino Linotype"/>
        </w:rPr>
        <w:t>If the</w:t>
      </w:r>
      <w:r w:rsidR="0030040A">
        <w:rPr>
          <w:rFonts w:ascii="Palatino Linotype" w:hAnsi="Palatino Linotype"/>
        </w:rPr>
        <w:t xml:space="preserve"> number</w:t>
      </w:r>
      <w:r w:rsidR="00D6022E">
        <w:rPr>
          <w:rFonts w:ascii="Palatino Linotype" w:hAnsi="Palatino Linotype"/>
        </w:rPr>
        <w:t xml:space="preserve"> of inactive communities goes down</w:t>
      </w:r>
      <w:r w:rsidR="0048530E" w:rsidRPr="0048530E">
        <w:rPr>
          <w:rFonts w:ascii="Palatino Linotype" w:hAnsi="Palatino Linotype"/>
        </w:rPr>
        <w:t xml:space="preserve"> </w:t>
      </w:r>
      <w:r w:rsidR="0048530E">
        <w:rPr>
          <w:rFonts w:ascii="Palatino Linotype" w:hAnsi="Palatino Linotype"/>
        </w:rPr>
        <w:t>after 90 days</w:t>
      </w:r>
      <w:r w:rsidR="00D6022E">
        <w:rPr>
          <w:rFonts w:ascii="Palatino Linotype" w:hAnsi="Palatino Linotype"/>
        </w:rPr>
        <w:t xml:space="preserve">, the needed </w:t>
      </w:r>
      <w:r w:rsidR="0030040A">
        <w:rPr>
          <w:rFonts w:ascii="Palatino Linotype" w:hAnsi="Palatino Linotype"/>
        </w:rPr>
        <w:t xml:space="preserve">work </w:t>
      </w:r>
      <w:r w:rsidR="00D6022E">
        <w:rPr>
          <w:rFonts w:ascii="Palatino Linotype" w:hAnsi="Palatino Linotype"/>
        </w:rPr>
        <w:t>credits will be reallocated proportionately from the remaining inactive communities.</w:t>
      </w:r>
      <w:r w:rsidR="00CB78B1">
        <w:rPr>
          <w:rFonts w:ascii="Palatino Linotype" w:hAnsi="Palatino Linotype"/>
        </w:rPr>
        <w:t xml:space="preserve"> Once the 90 days has passed, PG&amp;E has five business days to determine the final list of inactive communities and file a Tier 1 Advice Letter </w:t>
      </w:r>
      <w:r w:rsidR="00FE68C5">
        <w:rPr>
          <w:rFonts w:ascii="Palatino Linotype" w:hAnsi="Palatino Linotype"/>
        </w:rPr>
        <w:t>detailing the reallocation</w:t>
      </w:r>
      <w:r w:rsidR="00CB78B1">
        <w:rPr>
          <w:rFonts w:ascii="Palatino Linotype" w:hAnsi="Palatino Linotype"/>
        </w:rPr>
        <w:t xml:space="preserve"> </w:t>
      </w:r>
      <w:r w:rsidR="00FE68C5">
        <w:rPr>
          <w:rFonts w:ascii="Palatino Linotype" w:hAnsi="Palatino Linotype"/>
        </w:rPr>
        <w:t>and how the communities’ balances will be impacted.</w:t>
      </w:r>
      <w:r w:rsidR="00CB78B1">
        <w:rPr>
          <w:rFonts w:ascii="Palatino Linotype" w:hAnsi="Palatino Linotype"/>
        </w:rPr>
        <w:t xml:space="preserve"> </w:t>
      </w:r>
      <w:r w:rsidR="008F3273" w:rsidRPr="008F3273">
        <w:rPr>
          <w:rFonts w:ascii="Palatino Linotype" w:hAnsi="Palatino Linotype"/>
        </w:rPr>
        <w:t>Excess costs not approved by the Commission, will be paid either by pre-arranged community funds or by the utility shareholders.</w:t>
      </w:r>
    </w:p>
    <w:p w14:paraId="6608063E" w14:textId="77777777" w:rsidR="003578E0" w:rsidRPr="000A6D41" w:rsidRDefault="003578E0" w:rsidP="000812CD">
      <w:pPr>
        <w:rPr>
          <w:rFonts w:ascii="Palatino Linotype" w:hAnsi="Palatino Linotype"/>
        </w:rPr>
      </w:pPr>
    </w:p>
    <w:p w14:paraId="250BF915" w14:textId="77777777" w:rsidR="003578E0" w:rsidRPr="00082728" w:rsidRDefault="003578E0" w:rsidP="00082728">
      <w:pPr>
        <w:pStyle w:val="Heading1"/>
      </w:pPr>
      <w:r w:rsidRPr="00082728">
        <w:lastRenderedPageBreak/>
        <w:t>Background</w:t>
      </w:r>
    </w:p>
    <w:p w14:paraId="7AEBDF55" w14:textId="71357EF9" w:rsidR="003578E0" w:rsidRPr="000A6D41" w:rsidRDefault="003578E0">
      <w:pPr>
        <w:rPr>
          <w:rFonts w:ascii="Palatino Linotype" w:hAnsi="Palatino Linotype"/>
          <w:u w:val="single"/>
        </w:rPr>
      </w:pPr>
      <w:r w:rsidRPr="000A6D41">
        <w:rPr>
          <w:rFonts w:ascii="Palatino Linotype" w:hAnsi="Palatino Linotype"/>
          <w:u w:val="single"/>
        </w:rPr>
        <w:t>Procedural Background</w:t>
      </w:r>
    </w:p>
    <w:p w14:paraId="5399E769" w14:textId="3E0FFB2D" w:rsidR="003578E0" w:rsidRPr="000A6D41" w:rsidRDefault="003578E0" w:rsidP="00010EC3">
      <w:pPr>
        <w:rPr>
          <w:rFonts w:ascii="Palatino Linotype" w:hAnsi="Palatino Linotype"/>
        </w:rPr>
      </w:pPr>
      <w:r w:rsidRPr="000A6D41">
        <w:rPr>
          <w:rFonts w:ascii="Palatino Linotype" w:hAnsi="Palatino Linotype"/>
        </w:rPr>
        <w:br/>
        <w:t xml:space="preserve">Utilities annually allocate </w:t>
      </w:r>
      <w:r w:rsidR="00B91C32">
        <w:rPr>
          <w:rFonts w:ascii="Palatino Linotype" w:hAnsi="Palatino Linotype"/>
        </w:rPr>
        <w:t>Rule 20A</w:t>
      </w:r>
      <w:r w:rsidR="00B25C7D">
        <w:rPr>
          <w:rFonts w:ascii="Palatino Linotype" w:hAnsi="Palatino Linotype"/>
        </w:rPr>
        <w:t xml:space="preserve"> </w:t>
      </w:r>
      <w:r w:rsidR="00480315">
        <w:rPr>
          <w:rFonts w:ascii="Palatino Linotype" w:hAnsi="Palatino Linotype"/>
        </w:rPr>
        <w:t>work credits</w:t>
      </w:r>
      <w:r w:rsidR="00480315" w:rsidRPr="000A6D41">
        <w:rPr>
          <w:rFonts w:ascii="Palatino Linotype" w:hAnsi="Palatino Linotype"/>
        </w:rPr>
        <w:t xml:space="preserve"> </w:t>
      </w:r>
      <w:r w:rsidRPr="000A6D41">
        <w:rPr>
          <w:rFonts w:ascii="Palatino Linotype" w:hAnsi="Palatino Linotype"/>
        </w:rPr>
        <w:t xml:space="preserve"> to communities (cities and</w:t>
      </w:r>
      <w:r w:rsidR="00480315">
        <w:rPr>
          <w:rFonts w:ascii="Palatino Linotype" w:hAnsi="Palatino Linotype"/>
        </w:rPr>
        <w:t xml:space="preserve"> </w:t>
      </w:r>
      <w:r w:rsidRPr="000A6D41">
        <w:rPr>
          <w:rFonts w:ascii="Palatino Linotype" w:hAnsi="Palatino Linotype"/>
        </w:rPr>
        <w:t>unincorporated areas of counties) to convert overhead electric infrastructure to</w:t>
      </w:r>
      <w:r w:rsidR="003E1AEC">
        <w:rPr>
          <w:rFonts w:ascii="Palatino Linotype" w:hAnsi="Palatino Linotype"/>
        </w:rPr>
        <w:t xml:space="preserve"> </w:t>
      </w:r>
      <w:r w:rsidRPr="000A6D41">
        <w:rPr>
          <w:rFonts w:ascii="Palatino Linotype" w:hAnsi="Palatino Linotype"/>
        </w:rPr>
        <w:t>underground infrastructure. Once a community has identified a project that is in the public interest</w:t>
      </w:r>
      <w:r w:rsidRPr="000A6D41">
        <w:rPr>
          <w:rStyle w:val="FootnoteReference"/>
          <w:rFonts w:ascii="Palatino Linotype" w:hAnsi="Palatino Linotype"/>
        </w:rPr>
        <w:footnoteReference w:id="4"/>
      </w:r>
      <w:r w:rsidRPr="000A6D41">
        <w:rPr>
          <w:rFonts w:ascii="Palatino Linotype" w:hAnsi="Palatino Linotype"/>
        </w:rPr>
        <w:t xml:space="preserve"> and passed a municipal resolution forming an undergrounding district, the community can initiate the project with the utility. To fund the project, the community may utilize its accrued </w:t>
      </w:r>
      <w:r>
        <w:rPr>
          <w:rFonts w:ascii="Palatino Linotype" w:hAnsi="Palatino Linotype"/>
        </w:rPr>
        <w:t xml:space="preserve">annual </w:t>
      </w:r>
      <w:r w:rsidRPr="000A6D41">
        <w:rPr>
          <w:rFonts w:ascii="Palatino Linotype" w:hAnsi="Palatino Linotype"/>
        </w:rPr>
        <w:t>Rule 20A work credit allocations</w:t>
      </w:r>
      <w:r>
        <w:rPr>
          <w:rStyle w:val="FootnoteReference"/>
          <w:rFonts w:ascii="Palatino Linotype" w:hAnsi="Palatino Linotype"/>
        </w:rPr>
        <w:footnoteReference w:id="5"/>
      </w:r>
      <w:r w:rsidRPr="000A6D41">
        <w:rPr>
          <w:rFonts w:ascii="Palatino Linotype" w:hAnsi="Palatino Linotype"/>
        </w:rPr>
        <w:t xml:space="preserve"> plus </w:t>
      </w:r>
      <w:r>
        <w:rPr>
          <w:rFonts w:ascii="Palatino Linotype" w:hAnsi="Palatino Linotype"/>
        </w:rPr>
        <w:t>borrow forward</w:t>
      </w:r>
      <w:r w:rsidRPr="000A6D41">
        <w:rPr>
          <w:rFonts w:ascii="Palatino Linotype" w:hAnsi="Palatino Linotype"/>
        </w:rPr>
        <w:t xml:space="preserve"> future </w:t>
      </w:r>
      <w:r>
        <w:rPr>
          <w:rFonts w:ascii="Palatino Linotype" w:hAnsi="Palatino Linotype"/>
        </w:rPr>
        <w:t>work credit</w:t>
      </w:r>
      <w:r w:rsidRPr="000A6D41">
        <w:rPr>
          <w:rFonts w:ascii="Palatino Linotype" w:hAnsi="Palatino Linotype"/>
        </w:rPr>
        <w:t xml:space="preserve"> allocations for a maximum </w:t>
      </w:r>
      <w:r>
        <w:rPr>
          <w:rFonts w:ascii="Palatino Linotype" w:hAnsi="Palatino Linotype"/>
        </w:rPr>
        <w:t xml:space="preserve">of </w:t>
      </w:r>
      <w:r w:rsidRPr="000A6D41">
        <w:rPr>
          <w:rFonts w:ascii="Palatino Linotype" w:hAnsi="Palatino Linotype"/>
        </w:rPr>
        <w:t>five years from the utility. Upon completion of undergrounding project</w:t>
      </w:r>
      <w:r>
        <w:rPr>
          <w:rFonts w:ascii="Palatino Linotype" w:hAnsi="Palatino Linotype"/>
        </w:rPr>
        <w:t>s</w:t>
      </w:r>
      <w:r w:rsidRPr="000A6D41">
        <w:rPr>
          <w:rFonts w:ascii="Palatino Linotype" w:hAnsi="Palatino Linotype"/>
        </w:rPr>
        <w:t xml:space="preserve">, the utility </w:t>
      </w:r>
      <w:r>
        <w:rPr>
          <w:rFonts w:ascii="Palatino Linotype" w:hAnsi="Palatino Linotype"/>
        </w:rPr>
        <w:t>requests approval from the Commission during the General Rate Case to include completed</w:t>
      </w:r>
      <w:r w:rsidRPr="000A6D41">
        <w:rPr>
          <w:rFonts w:ascii="Palatino Linotype" w:hAnsi="Palatino Linotype"/>
        </w:rPr>
        <w:t xml:space="preserve"> </w:t>
      </w:r>
      <w:r>
        <w:rPr>
          <w:rFonts w:ascii="Palatino Linotype" w:hAnsi="Palatino Linotype"/>
        </w:rPr>
        <w:t xml:space="preserve">projects </w:t>
      </w:r>
      <w:r w:rsidRPr="000A6D41">
        <w:rPr>
          <w:rFonts w:ascii="Palatino Linotype" w:hAnsi="Palatino Linotype"/>
        </w:rPr>
        <w:t>in its rate base</w:t>
      </w:r>
      <w:r>
        <w:rPr>
          <w:rFonts w:ascii="Palatino Linotype" w:hAnsi="Palatino Linotype"/>
        </w:rPr>
        <w:t xml:space="preserve"> and recover the project costs from ratepayers</w:t>
      </w:r>
      <w:r w:rsidRPr="000A6D41">
        <w:rPr>
          <w:rFonts w:ascii="Palatino Linotype" w:hAnsi="Palatino Linotype"/>
        </w:rPr>
        <w:t>.</w:t>
      </w:r>
    </w:p>
    <w:p w14:paraId="4DF1C248" w14:textId="77777777" w:rsidR="003578E0" w:rsidRPr="000A6D41" w:rsidRDefault="003578E0" w:rsidP="00010EC3">
      <w:pPr>
        <w:rPr>
          <w:rFonts w:ascii="Palatino Linotype" w:hAnsi="Palatino Linotype"/>
        </w:rPr>
      </w:pPr>
    </w:p>
    <w:p w14:paraId="30B341B3" w14:textId="7F9B5EBD" w:rsidR="003578E0" w:rsidRDefault="003578E0" w:rsidP="00646462">
      <w:pPr>
        <w:spacing w:after="120"/>
        <w:rPr>
          <w:rFonts w:ascii="Palatino Linotype" w:hAnsi="Palatino Linotype"/>
        </w:rPr>
      </w:pPr>
      <w:r w:rsidRPr="000A6D41">
        <w:rPr>
          <w:rFonts w:ascii="Palatino Linotype" w:hAnsi="Palatino Linotype"/>
        </w:rPr>
        <w:t xml:space="preserve">When additional funding is necessary for projects underway </w:t>
      </w:r>
      <w:r w:rsidR="00B25C7D">
        <w:rPr>
          <w:rFonts w:ascii="Palatino Linotype" w:hAnsi="Palatino Linotype"/>
        </w:rPr>
        <w:t xml:space="preserve">due to </w:t>
      </w:r>
      <w:r w:rsidR="005F0C69">
        <w:rPr>
          <w:rFonts w:ascii="Palatino Linotype" w:hAnsi="Palatino Linotype" w:cs="Calibri"/>
          <w:szCs w:val="26"/>
        </w:rPr>
        <w:t>unforeseen funding shortfalls</w:t>
      </w:r>
      <w:r w:rsidR="00B25C7D">
        <w:rPr>
          <w:rFonts w:ascii="Palatino Linotype" w:hAnsi="Palatino Linotype"/>
        </w:rPr>
        <w:t xml:space="preserve"> and </w:t>
      </w:r>
      <w:r w:rsidR="005F0C69">
        <w:rPr>
          <w:rFonts w:ascii="Palatino Linotype" w:hAnsi="Palatino Linotype"/>
        </w:rPr>
        <w:t xml:space="preserve">only after </w:t>
      </w:r>
      <w:r w:rsidR="005F0C69" w:rsidRPr="000A6D41">
        <w:rPr>
          <w:rFonts w:ascii="Palatino Linotype" w:hAnsi="Palatino Linotype"/>
        </w:rPr>
        <w:t>demonstrat</w:t>
      </w:r>
      <w:r w:rsidR="005F0C69">
        <w:rPr>
          <w:rFonts w:ascii="Palatino Linotype" w:hAnsi="Palatino Linotype"/>
        </w:rPr>
        <w:t>ing</w:t>
      </w:r>
      <w:r w:rsidR="005F0C69" w:rsidRPr="000A6D41">
        <w:rPr>
          <w:rFonts w:ascii="Palatino Linotype" w:hAnsi="Palatino Linotype"/>
        </w:rPr>
        <w:t xml:space="preserve"> that all alternatives for obtaining funding for the project have been exhausted</w:t>
      </w:r>
      <w:r w:rsidRPr="000A6D41">
        <w:rPr>
          <w:rFonts w:ascii="Palatino Linotype" w:hAnsi="Palatino Linotype"/>
        </w:rPr>
        <w:t>, Rule 20A specifies that the utility shall reallocate Rule 20A work credits that have not been used from inactive communities.</w:t>
      </w:r>
      <w:r w:rsidRPr="00BD14EA">
        <w:rPr>
          <w:rStyle w:val="FootnoteReference"/>
          <w:rFonts w:ascii="Palatino Linotype" w:hAnsi="Palatino Linotype"/>
        </w:rPr>
        <w:t xml:space="preserve"> </w:t>
      </w:r>
      <w:bookmarkStart w:id="1" w:name="_Hlk1142954"/>
      <w:r>
        <w:rPr>
          <w:rFonts w:ascii="Palatino Linotype" w:hAnsi="Palatino Linotype"/>
        </w:rPr>
        <w:t>Rule 20A Section 2.c states:</w:t>
      </w:r>
    </w:p>
    <w:p w14:paraId="6BF2B8C4" w14:textId="6C0E9C24" w:rsidR="003578E0" w:rsidRDefault="003578E0" w:rsidP="00646462">
      <w:pPr>
        <w:spacing w:after="120"/>
        <w:ind w:left="720"/>
        <w:rPr>
          <w:rFonts w:ascii="Palatino Linotype" w:hAnsi="Palatino Linotype"/>
        </w:rPr>
      </w:pPr>
      <w:r>
        <w:rPr>
          <w:rFonts w:ascii="Palatino Linotype" w:hAnsi="Palatino Linotype"/>
        </w:rPr>
        <w:t>“</w:t>
      </w:r>
      <w:r w:rsidRPr="00A33279">
        <w:rPr>
          <w:rFonts w:ascii="Palatino Linotype" w:hAnsi="Palatino Linotype"/>
        </w:rPr>
        <w:t>When amounts are not expended or carried over for the community to which they are initially allocated, they shall be assigned when additional participation on a project is warranted or be reallocated to communities with active undergrounding programs.”</w:t>
      </w:r>
      <w:bookmarkEnd w:id="1"/>
      <w:r w:rsidRPr="000A6D41">
        <w:rPr>
          <w:rFonts w:ascii="Palatino Linotype" w:hAnsi="Palatino Linotype"/>
        </w:rPr>
        <w:t xml:space="preserve">  </w:t>
      </w:r>
    </w:p>
    <w:p w14:paraId="34DB116B" w14:textId="57F2D8F7" w:rsidR="003578E0" w:rsidRDefault="003578E0" w:rsidP="00157362">
      <w:pPr>
        <w:rPr>
          <w:rFonts w:ascii="Palatino Linotype" w:hAnsi="Palatino Linotype"/>
        </w:rPr>
      </w:pPr>
      <w:r>
        <w:rPr>
          <w:rFonts w:ascii="Palatino Linotype" w:hAnsi="Palatino Linotype"/>
        </w:rPr>
        <w:lastRenderedPageBreak/>
        <w:t>S</w:t>
      </w:r>
      <w:r w:rsidRPr="000A6D41">
        <w:rPr>
          <w:rFonts w:ascii="Palatino Linotype" w:hAnsi="Palatino Linotype"/>
        </w:rPr>
        <w:t xml:space="preserve">ome communities have no active projects and no plans for any. In many cases, communities are unable to accrue a sufficient work credit balance to complete a project – even with the five-year </w:t>
      </w:r>
      <w:r w:rsidR="00AC7BEF">
        <w:rPr>
          <w:rFonts w:ascii="Palatino Linotype" w:hAnsi="Palatino Linotype"/>
        </w:rPr>
        <w:t>“</w:t>
      </w:r>
      <w:r w:rsidRPr="000A6D41">
        <w:rPr>
          <w:rFonts w:ascii="Palatino Linotype" w:hAnsi="Palatino Linotype"/>
        </w:rPr>
        <w:t>mortgage</w:t>
      </w:r>
      <w:r w:rsidR="00AC7BEF">
        <w:rPr>
          <w:rFonts w:ascii="Palatino Linotype" w:hAnsi="Palatino Linotype"/>
        </w:rPr>
        <w:t>”</w:t>
      </w:r>
      <w:r w:rsidRPr="000A6D41">
        <w:rPr>
          <w:rFonts w:ascii="Palatino Linotype" w:hAnsi="Palatino Linotype"/>
        </w:rPr>
        <w:t xml:space="preserve"> available – and thus cannot participate in the Rule 20A program. In some cases, communities have engaged in work credit exchanges – such as buying, selling, trading, loaning, and donating – as a work-around for the communities to obtain additional work credits and move forward with projects that they could not fund with their accrued credit balance and the five-year </w:t>
      </w:r>
      <w:r w:rsidR="00816D62">
        <w:rPr>
          <w:rFonts w:ascii="Palatino Linotype" w:hAnsi="Palatino Linotype"/>
        </w:rPr>
        <w:t>“</w:t>
      </w:r>
      <w:r w:rsidRPr="000A6D41">
        <w:rPr>
          <w:rFonts w:ascii="Palatino Linotype" w:hAnsi="Palatino Linotype"/>
        </w:rPr>
        <w:t>mortgage</w:t>
      </w:r>
      <w:r w:rsidR="00816D62">
        <w:rPr>
          <w:rFonts w:ascii="Palatino Linotype" w:hAnsi="Palatino Linotype"/>
        </w:rPr>
        <w:t>”</w:t>
      </w:r>
      <w:r w:rsidRPr="000A6D41">
        <w:rPr>
          <w:rFonts w:ascii="Palatino Linotype" w:hAnsi="Palatino Linotype"/>
        </w:rPr>
        <w:t xml:space="preserve"> alone.</w:t>
      </w:r>
    </w:p>
    <w:p w14:paraId="3143525D" w14:textId="77777777" w:rsidR="003578E0" w:rsidRDefault="003578E0" w:rsidP="00157362">
      <w:pPr>
        <w:rPr>
          <w:rFonts w:ascii="Palatino Linotype" w:hAnsi="Palatino Linotype"/>
        </w:rPr>
      </w:pPr>
    </w:p>
    <w:p w14:paraId="6B5E1865" w14:textId="096B0E10" w:rsidR="003578E0" w:rsidRPr="000A6D41" w:rsidRDefault="003578E0" w:rsidP="00010EC3">
      <w:pPr>
        <w:rPr>
          <w:rFonts w:ascii="Palatino Linotype" w:hAnsi="Palatino Linotype"/>
          <w:color w:val="FF0000"/>
        </w:rPr>
      </w:pPr>
      <w:r w:rsidRPr="00366E8A">
        <w:rPr>
          <w:rFonts w:ascii="Palatino Linotype" w:hAnsi="Palatino Linotype"/>
        </w:rPr>
        <w:t>In November 2016, the Commission’s Policy and Planning Division authored a staff report reviewing Rule 20A entitled, “Program Review: California Overhead Conversion Program, Rule 20A for Years 2011-2015</w:t>
      </w:r>
      <w:r>
        <w:rPr>
          <w:rFonts w:ascii="Palatino Linotype" w:hAnsi="Palatino Linotype"/>
        </w:rPr>
        <w:t>,</w:t>
      </w:r>
      <w:r w:rsidRPr="00366E8A">
        <w:rPr>
          <w:rFonts w:ascii="Palatino Linotype" w:hAnsi="Palatino Linotype"/>
        </w:rPr>
        <w:t>”</w:t>
      </w:r>
      <w:r>
        <w:rPr>
          <w:rFonts w:ascii="Palatino Linotype" w:hAnsi="Palatino Linotype"/>
        </w:rPr>
        <w:t xml:space="preserve"> that evaluated how the program had been administered by each utility during this period.</w:t>
      </w:r>
      <w:r>
        <w:rPr>
          <w:rStyle w:val="FootnoteReference"/>
          <w:rFonts w:ascii="Palatino Linotype" w:hAnsi="Palatino Linotype"/>
        </w:rPr>
        <w:footnoteReference w:id="6"/>
      </w:r>
      <w:r w:rsidRPr="00366E8A">
        <w:rPr>
          <w:rFonts w:ascii="Palatino Linotype" w:hAnsi="Palatino Linotype"/>
        </w:rPr>
        <w:t xml:space="preserve"> The staff report’s review of the Rule 20A allocations over this five year period indicates that there is a large balance of </w:t>
      </w:r>
      <w:r w:rsidR="00930837">
        <w:rPr>
          <w:rFonts w:ascii="Palatino Linotype" w:hAnsi="Palatino Linotype"/>
        </w:rPr>
        <w:t>accrued</w:t>
      </w:r>
      <w:r w:rsidR="00930837" w:rsidRPr="00366E8A">
        <w:rPr>
          <w:rFonts w:ascii="Palatino Linotype" w:hAnsi="Palatino Linotype"/>
        </w:rPr>
        <w:t xml:space="preserve"> </w:t>
      </w:r>
      <w:r w:rsidRPr="00366E8A">
        <w:rPr>
          <w:rFonts w:ascii="Palatino Linotype" w:hAnsi="Palatino Linotype"/>
        </w:rPr>
        <w:t>credit allocations</w:t>
      </w:r>
      <w:r w:rsidR="00930837">
        <w:rPr>
          <w:rFonts w:ascii="Palatino Linotype" w:hAnsi="Palatino Linotype"/>
        </w:rPr>
        <w:t>.  The report found that</w:t>
      </w:r>
      <w:r w:rsidRPr="00366E8A">
        <w:rPr>
          <w:rFonts w:ascii="Palatino Linotype" w:hAnsi="Palatino Linotype"/>
        </w:rPr>
        <w:t xml:space="preserve"> local communities have been allocated but have not yet redeemed the equivalent of approximately one billion dollars of Rule 20A credits</w:t>
      </w:r>
      <w:r>
        <w:rPr>
          <w:rFonts w:ascii="Palatino Linotype" w:hAnsi="Palatino Linotype"/>
        </w:rPr>
        <w:t xml:space="preserve"> across the state</w:t>
      </w:r>
      <w:r w:rsidRPr="00366E8A">
        <w:rPr>
          <w:rFonts w:ascii="Palatino Linotype" w:hAnsi="Palatino Linotype"/>
        </w:rPr>
        <w:t>.</w:t>
      </w:r>
      <w:r w:rsidR="00C87836">
        <w:rPr>
          <w:rStyle w:val="FootnoteReference"/>
          <w:rFonts w:ascii="Palatino Linotype" w:hAnsi="Palatino Linotype"/>
        </w:rPr>
        <w:footnoteReference w:id="7"/>
      </w:r>
    </w:p>
    <w:p w14:paraId="4FC1AC5F" w14:textId="542ACACF" w:rsidR="003578E0" w:rsidRPr="000A6D41" w:rsidRDefault="003578E0">
      <w:pPr>
        <w:rPr>
          <w:rFonts w:ascii="Palatino Linotype" w:hAnsi="Palatino Linotype"/>
          <w:color w:val="FF0000"/>
        </w:rPr>
      </w:pPr>
    </w:p>
    <w:p w14:paraId="0AA370E3" w14:textId="61290492" w:rsidR="003578E0" w:rsidRPr="000A6D41" w:rsidRDefault="003578E0" w:rsidP="00351CE8">
      <w:pPr>
        <w:rPr>
          <w:rFonts w:ascii="Palatino Linotype" w:hAnsi="Palatino Linotype"/>
        </w:rPr>
      </w:pPr>
      <w:r w:rsidRPr="000A6D41">
        <w:rPr>
          <w:rFonts w:ascii="Palatino Linotype" w:hAnsi="Palatino Linotype"/>
        </w:rPr>
        <w:t xml:space="preserve">On May 19, 2017, the Commission opened Order Instituting Rulemaking (OIR) 17-05-010 to review issues related to undergrounding of electric distribution lines, and specifically to consider the revisions to the IOUs’ Rule 20 programs. Among other </w:t>
      </w:r>
      <w:r w:rsidR="00152310" w:rsidRPr="000A6D41">
        <w:rPr>
          <w:rFonts w:ascii="Palatino Linotype" w:hAnsi="Palatino Linotype"/>
        </w:rPr>
        <w:t>t</w:t>
      </w:r>
      <w:r w:rsidR="00152310">
        <w:rPr>
          <w:rFonts w:ascii="Palatino Linotype" w:hAnsi="Palatino Linotype"/>
        </w:rPr>
        <w:t>opics</w:t>
      </w:r>
      <w:r w:rsidRPr="000A6D41">
        <w:rPr>
          <w:rFonts w:ascii="Palatino Linotype" w:hAnsi="Palatino Linotype"/>
        </w:rPr>
        <w:t xml:space="preserve">, Rulemaking (R.)17-05-010 will evaluate </w:t>
      </w:r>
      <w:r w:rsidR="006F29DE">
        <w:rPr>
          <w:rFonts w:ascii="Palatino Linotype" w:hAnsi="Palatino Linotype"/>
        </w:rPr>
        <w:t xml:space="preserve">the equity of the Rule 20A program and </w:t>
      </w:r>
      <w:r w:rsidRPr="000A6D41">
        <w:rPr>
          <w:rFonts w:ascii="Palatino Linotype" w:hAnsi="Palatino Linotype"/>
        </w:rPr>
        <w:t>how the methodology for allocating work credits should be modified and under what circumstances</w:t>
      </w:r>
      <w:r w:rsidR="006F29DE">
        <w:rPr>
          <w:rFonts w:ascii="Palatino Linotype" w:hAnsi="Palatino Linotype"/>
        </w:rPr>
        <w:t>, if any,</w:t>
      </w:r>
      <w:r w:rsidRPr="000A6D41">
        <w:rPr>
          <w:rFonts w:ascii="Palatino Linotype" w:hAnsi="Palatino Linotype"/>
        </w:rPr>
        <w:t xml:space="preserve"> unused credits </w:t>
      </w:r>
      <w:r w:rsidR="006F29DE">
        <w:rPr>
          <w:rFonts w:ascii="Palatino Linotype" w:hAnsi="Palatino Linotype"/>
        </w:rPr>
        <w:t xml:space="preserve">can </w:t>
      </w:r>
      <w:r w:rsidRPr="000A6D41">
        <w:rPr>
          <w:rFonts w:ascii="Palatino Linotype" w:hAnsi="Palatino Linotype"/>
        </w:rPr>
        <w:t>be reallocated among communities.</w:t>
      </w:r>
    </w:p>
    <w:p w14:paraId="603DAC04" w14:textId="77777777" w:rsidR="003578E0" w:rsidRPr="000A6D41" w:rsidRDefault="003578E0">
      <w:pPr>
        <w:rPr>
          <w:rFonts w:ascii="Palatino Linotype" w:hAnsi="Palatino Linotype"/>
        </w:rPr>
      </w:pPr>
    </w:p>
    <w:p w14:paraId="0F7ABC4D" w14:textId="77777777" w:rsidR="00B8212F" w:rsidRDefault="00B8212F">
      <w:pPr>
        <w:rPr>
          <w:rFonts w:ascii="Palatino Linotype" w:hAnsi="Palatino Linotype"/>
          <w:u w:val="single"/>
        </w:rPr>
      </w:pPr>
    </w:p>
    <w:p w14:paraId="7F06B249" w14:textId="2D6B7BD7" w:rsidR="003578E0" w:rsidRPr="000A6D41" w:rsidRDefault="003578E0">
      <w:pPr>
        <w:rPr>
          <w:rFonts w:ascii="Palatino Linotype" w:hAnsi="Palatino Linotype"/>
          <w:u w:val="single"/>
        </w:rPr>
      </w:pPr>
      <w:r w:rsidRPr="000A6D41">
        <w:rPr>
          <w:rFonts w:ascii="Palatino Linotype" w:hAnsi="Palatino Linotype"/>
          <w:u w:val="single"/>
        </w:rPr>
        <w:lastRenderedPageBreak/>
        <w:t>Live Oak Blvd. Rule 20A Project Background to AL 5403-E-A</w:t>
      </w:r>
    </w:p>
    <w:p w14:paraId="0115E723" w14:textId="77777777" w:rsidR="003578E0" w:rsidRPr="000A6D41" w:rsidRDefault="003578E0">
      <w:pPr>
        <w:rPr>
          <w:rFonts w:ascii="Palatino Linotype" w:hAnsi="Palatino Linotype"/>
        </w:rPr>
      </w:pPr>
    </w:p>
    <w:p w14:paraId="52BF499A" w14:textId="6BE53C1D" w:rsidR="003578E0" w:rsidRPr="00805044" w:rsidRDefault="003578E0" w:rsidP="00805044">
      <w:pPr>
        <w:rPr>
          <w:rFonts w:ascii="Palatino Linotype" w:hAnsi="Palatino Linotype"/>
        </w:rPr>
      </w:pPr>
      <w:r w:rsidRPr="000A6D41">
        <w:rPr>
          <w:rFonts w:ascii="Palatino Linotype" w:hAnsi="Palatino Linotype"/>
        </w:rPr>
        <w:t>In August 2017, the City of Live Oak formed the undergrounding district</w:t>
      </w:r>
      <w:r>
        <w:rPr>
          <w:rStyle w:val="FootnoteReference"/>
          <w:rFonts w:ascii="Palatino Linotype" w:hAnsi="Palatino Linotype"/>
        </w:rPr>
        <w:footnoteReference w:id="8"/>
      </w:r>
      <w:r w:rsidRPr="000A6D41">
        <w:rPr>
          <w:rFonts w:ascii="Palatino Linotype" w:hAnsi="Palatino Linotype"/>
        </w:rPr>
        <w:t xml:space="preserve"> for the City of Live Oak’s Rule 20A </w:t>
      </w:r>
      <w:r>
        <w:rPr>
          <w:rFonts w:ascii="Palatino Linotype" w:hAnsi="Palatino Linotype"/>
        </w:rPr>
        <w:t>p</w:t>
      </w:r>
      <w:r w:rsidRPr="00805044">
        <w:rPr>
          <w:rFonts w:ascii="Palatino Linotype" w:hAnsi="Palatino Linotype"/>
        </w:rPr>
        <w:t>roject along Live Oak Boulevard (Hwy 99) as a</w:t>
      </w:r>
    </w:p>
    <w:p w14:paraId="3B0BFF2B" w14:textId="1F7F3E62" w:rsidR="003578E0" w:rsidRDefault="003578E0" w:rsidP="00805044">
      <w:pPr>
        <w:rPr>
          <w:rFonts w:ascii="Palatino Linotype" w:hAnsi="Palatino Linotype"/>
        </w:rPr>
      </w:pPr>
      <w:r w:rsidRPr="00805044">
        <w:rPr>
          <w:rFonts w:ascii="Palatino Linotype" w:hAnsi="Palatino Linotype"/>
        </w:rPr>
        <w:t>predecessor to a California Department of Transportat</w:t>
      </w:r>
      <w:r>
        <w:rPr>
          <w:rFonts w:ascii="Palatino Linotype" w:hAnsi="Palatino Linotype"/>
        </w:rPr>
        <w:t xml:space="preserve">ion (Caltrans) road improvement </w:t>
      </w:r>
      <w:r w:rsidRPr="00805044">
        <w:rPr>
          <w:rFonts w:ascii="Palatino Linotype" w:hAnsi="Palatino Linotype"/>
        </w:rPr>
        <w:t>project.  The Caltrans Hwy 99 Project involves Federal, State, and Local funding and is</w:t>
      </w:r>
      <w:r>
        <w:rPr>
          <w:rFonts w:ascii="Palatino Linotype" w:hAnsi="Palatino Linotype"/>
        </w:rPr>
        <w:t xml:space="preserve"> </w:t>
      </w:r>
      <w:r w:rsidRPr="00805044">
        <w:rPr>
          <w:rFonts w:ascii="Palatino Linotype" w:hAnsi="Palatino Linotype"/>
        </w:rPr>
        <w:t>expected to cost $37.3M</w:t>
      </w:r>
      <w:r>
        <w:rPr>
          <w:rFonts w:ascii="Palatino Linotype" w:hAnsi="Palatino Linotype"/>
        </w:rPr>
        <w:t>, not including the Rule 20A conversation costs</w:t>
      </w:r>
      <w:r w:rsidRPr="00805044">
        <w:rPr>
          <w:rFonts w:ascii="Palatino Linotype" w:hAnsi="Palatino Linotype"/>
        </w:rPr>
        <w:t>.  The project proposes to rehabilitate Hwy 99 to a 40-year</w:t>
      </w:r>
      <w:r>
        <w:rPr>
          <w:rFonts w:ascii="Palatino Linotype" w:hAnsi="Palatino Linotype"/>
        </w:rPr>
        <w:t xml:space="preserve"> </w:t>
      </w:r>
      <w:r w:rsidRPr="00805044">
        <w:rPr>
          <w:rFonts w:ascii="Palatino Linotype" w:hAnsi="Palatino Linotype"/>
        </w:rPr>
        <w:t>pavement life, modify the drainage systems, add bicycle and pedestrian facilities, and</w:t>
      </w:r>
      <w:r w:rsidRPr="00805044">
        <w:t xml:space="preserve"> </w:t>
      </w:r>
      <w:r>
        <w:t>u</w:t>
      </w:r>
      <w:r w:rsidRPr="00805044">
        <w:rPr>
          <w:rFonts w:ascii="Palatino Linotype" w:hAnsi="Palatino Linotype"/>
        </w:rPr>
        <w:t>pgrade crosswalks, curbs, gutters, sidewalks, driveways, and traffic signals. Curb ramps</w:t>
      </w:r>
      <w:r>
        <w:rPr>
          <w:rFonts w:ascii="Palatino Linotype" w:hAnsi="Palatino Linotype"/>
        </w:rPr>
        <w:t xml:space="preserve"> </w:t>
      </w:r>
      <w:r w:rsidRPr="00805044">
        <w:rPr>
          <w:rFonts w:ascii="Palatino Linotype" w:hAnsi="Palatino Linotype"/>
        </w:rPr>
        <w:t>will be upgraded to current American with Disabilities Act (ADA) standards. This project</w:t>
      </w:r>
      <w:r>
        <w:rPr>
          <w:rFonts w:ascii="Palatino Linotype" w:hAnsi="Palatino Linotype"/>
        </w:rPr>
        <w:t xml:space="preserve"> </w:t>
      </w:r>
      <w:r w:rsidRPr="00805044">
        <w:rPr>
          <w:rFonts w:ascii="Palatino Linotype" w:hAnsi="Palatino Linotype"/>
        </w:rPr>
        <w:t>is scheduled to begin construction in spring of 2020.</w:t>
      </w:r>
      <w:r>
        <w:rPr>
          <w:rStyle w:val="FootnoteReference"/>
          <w:rFonts w:ascii="Palatino Linotype" w:hAnsi="Palatino Linotype"/>
        </w:rPr>
        <w:footnoteReference w:id="9"/>
      </w:r>
      <w:r>
        <w:rPr>
          <w:rFonts w:ascii="Palatino Linotype" w:hAnsi="Palatino Linotype"/>
        </w:rPr>
        <w:t xml:space="preserve">  The City of Live Oak is a rural community with a population of 8,800</w:t>
      </w:r>
      <w:r w:rsidR="00F139FF">
        <w:rPr>
          <w:rFonts w:ascii="Palatino Linotype" w:hAnsi="Palatino Linotype"/>
        </w:rPr>
        <w:t xml:space="preserve"> and receives an annual Rule 20A work credit allocation of $19,000</w:t>
      </w:r>
      <w:r>
        <w:rPr>
          <w:rFonts w:ascii="Palatino Linotype" w:hAnsi="Palatino Linotype"/>
        </w:rPr>
        <w:t>.</w:t>
      </w:r>
    </w:p>
    <w:p w14:paraId="2F9732AC" w14:textId="77D4BDB3" w:rsidR="003578E0" w:rsidRDefault="003578E0" w:rsidP="00805044">
      <w:pPr>
        <w:rPr>
          <w:rFonts w:ascii="Palatino Linotype" w:hAnsi="Palatino Linotype"/>
        </w:rPr>
      </w:pPr>
    </w:p>
    <w:p w14:paraId="377E6C7F" w14:textId="3B6585C0" w:rsidR="003578E0" w:rsidRPr="00DA275A" w:rsidRDefault="003578E0" w:rsidP="00DA275A">
      <w:pPr>
        <w:rPr>
          <w:rFonts w:ascii="Palatino Linotype" w:hAnsi="Palatino Linotype"/>
        </w:rPr>
      </w:pPr>
      <w:r w:rsidRPr="00DA275A">
        <w:rPr>
          <w:rFonts w:ascii="Palatino Linotype" w:hAnsi="Palatino Linotype"/>
        </w:rPr>
        <w:t>Ini</w:t>
      </w:r>
      <w:r>
        <w:rPr>
          <w:rFonts w:ascii="Palatino Linotype" w:hAnsi="Palatino Linotype"/>
        </w:rPr>
        <w:t xml:space="preserve">tially in 2017, PG&amp;E provided an </w:t>
      </w:r>
      <w:r w:rsidRPr="00DA275A">
        <w:rPr>
          <w:rFonts w:ascii="Palatino Linotype" w:hAnsi="Palatino Linotype"/>
        </w:rPr>
        <w:t>estimate of $</w:t>
      </w:r>
      <w:r>
        <w:rPr>
          <w:rFonts w:ascii="Palatino Linotype" w:hAnsi="Palatino Linotype"/>
        </w:rPr>
        <w:t xml:space="preserve">4M in work credits for the Live </w:t>
      </w:r>
      <w:r w:rsidRPr="00DA275A">
        <w:rPr>
          <w:rFonts w:ascii="Palatino Linotype" w:hAnsi="Palatino Linotype"/>
        </w:rPr>
        <w:t>Oak Rule 20A project.  However, Live Oak only had $642,053 in available work credits to</w:t>
      </w:r>
      <w:r>
        <w:rPr>
          <w:rFonts w:ascii="Palatino Linotype" w:hAnsi="Palatino Linotype"/>
        </w:rPr>
        <w:t xml:space="preserve"> </w:t>
      </w:r>
      <w:r w:rsidRPr="00DA275A">
        <w:rPr>
          <w:rFonts w:ascii="Palatino Linotype" w:hAnsi="Palatino Linotype"/>
        </w:rPr>
        <w:t xml:space="preserve">use towards the proposed Rule 20A project. In order to meet the </w:t>
      </w:r>
      <w:r>
        <w:rPr>
          <w:rFonts w:ascii="Palatino Linotype" w:hAnsi="Palatino Linotype"/>
        </w:rPr>
        <w:t xml:space="preserve">$4M </w:t>
      </w:r>
      <w:r w:rsidRPr="00DA275A">
        <w:rPr>
          <w:rFonts w:ascii="Palatino Linotype" w:hAnsi="Palatino Linotype"/>
        </w:rPr>
        <w:t>estimate to start</w:t>
      </w:r>
      <w:r>
        <w:rPr>
          <w:rFonts w:ascii="Palatino Linotype" w:hAnsi="Palatino Linotype"/>
        </w:rPr>
        <w:t xml:space="preserve"> </w:t>
      </w:r>
      <w:r w:rsidRPr="00DA275A">
        <w:rPr>
          <w:rFonts w:ascii="Palatino Linotype" w:hAnsi="Palatino Linotype"/>
        </w:rPr>
        <w:t>the Rule 20A project, Live Oak accumulated additional work credits by borrowing 5-years</w:t>
      </w:r>
      <w:r>
        <w:rPr>
          <w:rFonts w:ascii="Palatino Linotype" w:hAnsi="Palatino Linotype"/>
        </w:rPr>
        <w:t xml:space="preserve"> </w:t>
      </w:r>
      <w:r w:rsidRPr="00DA275A">
        <w:rPr>
          <w:rFonts w:ascii="Palatino Linotype" w:hAnsi="Palatino Linotype"/>
        </w:rPr>
        <w:t xml:space="preserve">of their future allocations (total with maximum </w:t>
      </w:r>
      <w:r w:rsidR="00082728">
        <w:rPr>
          <w:rFonts w:ascii="Palatino Linotype" w:hAnsi="Palatino Linotype"/>
        </w:rPr>
        <w:br/>
      </w:r>
      <w:r w:rsidRPr="00DA275A">
        <w:rPr>
          <w:rFonts w:ascii="Palatino Linotype" w:hAnsi="Palatino Linotype"/>
        </w:rPr>
        <w:t>5-year borrow is $736,478), receiving</w:t>
      </w:r>
      <w:r>
        <w:rPr>
          <w:rFonts w:ascii="Palatino Linotype" w:hAnsi="Palatino Linotype"/>
        </w:rPr>
        <w:t xml:space="preserve"> </w:t>
      </w:r>
      <w:r w:rsidRPr="00DA275A">
        <w:rPr>
          <w:rFonts w:ascii="Palatino Linotype" w:hAnsi="Palatino Linotype"/>
        </w:rPr>
        <w:t xml:space="preserve">$1.3M in work credits </w:t>
      </w:r>
      <w:r>
        <w:rPr>
          <w:rFonts w:ascii="Palatino Linotype" w:hAnsi="Palatino Linotype"/>
        </w:rPr>
        <w:t xml:space="preserve">donated </w:t>
      </w:r>
      <w:r w:rsidRPr="00DA275A">
        <w:rPr>
          <w:rFonts w:ascii="Palatino Linotype" w:hAnsi="Palatino Linotype"/>
        </w:rPr>
        <w:t xml:space="preserve">from </w:t>
      </w:r>
      <w:r w:rsidR="00082728">
        <w:rPr>
          <w:rFonts w:ascii="Palatino Linotype" w:hAnsi="Palatino Linotype"/>
        </w:rPr>
        <w:br/>
      </w:r>
      <w:r w:rsidRPr="00DA275A">
        <w:rPr>
          <w:rFonts w:ascii="Palatino Linotype" w:hAnsi="Palatino Linotype"/>
        </w:rPr>
        <w:t>Sutter County, and purchasing $2M of work credits from the</w:t>
      </w:r>
      <w:r>
        <w:rPr>
          <w:rFonts w:ascii="Palatino Linotype" w:hAnsi="Palatino Linotype"/>
        </w:rPr>
        <w:t xml:space="preserve"> </w:t>
      </w:r>
      <w:r w:rsidRPr="00DA275A">
        <w:rPr>
          <w:rFonts w:ascii="Palatino Linotype" w:hAnsi="Palatino Linotype"/>
        </w:rPr>
        <w:t>City of Rocklin.</w:t>
      </w:r>
    </w:p>
    <w:p w14:paraId="5D1165EA" w14:textId="77777777" w:rsidR="003578E0" w:rsidRPr="000A6D41" w:rsidRDefault="003578E0" w:rsidP="00351CE8">
      <w:pPr>
        <w:rPr>
          <w:rFonts w:ascii="Palatino Linotype" w:hAnsi="Palatino Linotype"/>
          <w:color w:val="FF0000"/>
        </w:rPr>
      </w:pPr>
    </w:p>
    <w:p w14:paraId="7F7FA908" w14:textId="11B9DFDD" w:rsidR="003578E0" w:rsidRPr="000A6D41" w:rsidRDefault="003578E0" w:rsidP="00351CE8">
      <w:pPr>
        <w:rPr>
          <w:rFonts w:ascii="Palatino Linotype" w:hAnsi="Palatino Linotype"/>
        </w:rPr>
      </w:pPr>
      <w:r w:rsidRPr="000A6D41">
        <w:rPr>
          <w:rFonts w:ascii="Palatino Linotype" w:hAnsi="Palatino Linotype"/>
        </w:rPr>
        <w:t>In May 2018, PG&amp;E determined that the initial $4 million estimate for the proposed project was too low after comparing it to the current cost of a similar Rule 20A project underway in Colusa County.</w:t>
      </w:r>
      <w:r w:rsidRPr="000A6D41">
        <w:rPr>
          <w:rStyle w:val="FootnoteReference"/>
          <w:rFonts w:ascii="Palatino Linotype" w:hAnsi="Palatino Linotype"/>
        </w:rPr>
        <w:footnoteReference w:id="10"/>
      </w:r>
      <w:r w:rsidRPr="000A6D41">
        <w:rPr>
          <w:rFonts w:ascii="Palatino Linotype" w:hAnsi="Palatino Linotype"/>
        </w:rPr>
        <w:t xml:space="preserve"> PG&amp;E advised the City of Live Oak in May 2018 that the Live Oak Blvd. project cost estimate had tripled, and that the City of Live Oak no longer had a sufficient work credit balance to complete the project. The City of Live Oak worked with PG&amp;E and reduced the project scope from 7,600 feet to 5,300 feet. However, the reduced-scope project was estimated at $8 million (about $1,500 per foot), still double the cost of the </w:t>
      </w:r>
      <w:r w:rsidRPr="000A6D41">
        <w:rPr>
          <w:rFonts w:ascii="Palatino Linotype" w:hAnsi="Palatino Linotype"/>
        </w:rPr>
        <w:lastRenderedPageBreak/>
        <w:t xml:space="preserve">original estimate for the full-scope project. PG&amp;E released its request for proposals for contractors </w:t>
      </w:r>
      <w:r>
        <w:rPr>
          <w:rFonts w:ascii="Palatino Linotype" w:hAnsi="Palatino Linotype"/>
        </w:rPr>
        <w:t xml:space="preserve">for the project </w:t>
      </w:r>
      <w:r w:rsidRPr="000A6D41">
        <w:rPr>
          <w:rFonts w:ascii="Palatino Linotype" w:hAnsi="Palatino Linotype"/>
        </w:rPr>
        <w:t xml:space="preserve">on November 21, 2018 and received its proposals on January 3, 2019. On February 5, 2019, PG&amp;E informed Commission Staff via email that the updated project cost was $4,554,000 and that the City of Live Oak would require </w:t>
      </w:r>
      <w:r>
        <w:rPr>
          <w:rFonts w:ascii="Palatino Linotype" w:hAnsi="Palatino Linotype"/>
        </w:rPr>
        <w:t xml:space="preserve">the equivalent of </w:t>
      </w:r>
      <w:r w:rsidRPr="000A6D41">
        <w:rPr>
          <w:rFonts w:ascii="Palatino Linotype" w:hAnsi="Palatino Linotype"/>
        </w:rPr>
        <w:t>an additional 29 years of allocations to fund the project. PG&amp;E will award a contract by mid-February 2019 and will start construction in April 2019</w:t>
      </w:r>
      <w:r>
        <w:rPr>
          <w:rFonts w:ascii="Palatino Linotype" w:hAnsi="Palatino Linotype"/>
        </w:rPr>
        <w:t xml:space="preserve"> if City of Live Oak can accumulate the additional $554,000 of work credits.</w:t>
      </w:r>
    </w:p>
    <w:p w14:paraId="5F848EBE" w14:textId="77777777" w:rsidR="003578E0" w:rsidRPr="000A6D41" w:rsidRDefault="003578E0" w:rsidP="00351CE8">
      <w:pPr>
        <w:rPr>
          <w:rFonts w:ascii="Palatino Linotype" w:hAnsi="Palatino Linotype"/>
        </w:rPr>
      </w:pPr>
    </w:p>
    <w:p w14:paraId="7B64EC28" w14:textId="10591C2D" w:rsidR="003578E0" w:rsidRPr="000A6D41" w:rsidRDefault="003578E0" w:rsidP="00351CE8">
      <w:pPr>
        <w:rPr>
          <w:rFonts w:ascii="Palatino Linotype" w:hAnsi="Palatino Linotype"/>
        </w:rPr>
      </w:pPr>
      <w:r w:rsidRPr="000A6D41">
        <w:rPr>
          <w:rFonts w:ascii="Palatino Linotype" w:hAnsi="Palatino Linotype"/>
        </w:rPr>
        <w:t>According to the City of Live Oak, the Rule 20A project must meet key deadlines in Q3 2019 for Right-of-Way Certification and Ready to List</w:t>
      </w:r>
      <w:r w:rsidRPr="000A6D41">
        <w:rPr>
          <w:rStyle w:val="FootnoteReference"/>
          <w:rFonts w:ascii="Palatino Linotype" w:hAnsi="Palatino Linotype"/>
        </w:rPr>
        <w:footnoteReference w:id="11"/>
      </w:r>
      <w:r w:rsidRPr="000A6D41">
        <w:rPr>
          <w:rFonts w:ascii="Palatino Linotype" w:hAnsi="Palatino Linotype"/>
        </w:rPr>
        <w:t xml:space="preserve"> Certification which depend on the project being under construction by then. Failure to meet these deadlines will result in the City of Live Oak having to repay $10 million in Federal grant funds out of the $36.5 million in funding the State and Federal government have committed to the Caltrans project.</w:t>
      </w:r>
      <w:r w:rsidRPr="000A6D41">
        <w:rPr>
          <w:rStyle w:val="FootnoteReference"/>
          <w:rFonts w:ascii="Palatino Linotype" w:hAnsi="Palatino Linotype"/>
        </w:rPr>
        <w:footnoteReference w:id="12"/>
      </w:r>
    </w:p>
    <w:p w14:paraId="364BF036" w14:textId="77777777" w:rsidR="00F35D82" w:rsidRDefault="00F35D82" w:rsidP="002A599D">
      <w:pPr>
        <w:rPr>
          <w:rFonts w:ascii="Palatino Linotype" w:hAnsi="Palatino Linotype"/>
          <w:b/>
          <w:u w:val="single"/>
        </w:rPr>
      </w:pPr>
    </w:p>
    <w:p w14:paraId="1945E28F" w14:textId="205D4C7C" w:rsidR="003578E0" w:rsidRPr="000A6D41" w:rsidRDefault="003578E0" w:rsidP="002A599D">
      <w:pPr>
        <w:rPr>
          <w:rFonts w:ascii="Palatino Linotype" w:hAnsi="Palatino Linotype"/>
          <w:b/>
          <w:u w:val="single"/>
        </w:rPr>
      </w:pPr>
      <w:r w:rsidRPr="000A6D41">
        <w:rPr>
          <w:rFonts w:ascii="Palatino Linotype" w:hAnsi="Palatino Linotype"/>
          <w:b/>
          <w:u w:val="single"/>
        </w:rPr>
        <w:t>AL 5403-E-A Background</w:t>
      </w:r>
    </w:p>
    <w:p w14:paraId="29113F8C" w14:textId="23E95B77" w:rsidR="003578E0" w:rsidRPr="000A6D41" w:rsidRDefault="003578E0" w:rsidP="002A599D">
      <w:pPr>
        <w:rPr>
          <w:rFonts w:ascii="Palatino Linotype" w:hAnsi="Palatino Linotype"/>
        </w:rPr>
      </w:pPr>
      <w:r w:rsidRPr="000A6D41">
        <w:rPr>
          <w:rFonts w:ascii="Palatino Linotype" w:hAnsi="Palatino Linotype"/>
        </w:rPr>
        <w:t xml:space="preserve">On October 12, 2018, PG&amp;E filed Advice Letter (AL) 5403-E requesting </w:t>
      </w:r>
      <w:r>
        <w:rPr>
          <w:rFonts w:ascii="Palatino Linotype" w:hAnsi="Palatino Linotype"/>
        </w:rPr>
        <w:t>a d</w:t>
      </w:r>
      <w:r w:rsidRPr="000A6D41">
        <w:rPr>
          <w:rFonts w:ascii="Palatino Linotype" w:hAnsi="Palatino Linotype"/>
        </w:rPr>
        <w:t>eviation from Electric Rule 20A. On October 26, 2018, PG&amp;E filed supplemental AL 5403-E-A replacing the original in its entirety due to an error in the cited section of the General Order 96-B.</w:t>
      </w:r>
      <w:r>
        <w:rPr>
          <w:rFonts w:ascii="Palatino Linotype" w:hAnsi="Palatino Linotype"/>
        </w:rPr>
        <w:t xml:space="preserve">  PG&amp;E cited section 9.2.3 of</w:t>
      </w:r>
      <w:r w:rsidRPr="001142B5">
        <w:rPr>
          <w:rFonts w:ascii="Palatino Linotype" w:hAnsi="Palatino Linotype"/>
        </w:rPr>
        <w:t xml:space="preserve"> </w:t>
      </w:r>
      <w:r w:rsidRPr="000A6D41">
        <w:rPr>
          <w:rFonts w:ascii="Palatino Linotype" w:hAnsi="Palatino Linotype"/>
        </w:rPr>
        <w:t xml:space="preserve">General Order </w:t>
      </w:r>
      <w:r w:rsidR="00082728">
        <w:rPr>
          <w:rFonts w:ascii="Palatino Linotype" w:hAnsi="Palatino Linotype"/>
        </w:rPr>
        <w:br/>
      </w:r>
      <w:r w:rsidRPr="000A6D41">
        <w:rPr>
          <w:rFonts w:ascii="Palatino Linotype" w:hAnsi="Palatino Linotype"/>
        </w:rPr>
        <w:t>96-B</w:t>
      </w:r>
      <w:r>
        <w:rPr>
          <w:rFonts w:ascii="Palatino Linotype" w:hAnsi="Palatino Linotype"/>
        </w:rPr>
        <w:t xml:space="preserve"> in the supplemental A</w:t>
      </w:r>
      <w:r w:rsidR="00754E3A">
        <w:rPr>
          <w:rFonts w:ascii="Palatino Linotype" w:hAnsi="Palatino Linotype"/>
        </w:rPr>
        <w:t>dvice Letter</w:t>
      </w:r>
      <w:r>
        <w:rPr>
          <w:rFonts w:ascii="Palatino Linotype" w:hAnsi="Palatino Linotype"/>
        </w:rPr>
        <w:t>.</w:t>
      </w:r>
      <w:r w:rsidRPr="000A6D41">
        <w:rPr>
          <w:rFonts w:ascii="Palatino Linotype" w:hAnsi="Palatino Linotype"/>
        </w:rPr>
        <w:t xml:space="preserve"> In AL 5403-E-A, PG&amp;E specifically requests to deviate from </w:t>
      </w:r>
      <w:r w:rsidR="002E64DF">
        <w:rPr>
          <w:rFonts w:ascii="Palatino Linotype" w:hAnsi="Palatino Linotype"/>
        </w:rPr>
        <w:t xml:space="preserve">Rule 20A to borrow </w:t>
      </w:r>
      <w:r w:rsidRPr="000A6D41">
        <w:rPr>
          <w:rFonts w:ascii="Palatino Linotype" w:hAnsi="Palatino Linotype"/>
        </w:rPr>
        <w:t xml:space="preserve">up to 200 years based on the most </w:t>
      </w:r>
      <w:r w:rsidRPr="000A6D41">
        <w:rPr>
          <w:rFonts w:ascii="Palatino Linotype" w:hAnsi="Palatino Linotype"/>
        </w:rPr>
        <w:lastRenderedPageBreak/>
        <w:t>conservative cost estimate available for the project</w:t>
      </w:r>
      <w:r>
        <w:rPr>
          <w:rFonts w:ascii="Palatino Linotype" w:hAnsi="Palatino Linotype"/>
        </w:rPr>
        <w:t xml:space="preserve"> at the time</w:t>
      </w:r>
      <w:r w:rsidRPr="000A6D41">
        <w:rPr>
          <w:rFonts w:ascii="Palatino Linotype" w:hAnsi="Palatino Linotype"/>
        </w:rPr>
        <w:t>.</w:t>
      </w:r>
      <w:r w:rsidRPr="000A6D41">
        <w:rPr>
          <w:rStyle w:val="FootnoteReference"/>
          <w:rFonts w:ascii="Palatino Linotype" w:hAnsi="Palatino Linotype"/>
        </w:rPr>
        <w:footnoteReference w:id="13"/>
      </w:r>
      <w:r w:rsidRPr="000A6D41">
        <w:rPr>
          <w:rFonts w:ascii="Palatino Linotype" w:hAnsi="Palatino Linotype"/>
        </w:rPr>
        <w:t xml:space="preserve"> PG&amp;E </w:t>
      </w:r>
      <w:r w:rsidR="002E64DF">
        <w:rPr>
          <w:rFonts w:ascii="Palatino Linotype" w:hAnsi="Palatino Linotype"/>
        </w:rPr>
        <w:t>states</w:t>
      </w:r>
      <w:r w:rsidR="002E64DF" w:rsidRPr="000A6D41">
        <w:rPr>
          <w:rFonts w:ascii="Palatino Linotype" w:hAnsi="Palatino Linotype"/>
        </w:rPr>
        <w:t xml:space="preserve"> </w:t>
      </w:r>
      <w:r w:rsidRPr="000A6D41">
        <w:rPr>
          <w:rFonts w:ascii="Palatino Linotype" w:hAnsi="Palatino Linotype"/>
        </w:rPr>
        <w:t>that this would minimize the impacts to Caltrans State Route 99 Live Oak Rehabilitation Project and the Live Oak Rule 20A project.</w:t>
      </w:r>
    </w:p>
    <w:p w14:paraId="10606313" w14:textId="6E233FC3" w:rsidR="003578E0" w:rsidRPr="000A6D41" w:rsidRDefault="003578E0">
      <w:pPr>
        <w:rPr>
          <w:rFonts w:ascii="Palatino Linotype" w:hAnsi="Palatino Linotype"/>
          <w:b/>
          <w:u w:val="single"/>
        </w:rPr>
      </w:pPr>
    </w:p>
    <w:p w14:paraId="304A7FD7" w14:textId="77777777" w:rsidR="003578E0" w:rsidRPr="00082728" w:rsidRDefault="003578E0">
      <w:pPr>
        <w:pStyle w:val="Heading1"/>
      </w:pPr>
      <w:r w:rsidRPr="00082728">
        <w:t>Notice</w:t>
      </w:r>
    </w:p>
    <w:p w14:paraId="351731BA" w14:textId="3612AA1D" w:rsidR="003578E0" w:rsidRPr="000A6D41" w:rsidRDefault="003578E0">
      <w:pPr>
        <w:rPr>
          <w:rFonts w:ascii="Palatino Linotype" w:hAnsi="Palatino Linotype"/>
        </w:rPr>
      </w:pPr>
      <w:r w:rsidRPr="000A6D41">
        <w:rPr>
          <w:rFonts w:ascii="Palatino Linotype" w:hAnsi="Palatino Linotype"/>
        </w:rPr>
        <w:t xml:space="preserve">Notice of AL 5403-E-A was made by publication in the Commission’s Daily Calendar.  PG&amp;E states that a copy of the Advice Letter was mailed and distributed in accordance with Section 4 of General Order 96-B. </w:t>
      </w:r>
    </w:p>
    <w:p w14:paraId="302FFF0E" w14:textId="77777777" w:rsidR="003578E0" w:rsidRPr="000A6D41" w:rsidRDefault="003578E0">
      <w:pPr>
        <w:rPr>
          <w:rFonts w:ascii="Palatino Linotype" w:hAnsi="Palatino Linotype"/>
        </w:rPr>
      </w:pPr>
    </w:p>
    <w:p w14:paraId="5F5077E1" w14:textId="09BECA43" w:rsidR="003578E0" w:rsidRPr="00082728" w:rsidRDefault="003578E0">
      <w:pPr>
        <w:pStyle w:val="Heading1"/>
      </w:pPr>
      <w:r w:rsidRPr="00082728">
        <w:t>Protests</w:t>
      </w:r>
    </w:p>
    <w:p w14:paraId="0B959ECD" w14:textId="4A66B0BB" w:rsidR="003578E0" w:rsidRPr="000A6D41" w:rsidRDefault="003578E0" w:rsidP="00351CE8">
      <w:pPr>
        <w:rPr>
          <w:rFonts w:ascii="Palatino Linotype" w:hAnsi="Palatino Linotype"/>
        </w:rPr>
      </w:pPr>
      <w:r w:rsidRPr="000A6D41">
        <w:rPr>
          <w:rFonts w:ascii="Palatino Linotype" w:hAnsi="Palatino Linotype"/>
        </w:rPr>
        <w:t xml:space="preserve">The Utility Reform Network (TURN) submitted a timely protest on </w:t>
      </w:r>
      <w:r w:rsidR="00082728">
        <w:rPr>
          <w:rFonts w:ascii="Palatino Linotype" w:hAnsi="Palatino Linotype"/>
        </w:rPr>
        <w:br/>
      </w:r>
      <w:r w:rsidRPr="000A6D41">
        <w:rPr>
          <w:rFonts w:ascii="Palatino Linotype" w:hAnsi="Palatino Linotype"/>
        </w:rPr>
        <w:t xml:space="preserve">November 1, 2018 to PG&amp;E’s Advice Letters 5403-E-A. The City of Live Oak and PG&amp;E filed replies to TURN’s protest on November 7 and 8, 2018 respectively.  </w:t>
      </w:r>
    </w:p>
    <w:p w14:paraId="05F9D267" w14:textId="77777777" w:rsidR="003578E0" w:rsidRPr="000A6D41" w:rsidRDefault="003578E0" w:rsidP="00351CE8">
      <w:pPr>
        <w:rPr>
          <w:rFonts w:ascii="Palatino Linotype" w:hAnsi="Palatino Linotype"/>
        </w:rPr>
      </w:pPr>
    </w:p>
    <w:p w14:paraId="5C09682C" w14:textId="59C059DE" w:rsidR="003578E0" w:rsidRPr="000A6D41" w:rsidRDefault="003578E0" w:rsidP="00351CE8">
      <w:pPr>
        <w:rPr>
          <w:rFonts w:ascii="Palatino Linotype" w:hAnsi="Palatino Linotype"/>
        </w:rPr>
      </w:pPr>
      <w:r w:rsidRPr="000A6D41">
        <w:rPr>
          <w:rFonts w:ascii="Palatino Linotype" w:hAnsi="Palatino Linotype"/>
        </w:rPr>
        <w:t>TURN argues in its protest that PG&amp;E’s AL 5403-E-A should be rejected because PG&amp;E failed to demonstrate that all the alternatives for obtaining funding for the project other than borrowing up to 200 years</w:t>
      </w:r>
      <w:r>
        <w:rPr>
          <w:rFonts w:ascii="Palatino Linotype" w:hAnsi="Palatino Linotype"/>
        </w:rPr>
        <w:t xml:space="preserve"> of work credits</w:t>
      </w:r>
      <w:r w:rsidRPr="000A6D41">
        <w:rPr>
          <w:rFonts w:ascii="Palatino Linotype" w:hAnsi="Palatino Linotype"/>
        </w:rPr>
        <w:t xml:space="preserve"> have been exhausted. TURN contends that PG&amp;E omitted information regarding the current project cost estimates, a precise calculation of the number of credits needed for the City of Live Oak to complete its project, and a description of all the efforts that PG&amp;E pursued to finance the project costs. TURN also raises concern that PG&amp;E does not limit this treatment to the City of Live Oak and such an exception could amount to a “wholesale change in the rules governing undergrounding projects”</w:t>
      </w:r>
      <w:r w:rsidRPr="000A6D41">
        <w:rPr>
          <w:rStyle w:val="FootnoteReference"/>
          <w:rFonts w:ascii="Palatino Linotype" w:hAnsi="Palatino Linotype"/>
        </w:rPr>
        <w:footnoteReference w:id="14"/>
      </w:r>
      <w:r w:rsidRPr="000A6D41">
        <w:rPr>
          <w:rFonts w:ascii="Palatino Linotype" w:hAnsi="Palatino Linotype"/>
        </w:rPr>
        <w:t xml:space="preserve"> that would be better suited for consideration in the R.17-05-010 Proceeding.</w:t>
      </w:r>
    </w:p>
    <w:p w14:paraId="74671826" w14:textId="77777777" w:rsidR="003578E0" w:rsidRPr="000A6D41" w:rsidRDefault="003578E0" w:rsidP="00351CE8">
      <w:pPr>
        <w:rPr>
          <w:rFonts w:ascii="Palatino Linotype" w:hAnsi="Palatino Linotype"/>
        </w:rPr>
      </w:pPr>
    </w:p>
    <w:p w14:paraId="32164DAF" w14:textId="77777777" w:rsidR="003578E0" w:rsidRPr="000A6D41" w:rsidRDefault="003578E0" w:rsidP="00351CE8">
      <w:pPr>
        <w:rPr>
          <w:rFonts w:ascii="Palatino Linotype" w:hAnsi="Palatino Linotype"/>
          <w:i/>
        </w:rPr>
      </w:pPr>
      <w:r w:rsidRPr="000A6D41">
        <w:rPr>
          <w:rFonts w:ascii="Palatino Linotype" w:hAnsi="Palatino Linotype"/>
          <w:i/>
        </w:rPr>
        <w:t>The City of Live Oak’s Reply</w:t>
      </w:r>
    </w:p>
    <w:p w14:paraId="1CAF115C" w14:textId="763C4357" w:rsidR="003578E0" w:rsidRPr="000A6D41" w:rsidRDefault="003578E0" w:rsidP="00351CE8">
      <w:pPr>
        <w:rPr>
          <w:rFonts w:ascii="Palatino Linotype" w:hAnsi="Palatino Linotype"/>
        </w:rPr>
      </w:pPr>
      <w:r w:rsidRPr="000A6D41">
        <w:rPr>
          <w:rFonts w:ascii="Palatino Linotype" w:hAnsi="Palatino Linotype"/>
        </w:rPr>
        <w:t>In the City of Live Oak’s reply to TURN’s protest, the City of Live Oak contends that TURN failed to recognize that Live Oak is a small city that went to great lengths to obtain</w:t>
      </w:r>
      <w:r w:rsidR="00AD3A01">
        <w:rPr>
          <w:rFonts w:ascii="Palatino Linotype" w:hAnsi="Palatino Linotype"/>
        </w:rPr>
        <w:t xml:space="preserve"> </w:t>
      </w:r>
      <w:r w:rsidRPr="000A6D41">
        <w:rPr>
          <w:rFonts w:ascii="Palatino Linotype" w:hAnsi="Palatino Linotype"/>
        </w:rPr>
        <w:t>$4 million in Rule 20A work credits</w:t>
      </w:r>
      <w:r w:rsidR="00AD3A01">
        <w:rPr>
          <w:rFonts w:ascii="Palatino Linotype" w:hAnsi="Palatino Linotype"/>
        </w:rPr>
        <w:t xml:space="preserve"> </w:t>
      </w:r>
      <w:r w:rsidR="00526166">
        <w:rPr>
          <w:rFonts w:ascii="Palatino Linotype" w:hAnsi="Palatino Linotype"/>
        </w:rPr>
        <w:t xml:space="preserve">– equal to the initial </w:t>
      </w:r>
      <w:r w:rsidR="00526166">
        <w:rPr>
          <w:rFonts w:ascii="Palatino Linotype" w:hAnsi="Palatino Linotype"/>
        </w:rPr>
        <w:lastRenderedPageBreak/>
        <w:t>estimate for the project –</w:t>
      </w:r>
      <w:r w:rsidR="00526166" w:rsidRPr="000A6D41">
        <w:rPr>
          <w:rFonts w:ascii="Palatino Linotype" w:hAnsi="Palatino Linotype"/>
        </w:rPr>
        <w:t xml:space="preserve"> </w:t>
      </w:r>
      <w:r w:rsidR="00AD3A01">
        <w:rPr>
          <w:rFonts w:ascii="Palatino Linotype" w:hAnsi="Palatino Linotype"/>
        </w:rPr>
        <w:t>by trade, purchase and donation</w:t>
      </w:r>
      <w:r w:rsidRPr="000A6D41">
        <w:rPr>
          <w:rFonts w:ascii="Palatino Linotype" w:hAnsi="Palatino Linotype"/>
        </w:rPr>
        <w:t xml:space="preserve">. </w:t>
      </w:r>
      <w:r w:rsidR="00AD3A01">
        <w:rPr>
          <w:rFonts w:ascii="Palatino Linotype" w:hAnsi="Palatino Linotype"/>
        </w:rPr>
        <w:t>T</w:t>
      </w:r>
      <w:r w:rsidR="00AD3A01" w:rsidRPr="00AD3A01">
        <w:rPr>
          <w:rFonts w:ascii="Palatino Linotype" w:hAnsi="Palatino Linotype"/>
        </w:rPr>
        <w:t xml:space="preserve">he City of Live Oak only receives about $19,000 per year in allocations, so this $4 million figure effectively represents </w:t>
      </w:r>
      <w:r w:rsidR="00AD3A01">
        <w:rPr>
          <w:rFonts w:ascii="Palatino Linotype" w:hAnsi="Palatino Linotype"/>
        </w:rPr>
        <w:t xml:space="preserve">the </w:t>
      </w:r>
      <w:r w:rsidR="00AD3A01" w:rsidRPr="00AD3A01">
        <w:rPr>
          <w:rFonts w:ascii="Palatino Linotype" w:hAnsi="Palatino Linotype"/>
        </w:rPr>
        <w:t xml:space="preserve">equivalent </w:t>
      </w:r>
      <w:r w:rsidR="00AC7BEF">
        <w:rPr>
          <w:rFonts w:ascii="Palatino Linotype" w:hAnsi="Palatino Linotype"/>
        </w:rPr>
        <w:t xml:space="preserve">of </w:t>
      </w:r>
      <w:r w:rsidR="00AD3A01" w:rsidRPr="00AD3A01">
        <w:rPr>
          <w:rFonts w:ascii="Palatino Linotype" w:hAnsi="Palatino Linotype"/>
        </w:rPr>
        <w:t>210 years of allocations for the City.</w:t>
      </w:r>
      <w:r w:rsidR="00AD3A01">
        <w:rPr>
          <w:rFonts w:ascii="Palatino Linotype" w:hAnsi="Palatino Linotype"/>
        </w:rPr>
        <w:t xml:space="preserve"> </w:t>
      </w:r>
      <w:r w:rsidRPr="000A6D41">
        <w:rPr>
          <w:rFonts w:ascii="Palatino Linotype" w:hAnsi="Palatino Linotype"/>
        </w:rPr>
        <w:t xml:space="preserve">The City of Live Oak also explains that it had to rely on a patchwork of Federal, State and local funding for the broader Caltrans State Route 99 Project. </w:t>
      </w:r>
    </w:p>
    <w:p w14:paraId="053A360E" w14:textId="0304AAAC" w:rsidR="003578E0" w:rsidRDefault="003578E0" w:rsidP="00F06318">
      <w:pPr>
        <w:rPr>
          <w:rFonts w:ascii="Palatino Linotype" w:hAnsi="Palatino Linotype"/>
          <w:i/>
        </w:rPr>
      </w:pPr>
    </w:p>
    <w:p w14:paraId="2DAABB4D" w14:textId="3CE0556E" w:rsidR="003578E0" w:rsidRPr="000A6D41" w:rsidRDefault="003578E0" w:rsidP="00F06318">
      <w:pPr>
        <w:rPr>
          <w:rFonts w:ascii="Palatino Linotype" w:hAnsi="Palatino Linotype"/>
          <w:i/>
        </w:rPr>
      </w:pPr>
      <w:r w:rsidRPr="000A6D41">
        <w:rPr>
          <w:rFonts w:ascii="Palatino Linotype" w:hAnsi="Palatino Linotype"/>
          <w:i/>
        </w:rPr>
        <w:t>PG&amp;E’s Reply</w:t>
      </w:r>
    </w:p>
    <w:p w14:paraId="09E045A1" w14:textId="17FC398D" w:rsidR="003578E0" w:rsidRPr="000A6D41" w:rsidRDefault="003578E0" w:rsidP="00F06318">
      <w:pPr>
        <w:rPr>
          <w:rFonts w:ascii="Palatino Linotype" w:hAnsi="Palatino Linotype"/>
        </w:rPr>
      </w:pPr>
      <w:r w:rsidRPr="000A6D41">
        <w:rPr>
          <w:rFonts w:ascii="Palatino Linotype" w:hAnsi="Palatino Linotype"/>
        </w:rPr>
        <w:t>In response to TURN’s protest, PG&amp;E explains that it is not seeking a wholesale rule change for borrowing beyond five years</w:t>
      </w:r>
      <w:r w:rsidR="00D01EA3">
        <w:rPr>
          <w:rFonts w:ascii="Palatino Linotype" w:hAnsi="Palatino Linotype"/>
        </w:rPr>
        <w:t xml:space="preserve">.  </w:t>
      </w:r>
      <w:r w:rsidRPr="000A6D41">
        <w:rPr>
          <w:rFonts w:ascii="Palatino Linotype" w:hAnsi="Palatino Linotype"/>
        </w:rPr>
        <w:t xml:space="preserve">PG&amp;E is only requesting a deviation of Rule 20A for the Live Oak Blvd project. PG&amp;E clarified that the cost of the project </w:t>
      </w:r>
      <w:r w:rsidR="0055542A">
        <w:rPr>
          <w:rFonts w:ascii="Palatino Linotype" w:hAnsi="Palatino Linotype"/>
        </w:rPr>
        <w:t xml:space="preserve">is an </w:t>
      </w:r>
      <w:r w:rsidR="0055542A" w:rsidRPr="0055542A">
        <w:rPr>
          <w:rFonts w:ascii="Palatino Linotype" w:hAnsi="Palatino Linotype"/>
        </w:rPr>
        <w:t>estimated range of between $2,954,748 and $4,638,966</w:t>
      </w:r>
      <w:r w:rsidRPr="000A6D41">
        <w:rPr>
          <w:rFonts w:ascii="Palatino Linotype" w:hAnsi="Palatino Linotype"/>
        </w:rPr>
        <w:t>,</w:t>
      </w:r>
      <w:r w:rsidR="0055542A">
        <w:rPr>
          <w:rFonts w:ascii="Palatino Linotype" w:hAnsi="Palatino Linotype"/>
        </w:rPr>
        <w:t xml:space="preserve"> and</w:t>
      </w:r>
      <w:r w:rsidRPr="000A6D41">
        <w:rPr>
          <w:rFonts w:ascii="Palatino Linotype" w:hAnsi="Palatino Linotype"/>
        </w:rPr>
        <w:t xml:space="preserve"> acknowledged that the costs were still uncertain as the project had not gone out to bid for contractors who will perform the civil and conversion work. </w:t>
      </w:r>
      <w:r w:rsidR="0055542A">
        <w:rPr>
          <w:rFonts w:ascii="Palatino Linotype" w:hAnsi="Palatino Linotype"/>
        </w:rPr>
        <w:t>PG&amp;E’s deviation request intends to allow for sufficient work credits once the final costs are known.</w:t>
      </w:r>
    </w:p>
    <w:p w14:paraId="1051A986" w14:textId="77777777" w:rsidR="003578E0" w:rsidRPr="000A6D41" w:rsidRDefault="003578E0">
      <w:pPr>
        <w:rPr>
          <w:rFonts w:ascii="Palatino Linotype" w:hAnsi="Palatino Linotype"/>
        </w:rPr>
      </w:pPr>
    </w:p>
    <w:p w14:paraId="27E12A76" w14:textId="77777777" w:rsidR="003578E0" w:rsidRPr="00082728" w:rsidRDefault="003578E0" w:rsidP="00082728">
      <w:pPr>
        <w:pStyle w:val="Heading1"/>
      </w:pPr>
      <w:r w:rsidRPr="00082728">
        <w:t>Discussion</w:t>
      </w:r>
    </w:p>
    <w:p w14:paraId="6DB4F13B" w14:textId="0D1BB44F" w:rsidR="003578E0" w:rsidRPr="000A6D41" w:rsidRDefault="003578E0" w:rsidP="00CE08E4">
      <w:pPr>
        <w:rPr>
          <w:rFonts w:ascii="Palatino Linotype" w:hAnsi="Palatino Linotype"/>
        </w:rPr>
      </w:pPr>
      <w:r w:rsidRPr="000A6D41">
        <w:rPr>
          <w:rFonts w:ascii="Palatino Linotype" w:hAnsi="Palatino Linotype"/>
        </w:rPr>
        <w:t>PG&amp;E’s ALs 5403-E-A is denied for the reasons</w:t>
      </w:r>
      <w:r w:rsidR="0055542A">
        <w:rPr>
          <w:rFonts w:ascii="Palatino Linotype" w:hAnsi="Palatino Linotype"/>
        </w:rPr>
        <w:t xml:space="preserve"> discussed below.  Instead PG&amp;E is ordered to reallocate $554,000 in work credits from 92 inactive communities to enable the City of Live Oak to have sufficient work credits for its undergrounding project as detailed below.</w:t>
      </w:r>
    </w:p>
    <w:p w14:paraId="044A6D0D" w14:textId="77777777" w:rsidR="00296FFA" w:rsidRPr="000A6D41" w:rsidRDefault="00296FFA" w:rsidP="00CE08E4">
      <w:pPr>
        <w:rPr>
          <w:rFonts w:ascii="Palatino Linotype" w:hAnsi="Palatino Linotype"/>
        </w:rPr>
      </w:pPr>
    </w:p>
    <w:p w14:paraId="33B2845D" w14:textId="22E0A10E" w:rsidR="003578E0" w:rsidRPr="000A6D41" w:rsidRDefault="00355B76" w:rsidP="00CE08E4">
      <w:pPr>
        <w:rPr>
          <w:rFonts w:ascii="Palatino Linotype" w:hAnsi="Palatino Linotype"/>
          <w:i/>
        </w:rPr>
      </w:pPr>
      <w:bookmarkStart w:id="2" w:name="_Hlk1143154"/>
      <w:r>
        <w:rPr>
          <w:rFonts w:ascii="Palatino Linotype" w:hAnsi="Palatino Linotype"/>
          <w:b/>
        </w:rPr>
        <w:t>Borrowing up to 200 years</w:t>
      </w:r>
      <w:r w:rsidR="004E1506">
        <w:rPr>
          <w:rFonts w:ascii="Palatino Linotype" w:hAnsi="Palatino Linotype"/>
          <w:b/>
        </w:rPr>
        <w:t xml:space="preserve"> in Rule 20A work credits</w:t>
      </w:r>
      <w:r>
        <w:rPr>
          <w:rFonts w:ascii="Palatino Linotype" w:hAnsi="Palatino Linotype"/>
          <w:b/>
        </w:rPr>
        <w:t xml:space="preserve"> is unreasonable.</w:t>
      </w:r>
    </w:p>
    <w:p w14:paraId="628CC57D" w14:textId="79104E25" w:rsidR="003578E0" w:rsidRPr="000A6D41" w:rsidRDefault="003578E0" w:rsidP="00CE08E4">
      <w:pPr>
        <w:rPr>
          <w:rFonts w:ascii="Palatino Linotype" w:hAnsi="Palatino Linotype"/>
        </w:rPr>
      </w:pPr>
      <w:r>
        <w:rPr>
          <w:rFonts w:ascii="Palatino Linotype" w:hAnsi="Palatino Linotype"/>
        </w:rPr>
        <w:t>T</w:t>
      </w:r>
      <w:r w:rsidRPr="000A6D41">
        <w:rPr>
          <w:rFonts w:ascii="Palatino Linotype" w:hAnsi="Palatino Linotype"/>
        </w:rPr>
        <w:t xml:space="preserve">he Commission does not find </w:t>
      </w:r>
      <w:r>
        <w:rPr>
          <w:rFonts w:ascii="Palatino Linotype" w:hAnsi="Palatino Linotype"/>
        </w:rPr>
        <w:t xml:space="preserve">PG&amp;E’s contention in AL 5403-E-A that borrowing forward </w:t>
      </w:r>
      <w:r w:rsidR="00261F07">
        <w:rPr>
          <w:rFonts w:ascii="Palatino Linotype" w:hAnsi="Palatino Linotype"/>
        </w:rPr>
        <w:t xml:space="preserve">up to 200 </w:t>
      </w:r>
      <w:r>
        <w:rPr>
          <w:rFonts w:ascii="Palatino Linotype" w:hAnsi="Palatino Linotype"/>
        </w:rPr>
        <w:t xml:space="preserve">years </w:t>
      </w:r>
      <w:r w:rsidR="00261F07">
        <w:rPr>
          <w:rFonts w:ascii="Palatino Linotype" w:hAnsi="Palatino Linotype"/>
        </w:rPr>
        <w:t xml:space="preserve">of allocations </w:t>
      </w:r>
      <w:r>
        <w:rPr>
          <w:rFonts w:ascii="Palatino Linotype" w:hAnsi="Palatino Linotype"/>
        </w:rPr>
        <w:t xml:space="preserve">would </w:t>
      </w:r>
      <w:r w:rsidRPr="000A6D41">
        <w:rPr>
          <w:rFonts w:ascii="Palatino Linotype" w:hAnsi="Palatino Linotype"/>
        </w:rPr>
        <w:t xml:space="preserve">“immediately minimize delays in the Caltrans project.” PG&amp;E’s </w:t>
      </w:r>
      <w:r w:rsidR="006D1D0A">
        <w:rPr>
          <w:rFonts w:ascii="Palatino Linotype" w:hAnsi="Palatino Linotype"/>
        </w:rPr>
        <w:t>goal</w:t>
      </w:r>
      <w:r w:rsidR="00FC6023">
        <w:rPr>
          <w:rFonts w:ascii="Palatino Linotype" w:hAnsi="Palatino Linotype"/>
        </w:rPr>
        <w:t xml:space="preserve"> to </w:t>
      </w:r>
      <w:r w:rsidRPr="000A6D41">
        <w:rPr>
          <w:rFonts w:ascii="Palatino Linotype" w:hAnsi="Palatino Linotype"/>
        </w:rPr>
        <w:t xml:space="preserve">efficiently obtain </w:t>
      </w:r>
      <w:r w:rsidR="006D1D0A">
        <w:rPr>
          <w:rFonts w:ascii="Palatino Linotype" w:hAnsi="Palatino Linotype"/>
        </w:rPr>
        <w:t>work credits</w:t>
      </w:r>
      <w:r w:rsidR="006D1D0A" w:rsidRPr="000A6D41">
        <w:rPr>
          <w:rFonts w:ascii="Palatino Linotype" w:hAnsi="Palatino Linotype"/>
        </w:rPr>
        <w:t xml:space="preserve"> </w:t>
      </w:r>
      <w:r w:rsidR="00FC6023">
        <w:rPr>
          <w:rFonts w:ascii="Palatino Linotype" w:hAnsi="Palatino Linotype"/>
        </w:rPr>
        <w:t>can</w:t>
      </w:r>
      <w:r w:rsidRPr="000A6D41">
        <w:rPr>
          <w:rFonts w:ascii="Palatino Linotype" w:hAnsi="Palatino Linotype"/>
        </w:rPr>
        <w:t xml:space="preserve"> </w:t>
      </w:r>
      <w:r w:rsidR="00C74BC3">
        <w:rPr>
          <w:rFonts w:ascii="Palatino Linotype" w:hAnsi="Palatino Linotype"/>
        </w:rPr>
        <w:t xml:space="preserve">be </w:t>
      </w:r>
      <w:r w:rsidRPr="000A6D41">
        <w:rPr>
          <w:rFonts w:ascii="Palatino Linotype" w:hAnsi="Palatino Linotype"/>
        </w:rPr>
        <w:t xml:space="preserve">accommodated by </w:t>
      </w:r>
      <w:r w:rsidR="004A394F">
        <w:rPr>
          <w:rFonts w:ascii="Palatino Linotype" w:hAnsi="Palatino Linotype"/>
        </w:rPr>
        <w:t xml:space="preserve">communities </w:t>
      </w:r>
      <w:r w:rsidRPr="000A6D41">
        <w:rPr>
          <w:rFonts w:ascii="Palatino Linotype" w:hAnsi="Palatino Linotype"/>
        </w:rPr>
        <w:t>borrow</w:t>
      </w:r>
      <w:r w:rsidR="006D1D0A">
        <w:rPr>
          <w:rFonts w:ascii="Palatino Linotype" w:hAnsi="Palatino Linotype"/>
        </w:rPr>
        <w:t>ing</w:t>
      </w:r>
      <w:r w:rsidR="00FC6023">
        <w:rPr>
          <w:rFonts w:ascii="Palatino Linotype" w:hAnsi="Palatino Linotype"/>
        </w:rPr>
        <w:t xml:space="preserve"> forward </w:t>
      </w:r>
      <w:r w:rsidRPr="000A6D41">
        <w:rPr>
          <w:rFonts w:ascii="Palatino Linotype" w:hAnsi="Palatino Linotype"/>
        </w:rPr>
        <w:t>up to five years of work credit allocations to fund projects</w:t>
      </w:r>
      <w:r w:rsidR="006D1D0A">
        <w:rPr>
          <w:rFonts w:ascii="Palatino Linotype" w:hAnsi="Palatino Linotype"/>
        </w:rPr>
        <w:t xml:space="preserve"> and through reallocation from inactive communities</w:t>
      </w:r>
      <w:r w:rsidRPr="000A6D41">
        <w:rPr>
          <w:rFonts w:ascii="Palatino Linotype" w:hAnsi="Palatino Linotype"/>
        </w:rPr>
        <w:t xml:space="preserve">. </w:t>
      </w:r>
      <w:r w:rsidR="001010F6">
        <w:rPr>
          <w:rFonts w:ascii="Palatino Linotype" w:hAnsi="Palatino Linotype"/>
        </w:rPr>
        <w:t>Furthermore, t</w:t>
      </w:r>
      <w:r w:rsidRPr="000A6D41">
        <w:rPr>
          <w:rFonts w:ascii="Palatino Linotype" w:hAnsi="Palatino Linotype"/>
        </w:rPr>
        <w:t xml:space="preserve">he Commission dismissed similar arguments </w:t>
      </w:r>
      <w:r w:rsidR="001010F6">
        <w:rPr>
          <w:rFonts w:ascii="Palatino Linotype" w:hAnsi="Palatino Linotype"/>
        </w:rPr>
        <w:t xml:space="preserve">in 2008 </w:t>
      </w:r>
      <w:r w:rsidRPr="000A6D41">
        <w:rPr>
          <w:rFonts w:ascii="Palatino Linotype" w:hAnsi="Palatino Linotype"/>
        </w:rPr>
        <w:t xml:space="preserve">from </w:t>
      </w:r>
      <w:r w:rsidR="00F66C58" w:rsidRPr="00F66C58">
        <w:rPr>
          <w:rFonts w:ascii="Palatino Linotype" w:hAnsi="Palatino Linotype"/>
        </w:rPr>
        <w:t xml:space="preserve">Southern California Edison </w:t>
      </w:r>
      <w:r w:rsidRPr="000A6D41">
        <w:rPr>
          <w:rFonts w:ascii="Palatino Linotype" w:hAnsi="Palatino Linotype"/>
        </w:rPr>
        <w:t>in Resolution E-4146</w:t>
      </w:r>
      <w:r w:rsidR="006D1D0A">
        <w:rPr>
          <w:rFonts w:ascii="Palatino Linotype" w:hAnsi="Palatino Linotype"/>
        </w:rPr>
        <w:t xml:space="preserve"> which denied their</w:t>
      </w:r>
      <w:r w:rsidR="004A394F">
        <w:rPr>
          <w:rFonts w:ascii="Palatino Linotype" w:hAnsi="Palatino Linotype"/>
        </w:rPr>
        <w:t xml:space="preserve"> deviation</w:t>
      </w:r>
      <w:r w:rsidR="006D1D0A">
        <w:rPr>
          <w:rFonts w:ascii="Palatino Linotype" w:hAnsi="Palatino Linotype"/>
        </w:rPr>
        <w:t xml:space="preserve"> request to</w:t>
      </w:r>
      <w:r w:rsidRPr="000A6D41">
        <w:rPr>
          <w:rFonts w:ascii="Palatino Linotype" w:hAnsi="Palatino Linotype"/>
        </w:rPr>
        <w:t xml:space="preserve"> </w:t>
      </w:r>
      <w:r w:rsidR="001010F6">
        <w:rPr>
          <w:rFonts w:ascii="Palatino Linotype" w:hAnsi="Palatino Linotype"/>
        </w:rPr>
        <w:t>allow</w:t>
      </w:r>
      <w:r w:rsidR="00F66C58" w:rsidRPr="00F66C58">
        <w:rPr>
          <w:rFonts w:ascii="Palatino Linotype" w:hAnsi="Palatino Linotype"/>
        </w:rPr>
        <w:t xml:space="preserve"> the City of La Habra to borrow beyond five years “to </w:t>
      </w:r>
      <w:r w:rsidR="00F66C58" w:rsidRPr="00F66C58">
        <w:rPr>
          <w:rFonts w:ascii="Palatino Linotype" w:hAnsi="Palatino Linotype"/>
        </w:rPr>
        <w:lastRenderedPageBreak/>
        <w:t>avoid the loss of $663,750 in [county] funds and further delay in this long-anticipated Project.”</w:t>
      </w:r>
      <w:r w:rsidR="00754E3A">
        <w:rPr>
          <w:rStyle w:val="FootnoteReference"/>
          <w:rFonts w:ascii="Palatino Linotype" w:hAnsi="Palatino Linotype"/>
        </w:rPr>
        <w:footnoteReference w:id="15"/>
      </w:r>
    </w:p>
    <w:p w14:paraId="3E137CF7" w14:textId="08F73FEB" w:rsidR="003578E0" w:rsidRPr="000A6D41" w:rsidRDefault="003578E0" w:rsidP="00CE08E4">
      <w:pPr>
        <w:rPr>
          <w:rFonts w:ascii="Palatino Linotype" w:hAnsi="Palatino Linotype"/>
        </w:rPr>
      </w:pPr>
    </w:p>
    <w:p w14:paraId="0E331FA0" w14:textId="1D309E53" w:rsidR="0040052D" w:rsidRDefault="0040052D" w:rsidP="0040052D">
      <w:pPr>
        <w:rPr>
          <w:rFonts w:ascii="Palatino Linotype" w:hAnsi="Palatino Linotype"/>
          <w:b/>
        </w:rPr>
      </w:pPr>
      <w:r>
        <w:rPr>
          <w:rFonts w:ascii="Palatino Linotype" w:hAnsi="Palatino Linotype"/>
          <w:b/>
        </w:rPr>
        <w:t xml:space="preserve">The </w:t>
      </w:r>
      <w:r w:rsidRPr="000A6D41">
        <w:rPr>
          <w:rFonts w:ascii="Palatino Linotype" w:hAnsi="Palatino Linotype"/>
          <w:b/>
        </w:rPr>
        <w:t xml:space="preserve">Commission </w:t>
      </w:r>
      <w:r>
        <w:rPr>
          <w:rFonts w:ascii="Palatino Linotype" w:hAnsi="Palatino Linotype"/>
          <w:b/>
        </w:rPr>
        <w:t>has granted deviations from Rule 20A to b</w:t>
      </w:r>
      <w:r w:rsidR="001E618A">
        <w:rPr>
          <w:rFonts w:ascii="Palatino Linotype" w:hAnsi="Palatino Linotype"/>
          <w:b/>
        </w:rPr>
        <w:t>o</w:t>
      </w:r>
      <w:r>
        <w:rPr>
          <w:rFonts w:ascii="Palatino Linotype" w:hAnsi="Palatino Linotype"/>
          <w:b/>
        </w:rPr>
        <w:t xml:space="preserve">rrow beyond </w:t>
      </w:r>
      <w:r w:rsidR="00721418">
        <w:rPr>
          <w:rFonts w:ascii="Palatino Linotype" w:hAnsi="Palatino Linotype"/>
          <w:b/>
        </w:rPr>
        <w:br/>
      </w:r>
      <w:r>
        <w:rPr>
          <w:rFonts w:ascii="Palatino Linotype" w:hAnsi="Palatino Linotype"/>
          <w:b/>
        </w:rPr>
        <w:t>5 years for limited circumstances not present in this project.</w:t>
      </w:r>
    </w:p>
    <w:p w14:paraId="383FE544" w14:textId="2E6400B2" w:rsidR="0040052D" w:rsidRPr="000A6D41" w:rsidRDefault="0040052D" w:rsidP="0040052D">
      <w:pPr>
        <w:rPr>
          <w:rFonts w:ascii="Palatino Linotype" w:hAnsi="Palatino Linotype"/>
        </w:rPr>
      </w:pPr>
      <w:r>
        <w:rPr>
          <w:rFonts w:ascii="Palatino Linotype" w:hAnsi="Palatino Linotype"/>
        </w:rPr>
        <w:t>T</w:t>
      </w:r>
      <w:r w:rsidRPr="000A6D41">
        <w:rPr>
          <w:rFonts w:ascii="Palatino Linotype" w:hAnsi="Palatino Linotype"/>
        </w:rPr>
        <w:t xml:space="preserve">he Commission </w:t>
      </w:r>
      <w:r>
        <w:rPr>
          <w:rFonts w:ascii="Palatino Linotype" w:hAnsi="Palatino Linotype"/>
        </w:rPr>
        <w:t xml:space="preserve">has not </w:t>
      </w:r>
      <w:r w:rsidRPr="000A6D41">
        <w:rPr>
          <w:rFonts w:ascii="Palatino Linotype" w:hAnsi="Palatino Linotype"/>
        </w:rPr>
        <w:t>allow</w:t>
      </w:r>
      <w:r>
        <w:rPr>
          <w:rFonts w:ascii="Palatino Linotype" w:hAnsi="Palatino Linotype"/>
        </w:rPr>
        <w:t>ed</w:t>
      </w:r>
      <w:r w:rsidRPr="000A6D41">
        <w:rPr>
          <w:rFonts w:ascii="Palatino Linotype" w:hAnsi="Palatino Linotype"/>
        </w:rPr>
        <w:t xml:space="preserve"> unlimited </w:t>
      </w:r>
      <w:r>
        <w:rPr>
          <w:rFonts w:ascii="Palatino Linotype" w:hAnsi="Palatino Linotype"/>
        </w:rPr>
        <w:t xml:space="preserve">work credit </w:t>
      </w:r>
      <w:r w:rsidRPr="000A6D41">
        <w:rPr>
          <w:rFonts w:ascii="Palatino Linotype" w:hAnsi="Palatino Linotype"/>
        </w:rPr>
        <w:t>borrowing by communities</w:t>
      </w:r>
      <w:r>
        <w:rPr>
          <w:rFonts w:ascii="Palatino Linotype" w:hAnsi="Palatino Linotype"/>
        </w:rPr>
        <w:t xml:space="preserve">.  </w:t>
      </w:r>
      <w:r w:rsidR="00B10B6F">
        <w:rPr>
          <w:rFonts w:ascii="Palatino Linotype" w:hAnsi="Palatino Linotype"/>
        </w:rPr>
        <w:t xml:space="preserve">In 2008, </w:t>
      </w:r>
      <w:r w:rsidRPr="000A6D41">
        <w:rPr>
          <w:rFonts w:ascii="Palatino Linotype" w:hAnsi="Palatino Linotype"/>
        </w:rPr>
        <w:t>Resolution E-4001</w:t>
      </w:r>
      <w:r>
        <w:rPr>
          <w:rFonts w:ascii="Palatino Linotype" w:hAnsi="Palatino Linotype"/>
        </w:rPr>
        <w:t xml:space="preserve"> denied the utilities from seeking Rule 20A deviation requests </w:t>
      </w:r>
      <w:r w:rsidR="00B10B6F">
        <w:rPr>
          <w:rFonts w:ascii="Palatino Linotype" w:hAnsi="Palatino Linotype"/>
        </w:rPr>
        <w:t>beyond</w:t>
      </w:r>
      <w:r>
        <w:rPr>
          <w:rFonts w:ascii="Palatino Linotype" w:hAnsi="Palatino Linotype"/>
        </w:rPr>
        <w:t xml:space="preserve"> the five-year borrow limit</w:t>
      </w:r>
      <w:r w:rsidR="00B10B6F">
        <w:rPr>
          <w:rFonts w:ascii="Palatino Linotype" w:hAnsi="Palatino Linotype"/>
        </w:rPr>
        <w:t>:</w:t>
      </w:r>
    </w:p>
    <w:p w14:paraId="064B2C69" w14:textId="77777777" w:rsidR="0040052D" w:rsidRPr="000A6D41" w:rsidRDefault="0040052D" w:rsidP="0040052D">
      <w:pPr>
        <w:rPr>
          <w:rFonts w:ascii="Palatino Linotype" w:hAnsi="Palatino Linotype"/>
        </w:rPr>
      </w:pPr>
    </w:p>
    <w:p w14:paraId="0CF36F4C" w14:textId="6D369C82" w:rsidR="0040052D" w:rsidRDefault="0040052D" w:rsidP="0040052D">
      <w:pPr>
        <w:ind w:left="720"/>
        <w:rPr>
          <w:rFonts w:ascii="Palatino Linotype" w:hAnsi="Palatino Linotype"/>
        </w:rPr>
      </w:pPr>
      <w:r w:rsidRPr="000A6D41">
        <w:rPr>
          <w:rFonts w:ascii="Palatino Linotype" w:hAnsi="Palatino Linotype"/>
        </w:rPr>
        <w:t xml:space="preserve">The Commission should maintain and extend the policy adopted in Res. </w:t>
      </w:r>
      <w:r w:rsidR="00721418">
        <w:rPr>
          <w:rFonts w:ascii="Palatino Linotype" w:hAnsi="Palatino Linotype"/>
        </w:rPr>
        <w:br/>
      </w:r>
      <w:r w:rsidRPr="000A6D41">
        <w:rPr>
          <w:rFonts w:ascii="Palatino Linotype" w:hAnsi="Palatino Linotype"/>
        </w:rPr>
        <w:t>E-3968</w:t>
      </w:r>
      <w:r w:rsidR="00B10B6F">
        <w:rPr>
          <w:rStyle w:val="FootnoteReference"/>
          <w:rFonts w:ascii="Palatino Linotype" w:hAnsi="Palatino Linotype"/>
        </w:rPr>
        <w:footnoteReference w:id="16"/>
      </w:r>
      <w:r w:rsidRPr="000A6D41">
        <w:rPr>
          <w:rFonts w:ascii="Palatino Linotype" w:hAnsi="Palatino Linotype"/>
        </w:rPr>
        <w:t xml:space="preserve"> of denying utility exemption requests for authority to commit funds or to begin construction of a project having foreseeable project cost over-runs that require mortgaging more than 5 years of a community’s Rule 20 estimated allocations.</w:t>
      </w:r>
      <w:r w:rsidR="00B10B6F">
        <w:rPr>
          <w:rStyle w:val="FootnoteReference"/>
          <w:rFonts w:ascii="Palatino Linotype" w:hAnsi="Palatino Linotype"/>
        </w:rPr>
        <w:footnoteReference w:id="17"/>
      </w:r>
      <w:r w:rsidRPr="000A6D41">
        <w:rPr>
          <w:rFonts w:ascii="Palatino Linotype" w:hAnsi="Palatino Linotype"/>
        </w:rPr>
        <w:t xml:space="preserve">   </w:t>
      </w:r>
    </w:p>
    <w:p w14:paraId="72015E18" w14:textId="77777777" w:rsidR="0040052D" w:rsidRDefault="0040052D" w:rsidP="0040052D">
      <w:pPr>
        <w:rPr>
          <w:rFonts w:ascii="Palatino Linotype" w:hAnsi="Palatino Linotype"/>
          <w:b/>
        </w:rPr>
      </w:pPr>
    </w:p>
    <w:p w14:paraId="0D149E26" w14:textId="458DCE00" w:rsidR="00B10B6F" w:rsidRDefault="00B10B6F" w:rsidP="0040052D">
      <w:pPr>
        <w:rPr>
          <w:rFonts w:ascii="Palatino Linotype" w:hAnsi="Palatino Linotype"/>
        </w:rPr>
      </w:pPr>
      <w:r>
        <w:rPr>
          <w:rFonts w:ascii="Palatino Linotype" w:hAnsi="Palatino Linotype"/>
        </w:rPr>
        <w:t>Resolution E-4001 set precedent for limited exceptions.  Ordering Paragraph 1 of that resolution states:</w:t>
      </w:r>
    </w:p>
    <w:p w14:paraId="6C24A56C" w14:textId="54EB0EC1" w:rsidR="00B10B6F" w:rsidRDefault="00B10B6F" w:rsidP="0040052D">
      <w:pPr>
        <w:rPr>
          <w:rFonts w:ascii="Palatino Linotype" w:hAnsi="Palatino Linotype"/>
        </w:rPr>
      </w:pPr>
    </w:p>
    <w:p w14:paraId="58A1D8F4" w14:textId="6B263C31" w:rsidR="00B10B6F" w:rsidRDefault="00B10B6F" w:rsidP="00B50F4C">
      <w:pPr>
        <w:spacing w:after="240"/>
        <w:ind w:left="720"/>
        <w:rPr>
          <w:rFonts w:ascii="Palatino Linotype" w:hAnsi="Palatino Linotype"/>
        </w:rPr>
      </w:pPr>
      <w:r w:rsidRPr="00B10B6F">
        <w:rPr>
          <w:rFonts w:ascii="Palatino Linotype" w:hAnsi="Palatino Linotype"/>
        </w:rPr>
        <w:t>Electric utilities shall not commit ratepayers to the costs of an Electric Rule 20 overhead conversion project that requires borrowing more than five years of a community’s Electric Rule 20A allocations without Commission’s approval. Excess costs not approved by the Commission, will be paid either by pre-arranged community funds or by the utility shareholders. An exception may be made for excess costs resulting from unanticipated conditions encountered during construction.</w:t>
      </w:r>
    </w:p>
    <w:p w14:paraId="54777403" w14:textId="7DA14308" w:rsidR="0040052D" w:rsidRPr="00B50F4C" w:rsidRDefault="00432B48" w:rsidP="0040052D">
      <w:pPr>
        <w:rPr>
          <w:rFonts w:ascii="Palatino Linotype" w:hAnsi="Palatino Linotype"/>
        </w:rPr>
      </w:pPr>
      <w:r w:rsidRPr="00B50F4C">
        <w:rPr>
          <w:rFonts w:ascii="Palatino Linotype" w:hAnsi="Palatino Linotype"/>
        </w:rPr>
        <w:lastRenderedPageBreak/>
        <w:t xml:space="preserve">The </w:t>
      </w:r>
      <w:r>
        <w:rPr>
          <w:rFonts w:ascii="Palatino Linotype" w:hAnsi="Palatino Linotype"/>
        </w:rPr>
        <w:t xml:space="preserve">Commission further clarifies that electric utilities shall not allow communities to </w:t>
      </w:r>
      <w:r w:rsidR="008F3273">
        <w:rPr>
          <w:rFonts w:ascii="Palatino Linotype" w:hAnsi="Palatino Linotype"/>
        </w:rPr>
        <w:t>proceed</w:t>
      </w:r>
      <w:r>
        <w:rPr>
          <w:rFonts w:ascii="Palatino Linotype" w:hAnsi="Palatino Linotype"/>
        </w:rPr>
        <w:t xml:space="preserve"> with any Rule 20A project that cannot be funded through its banked allocations and five-year borrow alone without Commission approval through a Tier 3 Advice Letter. </w:t>
      </w:r>
    </w:p>
    <w:p w14:paraId="7B40B1DA" w14:textId="77777777" w:rsidR="00432B48" w:rsidRDefault="00432B48" w:rsidP="0040052D">
      <w:pPr>
        <w:rPr>
          <w:rFonts w:ascii="Palatino Linotype" w:hAnsi="Palatino Linotype"/>
          <w:b/>
        </w:rPr>
      </w:pPr>
    </w:p>
    <w:p w14:paraId="15F9D73B" w14:textId="61729EF6" w:rsidR="0040052D" w:rsidRPr="000A6D41" w:rsidRDefault="0040052D" w:rsidP="0040052D">
      <w:pPr>
        <w:rPr>
          <w:rFonts w:ascii="Palatino Linotype" w:hAnsi="Palatino Linotype"/>
          <w:b/>
        </w:rPr>
      </w:pPr>
      <w:r>
        <w:rPr>
          <w:rFonts w:ascii="Palatino Linotype" w:hAnsi="Palatino Linotype"/>
          <w:b/>
        </w:rPr>
        <w:t>Allowing</w:t>
      </w:r>
      <w:r w:rsidRPr="000A6D41">
        <w:rPr>
          <w:rFonts w:ascii="Palatino Linotype" w:hAnsi="Palatino Linotype"/>
          <w:b/>
        </w:rPr>
        <w:t xml:space="preserve"> the City of Live Oak to </w:t>
      </w:r>
      <w:r w:rsidR="00816D62">
        <w:rPr>
          <w:rFonts w:ascii="Palatino Linotype" w:hAnsi="Palatino Linotype"/>
          <w:b/>
        </w:rPr>
        <w:t>“</w:t>
      </w:r>
      <w:r w:rsidRPr="000A6D41">
        <w:rPr>
          <w:rFonts w:ascii="Palatino Linotype" w:hAnsi="Palatino Linotype"/>
          <w:b/>
        </w:rPr>
        <w:t>mortgage</w:t>
      </w:r>
      <w:r w:rsidR="00816D62">
        <w:rPr>
          <w:rFonts w:ascii="Palatino Linotype" w:hAnsi="Palatino Linotype"/>
          <w:b/>
        </w:rPr>
        <w:t>”</w:t>
      </w:r>
      <w:r w:rsidRPr="000A6D41">
        <w:rPr>
          <w:rFonts w:ascii="Palatino Linotype" w:hAnsi="Palatino Linotype"/>
          <w:b/>
        </w:rPr>
        <w:t xml:space="preserve"> beyond five years to fund a project may represent a significant legal obligation</w:t>
      </w:r>
      <w:r>
        <w:rPr>
          <w:rFonts w:ascii="Palatino Linotype" w:hAnsi="Palatino Linotype"/>
          <w:b/>
        </w:rPr>
        <w:t xml:space="preserve"> and risk</w:t>
      </w:r>
      <w:r w:rsidRPr="000A6D41">
        <w:rPr>
          <w:rFonts w:ascii="Palatino Linotype" w:hAnsi="Palatino Linotype"/>
          <w:b/>
        </w:rPr>
        <w:t xml:space="preserve"> for the City </w:t>
      </w:r>
    </w:p>
    <w:p w14:paraId="2CC2A34A" w14:textId="0B08C64F" w:rsidR="0040052D" w:rsidRPr="000A6D41" w:rsidRDefault="0040052D" w:rsidP="0040052D">
      <w:pPr>
        <w:spacing w:after="240"/>
        <w:rPr>
          <w:rFonts w:ascii="Palatino Linotype" w:hAnsi="Palatino Linotype"/>
        </w:rPr>
      </w:pPr>
      <w:r w:rsidRPr="000A6D41">
        <w:rPr>
          <w:rFonts w:ascii="Palatino Linotype" w:hAnsi="Palatino Linotype"/>
        </w:rPr>
        <w:t xml:space="preserve">PG&amp;E’s proposal to have the City of Live Oak borrow forward up to </w:t>
      </w:r>
      <w:r>
        <w:rPr>
          <w:rFonts w:ascii="Palatino Linotype" w:hAnsi="Palatino Linotype"/>
        </w:rPr>
        <w:t>200</w:t>
      </w:r>
      <w:r w:rsidRPr="000A6D41">
        <w:rPr>
          <w:rFonts w:ascii="Palatino Linotype" w:hAnsi="Palatino Linotype"/>
        </w:rPr>
        <w:t xml:space="preserve"> years to fund the Live Oak Blvd. project may represent a significant legal obligation that the City of Live Oak may have to pay back the negative work credit balance to PG&amp;E. In the R.17-05-010 Proceeding’s Assigned Commissioner’s Scoping Memo and Ruling that was filed on November 9, 2018, </w:t>
      </w:r>
      <w:r>
        <w:rPr>
          <w:rFonts w:ascii="Palatino Linotype" w:hAnsi="Palatino Linotype"/>
        </w:rPr>
        <w:t>Q</w:t>
      </w:r>
      <w:r w:rsidRPr="000A6D41">
        <w:rPr>
          <w:rFonts w:ascii="Palatino Linotype" w:hAnsi="Palatino Linotype"/>
        </w:rPr>
        <w:t>uestion 20</w:t>
      </w:r>
      <w:r>
        <w:rPr>
          <w:rFonts w:ascii="Palatino Linotype" w:hAnsi="Palatino Linotype"/>
        </w:rPr>
        <w:t xml:space="preserve"> asks</w:t>
      </w:r>
      <w:r w:rsidRPr="000A6D41">
        <w:rPr>
          <w:rFonts w:ascii="Palatino Linotype" w:hAnsi="Palatino Linotype"/>
        </w:rPr>
        <w:t>:</w:t>
      </w:r>
    </w:p>
    <w:p w14:paraId="41FF11D8" w14:textId="77777777" w:rsidR="0040052D" w:rsidRPr="000A6D41" w:rsidRDefault="0040052D" w:rsidP="0040052D">
      <w:pPr>
        <w:ind w:left="720"/>
        <w:rPr>
          <w:rFonts w:ascii="Palatino Linotype" w:hAnsi="Palatino Linotype"/>
          <w:i/>
        </w:rPr>
      </w:pPr>
      <w:r w:rsidRPr="000A6D41">
        <w:rPr>
          <w:rFonts w:ascii="Palatino Linotype" w:hAnsi="Palatino Linotype"/>
          <w:i/>
        </w:rPr>
        <w:t>Does a community’s negative Rule 20A work credit balance (beyond 5 years) represent a legal obligation for a community to pay back to the utility?</w:t>
      </w:r>
    </w:p>
    <w:p w14:paraId="715C5BA4" w14:textId="77777777" w:rsidR="0040052D" w:rsidRPr="000A6D41" w:rsidRDefault="0040052D" w:rsidP="0040052D">
      <w:pPr>
        <w:rPr>
          <w:rFonts w:ascii="Palatino Linotype" w:hAnsi="Palatino Linotype"/>
        </w:rPr>
      </w:pPr>
    </w:p>
    <w:p w14:paraId="7F348A0D" w14:textId="2E957C9F" w:rsidR="0040052D" w:rsidRDefault="0040052D" w:rsidP="0040052D">
      <w:pPr>
        <w:rPr>
          <w:rFonts w:ascii="Palatino Linotype" w:hAnsi="Palatino Linotype"/>
        </w:rPr>
      </w:pPr>
      <w:r w:rsidRPr="000A6D41">
        <w:rPr>
          <w:rFonts w:ascii="Palatino Linotype" w:hAnsi="Palatino Linotype"/>
        </w:rPr>
        <w:t xml:space="preserve">The issue </w:t>
      </w:r>
      <w:r>
        <w:rPr>
          <w:rFonts w:ascii="Palatino Linotype" w:hAnsi="Palatino Linotype"/>
        </w:rPr>
        <w:t xml:space="preserve">currently </w:t>
      </w:r>
      <w:r w:rsidRPr="000A6D41">
        <w:rPr>
          <w:rFonts w:ascii="Palatino Linotype" w:hAnsi="Palatino Linotype"/>
        </w:rPr>
        <w:t>remains unanswered</w:t>
      </w:r>
      <w:r>
        <w:rPr>
          <w:rFonts w:ascii="Palatino Linotype" w:hAnsi="Palatino Linotype"/>
        </w:rPr>
        <w:t xml:space="preserve"> in an open proceeding where it should be resolved.</w:t>
      </w:r>
    </w:p>
    <w:p w14:paraId="04F0C670" w14:textId="77777777" w:rsidR="0040052D" w:rsidRDefault="0040052D" w:rsidP="0040052D">
      <w:pPr>
        <w:rPr>
          <w:rFonts w:ascii="Palatino Linotype" w:hAnsi="Palatino Linotype"/>
          <w:b/>
        </w:rPr>
      </w:pPr>
    </w:p>
    <w:p w14:paraId="7B2CECE0" w14:textId="63B7D007" w:rsidR="0040052D" w:rsidRPr="000A6D41" w:rsidRDefault="0040052D" w:rsidP="0040052D">
      <w:pPr>
        <w:rPr>
          <w:rFonts w:ascii="Palatino Linotype" w:hAnsi="Palatino Linotype"/>
          <w:b/>
        </w:rPr>
      </w:pPr>
      <w:r w:rsidRPr="000A6D41">
        <w:rPr>
          <w:rFonts w:ascii="Palatino Linotype" w:hAnsi="Palatino Linotype"/>
          <w:b/>
        </w:rPr>
        <w:t xml:space="preserve">PG&amp;E’s solution to request to deviate from Rule 20A to assist similarly situated communities to Live Oak </w:t>
      </w:r>
      <w:r>
        <w:rPr>
          <w:rFonts w:ascii="Palatino Linotype" w:hAnsi="Palatino Linotype"/>
          <w:b/>
        </w:rPr>
        <w:t>is unreasonable and may represent a significant ratepayer liability</w:t>
      </w:r>
      <w:r w:rsidRPr="000A6D41">
        <w:rPr>
          <w:rFonts w:ascii="Palatino Linotype" w:hAnsi="Palatino Linotype"/>
          <w:b/>
        </w:rPr>
        <w:t>.</w:t>
      </w:r>
    </w:p>
    <w:p w14:paraId="0588500E" w14:textId="74AE747D" w:rsidR="0040052D" w:rsidRPr="000A6D41" w:rsidRDefault="0040052D" w:rsidP="0040052D">
      <w:pPr>
        <w:rPr>
          <w:rFonts w:ascii="Palatino Linotype" w:hAnsi="Palatino Linotype"/>
        </w:rPr>
      </w:pPr>
      <w:r w:rsidRPr="000A6D41">
        <w:rPr>
          <w:rFonts w:ascii="Palatino Linotype" w:hAnsi="Palatino Linotype"/>
        </w:rPr>
        <w:t>In PG&amp;E’s AL 5403-E</w:t>
      </w:r>
      <w:r>
        <w:rPr>
          <w:rFonts w:ascii="Palatino Linotype" w:hAnsi="Palatino Linotype"/>
        </w:rPr>
        <w:t>-A</w:t>
      </w:r>
      <w:r w:rsidRPr="000A6D41">
        <w:rPr>
          <w:rFonts w:ascii="Palatino Linotype" w:hAnsi="Palatino Linotype"/>
        </w:rPr>
        <w:t xml:space="preserve">, PG&amp;E proposes to resolve the Rule 20A work credit financing issue for other communities that are in a similar situation as the City of Live Oak. </w:t>
      </w:r>
      <w:r w:rsidR="00B10B6F">
        <w:rPr>
          <w:rFonts w:ascii="Palatino Linotype" w:hAnsi="Palatino Linotype"/>
        </w:rPr>
        <w:t xml:space="preserve"> </w:t>
      </w:r>
      <w:r w:rsidRPr="000A6D41">
        <w:rPr>
          <w:rFonts w:ascii="Palatino Linotype" w:hAnsi="Palatino Linotype"/>
        </w:rPr>
        <w:t xml:space="preserve">Based on the precedent set by Resolution E-4001, unless there are unforeseen costs encountered during construction, the Commission will not </w:t>
      </w:r>
      <w:r>
        <w:rPr>
          <w:rFonts w:ascii="Palatino Linotype" w:hAnsi="Palatino Linotype"/>
        </w:rPr>
        <w:t>entertain</w:t>
      </w:r>
      <w:r w:rsidRPr="000A6D41">
        <w:rPr>
          <w:rFonts w:ascii="Palatino Linotype" w:hAnsi="Palatino Linotype"/>
        </w:rPr>
        <w:t xml:space="preserve"> such requests.</w:t>
      </w:r>
      <w:r w:rsidR="00F92EE0">
        <w:rPr>
          <w:rFonts w:ascii="Palatino Linotype" w:hAnsi="Palatino Linotype"/>
        </w:rPr>
        <w:t xml:space="preserve"> </w:t>
      </w:r>
      <w:r w:rsidRPr="000A6D41">
        <w:rPr>
          <w:rFonts w:ascii="Palatino Linotype" w:hAnsi="Palatino Linotype"/>
        </w:rPr>
        <w:t xml:space="preserve">  </w:t>
      </w:r>
    </w:p>
    <w:p w14:paraId="0A987436" w14:textId="77777777" w:rsidR="00D35F42" w:rsidRDefault="00D35F42" w:rsidP="0040052D">
      <w:pPr>
        <w:rPr>
          <w:rFonts w:ascii="Palatino Linotype" w:hAnsi="Palatino Linotype"/>
        </w:rPr>
      </w:pPr>
    </w:p>
    <w:p w14:paraId="55475BE7" w14:textId="6FE5DAD8" w:rsidR="007A3170" w:rsidRDefault="007A3170" w:rsidP="007A3170">
      <w:pPr>
        <w:rPr>
          <w:rFonts w:ascii="Palatino Linotype" w:hAnsi="Palatino Linotype"/>
          <w:b/>
        </w:rPr>
      </w:pPr>
      <w:r>
        <w:rPr>
          <w:rFonts w:ascii="Palatino Linotype" w:hAnsi="Palatino Linotype"/>
          <w:b/>
        </w:rPr>
        <w:t xml:space="preserve">More </w:t>
      </w:r>
      <w:r w:rsidR="00251411">
        <w:rPr>
          <w:rFonts w:ascii="Palatino Linotype" w:hAnsi="Palatino Linotype"/>
          <w:b/>
        </w:rPr>
        <w:t>precise</w:t>
      </w:r>
      <w:r>
        <w:rPr>
          <w:rFonts w:ascii="Palatino Linotype" w:hAnsi="Palatino Linotype"/>
          <w:b/>
        </w:rPr>
        <w:t xml:space="preserve"> cost information is now available and the City of Live Oak needs an addition</w:t>
      </w:r>
      <w:r w:rsidR="00B66802">
        <w:rPr>
          <w:rFonts w:ascii="Palatino Linotype" w:hAnsi="Palatino Linotype"/>
          <w:b/>
        </w:rPr>
        <w:t>al</w:t>
      </w:r>
      <w:r>
        <w:rPr>
          <w:rFonts w:ascii="Palatino Linotype" w:hAnsi="Palatino Linotype"/>
          <w:b/>
        </w:rPr>
        <w:t xml:space="preserve"> $554,000 of work credits to complete the undergrounding project.</w:t>
      </w:r>
    </w:p>
    <w:p w14:paraId="2D9D9871" w14:textId="2F9DF6D9" w:rsidR="007A3170" w:rsidRDefault="00877BAF" w:rsidP="007A3170">
      <w:pPr>
        <w:rPr>
          <w:rFonts w:ascii="Palatino Linotype" w:hAnsi="Palatino Linotype"/>
        </w:rPr>
      </w:pPr>
      <w:r>
        <w:rPr>
          <w:rFonts w:ascii="Palatino Linotype" w:hAnsi="Palatino Linotype"/>
        </w:rPr>
        <w:t xml:space="preserve">PG&amp;E explained to </w:t>
      </w:r>
      <w:r w:rsidR="003C4D40">
        <w:rPr>
          <w:rFonts w:ascii="Palatino Linotype" w:hAnsi="Palatino Linotype"/>
        </w:rPr>
        <w:t xml:space="preserve">the Commission’s </w:t>
      </w:r>
      <w:r w:rsidR="00781A6F">
        <w:rPr>
          <w:rFonts w:ascii="Palatino Linotype" w:hAnsi="Palatino Linotype"/>
        </w:rPr>
        <w:t xml:space="preserve">Energy Division </w:t>
      </w:r>
      <w:r>
        <w:rPr>
          <w:rFonts w:ascii="Palatino Linotype" w:hAnsi="Palatino Linotype"/>
        </w:rPr>
        <w:t xml:space="preserve">Staff </w:t>
      </w:r>
      <w:r w:rsidR="00251411">
        <w:rPr>
          <w:rFonts w:ascii="Palatino Linotype" w:hAnsi="Palatino Linotype"/>
        </w:rPr>
        <w:t xml:space="preserve">through an email </w:t>
      </w:r>
      <w:r>
        <w:rPr>
          <w:rFonts w:ascii="Palatino Linotype" w:hAnsi="Palatino Linotype"/>
        </w:rPr>
        <w:t>dated</w:t>
      </w:r>
      <w:r w:rsidR="00251411">
        <w:rPr>
          <w:rFonts w:ascii="Palatino Linotype" w:hAnsi="Palatino Linotype"/>
        </w:rPr>
        <w:t xml:space="preserve"> February 5, 2019 that </w:t>
      </w:r>
      <w:r>
        <w:rPr>
          <w:rFonts w:ascii="Palatino Linotype" w:hAnsi="Palatino Linotype"/>
        </w:rPr>
        <w:t>PG&amp;E now estimates</w:t>
      </w:r>
      <w:r w:rsidR="00251411">
        <w:rPr>
          <w:rFonts w:ascii="Palatino Linotype" w:hAnsi="Palatino Linotype"/>
        </w:rPr>
        <w:t xml:space="preserve"> </w:t>
      </w:r>
      <w:r>
        <w:rPr>
          <w:rFonts w:ascii="Palatino Linotype" w:hAnsi="Palatino Linotype"/>
        </w:rPr>
        <w:t>that the cost of the project to be $4,554,000 based on the bid results they received in January. Given that the City of Live Oak has a work credit balance of approximately $4 million, this means that the City will need an additional $554,000, which is equ</w:t>
      </w:r>
      <w:r w:rsidR="00AC7BEF">
        <w:rPr>
          <w:rFonts w:ascii="Palatino Linotype" w:hAnsi="Palatino Linotype"/>
        </w:rPr>
        <w:t>al</w:t>
      </w:r>
      <w:r>
        <w:rPr>
          <w:rFonts w:ascii="Palatino Linotype" w:hAnsi="Palatino Linotype"/>
        </w:rPr>
        <w:t xml:space="preserve"> to about 29 years of allocations. </w:t>
      </w:r>
      <w:r w:rsidR="00251411">
        <w:rPr>
          <w:rFonts w:ascii="Palatino Linotype" w:hAnsi="Palatino Linotype"/>
        </w:rPr>
        <w:t xml:space="preserve"> </w:t>
      </w:r>
    </w:p>
    <w:p w14:paraId="6CD87D44" w14:textId="24BFEB9D" w:rsidR="008515C6" w:rsidRDefault="008515C6" w:rsidP="008515C6">
      <w:pPr>
        <w:rPr>
          <w:rFonts w:ascii="Palatino Linotype" w:hAnsi="Palatino Linotype"/>
        </w:rPr>
      </w:pPr>
      <w:r w:rsidRPr="000A6D41">
        <w:rPr>
          <w:rFonts w:ascii="Palatino Linotype" w:hAnsi="Palatino Linotype"/>
          <w:b/>
        </w:rPr>
        <w:lastRenderedPageBreak/>
        <w:t xml:space="preserve">Rule 20A </w:t>
      </w:r>
      <w:r>
        <w:rPr>
          <w:rFonts w:ascii="Palatino Linotype" w:hAnsi="Palatino Linotype"/>
          <w:b/>
        </w:rPr>
        <w:t xml:space="preserve">allows for </w:t>
      </w:r>
      <w:r w:rsidRPr="000A6D41">
        <w:rPr>
          <w:rFonts w:ascii="Palatino Linotype" w:hAnsi="Palatino Linotype"/>
          <w:b/>
        </w:rPr>
        <w:t xml:space="preserve">reallocation </w:t>
      </w:r>
      <w:r>
        <w:rPr>
          <w:rFonts w:ascii="Palatino Linotype" w:hAnsi="Palatino Linotype"/>
          <w:b/>
        </w:rPr>
        <w:t xml:space="preserve">of </w:t>
      </w:r>
      <w:r w:rsidRPr="000A6D41">
        <w:rPr>
          <w:rFonts w:ascii="Palatino Linotype" w:hAnsi="Palatino Linotype"/>
          <w:b/>
        </w:rPr>
        <w:t>work credit</w:t>
      </w:r>
      <w:r>
        <w:rPr>
          <w:rFonts w:ascii="Palatino Linotype" w:hAnsi="Palatino Linotype"/>
          <w:b/>
        </w:rPr>
        <w:t>s from inactive communities to communities in need</w:t>
      </w:r>
      <w:r w:rsidRPr="000A6D41">
        <w:rPr>
          <w:rFonts w:ascii="Palatino Linotype" w:hAnsi="Palatino Linotype"/>
          <w:b/>
        </w:rPr>
        <w:t>.</w:t>
      </w:r>
    </w:p>
    <w:p w14:paraId="484A970F" w14:textId="37DABD33" w:rsidR="008515C6" w:rsidRDefault="008515C6" w:rsidP="008515C6">
      <w:pPr>
        <w:spacing w:after="120"/>
        <w:rPr>
          <w:rFonts w:ascii="Palatino Linotype" w:hAnsi="Palatino Linotype"/>
        </w:rPr>
      </w:pPr>
      <w:r w:rsidRPr="000A6D41">
        <w:rPr>
          <w:rFonts w:ascii="Palatino Linotype" w:hAnsi="Palatino Linotype"/>
        </w:rPr>
        <w:t>In situations such as</w:t>
      </w:r>
      <w:r>
        <w:rPr>
          <w:rFonts w:ascii="Palatino Linotype" w:hAnsi="Palatino Linotype"/>
        </w:rPr>
        <w:t xml:space="preserve"> the City of Live Oak’s, where additional </w:t>
      </w:r>
      <w:r w:rsidR="00480315">
        <w:rPr>
          <w:rFonts w:ascii="Palatino Linotype" w:hAnsi="Palatino Linotype"/>
        </w:rPr>
        <w:t>work credits</w:t>
      </w:r>
      <w:r>
        <w:rPr>
          <w:rFonts w:ascii="Palatino Linotype" w:hAnsi="Palatino Linotype"/>
        </w:rPr>
        <w:t xml:space="preserve"> are needed to move their project forward</w:t>
      </w:r>
      <w:r w:rsidRPr="000A6D41">
        <w:rPr>
          <w:rFonts w:ascii="Palatino Linotype" w:hAnsi="Palatino Linotype"/>
        </w:rPr>
        <w:t>, the language in Rule 20A Section 2.c specifically requires the utility to assign or reallocate unused work credits</w:t>
      </w:r>
      <w:r>
        <w:rPr>
          <w:rFonts w:ascii="Palatino Linotype" w:hAnsi="Palatino Linotype"/>
        </w:rPr>
        <w:t xml:space="preserve"> to the community from inactive communities</w:t>
      </w:r>
      <w:r w:rsidRPr="000A6D41">
        <w:rPr>
          <w:rFonts w:ascii="Palatino Linotype" w:hAnsi="Palatino Linotype"/>
        </w:rPr>
        <w:t xml:space="preserve">. </w:t>
      </w:r>
      <w:r>
        <w:rPr>
          <w:rFonts w:ascii="Palatino Linotype" w:hAnsi="Palatino Linotype"/>
        </w:rPr>
        <w:t>Rule 20A Section 2.c states:</w:t>
      </w:r>
    </w:p>
    <w:p w14:paraId="7091EFF1" w14:textId="77777777" w:rsidR="008515C6" w:rsidRPr="000A6D41" w:rsidRDefault="008515C6" w:rsidP="008515C6">
      <w:pPr>
        <w:ind w:left="720"/>
        <w:rPr>
          <w:rFonts w:ascii="Palatino Linotype" w:hAnsi="Palatino Linotype"/>
        </w:rPr>
      </w:pPr>
      <w:r>
        <w:rPr>
          <w:rFonts w:ascii="Palatino Linotype" w:hAnsi="Palatino Linotype"/>
        </w:rPr>
        <w:t>“</w:t>
      </w:r>
      <w:r w:rsidRPr="00A33279">
        <w:rPr>
          <w:rFonts w:ascii="Palatino Linotype" w:hAnsi="Palatino Linotype"/>
        </w:rPr>
        <w:t>When amounts are not expended or carried over for the community to which they are initially allocated, they shall be assigned when additional participation on a project is warranted or be reallocated to communities with active undergrounding programs.”</w:t>
      </w:r>
    </w:p>
    <w:p w14:paraId="29AED40F" w14:textId="5D991468" w:rsidR="008515C6" w:rsidRDefault="00095335" w:rsidP="008515C6">
      <w:pPr>
        <w:rPr>
          <w:rFonts w:ascii="Palatino Linotype" w:hAnsi="Palatino Linotype" w:cs="Calibri"/>
          <w:szCs w:val="26"/>
        </w:rPr>
      </w:pPr>
      <w:r>
        <w:rPr>
          <w:rFonts w:ascii="Palatino Linotype" w:hAnsi="Palatino Linotype" w:cs="Calibri"/>
          <w:szCs w:val="26"/>
        </w:rPr>
        <w:t xml:space="preserve">The reallocation provision in Rule 20A is only to be invoked for communities with projects </w:t>
      </w:r>
      <w:r w:rsidR="00BF034E">
        <w:rPr>
          <w:rFonts w:ascii="Palatino Linotype" w:hAnsi="Palatino Linotype" w:cs="Calibri"/>
          <w:szCs w:val="26"/>
        </w:rPr>
        <w:t>already underway</w:t>
      </w:r>
      <w:r w:rsidR="00377A82">
        <w:rPr>
          <w:rFonts w:ascii="Palatino Linotype" w:hAnsi="Palatino Linotype" w:cs="Calibri"/>
          <w:szCs w:val="26"/>
        </w:rPr>
        <w:t>,</w:t>
      </w:r>
      <w:r w:rsidR="00BF034E">
        <w:rPr>
          <w:rFonts w:ascii="Palatino Linotype" w:hAnsi="Palatino Linotype" w:cs="Calibri"/>
          <w:szCs w:val="26"/>
        </w:rPr>
        <w:t xml:space="preserve"> </w:t>
      </w:r>
      <w:r>
        <w:rPr>
          <w:rFonts w:ascii="Palatino Linotype" w:hAnsi="Palatino Linotype" w:cs="Calibri"/>
          <w:szCs w:val="26"/>
        </w:rPr>
        <w:t>within existing undergrounding districts</w:t>
      </w:r>
      <w:r w:rsidR="00377A82">
        <w:rPr>
          <w:rFonts w:ascii="Palatino Linotype" w:hAnsi="Palatino Linotype" w:cs="Calibri"/>
          <w:szCs w:val="26"/>
        </w:rPr>
        <w:t>,</w:t>
      </w:r>
      <w:r>
        <w:rPr>
          <w:rFonts w:ascii="Palatino Linotype" w:hAnsi="Palatino Linotype" w:cs="Calibri"/>
          <w:szCs w:val="26"/>
        </w:rPr>
        <w:t xml:space="preserve"> that experience unforeseen funding shortfalls</w:t>
      </w:r>
      <w:r w:rsidR="00377A82">
        <w:rPr>
          <w:rFonts w:ascii="Palatino Linotype" w:hAnsi="Palatino Linotype" w:cs="Calibri"/>
          <w:szCs w:val="26"/>
        </w:rPr>
        <w:t xml:space="preserve">, and have </w:t>
      </w:r>
      <w:r w:rsidR="00377A82" w:rsidRPr="000A6D41">
        <w:rPr>
          <w:rFonts w:ascii="Palatino Linotype" w:hAnsi="Palatino Linotype"/>
        </w:rPr>
        <w:t>demonstrate</w:t>
      </w:r>
      <w:r w:rsidR="00377A82">
        <w:rPr>
          <w:rFonts w:ascii="Palatino Linotype" w:hAnsi="Palatino Linotype"/>
        </w:rPr>
        <w:t>d</w:t>
      </w:r>
      <w:r w:rsidR="00377A82" w:rsidRPr="000A6D41">
        <w:rPr>
          <w:rFonts w:ascii="Palatino Linotype" w:hAnsi="Palatino Linotype"/>
        </w:rPr>
        <w:t xml:space="preserve"> that all alternatives for obtaining funding for the project have been exhausted</w:t>
      </w:r>
      <w:r>
        <w:rPr>
          <w:rFonts w:ascii="Palatino Linotype" w:hAnsi="Palatino Linotype" w:cs="Calibri"/>
          <w:szCs w:val="26"/>
        </w:rPr>
        <w:t>. This provision does not allow for unrestricted reallocation of work credits to active communities.</w:t>
      </w:r>
    </w:p>
    <w:p w14:paraId="70CC92F2" w14:textId="484E7A65" w:rsidR="00377A82" w:rsidRPr="000A6D41" w:rsidRDefault="00377A82" w:rsidP="008515C6">
      <w:pPr>
        <w:rPr>
          <w:rFonts w:ascii="Palatino Linotype" w:hAnsi="Palatino Linotype" w:cs="Calibri"/>
          <w:szCs w:val="26"/>
        </w:rPr>
      </w:pPr>
    </w:p>
    <w:p w14:paraId="3309FF51" w14:textId="61C367DD" w:rsidR="008515C6" w:rsidRDefault="008515C6" w:rsidP="008515C6">
      <w:pPr>
        <w:rPr>
          <w:rFonts w:ascii="Palatino Linotype" w:hAnsi="Palatino Linotype"/>
          <w:b/>
        </w:rPr>
      </w:pPr>
      <w:r>
        <w:rPr>
          <w:rFonts w:ascii="Palatino Linotype" w:hAnsi="Palatino Linotype"/>
          <w:b/>
        </w:rPr>
        <w:t>Reallocation of $554,000 from inactive communities is the most reasonable solution to allow the City of Live Oak’s undergrounding project to proceed.</w:t>
      </w:r>
      <w:r w:rsidR="003B67CF" w:rsidRPr="003B67CF">
        <w:t xml:space="preserve"> </w:t>
      </w:r>
      <w:r w:rsidR="00377A82">
        <w:rPr>
          <w:rFonts w:ascii="Palatino Linotype" w:hAnsi="Palatino Linotype"/>
          <w:b/>
        </w:rPr>
        <w:t>Sufficient</w:t>
      </w:r>
      <w:r w:rsidR="00377A82" w:rsidRPr="003B67CF">
        <w:rPr>
          <w:rFonts w:ascii="Palatino Linotype" w:hAnsi="Palatino Linotype"/>
          <w:b/>
        </w:rPr>
        <w:t xml:space="preserve"> </w:t>
      </w:r>
      <w:r w:rsidR="003B67CF" w:rsidRPr="003B67CF">
        <w:rPr>
          <w:rFonts w:ascii="Palatino Linotype" w:hAnsi="Palatino Linotype"/>
          <w:b/>
        </w:rPr>
        <w:t>unused Rule 20</w:t>
      </w:r>
      <w:r w:rsidR="00377A82">
        <w:rPr>
          <w:rFonts w:ascii="Palatino Linotype" w:hAnsi="Palatino Linotype"/>
          <w:b/>
        </w:rPr>
        <w:t>A</w:t>
      </w:r>
      <w:r w:rsidR="003B67CF" w:rsidRPr="003B67CF">
        <w:rPr>
          <w:rFonts w:ascii="Palatino Linotype" w:hAnsi="Palatino Linotype"/>
          <w:b/>
        </w:rPr>
        <w:t xml:space="preserve"> </w:t>
      </w:r>
      <w:r w:rsidR="00480315">
        <w:rPr>
          <w:rFonts w:ascii="Palatino Linotype" w:hAnsi="Palatino Linotype"/>
          <w:b/>
        </w:rPr>
        <w:t xml:space="preserve">work </w:t>
      </w:r>
      <w:r w:rsidR="003B67CF">
        <w:rPr>
          <w:rFonts w:ascii="Palatino Linotype" w:hAnsi="Palatino Linotype"/>
          <w:b/>
        </w:rPr>
        <w:t>credits</w:t>
      </w:r>
      <w:r w:rsidR="003B67CF" w:rsidRPr="003B67CF">
        <w:rPr>
          <w:rFonts w:ascii="Palatino Linotype" w:hAnsi="Palatino Linotype"/>
          <w:b/>
        </w:rPr>
        <w:t xml:space="preserve"> are available from inactive communities</w:t>
      </w:r>
      <w:r w:rsidR="009E57C0">
        <w:rPr>
          <w:rFonts w:ascii="Palatino Linotype" w:hAnsi="Palatino Linotype"/>
          <w:b/>
        </w:rPr>
        <w:t xml:space="preserve"> and reallocation will not impact </w:t>
      </w:r>
      <w:r w:rsidR="003B67CF" w:rsidRPr="003B67CF">
        <w:rPr>
          <w:rFonts w:ascii="Palatino Linotype" w:hAnsi="Palatino Linotype"/>
          <w:b/>
        </w:rPr>
        <w:t xml:space="preserve">active programs.  </w:t>
      </w:r>
    </w:p>
    <w:p w14:paraId="2194A54A" w14:textId="6AB3434C" w:rsidR="008515C6" w:rsidRDefault="006937E1" w:rsidP="008515C6">
      <w:pPr>
        <w:rPr>
          <w:rFonts w:ascii="Palatino Linotype" w:hAnsi="Palatino Linotype"/>
        </w:rPr>
      </w:pPr>
      <w:r>
        <w:rPr>
          <w:rFonts w:ascii="Palatino Linotype" w:hAnsi="Palatino Linotype"/>
        </w:rPr>
        <w:t xml:space="preserve">Amongst the 92 inactive communities in PG&amp;E territory there is an unused credit balance of </w:t>
      </w:r>
      <w:r w:rsidR="00796BAA">
        <w:rPr>
          <w:rFonts w:ascii="Palatino Linotype" w:hAnsi="Palatino Linotype"/>
        </w:rPr>
        <w:t>$108,815,591</w:t>
      </w:r>
      <w:r>
        <w:rPr>
          <w:rFonts w:ascii="Palatino Linotype" w:hAnsi="Palatino Linotype"/>
        </w:rPr>
        <w:t xml:space="preserve">. </w:t>
      </w:r>
      <w:r w:rsidR="003B67CF" w:rsidRPr="003B67CF">
        <w:rPr>
          <w:rFonts w:ascii="Palatino Linotype" w:hAnsi="Palatino Linotype"/>
        </w:rPr>
        <w:t xml:space="preserve">Thus, </w:t>
      </w:r>
      <w:r w:rsidR="00377A82">
        <w:rPr>
          <w:rFonts w:ascii="Palatino Linotype" w:hAnsi="Palatino Linotype"/>
        </w:rPr>
        <w:t>sufficient</w:t>
      </w:r>
      <w:r w:rsidR="00377A82" w:rsidRPr="003B67CF">
        <w:rPr>
          <w:rFonts w:ascii="Palatino Linotype" w:hAnsi="Palatino Linotype"/>
        </w:rPr>
        <w:t xml:space="preserve"> </w:t>
      </w:r>
      <w:r w:rsidR="003B67CF" w:rsidRPr="003B67CF">
        <w:rPr>
          <w:rFonts w:ascii="Palatino Linotype" w:hAnsi="Palatino Linotype"/>
        </w:rPr>
        <w:t xml:space="preserve">Rule 20A </w:t>
      </w:r>
      <w:r w:rsidR="00480315">
        <w:rPr>
          <w:rFonts w:ascii="Palatino Linotype" w:hAnsi="Palatino Linotype"/>
        </w:rPr>
        <w:t>work credits</w:t>
      </w:r>
      <w:r w:rsidR="003B67CF" w:rsidRPr="003B67CF">
        <w:rPr>
          <w:rFonts w:ascii="Palatino Linotype" w:hAnsi="Palatino Linotype"/>
        </w:rPr>
        <w:t xml:space="preserve"> are available in aggregate from these 92 inactive communities with which PG&amp;E could comply with a Commission directive to reallocate </w:t>
      </w:r>
      <w:r w:rsidR="00480315">
        <w:rPr>
          <w:rFonts w:ascii="Palatino Linotype" w:hAnsi="Palatino Linotype"/>
        </w:rPr>
        <w:t>work credits</w:t>
      </w:r>
      <w:r w:rsidR="003B67CF" w:rsidRPr="003B67CF">
        <w:rPr>
          <w:rFonts w:ascii="Palatino Linotype" w:hAnsi="Palatino Linotype"/>
        </w:rPr>
        <w:t xml:space="preserve"> to meet the City of Live Oak’s needs</w:t>
      </w:r>
      <w:r w:rsidR="003B67CF">
        <w:rPr>
          <w:rFonts w:ascii="Palatino Linotype" w:hAnsi="Palatino Linotype"/>
        </w:rPr>
        <w:t xml:space="preserve">.  </w:t>
      </w:r>
      <w:r w:rsidR="00D93BD2">
        <w:rPr>
          <w:rFonts w:ascii="Palatino Linotype" w:hAnsi="Palatino Linotype"/>
        </w:rPr>
        <w:t xml:space="preserve">The $554,000 of </w:t>
      </w:r>
      <w:r w:rsidR="00480315">
        <w:rPr>
          <w:rFonts w:ascii="Palatino Linotype" w:hAnsi="Palatino Linotype"/>
        </w:rPr>
        <w:t xml:space="preserve">work </w:t>
      </w:r>
      <w:r w:rsidR="00D93BD2">
        <w:rPr>
          <w:rFonts w:ascii="Palatino Linotype" w:hAnsi="Palatino Linotype"/>
        </w:rPr>
        <w:t>credits needed</w:t>
      </w:r>
      <w:r>
        <w:rPr>
          <w:rFonts w:ascii="Palatino Linotype" w:hAnsi="Palatino Linotype"/>
        </w:rPr>
        <w:t xml:space="preserve"> </w:t>
      </w:r>
      <w:r w:rsidR="00D93BD2">
        <w:rPr>
          <w:rFonts w:ascii="Palatino Linotype" w:hAnsi="Palatino Linotype"/>
        </w:rPr>
        <w:t xml:space="preserve">represents </w:t>
      </w:r>
      <w:r w:rsidR="008515C6">
        <w:rPr>
          <w:rFonts w:ascii="Palatino Linotype" w:hAnsi="Palatino Linotype"/>
        </w:rPr>
        <w:t xml:space="preserve">0.53% of the </w:t>
      </w:r>
      <w:r w:rsidR="00D93BD2">
        <w:rPr>
          <w:rFonts w:ascii="Palatino Linotype" w:hAnsi="Palatino Linotype"/>
        </w:rPr>
        <w:t xml:space="preserve">aggregate </w:t>
      </w:r>
      <w:r w:rsidR="008515C6">
        <w:rPr>
          <w:rFonts w:ascii="Palatino Linotype" w:hAnsi="Palatino Linotype"/>
        </w:rPr>
        <w:t xml:space="preserve">allocation balances of the 92 inactive communities. These amounts </w:t>
      </w:r>
      <w:r w:rsidR="003B67CF">
        <w:rPr>
          <w:rFonts w:ascii="Palatino Linotype" w:hAnsi="Palatino Linotype"/>
        </w:rPr>
        <w:t xml:space="preserve">of reallocation </w:t>
      </w:r>
      <w:r w:rsidR="00377A82">
        <w:rPr>
          <w:rFonts w:ascii="Palatino Linotype" w:hAnsi="Palatino Linotype"/>
        </w:rPr>
        <w:t>should</w:t>
      </w:r>
      <w:r w:rsidR="008515C6">
        <w:rPr>
          <w:rFonts w:ascii="Palatino Linotype" w:hAnsi="Palatino Linotype"/>
        </w:rPr>
        <w:t xml:space="preserve"> minimize any potential equity issues. Furthermore, PG&amp;E can reallocate credits to the City of Live Oak </w:t>
      </w:r>
      <w:r w:rsidR="008515C6" w:rsidRPr="000A6D41">
        <w:rPr>
          <w:rFonts w:ascii="Palatino Linotype" w:hAnsi="Palatino Linotype"/>
        </w:rPr>
        <w:t>without affecting the existing projects or plans of other active communities.</w:t>
      </w:r>
      <w:r w:rsidR="003B67CF" w:rsidRPr="003B67CF">
        <w:t xml:space="preserve"> </w:t>
      </w:r>
      <w:r w:rsidR="003B67CF" w:rsidRPr="003B67CF">
        <w:rPr>
          <w:rFonts w:ascii="Palatino Linotype" w:hAnsi="Palatino Linotype"/>
        </w:rPr>
        <w:t xml:space="preserve">See Appendix </w:t>
      </w:r>
      <w:r w:rsidR="005956CF">
        <w:rPr>
          <w:rFonts w:ascii="Palatino Linotype" w:hAnsi="Palatino Linotype"/>
        </w:rPr>
        <w:t>A</w:t>
      </w:r>
      <w:r w:rsidR="003B67CF" w:rsidRPr="003B67CF">
        <w:rPr>
          <w:rFonts w:ascii="Palatino Linotype" w:hAnsi="Palatino Linotype"/>
        </w:rPr>
        <w:t xml:space="preserve"> for the detailed table of inactive communities.</w:t>
      </w:r>
      <w:r w:rsidR="003B67CF">
        <w:rPr>
          <w:rStyle w:val="FootnoteReference"/>
          <w:rFonts w:ascii="Palatino Linotype" w:hAnsi="Palatino Linotype"/>
        </w:rPr>
        <w:footnoteReference w:id="18"/>
      </w:r>
    </w:p>
    <w:p w14:paraId="1D4ACFF7" w14:textId="77777777" w:rsidR="004B121B" w:rsidRDefault="004B121B" w:rsidP="008515C6">
      <w:pPr>
        <w:rPr>
          <w:rFonts w:ascii="Palatino Linotype" w:hAnsi="Palatino Linotype"/>
        </w:rPr>
      </w:pPr>
    </w:p>
    <w:p w14:paraId="6D2BDF48" w14:textId="631F1691" w:rsidR="00B2367B" w:rsidRDefault="00D046C5" w:rsidP="00F13A10">
      <w:pPr>
        <w:rPr>
          <w:rFonts w:ascii="Palatino Linotype" w:hAnsi="Palatino Linotype"/>
          <w:b/>
        </w:rPr>
      </w:pPr>
      <w:r>
        <w:rPr>
          <w:rFonts w:ascii="Palatino Linotype" w:hAnsi="Palatino Linotype"/>
          <w:b/>
        </w:rPr>
        <w:lastRenderedPageBreak/>
        <w:t>After reviewing the previously established criteria, pursuant to</w:t>
      </w:r>
      <w:r w:rsidR="00A11F48">
        <w:rPr>
          <w:rFonts w:ascii="Palatino Linotype" w:hAnsi="Palatino Linotype"/>
          <w:b/>
        </w:rPr>
        <w:t xml:space="preserve"> </w:t>
      </w:r>
      <w:r>
        <w:rPr>
          <w:rFonts w:ascii="Palatino Linotype" w:hAnsi="Palatino Linotype"/>
          <w:b/>
        </w:rPr>
        <w:t xml:space="preserve">Resolution </w:t>
      </w:r>
      <w:r w:rsidR="00721418">
        <w:rPr>
          <w:rFonts w:ascii="Palatino Linotype" w:hAnsi="Palatino Linotype"/>
          <w:b/>
        </w:rPr>
        <w:br/>
      </w:r>
      <w:r>
        <w:rPr>
          <w:rFonts w:ascii="Palatino Linotype" w:hAnsi="Palatino Linotype"/>
          <w:b/>
        </w:rPr>
        <w:t xml:space="preserve">E-4146, </w:t>
      </w:r>
      <w:r w:rsidR="00A11F48">
        <w:rPr>
          <w:rFonts w:ascii="Palatino Linotype" w:hAnsi="Palatino Linotype"/>
          <w:b/>
        </w:rPr>
        <w:t>t</w:t>
      </w:r>
      <w:r w:rsidR="0080544D">
        <w:rPr>
          <w:rFonts w:ascii="Palatino Linotype" w:hAnsi="Palatino Linotype"/>
          <w:b/>
        </w:rPr>
        <w:t xml:space="preserve">he Commission </w:t>
      </w:r>
      <w:r w:rsidR="007A3170">
        <w:rPr>
          <w:rFonts w:ascii="Palatino Linotype" w:hAnsi="Palatino Linotype"/>
          <w:b/>
        </w:rPr>
        <w:t xml:space="preserve">updates the </w:t>
      </w:r>
      <w:r w:rsidR="00FC2D0A">
        <w:rPr>
          <w:rFonts w:ascii="Palatino Linotype" w:hAnsi="Palatino Linotype"/>
          <w:b/>
        </w:rPr>
        <w:t>criteria for communities to be considered active and not subject to reallocation</w:t>
      </w:r>
      <w:r w:rsidR="00A11F48">
        <w:rPr>
          <w:rFonts w:ascii="Palatino Linotype" w:hAnsi="Palatino Linotype"/>
          <w:b/>
        </w:rPr>
        <w:t xml:space="preserve"> as set forth below:</w:t>
      </w:r>
    </w:p>
    <w:p w14:paraId="77EF837B" w14:textId="6BBF07CE" w:rsidR="00B2367B" w:rsidRPr="00FC088E" w:rsidRDefault="00B2367B" w:rsidP="00B2367B">
      <w:pPr>
        <w:rPr>
          <w:rFonts w:ascii="Palatino Linotype" w:hAnsi="Palatino Linotype"/>
        </w:rPr>
      </w:pPr>
      <w:r>
        <w:rPr>
          <w:rFonts w:ascii="Palatino Linotype" w:hAnsi="Palatino Linotype"/>
        </w:rPr>
        <w:t>PG&amp;E may consider any community to be active and not subject to reallocation if it satisfies any of the following criteria</w:t>
      </w:r>
      <w:r w:rsidR="00723894">
        <w:rPr>
          <w:rFonts w:ascii="Palatino Linotype" w:hAnsi="Palatino Linotype"/>
        </w:rPr>
        <w:t>:</w:t>
      </w:r>
    </w:p>
    <w:p w14:paraId="3A940CB4" w14:textId="77777777" w:rsidR="00B2367B" w:rsidRPr="00533D00" w:rsidRDefault="00B2367B" w:rsidP="00B2367B">
      <w:pPr>
        <w:pStyle w:val="ListParagraph"/>
        <w:numPr>
          <w:ilvl w:val="0"/>
          <w:numId w:val="14"/>
        </w:numPr>
        <w:rPr>
          <w:rFonts w:ascii="Palatino Linotype" w:hAnsi="Palatino Linotype"/>
        </w:rPr>
      </w:pPr>
      <w:r w:rsidRPr="00533D00">
        <w:rPr>
          <w:rFonts w:ascii="Palatino Linotype" w:hAnsi="Palatino Linotype"/>
        </w:rPr>
        <w:t>Formally adopt</w:t>
      </w:r>
      <w:r>
        <w:rPr>
          <w:rFonts w:ascii="Palatino Linotype" w:hAnsi="Palatino Linotype"/>
        </w:rPr>
        <w:t>s</w:t>
      </w:r>
      <w:r w:rsidRPr="00533D00">
        <w:rPr>
          <w:rFonts w:ascii="Palatino Linotype" w:hAnsi="Palatino Linotype"/>
        </w:rPr>
        <w:t xml:space="preserve"> an undergrounding district ordinance which expires at</w:t>
      </w:r>
    </w:p>
    <w:p w14:paraId="5CB83B84" w14:textId="77777777" w:rsidR="00B2367B" w:rsidRDefault="00B2367B" w:rsidP="00B2367B">
      <w:pPr>
        <w:ind w:left="720"/>
        <w:rPr>
          <w:rFonts w:ascii="Palatino Linotype" w:hAnsi="Palatino Linotype"/>
        </w:rPr>
      </w:pPr>
      <w:r w:rsidRPr="00533D00">
        <w:rPr>
          <w:rFonts w:ascii="Palatino Linotype" w:hAnsi="Palatino Linotype"/>
        </w:rPr>
        <w:t>completion of work within the district boundaries; or</w:t>
      </w:r>
    </w:p>
    <w:p w14:paraId="26710745" w14:textId="62F120FC" w:rsidR="00B2367B" w:rsidRPr="00FC3333" w:rsidRDefault="00B2367B" w:rsidP="002D51C5">
      <w:pPr>
        <w:pStyle w:val="ListParagraph"/>
        <w:numPr>
          <w:ilvl w:val="0"/>
          <w:numId w:val="15"/>
        </w:numPr>
        <w:rPr>
          <w:rFonts w:ascii="Palatino Linotype" w:hAnsi="Palatino Linotype"/>
        </w:rPr>
      </w:pPr>
      <w:r w:rsidRPr="00FC3333">
        <w:rPr>
          <w:rFonts w:ascii="Palatino Linotype" w:hAnsi="Palatino Linotype"/>
        </w:rPr>
        <w:t xml:space="preserve">Has started or completed </w:t>
      </w:r>
      <w:r w:rsidR="00C03DBE" w:rsidRPr="00FC3333">
        <w:rPr>
          <w:rFonts w:ascii="Palatino Linotype" w:hAnsi="Palatino Linotype"/>
        </w:rPr>
        <w:t xml:space="preserve">construction of </w:t>
      </w:r>
      <w:r w:rsidRPr="00FC3333">
        <w:rPr>
          <w:rFonts w:ascii="Palatino Linotype" w:hAnsi="Palatino Linotype"/>
        </w:rPr>
        <w:t>an undergrounding conversion project within</w:t>
      </w:r>
      <w:r w:rsidR="00C03DBE">
        <w:rPr>
          <w:rFonts w:ascii="Palatino Linotype" w:hAnsi="Palatino Linotype"/>
        </w:rPr>
        <w:t xml:space="preserve"> </w:t>
      </w:r>
      <w:r w:rsidRPr="00FC3333">
        <w:rPr>
          <w:rFonts w:ascii="Palatino Linotype" w:hAnsi="Palatino Linotype"/>
        </w:rPr>
        <w:t xml:space="preserve">the last 8 years, </w:t>
      </w:r>
      <w:r w:rsidR="006C0E69" w:rsidRPr="00FC3333">
        <w:rPr>
          <w:rFonts w:ascii="Palatino Linotype" w:hAnsi="Palatino Linotype"/>
        </w:rPr>
        <w:t>defined as 2011 or later</w:t>
      </w:r>
      <w:r w:rsidRPr="00FC3333">
        <w:rPr>
          <w:rFonts w:ascii="Palatino Linotype" w:hAnsi="Palatino Linotype"/>
        </w:rPr>
        <w:t>; or</w:t>
      </w:r>
    </w:p>
    <w:p w14:paraId="5930A101" w14:textId="725B339D" w:rsidR="00B2367B" w:rsidRDefault="00723894" w:rsidP="00B2367B">
      <w:pPr>
        <w:pStyle w:val="ListParagraph"/>
        <w:numPr>
          <w:ilvl w:val="0"/>
          <w:numId w:val="15"/>
        </w:numPr>
      </w:pPr>
      <w:r>
        <w:t>Has received</w:t>
      </w:r>
      <w:r w:rsidR="00B2367B" w:rsidRPr="00533D00">
        <w:t xml:space="preserve"> Rule 20</w:t>
      </w:r>
      <w:r>
        <w:t>A</w:t>
      </w:r>
      <w:r w:rsidR="00B2367B" w:rsidRPr="00533D00">
        <w:t xml:space="preserve"> allocations from </w:t>
      </w:r>
      <w:r w:rsidR="00B2367B">
        <w:t>the utility</w:t>
      </w:r>
      <w:r w:rsidR="00B2367B" w:rsidRPr="00533D00">
        <w:t xml:space="preserve"> for only 5 years or fewer due to</w:t>
      </w:r>
      <w:r w:rsidR="00B2367B">
        <w:t xml:space="preserve"> </w:t>
      </w:r>
      <w:r w:rsidR="00B2367B" w:rsidRPr="00533D00">
        <w:t>recent incorporation.</w:t>
      </w:r>
    </w:p>
    <w:p w14:paraId="2B6AC466" w14:textId="5A504DF4" w:rsidR="00C91113" w:rsidRDefault="00C91113" w:rsidP="00C91113"/>
    <w:p w14:paraId="55CB6820" w14:textId="5AF884BE" w:rsidR="00C91113" w:rsidRDefault="0058545F" w:rsidP="002D51C5">
      <w:r>
        <w:t>Additionally, i</w:t>
      </w:r>
      <w:r w:rsidR="00C91113">
        <w:t>nactive com</w:t>
      </w:r>
      <w:r w:rsidR="003437D5">
        <w:t>munities shall be defined as communities that fail to meet any of the above criteria.</w:t>
      </w:r>
    </w:p>
    <w:p w14:paraId="06B1BC5C" w14:textId="77777777" w:rsidR="00AC4FFD" w:rsidRDefault="00AC4FFD" w:rsidP="00E50CC5">
      <w:pPr>
        <w:rPr>
          <w:rFonts w:ascii="Palatino Linotype" w:hAnsi="Palatino Linotype"/>
        </w:rPr>
      </w:pPr>
    </w:p>
    <w:p w14:paraId="5F4C0339" w14:textId="55A61D8B" w:rsidR="00E50CC5" w:rsidRDefault="00AC68A2" w:rsidP="00E50CC5">
      <w:pPr>
        <w:rPr>
          <w:rFonts w:ascii="Palatino Linotype" w:hAnsi="Palatino Linotype"/>
        </w:rPr>
      </w:pPr>
      <w:r>
        <w:rPr>
          <w:rFonts w:ascii="Palatino Linotype" w:hAnsi="Palatino Linotype"/>
        </w:rPr>
        <w:t>In modifying the criteria, we first</w:t>
      </w:r>
      <w:r w:rsidR="00723894">
        <w:rPr>
          <w:rFonts w:ascii="Palatino Linotype" w:hAnsi="Palatino Linotype"/>
        </w:rPr>
        <w:t xml:space="preserve"> considered the </w:t>
      </w:r>
      <w:r w:rsidR="00E50CC5">
        <w:rPr>
          <w:rFonts w:ascii="Palatino Linotype" w:hAnsi="Palatino Linotype"/>
        </w:rPr>
        <w:t>criteria established by the Commission in</w:t>
      </w:r>
      <w:r w:rsidR="00E50CC5" w:rsidRPr="00FC088E">
        <w:rPr>
          <w:rFonts w:ascii="Palatino Linotype" w:hAnsi="Palatino Linotype"/>
        </w:rPr>
        <w:t xml:space="preserve"> Resolution E-4146:</w:t>
      </w:r>
    </w:p>
    <w:p w14:paraId="0BB0A7F2" w14:textId="06761FB9" w:rsidR="00910E6D" w:rsidRPr="00910E6D" w:rsidRDefault="00131201" w:rsidP="002D51C5">
      <w:pPr>
        <w:ind w:left="720"/>
        <w:rPr>
          <w:rFonts w:ascii="Palatino Linotype" w:hAnsi="Palatino Linotype"/>
        </w:rPr>
      </w:pPr>
      <w:r>
        <w:rPr>
          <w:rFonts w:ascii="Palatino Linotype" w:hAnsi="Palatino Linotype"/>
        </w:rPr>
        <w:t>“</w:t>
      </w:r>
      <w:r w:rsidR="00910E6D">
        <w:rPr>
          <w:rFonts w:ascii="Palatino Linotype" w:hAnsi="Palatino Linotype"/>
        </w:rPr>
        <w:t xml:space="preserve">[The utility] </w:t>
      </w:r>
      <w:r w:rsidR="00910E6D" w:rsidRPr="00910E6D">
        <w:rPr>
          <w:rFonts w:ascii="Palatino Linotype" w:hAnsi="Palatino Linotype"/>
        </w:rPr>
        <w:t>may consider any community active and not subject to reallocation if</w:t>
      </w:r>
      <w:r w:rsidR="00910E6D">
        <w:rPr>
          <w:rFonts w:ascii="Palatino Linotype" w:hAnsi="Palatino Linotype"/>
        </w:rPr>
        <w:t xml:space="preserve"> </w:t>
      </w:r>
      <w:r w:rsidR="00910E6D" w:rsidRPr="00910E6D">
        <w:rPr>
          <w:rFonts w:ascii="Palatino Linotype" w:hAnsi="Palatino Linotype"/>
        </w:rPr>
        <w:t>it satisfies any of the following 3 criteria:</w:t>
      </w:r>
    </w:p>
    <w:p w14:paraId="1327A28B" w14:textId="77777777" w:rsidR="00910E6D" w:rsidRPr="00910E6D" w:rsidRDefault="00910E6D" w:rsidP="002D51C5">
      <w:pPr>
        <w:ind w:left="720"/>
        <w:rPr>
          <w:rFonts w:ascii="Palatino Linotype" w:hAnsi="Palatino Linotype"/>
        </w:rPr>
      </w:pPr>
      <w:r w:rsidRPr="00910E6D">
        <w:rPr>
          <w:rFonts w:ascii="Palatino Linotype" w:hAnsi="Palatino Linotype"/>
        </w:rPr>
        <w:t>1. Formally adopting an undergrounding district ordinance which expires</w:t>
      </w:r>
    </w:p>
    <w:p w14:paraId="729367BD" w14:textId="1A897F17" w:rsidR="00910E6D" w:rsidRPr="00910E6D" w:rsidRDefault="004C2E6E" w:rsidP="002D51C5">
      <w:pPr>
        <w:ind w:left="720"/>
        <w:rPr>
          <w:rFonts w:ascii="Palatino Linotype" w:hAnsi="Palatino Linotype"/>
        </w:rPr>
      </w:pPr>
      <w:r>
        <w:rPr>
          <w:rFonts w:ascii="Palatino Linotype" w:hAnsi="Palatino Linotype"/>
        </w:rPr>
        <w:t>at the</w:t>
      </w:r>
      <w:r w:rsidR="00910E6D" w:rsidRPr="00910E6D">
        <w:rPr>
          <w:rFonts w:ascii="Palatino Linotype" w:hAnsi="Palatino Linotype"/>
        </w:rPr>
        <w:t xml:space="preserve"> completion of work within the district boundaries; or</w:t>
      </w:r>
    </w:p>
    <w:p w14:paraId="1BFFB52C" w14:textId="77777777" w:rsidR="00910E6D" w:rsidRPr="00910E6D" w:rsidRDefault="00910E6D" w:rsidP="002D51C5">
      <w:pPr>
        <w:ind w:left="720"/>
        <w:rPr>
          <w:rFonts w:ascii="Palatino Linotype" w:hAnsi="Palatino Linotype"/>
        </w:rPr>
      </w:pPr>
      <w:r w:rsidRPr="00910E6D">
        <w:rPr>
          <w:rFonts w:ascii="Palatino Linotype" w:hAnsi="Palatino Linotype"/>
        </w:rPr>
        <w:t>2. a.   Starting or completing an undergrounding conversion project</w:t>
      </w:r>
    </w:p>
    <w:p w14:paraId="3BD62809" w14:textId="77777777" w:rsidR="00910E6D" w:rsidRPr="00910E6D" w:rsidRDefault="00910E6D" w:rsidP="002D51C5">
      <w:pPr>
        <w:ind w:left="720"/>
        <w:rPr>
          <w:rFonts w:ascii="Palatino Linotype" w:hAnsi="Palatino Linotype"/>
        </w:rPr>
      </w:pPr>
      <w:r w:rsidRPr="00910E6D">
        <w:rPr>
          <w:rFonts w:ascii="Palatino Linotype" w:hAnsi="Palatino Linotype"/>
        </w:rPr>
        <w:t>within the last 8 years, currently meaning after 1999; or</w:t>
      </w:r>
    </w:p>
    <w:p w14:paraId="7759AB49" w14:textId="1B39965C" w:rsidR="00910E6D" w:rsidRPr="00910E6D" w:rsidRDefault="00910E6D" w:rsidP="002D51C5">
      <w:pPr>
        <w:ind w:left="720"/>
        <w:rPr>
          <w:rFonts w:ascii="Palatino Linotype" w:hAnsi="Palatino Linotype"/>
        </w:rPr>
      </w:pPr>
      <w:r w:rsidRPr="00910E6D">
        <w:rPr>
          <w:rFonts w:ascii="Palatino Linotype" w:hAnsi="Palatino Linotype"/>
        </w:rPr>
        <w:t xml:space="preserve">     b.   Currently planning an undergrounding conversion project including</w:t>
      </w:r>
      <w:r w:rsidR="00131201">
        <w:rPr>
          <w:rFonts w:ascii="Palatino Linotype" w:hAnsi="Palatino Linotype"/>
        </w:rPr>
        <w:t xml:space="preserve"> </w:t>
      </w:r>
      <w:r w:rsidRPr="00910E6D">
        <w:rPr>
          <w:rFonts w:ascii="Palatino Linotype" w:hAnsi="Palatino Linotype"/>
        </w:rPr>
        <w:t>several of the following components of the process:</w:t>
      </w:r>
    </w:p>
    <w:p w14:paraId="460CF486" w14:textId="77777777" w:rsidR="00910E6D" w:rsidRPr="00910E6D" w:rsidRDefault="00910E6D" w:rsidP="002D51C5">
      <w:pPr>
        <w:ind w:left="1440"/>
        <w:rPr>
          <w:rFonts w:ascii="Palatino Linotype" w:hAnsi="Palatino Linotype"/>
        </w:rPr>
      </w:pPr>
      <w:r w:rsidRPr="00910E6D">
        <w:rPr>
          <w:rFonts w:ascii="Palatino Linotype" w:hAnsi="Palatino Linotype"/>
        </w:rPr>
        <w:t>i.   A project location is described and identified, if not legally</w:t>
      </w:r>
    </w:p>
    <w:p w14:paraId="7A0D8CD2" w14:textId="77777777" w:rsidR="00910E6D" w:rsidRPr="00910E6D" w:rsidRDefault="00910E6D" w:rsidP="002D51C5">
      <w:pPr>
        <w:ind w:left="1440"/>
        <w:rPr>
          <w:rFonts w:ascii="Palatino Linotype" w:hAnsi="Palatino Linotype"/>
        </w:rPr>
      </w:pPr>
      <w:r w:rsidRPr="00910E6D">
        <w:rPr>
          <w:rFonts w:ascii="Palatino Linotype" w:hAnsi="Palatino Linotype"/>
        </w:rPr>
        <w:t>defined;</w:t>
      </w:r>
    </w:p>
    <w:p w14:paraId="74E053D0" w14:textId="77777777" w:rsidR="00910E6D" w:rsidRPr="00910E6D" w:rsidRDefault="00910E6D" w:rsidP="002D51C5">
      <w:pPr>
        <w:ind w:left="1440"/>
        <w:rPr>
          <w:rFonts w:ascii="Palatino Linotype" w:hAnsi="Palatino Linotype"/>
        </w:rPr>
      </w:pPr>
      <w:r w:rsidRPr="00910E6D">
        <w:rPr>
          <w:rFonts w:ascii="Palatino Linotype" w:hAnsi="Palatino Linotype"/>
        </w:rPr>
        <w:t>ii.  Names of parties likely involved are available and confirmed;</w:t>
      </w:r>
    </w:p>
    <w:p w14:paraId="5CFC58C2" w14:textId="77777777" w:rsidR="00910E6D" w:rsidRPr="00910E6D" w:rsidRDefault="00910E6D" w:rsidP="002D51C5">
      <w:pPr>
        <w:ind w:left="1440"/>
        <w:rPr>
          <w:rFonts w:ascii="Palatino Linotype" w:hAnsi="Palatino Linotype"/>
        </w:rPr>
      </w:pPr>
      <w:r w:rsidRPr="00910E6D">
        <w:rPr>
          <w:rFonts w:ascii="Palatino Linotype" w:hAnsi="Palatino Linotype"/>
        </w:rPr>
        <w:t>iii.  Sources of funding, potential if not committed, are known;</w:t>
      </w:r>
    </w:p>
    <w:p w14:paraId="57E5F09A" w14:textId="77777777" w:rsidR="00910E6D" w:rsidRPr="00910E6D" w:rsidRDefault="00910E6D" w:rsidP="002D51C5">
      <w:pPr>
        <w:ind w:left="1440"/>
        <w:rPr>
          <w:rFonts w:ascii="Palatino Linotype" w:hAnsi="Palatino Linotype"/>
        </w:rPr>
      </w:pPr>
      <w:r w:rsidRPr="00910E6D">
        <w:rPr>
          <w:rFonts w:ascii="Palatino Linotype" w:hAnsi="Palatino Linotype"/>
        </w:rPr>
        <w:t>iv.  An accurate if not precise schedule can be confirmed; and</w:t>
      </w:r>
    </w:p>
    <w:p w14:paraId="2B4C33E4" w14:textId="77777777" w:rsidR="00910E6D" w:rsidRPr="00910E6D" w:rsidRDefault="00910E6D" w:rsidP="002D51C5">
      <w:pPr>
        <w:ind w:left="1440"/>
        <w:rPr>
          <w:rFonts w:ascii="Palatino Linotype" w:hAnsi="Palatino Linotype"/>
        </w:rPr>
      </w:pPr>
      <w:r w:rsidRPr="00910E6D">
        <w:rPr>
          <w:rFonts w:ascii="Palatino Linotype" w:hAnsi="Palatino Linotype"/>
        </w:rPr>
        <w:t xml:space="preserve">  v.  Documentation of joint planning efforts is available, both for</w:t>
      </w:r>
    </w:p>
    <w:p w14:paraId="256F738B" w14:textId="77777777" w:rsidR="00910E6D" w:rsidRPr="00910E6D" w:rsidRDefault="00910E6D" w:rsidP="002D51C5">
      <w:pPr>
        <w:ind w:left="1440"/>
        <w:rPr>
          <w:rFonts w:ascii="Palatino Linotype" w:hAnsi="Palatino Linotype"/>
        </w:rPr>
      </w:pPr>
      <w:r w:rsidRPr="00910E6D">
        <w:rPr>
          <w:rFonts w:ascii="Palatino Linotype" w:hAnsi="Palatino Linotype"/>
        </w:rPr>
        <w:t>coordination achieved and that still required.</w:t>
      </w:r>
    </w:p>
    <w:p w14:paraId="1D213FA6" w14:textId="6C3D9059" w:rsidR="00723894" w:rsidRDefault="00910E6D" w:rsidP="002D51C5">
      <w:pPr>
        <w:ind w:left="720"/>
        <w:rPr>
          <w:rFonts w:ascii="Palatino Linotype" w:hAnsi="Palatino Linotype"/>
        </w:rPr>
      </w:pPr>
      <w:r w:rsidRPr="00910E6D">
        <w:rPr>
          <w:rFonts w:ascii="Palatino Linotype" w:hAnsi="Palatino Linotype"/>
        </w:rPr>
        <w:t xml:space="preserve">3. Receiving Rule 20 allocations from </w:t>
      </w:r>
      <w:r w:rsidR="00131201">
        <w:rPr>
          <w:rFonts w:ascii="Palatino Linotype" w:hAnsi="Palatino Linotype"/>
        </w:rPr>
        <w:t>[the utility]</w:t>
      </w:r>
      <w:r w:rsidRPr="00910E6D">
        <w:rPr>
          <w:rFonts w:ascii="Palatino Linotype" w:hAnsi="Palatino Linotype"/>
        </w:rPr>
        <w:t xml:space="preserve"> for only 5 years or fewer due to</w:t>
      </w:r>
      <w:r w:rsidR="00131201">
        <w:rPr>
          <w:rFonts w:ascii="Palatino Linotype" w:hAnsi="Palatino Linotype"/>
        </w:rPr>
        <w:t xml:space="preserve"> </w:t>
      </w:r>
      <w:r w:rsidRPr="00910E6D">
        <w:rPr>
          <w:rFonts w:ascii="Palatino Linotype" w:hAnsi="Palatino Linotype"/>
        </w:rPr>
        <w:t>recent incorporation.</w:t>
      </w:r>
      <w:r w:rsidR="00131201">
        <w:rPr>
          <w:rFonts w:ascii="Palatino Linotype" w:hAnsi="Palatino Linotype"/>
        </w:rPr>
        <w:t>”</w:t>
      </w:r>
      <w:r w:rsidR="00131201">
        <w:rPr>
          <w:rStyle w:val="FootnoteReference"/>
          <w:rFonts w:ascii="Palatino Linotype" w:hAnsi="Palatino Linotype"/>
        </w:rPr>
        <w:footnoteReference w:id="19"/>
      </w:r>
    </w:p>
    <w:p w14:paraId="3D619F5A" w14:textId="0389823E" w:rsidR="006E2688" w:rsidRDefault="00005282" w:rsidP="00F13A10">
      <w:pPr>
        <w:rPr>
          <w:rFonts w:ascii="Palatino Linotype" w:hAnsi="Palatino Linotype"/>
        </w:rPr>
      </w:pPr>
      <w:r>
        <w:rPr>
          <w:rFonts w:ascii="Palatino Linotype" w:hAnsi="Palatino Linotype"/>
        </w:rPr>
        <w:lastRenderedPageBreak/>
        <w:t>Our reasons for modifying and updating t</w:t>
      </w:r>
      <w:r w:rsidR="00723894">
        <w:rPr>
          <w:rFonts w:ascii="Palatino Linotype" w:hAnsi="Palatino Linotype"/>
        </w:rPr>
        <w:t xml:space="preserve">he criteria </w:t>
      </w:r>
      <w:r>
        <w:rPr>
          <w:rFonts w:ascii="Palatino Linotype" w:hAnsi="Palatino Linotype"/>
        </w:rPr>
        <w:t>are as follows</w:t>
      </w:r>
      <w:r w:rsidR="00723894">
        <w:rPr>
          <w:rFonts w:ascii="Palatino Linotype" w:hAnsi="Palatino Linotype"/>
        </w:rPr>
        <w:t>:</w:t>
      </w:r>
    </w:p>
    <w:p w14:paraId="54D1DCF3" w14:textId="622D7696" w:rsidR="007B1581" w:rsidRDefault="00723894" w:rsidP="002D51C5">
      <w:pPr>
        <w:ind w:left="720"/>
        <w:rPr>
          <w:rFonts w:ascii="Palatino Linotype" w:hAnsi="Palatino Linotype"/>
        </w:rPr>
      </w:pPr>
      <w:r>
        <w:rPr>
          <w:rFonts w:ascii="Palatino Linotype" w:hAnsi="Palatino Linotype"/>
        </w:rPr>
        <w:t>1</w:t>
      </w:r>
      <w:r w:rsidR="00D87DE6">
        <w:rPr>
          <w:rFonts w:ascii="Palatino Linotype" w:hAnsi="Palatino Linotype"/>
        </w:rPr>
        <w:t>.</w:t>
      </w:r>
      <w:r w:rsidR="007B1581">
        <w:rPr>
          <w:rFonts w:ascii="Palatino Linotype" w:hAnsi="Palatino Linotype"/>
        </w:rPr>
        <w:t xml:space="preserve"> Some of the previous criteria were subjective and/or ambiguous;</w:t>
      </w:r>
    </w:p>
    <w:p w14:paraId="1B2718F8" w14:textId="298E61FA" w:rsidR="00723894" w:rsidRDefault="00723894" w:rsidP="002D51C5">
      <w:pPr>
        <w:ind w:left="720"/>
        <w:rPr>
          <w:rFonts w:ascii="Palatino Linotype" w:hAnsi="Palatino Linotype"/>
        </w:rPr>
      </w:pPr>
      <w:r>
        <w:rPr>
          <w:rFonts w:ascii="Palatino Linotype" w:hAnsi="Palatino Linotype"/>
        </w:rPr>
        <w:t>2</w:t>
      </w:r>
      <w:r w:rsidR="00D87DE6">
        <w:rPr>
          <w:rFonts w:ascii="Palatino Linotype" w:hAnsi="Palatino Linotype"/>
        </w:rPr>
        <w:t>.</w:t>
      </w:r>
      <w:r w:rsidR="007B1581">
        <w:rPr>
          <w:rFonts w:ascii="Palatino Linotype" w:hAnsi="Palatino Linotype"/>
        </w:rPr>
        <w:t xml:space="preserve"> Some of the previous criteria would be difficult to determine if they are met;</w:t>
      </w:r>
    </w:p>
    <w:p w14:paraId="7C2313FC" w14:textId="29606200" w:rsidR="007B1581" w:rsidRDefault="007B1581" w:rsidP="002D51C5">
      <w:pPr>
        <w:ind w:left="720"/>
        <w:rPr>
          <w:rFonts w:ascii="Palatino Linotype" w:hAnsi="Palatino Linotype"/>
        </w:rPr>
      </w:pPr>
      <w:r>
        <w:rPr>
          <w:rFonts w:ascii="Palatino Linotype" w:hAnsi="Palatino Linotype"/>
        </w:rPr>
        <w:t>3</w:t>
      </w:r>
      <w:r w:rsidR="00D87DE6">
        <w:rPr>
          <w:rFonts w:ascii="Palatino Linotype" w:hAnsi="Palatino Linotype"/>
        </w:rPr>
        <w:t>.</w:t>
      </w:r>
      <w:r>
        <w:rPr>
          <w:rFonts w:ascii="Palatino Linotype" w:hAnsi="Palatino Linotype"/>
        </w:rPr>
        <w:t xml:space="preserve"> The updated criteria are reasonable, objective and clear to determine when they are met.</w:t>
      </w:r>
    </w:p>
    <w:p w14:paraId="07667442" w14:textId="77777777" w:rsidR="00723894" w:rsidRPr="002D51C5" w:rsidRDefault="00723894" w:rsidP="00F13A10">
      <w:pPr>
        <w:rPr>
          <w:rFonts w:ascii="Palatino Linotype" w:hAnsi="Palatino Linotype"/>
        </w:rPr>
      </w:pPr>
    </w:p>
    <w:p w14:paraId="3DE41729" w14:textId="77777777" w:rsidR="00E50CC5" w:rsidRPr="00797C55" w:rsidRDefault="00E50CC5" w:rsidP="00E50CC5">
      <w:pPr>
        <w:rPr>
          <w:rFonts w:ascii="Palatino Linotype" w:hAnsi="Palatino Linotype"/>
          <w:b/>
        </w:rPr>
      </w:pPr>
      <w:bookmarkStart w:id="3" w:name="_Hlk2009281"/>
      <w:r w:rsidRPr="00797C55">
        <w:rPr>
          <w:rFonts w:ascii="Palatino Linotype" w:hAnsi="Palatino Linotype"/>
          <w:b/>
        </w:rPr>
        <w:t>PG&amp;E must inform affected inactive communities in writing about the reallocation and the criteria to be considered active and not subject reallocation.</w:t>
      </w:r>
    </w:p>
    <w:p w14:paraId="7259487F" w14:textId="7FA37277" w:rsidR="00E50CC5" w:rsidRDefault="00E50CC5" w:rsidP="00E50CC5">
      <w:pPr>
        <w:rPr>
          <w:rFonts w:ascii="Palatino Linotype" w:hAnsi="Palatino Linotype"/>
        </w:rPr>
      </w:pPr>
      <w:r>
        <w:rPr>
          <w:rFonts w:ascii="Palatino Linotype" w:hAnsi="Palatino Linotype"/>
        </w:rPr>
        <w:t>PG&amp;E must notify each of the affected inactive communities in writing (either electronic or in hard copy) to inform them</w:t>
      </w:r>
      <w:r w:rsidR="00005282">
        <w:rPr>
          <w:rFonts w:ascii="Palatino Linotype" w:hAnsi="Palatino Linotype"/>
        </w:rPr>
        <w:t xml:space="preserve"> of</w:t>
      </w:r>
      <w:r>
        <w:rPr>
          <w:rFonts w:ascii="Palatino Linotype" w:hAnsi="Palatino Linotype"/>
        </w:rPr>
        <w:t>:</w:t>
      </w:r>
    </w:p>
    <w:p w14:paraId="663F30B6" w14:textId="43BA3D12" w:rsidR="00E50CC5" w:rsidRDefault="00005282" w:rsidP="00E50CC5">
      <w:pPr>
        <w:pStyle w:val="ListParagraph"/>
        <w:numPr>
          <w:ilvl w:val="0"/>
          <w:numId w:val="22"/>
        </w:numPr>
        <w:rPr>
          <w:rFonts w:ascii="Palatino Linotype" w:hAnsi="Palatino Linotype"/>
        </w:rPr>
      </w:pPr>
      <w:bookmarkStart w:id="4" w:name="_Hlk3540720"/>
      <w:r>
        <w:rPr>
          <w:rFonts w:ascii="Palatino Linotype" w:hAnsi="Palatino Linotype"/>
        </w:rPr>
        <w:t>Their status</w:t>
      </w:r>
      <w:r w:rsidR="00E50CC5">
        <w:rPr>
          <w:rFonts w:ascii="Palatino Linotype" w:hAnsi="Palatino Linotype"/>
        </w:rPr>
        <w:t xml:space="preserve"> on the list of inactive communities;</w:t>
      </w:r>
    </w:p>
    <w:p w14:paraId="213CAAA2" w14:textId="77777777" w:rsidR="00E50CC5" w:rsidRDefault="00E50CC5" w:rsidP="00E50CC5">
      <w:pPr>
        <w:pStyle w:val="ListParagraph"/>
        <w:numPr>
          <w:ilvl w:val="0"/>
          <w:numId w:val="22"/>
        </w:numPr>
        <w:rPr>
          <w:rFonts w:ascii="Palatino Linotype" w:hAnsi="Palatino Linotype"/>
        </w:rPr>
      </w:pPr>
      <w:r>
        <w:rPr>
          <w:rFonts w:ascii="Palatino Linotype" w:hAnsi="Palatino Linotype"/>
        </w:rPr>
        <w:t>The definition of inactive communities defined by this Resolution;</w:t>
      </w:r>
    </w:p>
    <w:p w14:paraId="2F6ACDA3" w14:textId="77777777" w:rsidR="00E50CC5" w:rsidRDefault="00E50CC5" w:rsidP="00E50CC5">
      <w:pPr>
        <w:pStyle w:val="ListParagraph"/>
        <w:numPr>
          <w:ilvl w:val="0"/>
          <w:numId w:val="22"/>
        </w:numPr>
        <w:rPr>
          <w:rFonts w:ascii="Palatino Linotype" w:hAnsi="Palatino Linotype"/>
        </w:rPr>
      </w:pPr>
      <w:r>
        <w:rPr>
          <w:rFonts w:ascii="Palatino Linotype" w:hAnsi="Palatino Linotype"/>
        </w:rPr>
        <w:t>The amount of unused work credits they have accumulated;</w:t>
      </w:r>
    </w:p>
    <w:p w14:paraId="2F5FB651" w14:textId="2141BF62" w:rsidR="00E50CC5" w:rsidRDefault="00E50CC5" w:rsidP="00E50CC5">
      <w:pPr>
        <w:pStyle w:val="ListParagraph"/>
        <w:numPr>
          <w:ilvl w:val="0"/>
          <w:numId w:val="22"/>
        </w:numPr>
        <w:rPr>
          <w:rFonts w:ascii="Palatino Linotype" w:hAnsi="Palatino Linotype"/>
        </w:rPr>
      </w:pPr>
      <w:r>
        <w:rPr>
          <w:rFonts w:ascii="Palatino Linotype" w:hAnsi="Palatino Linotype"/>
        </w:rPr>
        <w:t>T</w:t>
      </w:r>
      <w:r w:rsidRPr="00797C55">
        <w:rPr>
          <w:rFonts w:ascii="Palatino Linotype" w:hAnsi="Palatino Linotype"/>
        </w:rPr>
        <w:t xml:space="preserve">he </w:t>
      </w:r>
      <w:r w:rsidR="002F6EB6">
        <w:rPr>
          <w:rFonts w:ascii="Palatino Linotype" w:hAnsi="Palatino Linotype"/>
        </w:rPr>
        <w:t>percentage</w:t>
      </w:r>
      <w:r w:rsidRPr="00797C55">
        <w:rPr>
          <w:rFonts w:ascii="Palatino Linotype" w:hAnsi="Palatino Linotype"/>
        </w:rPr>
        <w:t xml:space="preserve"> of credits that will be reallocated pursuant to this Resolution</w:t>
      </w:r>
      <w:r w:rsidR="00207035">
        <w:rPr>
          <w:rFonts w:ascii="Palatino Linotype" w:hAnsi="Palatino Linotype"/>
        </w:rPr>
        <w:t>;</w:t>
      </w:r>
    </w:p>
    <w:p w14:paraId="05E1FB93" w14:textId="2140278A" w:rsidR="00E50CC5" w:rsidRDefault="00E50CC5" w:rsidP="00E50CC5">
      <w:pPr>
        <w:pStyle w:val="ListParagraph"/>
        <w:numPr>
          <w:ilvl w:val="0"/>
          <w:numId w:val="22"/>
        </w:numPr>
        <w:rPr>
          <w:rFonts w:ascii="Palatino Linotype" w:hAnsi="Palatino Linotype"/>
        </w:rPr>
      </w:pPr>
      <w:r>
        <w:rPr>
          <w:rFonts w:ascii="Palatino Linotype" w:hAnsi="Palatino Linotype"/>
        </w:rPr>
        <w:t>T</w:t>
      </w:r>
      <w:r w:rsidR="00850040">
        <w:rPr>
          <w:rFonts w:ascii="Palatino Linotype" w:hAnsi="Palatino Linotype"/>
        </w:rPr>
        <w:t>he Commission’s order t</w:t>
      </w:r>
      <w:r>
        <w:rPr>
          <w:rFonts w:ascii="Palatino Linotype" w:hAnsi="Palatino Linotype"/>
        </w:rPr>
        <w:t>hat they have 90 days from the date of this Resolution to become active if they wish to retain the work credits subject to reallocation by this Resolution;</w:t>
      </w:r>
    </w:p>
    <w:p w14:paraId="497CE814" w14:textId="73EAC3C2" w:rsidR="00E50CC5" w:rsidRDefault="00850040" w:rsidP="00E50CC5">
      <w:pPr>
        <w:pStyle w:val="ListParagraph"/>
        <w:numPr>
          <w:ilvl w:val="0"/>
          <w:numId w:val="22"/>
        </w:numPr>
        <w:rPr>
          <w:rFonts w:ascii="Palatino Linotype" w:hAnsi="Palatino Linotype"/>
        </w:rPr>
      </w:pPr>
      <w:r>
        <w:rPr>
          <w:rFonts w:ascii="Palatino Linotype" w:hAnsi="Palatino Linotype"/>
        </w:rPr>
        <w:t>The revised</w:t>
      </w:r>
      <w:r w:rsidR="00E50CC5">
        <w:rPr>
          <w:rFonts w:ascii="Palatino Linotype" w:hAnsi="Palatino Linotype"/>
        </w:rPr>
        <w:t xml:space="preserve"> criteria to be considered active as defined by this resolution.</w:t>
      </w:r>
    </w:p>
    <w:bookmarkEnd w:id="4"/>
    <w:p w14:paraId="7B7B9CE2" w14:textId="4871C631" w:rsidR="0024686A" w:rsidRDefault="0024686A" w:rsidP="0024686A">
      <w:pPr>
        <w:rPr>
          <w:rFonts w:ascii="Palatino Linotype" w:hAnsi="Palatino Linotype"/>
        </w:rPr>
      </w:pPr>
    </w:p>
    <w:p w14:paraId="4FCD2928" w14:textId="0CEEC38F" w:rsidR="0024686A" w:rsidRPr="00B8212F" w:rsidRDefault="0024686A" w:rsidP="00B8212F">
      <w:pPr>
        <w:rPr>
          <w:rFonts w:ascii="Palatino Linotype" w:hAnsi="Palatino Linotype"/>
        </w:rPr>
      </w:pPr>
      <w:r>
        <w:rPr>
          <w:rFonts w:ascii="Palatino Linotype" w:hAnsi="Palatino Linotype"/>
        </w:rPr>
        <w:t>If the number of inactive communities goes down</w:t>
      </w:r>
      <w:r w:rsidRPr="0048530E">
        <w:rPr>
          <w:rFonts w:ascii="Palatino Linotype" w:hAnsi="Palatino Linotype"/>
        </w:rPr>
        <w:t xml:space="preserve"> </w:t>
      </w:r>
      <w:r>
        <w:rPr>
          <w:rFonts w:ascii="Palatino Linotype" w:hAnsi="Palatino Linotype"/>
        </w:rPr>
        <w:t>after 90 days, the needed work credits will be reallocated proportionately from the remaining inactive communities. Once the 90 days has passed, PG&amp;E has five business days to determine the final list of inactive communities and file a Tier 1 Advice Letter detailing the reallocation and how the communities’ balances will be impacted.</w:t>
      </w:r>
    </w:p>
    <w:bookmarkEnd w:id="3"/>
    <w:p w14:paraId="020F24A4" w14:textId="2108349E" w:rsidR="00FC2D0A" w:rsidRDefault="00FC2D0A" w:rsidP="00EA2099">
      <w:pPr>
        <w:rPr>
          <w:rFonts w:ascii="Palatino Linotype" w:hAnsi="Palatino Linotype"/>
          <w:b/>
        </w:rPr>
      </w:pPr>
    </w:p>
    <w:bookmarkEnd w:id="2"/>
    <w:p w14:paraId="2A171615" w14:textId="77777777" w:rsidR="00CF17DE" w:rsidRPr="00082728" w:rsidRDefault="00CF17DE">
      <w:pPr>
        <w:pStyle w:val="Heading1"/>
      </w:pPr>
      <w:r w:rsidRPr="00082728">
        <w:t>Comments</w:t>
      </w:r>
    </w:p>
    <w:p w14:paraId="3963567C" w14:textId="4A8A6C17" w:rsidR="00532F96" w:rsidRPr="00532F96" w:rsidRDefault="00532F96" w:rsidP="00532F96">
      <w:pPr>
        <w:rPr>
          <w:rFonts w:ascii="Palatino Linotype" w:hAnsi="Palatino Linotype"/>
        </w:rPr>
      </w:pPr>
      <w:r w:rsidRPr="00532F96">
        <w:rPr>
          <w:rFonts w:ascii="Palatino Linotype" w:hAnsi="Palatino Linotype"/>
        </w:rPr>
        <w:t xml:space="preserve">Public Utilities Code section 311(g)(1) provides that this resolution must be served on all parties and subject to at least 30 days public review.  Please note that comments are due 20 days from the mailing date of this resolution. Section 311(g)(2) provides that this 30-day review period and 20-day comment period may be reduced or waived upon the stipulation of all parties in the proceeding. </w:t>
      </w:r>
    </w:p>
    <w:p w14:paraId="731E8878" w14:textId="3B61893E" w:rsidR="007E1E7E" w:rsidRDefault="00532F96" w:rsidP="00532F96">
      <w:pPr>
        <w:rPr>
          <w:rFonts w:ascii="Palatino Linotype" w:hAnsi="Palatino Linotype"/>
        </w:rPr>
      </w:pPr>
      <w:r w:rsidRPr="00532F96">
        <w:rPr>
          <w:rFonts w:ascii="Palatino Linotype" w:hAnsi="Palatino Linotype"/>
        </w:rPr>
        <w:lastRenderedPageBreak/>
        <w:t>The 30-day review and 20-day comment period for the draft of this resolution was neither waived nor reduced.  Accordingly, this draft resolution was mailed to parties for comments, and will be placed on the Commission's agenda no earlier than 30 days from today.”</w:t>
      </w:r>
    </w:p>
    <w:p w14:paraId="27DAF607" w14:textId="77777777" w:rsidR="00B82162" w:rsidRPr="000A6D41" w:rsidRDefault="00B82162" w:rsidP="00532F96">
      <w:pPr>
        <w:rPr>
          <w:rFonts w:ascii="Palatino Linotype" w:hAnsi="Palatino Linotype"/>
        </w:rPr>
      </w:pPr>
    </w:p>
    <w:p w14:paraId="78C9E399" w14:textId="77777777" w:rsidR="00CF17DE" w:rsidRPr="00082728" w:rsidRDefault="00CF17DE">
      <w:pPr>
        <w:pStyle w:val="Heading1"/>
      </w:pPr>
      <w:r w:rsidRPr="00082728">
        <w:t>Findings</w:t>
      </w:r>
    </w:p>
    <w:p w14:paraId="4DC3A443" w14:textId="3CB4035A" w:rsidR="00430E90" w:rsidRPr="000A6D41" w:rsidRDefault="00430E90" w:rsidP="00430E90">
      <w:pPr>
        <w:numPr>
          <w:ilvl w:val="0"/>
          <w:numId w:val="4"/>
        </w:numPr>
        <w:rPr>
          <w:rFonts w:ascii="Palatino Linotype" w:hAnsi="Palatino Linotype"/>
        </w:rPr>
      </w:pPr>
      <w:r w:rsidRPr="000A6D41">
        <w:rPr>
          <w:rFonts w:ascii="Palatino Linotype" w:hAnsi="Palatino Linotype"/>
        </w:rPr>
        <w:t>Under Rule 20, the Commission requires the utilities to allocate a certain amount of work credits each year to all communities that they provide service to for conversion projects.</w:t>
      </w:r>
    </w:p>
    <w:p w14:paraId="056A4B3C" w14:textId="26D7C0DD" w:rsidR="00430E90" w:rsidRPr="000A6D41" w:rsidRDefault="00430E90" w:rsidP="00430E90">
      <w:pPr>
        <w:numPr>
          <w:ilvl w:val="0"/>
          <w:numId w:val="4"/>
        </w:numPr>
        <w:rPr>
          <w:rFonts w:ascii="Palatino Linotype" w:hAnsi="Palatino Linotype"/>
        </w:rPr>
      </w:pPr>
      <w:r w:rsidRPr="000A6D41">
        <w:rPr>
          <w:rFonts w:ascii="Palatino Linotype" w:hAnsi="Palatino Linotype"/>
        </w:rPr>
        <w:t>Communities can utilize work credit allocations that are banked and borrowed forward up to five years to fund conversion projects.</w:t>
      </w:r>
    </w:p>
    <w:p w14:paraId="3E0E9462" w14:textId="060A630F" w:rsidR="00430E90" w:rsidRDefault="00430E90" w:rsidP="00430E90">
      <w:pPr>
        <w:numPr>
          <w:ilvl w:val="0"/>
          <w:numId w:val="4"/>
        </w:numPr>
        <w:rPr>
          <w:rFonts w:ascii="Palatino Linotype" w:hAnsi="Palatino Linotype"/>
        </w:rPr>
      </w:pPr>
      <w:r w:rsidRPr="000A6D41">
        <w:rPr>
          <w:rFonts w:ascii="Palatino Linotype" w:hAnsi="Palatino Linotype"/>
        </w:rPr>
        <w:t>When communities require additional funding for projects underway, the Rule 20A Tariff specifies that the utility shall reallocate work credits that have not been used from inactive communities to</w:t>
      </w:r>
      <w:r w:rsidR="00267BCF" w:rsidRPr="000A6D41">
        <w:rPr>
          <w:rFonts w:ascii="Palatino Linotype" w:hAnsi="Palatino Linotype"/>
        </w:rPr>
        <w:t xml:space="preserve"> the</w:t>
      </w:r>
      <w:r w:rsidRPr="000A6D41">
        <w:rPr>
          <w:rFonts w:ascii="Palatino Linotype" w:hAnsi="Palatino Linotype"/>
        </w:rPr>
        <w:t xml:space="preserve"> communities in need.</w:t>
      </w:r>
    </w:p>
    <w:p w14:paraId="5786E1D5" w14:textId="26235CC7" w:rsidR="00684746" w:rsidRPr="000A6D41" w:rsidRDefault="00684746" w:rsidP="00430E90">
      <w:pPr>
        <w:numPr>
          <w:ilvl w:val="0"/>
          <w:numId w:val="4"/>
        </w:numPr>
        <w:rPr>
          <w:rFonts w:ascii="Palatino Linotype" w:hAnsi="Palatino Linotype"/>
        </w:rPr>
      </w:pPr>
      <w:r>
        <w:rPr>
          <w:rFonts w:ascii="Palatino Linotype" w:hAnsi="Palatino Linotype"/>
        </w:rPr>
        <w:t>In November 2016, Commission</w:t>
      </w:r>
      <w:r w:rsidR="007B014D">
        <w:rPr>
          <w:rFonts w:ascii="Palatino Linotype" w:hAnsi="Palatino Linotype"/>
        </w:rPr>
        <w:t xml:space="preserve"> Staff authored a report on the utilities’ administration of their Rule 20A programs which indicated that there is nearly $1 billion in unused work credits held by communities across the state. </w:t>
      </w:r>
    </w:p>
    <w:p w14:paraId="55ED4AD3" w14:textId="3AB1B5E2" w:rsidR="00680517" w:rsidRDefault="00680517" w:rsidP="00430E90">
      <w:pPr>
        <w:numPr>
          <w:ilvl w:val="0"/>
          <w:numId w:val="4"/>
        </w:numPr>
        <w:rPr>
          <w:rFonts w:ascii="Palatino Linotype" w:hAnsi="Palatino Linotype"/>
        </w:rPr>
      </w:pPr>
      <w:r w:rsidRPr="000A6D41">
        <w:rPr>
          <w:rFonts w:ascii="Palatino Linotype" w:hAnsi="Palatino Linotype"/>
        </w:rPr>
        <w:t xml:space="preserve">On May 19, 2017, the Commission opened Order Instituting Rulemaking </w:t>
      </w:r>
      <w:r w:rsidR="00721418">
        <w:rPr>
          <w:rFonts w:ascii="Palatino Linotype" w:hAnsi="Palatino Linotype"/>
        </w:rPr>
        <w:br/>
      </w:r>
      <w:r w:rsidRPr="000A6D41">
        <w:rPr>
          <w:rFonts w:ascii="Palatino Linotype" w:hAnsi="Palatino Linotype"/>
        </w:rPr>
        <w:t>17-05-010 to review issues related to undergrounding of electric distribution lines and consider the revisions to the IOUs’ Rule 20 programs.</w:t>
      </w:r>
    </w:p>
    <w:p w14:paraId="5CF25E6C" w14:textId="3C52AD7D" w:rsidR="006C2A28" w:rsidRPr="000A6D41" w:rsidRDefault="006C2A28" w:rsidP="00430E90">
      <w:pPr>
        <w:numPr>
          <w:ilvl w:val="0"/>
          <w:numId w:val="4"/>
        </w:numPr>
        <w:rPr>
          <w:rFonts w:ascii="Palatino Linotype" w:hAnsi="Palatino Linotype"/>
        </w:rPr>
      </w:pPr>
      <w:r>
        <w:rPr>
          <w:rFonts w:ascii="Palatino Linotype" w:hAnsi="Palatino Linotype"/>
        </w:rPr>
        <w:t>The City of Live Oak is a small rural town of 8,000 people that receives an annual Rule 20Awork credit allocation of $19,000.</w:t>
      </w:r>
    </w:p>
    <w:p w14:paraId="02313233" w14:textId="5A60C71E" w:rsidR="0075072A" w:rsidRPr="000A6D41" w:rsidRDefault="00252D0E">
      <w:pPr>
        <w:numPr>
          <w:ilvl w:val="0"/>
          <w:numId w:val="4"/>
        </w:numPr>
        <w:rPr>
          <w:rFonts w:ascii="Palatino Linotype" w:hAnsi="Palatino Linotype"/>
        </w:rPr>
      </w:pPr>
      <w:r w:rsidRPr="000A6D41">
        <w:rPr>
          <w:rFonts w:ascii="Palatino Linotype" w:hAnsi="Palatino Linotype"/>
        </w:rPr>
        <w:t xml:space="preserve">The City of Live Oak </w:t>
      </w:r>
      <w:r w:rsidR="0075072A" w:rsidRPr="000A6D41">
        <w:rPr>
          <w:rFonts w:ascii="Palatino Linotype" w:hAnsi="Palatino Linotype"/>
        </w:rPr>
        <w:t>formed an undergrounding district for the Live Oak Blvd. Rule 20A project in 2017, which would be part of the broader Caltrans State Route 99 improvement project.</w:t>
      </w:r>
    </w:p>
    <w:p w14:paraId="7A918F9F" w14:textId="49A499C2" w:rsidR="0045741F" w:rsidRPr="000A6D41" w:rsidRDefault="00FE3EF2">
      <w:pPr>
        <w:numPr>
          <w:ilvl w:val="0"/>
          <w:numId w:val="4"/>
        </w:numPr>
        <w:rPr>
          <w:rFonts w:ascii="Palatino Linotype" w:hAnsi="Palatino Linotype"/>
        </w:rPr>
      </w:pPr>
      <w:r w:rsidRPr="000A6D41">
        <w:rPr>
          <w:rFonts w:ascii="Palatino Linotype" w:hAnsi="Palatino Linotype"/>
        </w:rPr>
        <w:t xml:space="preserve">The City of </w:t>
      </w:r>
      <w:r w:rsidR="0045741F" w:rsidRPr="000A6D41">
        <w:rPr>
          <w:rFonts w:ascii="Palatino Linotype" w:hAnsi="Palatino Linotype"/>
        </w:rPr>
        <w:t>Live Oak purchased $2 million of work credits from the City of Rocklin and received a $1.2 million work credit donation from Sutter County in 2017 to augment their work credit balance.</w:t>
      </w:r>
    </w:p>
    <w:p w14:paraId="742D6ED2" w14:textId="4E9B6695" w:rsidR="00CF17DE" w:rsidRPr="000A6D41" w:rsidRDefault="0075072A">
      <w:pPr>
        <w:numPr>
          <w:ilvl w:val="0"/>
          <w:numId w:val="4"/>
        </w:numPr>
        <w:rPr>
          <w:rFonts w:ascii="Palatino Linotype" w:hAnsi="Palatino Linotype"/>
        </w:rPr>
      </w:pPr>
      <w:r w:rsidRPr="000A6D41">
        <w:rPr>
          <w:rFonts w:ascii="Palatino Linotype" w:hAnsi="Palatino Linotype"/>
        </w:rPr>
        <w:t xml:space="preserve">In May 2018, PG&amp;E increased the estimate from $4 million to about </w:t>
      </w:r>
      <w:r w:rsidR="00721418">
        <w:rPr>
          <w:rFonts w:ascii="Palatino Linotype" w:hAnsi="Palatino Linotype"/>
        </w:rPr>
        <w:br/>
      </w:r>
      <w:r w:rsidRPr="000A6D41">
        <w:rPr>
          <w:rFonts w:ascii="Palatino Linotype" w:hAnsi="Palatino Linotype"/>
        </w:rPr>
        <w:t xml:space="preserve">$12 million after comparing </w:t>
      </w:r>
      <w:r w:rsidR="00FE3EF2" w:rsidRPr="000A6D41">
        <w:rPr>
          <w:rFonts w:ascii="Palatino Linotype" w:hAnsi="Palatino Linotype"/>
        </w:rPr>
        <w:t xml:space="preserve">the City of </w:t>
      </w:r>
      <w:r w:rsidRPr="000A6D41">
        <w:rPr>
          <w:rFonts w:ascii="Palatino Linotype" w:hAnsi="Palatino Linotype"/>
        </w:rPr>
        <w:t>Live Oak’s project to the cost of a similar project underway in Colusa.</w:t>
      </w:r>
    </w:p>
    <w:p w14:paraId="05DA21A1" w14:textId="3ABB46E8" w:rsidR="0075072A" w:rsidRPr="000A6D41" w:rsidRDefault="00FE3EF2">
      <w:pPr>
        <w:numPr>
          <w:ilvl w:val="0"/>
          <w:numId w:val="4"/>
        </w:numPr>
        <w:rPr>
          <w:rFonts w:ascii="Palatino Linotype" w:hAnsi="Palatino Linotype"/>
        </w:rPr>
      </w:pPr>
      <w:r w:rsidRPr="000A6D41">
        <w:rPr>
          <w:rFonts w:ascii="Palatino Linotype" w:hAnsi="Palatino Linotype"/>
        </w:rPr>
        <w:t xml:space="preserve">The City of </w:t>
      </w:r>
      <w:r w:rsidR="00863078" w:rsidRPr="000A6D41">
        <w:rPr>
          <w:rFonts w:ascii="Palatino Linotype" w:hAnsi="Palatino Linotype"/>
        </w:rPr>
        <w:t xml:space="preserve">Live Oak and PG&amp;E subsequently reduced the project scoped from 7,600 feet to 5,300 feet, which lowered the project cost to roughly </w:t>
      </w:r>
      <w:r w:rsidR="00721418">
        <w:rPr>
          <w:rFonts w:ascii="Palatino Linotype" w:hAnsi="Palatino Linotype"/>
        </w:rPr>
        <w:br/>
      </w:r>
      <w:r w:rsidR="00863078" w:rsidRPr="000A6D41">
        <w:rPr>
          <w:rFonts w:ascii="Palatino Linotype" w:hAnsi="Palatino Linotype"/>
        </w:rPr>
        <w:t>$8 million.</w:t>
      </w:r>
    </w:p>
    <w:p w14:paraId="7C7F6B2E" w14:textId="3D9C17E2" w:rsidR="00644CA0" w:rsidRPr="000A6D41" w:rsidRDefault="00644CA0" w:rsidP="00644CA0">
      <w:pPr>
        <w:numPr>
          <w:ilvl w:val="0"/>
          <w:numId w:val="4"/>
        </w:numPr>
        <w:rPr>
          <w:rFonts w:ascii="Palatino Linotype" w:hAnsi="Palatino Linotype"/>
        </w:rPr>
      </w:pPr>
      <w:r w:rsidRPr="000A6D41">
        <w:rPr>
          <w:rFonts w:ascii="Palatino Linotype" w:hAnsi="Palatino Linotype"/>
        </w:rPr>
        <w:lastRenderedPageBreak/>
        <w:t xml:space="preserve">On October 26, 2019, PG&amp;E filed Advice Letter 5403-E-A requesting to deviate from the Rule 20A Tariff in order for the City of Live Oak to obtain enough work credits to complete their project by mortgaging beyond the </w:t>
      </w:r>
      <w:r w:rsidR="00721418">
        <w:rPr>
          <w:rFonts w:ascii="Palatino Linotype" w:hAnsi="Palatino Linotype"/>
        </w:rPr>
        <w:br/>
      </w:r>
      <w:r w:rsidRPr="000A6D41">
        <w:rPr>
          <w:rFonts w:ascii="Palatino Linotype" w:hAnsi="Palatino Linotype"/>
        </w:rPr>
        <w:t>5-year limit</w:t>
      </w:r>
      <w:r w:rsidR="009E57C0">
        <w:rPr>
          <w:rFonts w:ascii="Palatino Linotype" w:hAnsi="Palatino Linotype"/>
        </w:rPr>
        <w:t xml:space="preserve"> by up to 200 years</w:t>
      </w:r>
      <w:r w:rsidRPr="000A6D41">
        <w:rPr>
          <w:rFonts w:ascii="Palatino Linotype" w:hAnsi="Palatino Linotype"/>
        </w:rPr>
        <w:t>.</w:t>
      </w:r>
    </w:p>
    <w:p w14:paraId="40D9BD81" w14:textId="3767B811" w:rsidR="00111D9A" w:rsidRPr="000A6D41" w:rsidRDefault="00111D9A">
      <w:pPr>
        <w:numPr>
          <w:ilvl w:val="0"/>
          <w:numId w:val="4"/>
        </w:numPr>
        <w:rPr>
          <w:rFonts w:ascii="Palatino Linotype" w:hAnsi="Palatino Linotype"/>
        </w:rPr>
      </w:pPr>
      <w:r w:rsidRPr="000A6D41">
        <w:rPr>
          <w:rFonts w:ascii="Palatino Linotype" w:hAnsi="Palatino Linotype"/>
        </w:rPr>
        <w:t>On November 1, 2018, TURN submitted a protest to PG&amp;E’s AL 5403-E-A.</w:t>
      </w:r>
    </w:p>
    <w:p w14:paraId="210D3BC5" w14:textId="3B7E6C0B" w:rsidR="00111D9A" w:rsidRPr="000A6D41" w:rsidRDefault="00111D9A">
      <w:pPr>
        <w:numPr>
          <w:ilvl w:val="0"/>
          <w:numId w:val="4"/>
        </w:numPr>
        <w:rPr>
          <w:rFonts w:ascii="Palatino Linotype" w:hAnsi="Palatino Linotype"/>
        </w:rPr>
      </w:pPr>
      <w:r w:rsidRPr="000A6D41">
        <w:rPr>
          <w:rFonts w:ascii="Palatino Linotype" w:hAnsi="Palatino Linotype"/>
        </w:rPr>
        <w:t>On November 7 and 8, 2018 the City of Live Oak and PG&amp;E respectively filed replies to TURN’s protest.</w:t>
      </w:r>
    </w:p>
    <w:p w14:paraId="500650F9" w14:textId="4831FD93" w:rsidR="00CA5955" w:rsidRPr="000A6D41" w:rsidRDefault="00644CA0">
      <w:pPr>
        <w:numPr>
          <w:ilvl w:val="0"/>
          <w:numId w:val="4"/>
        </w:numPr>
        <w:rPr>
          <w:rFonts w:ascii="Palatino Linotype" w:hAnsi="Palatino Linotype"/>
        </w:rPr>
      </w:pPr>
      <w:r w:rsidRPr="000A6D41">
        <w:rPr>
          <w:rFonts w:ascii="Palatino Linotype" w:hAnsi="Palatino Linotype"/>
        </w:rPr>
        <w:t xml:space="preserve">In November 2018, </w:t>
      </w:r>
      <w:r w:rsidR="00CA5955" w:rsidRPr="000A6D41">
        <w:rPr>
          <w:rFonts w:ascii="Palatino Linotype" w:hAnsi="Palatino Linotype"/>
        </w:rPr>
        <w:t xml:space="preserve">PG&amp;E negotiated further with Caltrans to reduce the </w:t>
      </w:r>
      <w:r w:rsidR="00F02B1E" w:rsidRPr="000A6D41">
        <w:rPr>
          <w:rFonts w:ascii="Palatino Linotype" w:hAnsi="Palatino Linotype"/>
        </w:rPr>
        <w:t xml:space="preserve">scope </w:t>
      </w:r>
      <w:r w:rsidR="00CA5955" w:rsidRPr="000A6D41">
        <w:rPr>
          <w:rFonts w:ascii="Palatino Linotype" w:hAnsi="Palatino Linotype"/>
        </w:rPr>
        <w:t>and project</w:t>
      </w:r>
      <w:r w:rsidR="00F02B1E" w:rsidRPr="000A6D41">
        <w:rPr>
          <w:rFonts w:ascii="Palatino Linotype" w:hAnsi="Palatino Linotype"/>
        </w:rPr>
        <w:t xml:space="preserve"> costs to $3,568,435.</w:t>
      </w:r>
    </w:p>
    <w:p w14:paraId="0113468F" w14:textId="77777777" w:rsidR="00FA5BC8" w:rsidRDefault="000E25B2">
      <w:pPr>
        <w:numPr>
          <w:ilvl w:val="0"/>
          <w:numId w:val="4"/>
        </w:numPr>
        <w:rPr>
          <w:rFonts w:ascii="Palatino Linotype" w:hAnsi="Palatino Linotype"/>
        </w:rPr>
      </w:pPr>
      <w:r w:rsidRPr="000A6D41">
        <w:rPr>
          <w:rFonts w:ascii="Palatino Linotype" w:hAnsi="Palatino Linotype"/>
        </w:rPr>
        <w:t xml:space="preserve">In November 2018, </w:t>
      </w:r>
      <w:r w:rsidR="003C7579" w:rsidRPr="000A6D41">
        <w:rPr>
          <w:rFonts w:ascii="Palatino Linotype" w:hAnsi="Palatino Linotype"/>
        </w:rPr>
        <w:t>PG&amp;E solicited contractors for the Rule 20A project</w:t>
      </w:r>
      <w:r w:rsidRPr="000A6D41">
        <w:rPr>
          <w:rFonts w:ascii="Palatino Linotype" w:hAnsi="Palatino Linotype"/>
        </w:rPr>
        <w:t xml:space="preserve"> and received bids in January 2019.</w:t>
      </w:r>
    </w:p>
    <w:p w14:paraId="54DADBBE" w14:textId="5893251D" w:rsidR="005D2B1E" w:rsidRDefault="00FA5BC8">
      <w:pPr>
        <w:numPr>
          <w:ilvl w:val="0"/>
          <w:numId w:val="4"/>
        </w:numPr>
        <w:rPr>
          <w:rFonts w:ascii="Palatino Linotype" w:hAnsi="Palatino Linotype"/>
        </w:rPr>
      </w:pPr>
      <w:r>
        <w:rPr>
          <w:rFonts w:ascii="Palatino Linotype" w:hAnsi="Palatino Linotype"/>
        </w:rPr>
        <w:t>B</w:t>
      </w:r>
      <w:r w:rsidR="00E94F7F" w:rsidRPr="00FA5BC8">
        <w:rPr>
          <w:rFonts w:ascii="Palatino Linotype" w:hAnsi="Palatino Linotype"/>
        </w:rPr>
        <w:t>orrowing</w:t>
      </w:r>
      <w:r w:rsidR="005D2B1E" w:rsidRPr="00FA5BC8">
        <w:rPr>
          <w:rFonts w:ascii="Palatino Linotype" w:hAnsi="Palatino Linotype"/>
        </w:rPr>
        <w:t xml:space="preserve"> Rule 20A</w:t>
      </w:r>
      <w:r w:rsidR="00E94F7F" w:rsidRPr="00FA5BC8">
        <w:rPr>
          <w:rFonts w:ascii="Palatino Linotype" w:hAnsi="Palatino Linotype"/>
        </w:rPr>
        <w:t xml:space="preserve"> work credits up to 200 years is unreasonable.</w:t>
      </w:r>
    </w:p>
    <w:p w14:paraId="35A171B7" w14:textId="27E598A5" w:rsidR="00E94F7F" w:rsidRPr="000A6D41" w:rsidRDefault="005D2B1E">
      <w:pPr>
        <w:numPr>
          <w:ilvl w:val="0"/>
          <w:numId w:val="4"/>
        </w:numPr>
        <w:rPr>
          <w:rFonts w:ascii="Palatino Linotype" w:hAnsi="Palatino Linotype"/>
        </w:rPr>
      </w:pPr>
      <w:r>
        <w:rPr>
          <w:rFonts w:ascii="Palatino Linotype" w:hAnsi="Palatino Linotype"/>
        </w:rPr>
        <w:t>The Commission has granted deviations from the Rule 20A Tariff’s five-year borrow under limited circumstances that are not present for this project.</w:t>
      </w:r>
    </w:p>
    <w:p w14:paraId="6E40F165" w14:textId="77777777" w:rsidR="00EA4AFE" w:rsidRDefault="005E6841">
      <w:pPr>
        <w:numPr>
          <w:ilvl w:val="0"/>
          <w:numId w:val="4"/>
        </w:numPr>
        <w:rPr>
          <w:rFonts w:ascii="Palatino Linotype" w:hAnsi="Palatino Linotype"/>
        </w:rPr>
      </w:pPr>
      <w:r w:rsidRPr="005E6841">
        <w:rPr>
          <w:rFonts w:ascii="Palatino Linotype" w:hAnsi="Palatino Linotype"/>
        </w:rPr>
        <w:t xml:space="preserve">Commission policy does not support granting PG&amp;E’s request to borrow beyond five years. </w:t>
      </w:r>
    </w:p>
    <w:p w14:paraId="361483D2" w14:textId="68B1A439" w:rsidR="00A551BD" w:rsidRDefault="00EA4AFE" w:rsidP="00A551BD">
      <w:pPr>
        <w:numPr>
          <w:ilvl w:val="0"/>
          <w:numId w:val="4"/>
        </w:numPr>
        <w:rPr>
          <w:rFonts w:ascii="Palatino Linotype" w:hAnsi="Palatino Linotype"/>
        </w:rPr>
      </w:pPr>
      <w:r w:rsidRPr="001C3365">
        <w:rPr>
          <w:rFonts w:ascii="Palatino Linotype" w:hAnsi="Palatino Linotype"/>
        </w:rPr>
        <w:t xml:space="preserve">Allowing the City of Live Oak to </w:t>
      </w:r>
      <w:r w:rsidR="00816D62">
        <w:rPr>
          <w:rFonts w:ascii="Palatino Linotype" w:hAnsi="Palatino Linotype"/>
        </w:rPr>
        <w:t>“</w:t>
      </w:r>
      <w:r w:rsidRPr="001C3365">
        <w:rPr>
          <w:rFonts w:ascii="Palatino Linotype" w:hAnsi="Palatino Linotype"/>
        </w:rPr>
        <w:t>mortgage</w:t>
      </w:r>
      <w:r w:rsidR="00816D62">
        <w:rPr>
          <w:rFonts w:ascii="Palatino Linotype" w:hAnsi="Palatino Linotype"/>
        </w:rPr>
        <w:t>”</w:t>
      </w:r>
      <w:r w:rsidRPr="001C3365">
        <w:rPr>
          <w:rFonts w:ascii="Palatino Linotype" w:hAnsi="Palatino Linotype"/>
        </w:rPr>
        <w:t xml:space="preserve"> beyond five years to fund a project may represent a significant legal obligation and risk for the City</w:t>
      </w:r>
      <w:r w:rsidR="00A551BD">
        <w:rPr>
          <w:rFonts w:ascii="Palatino Linotype" w:hAnsi="Palatino Linotype"/>
        </w:rPr>
        <w:t>.</w:t>
      </w:r>
      <w:r w:rsidR="00A551BD" w:rsidRPr="00A551BD">
        <w:rPr>
          <w:rFonts w:ascii="Palatino Linotype" w:hAnsi="Palatino Linotype"/>
        </w:rPr>
        <w:t xml:space="preserve"> </w:t>
      </w:r>
    </w:p>
    <w:p w14:paraId="2206565B" w14:textId="70F65B2B" w:rsidR="00A551BD" w:rsidRPr="000A6D41" w:rsidRDefault="00A551BD" w:rsidP="00A551BD">
      <w:pPr>
        <w:numPr>
          <w:ilvl w:val="0"/>
          <w:numId w:val="4"/>
        </w:numPr>
        <w:rPr>
          <w:rFonts w:ascii="Palatino Linotype" w:hAnsi="Palatino Linotype"/>
        </w:rPr>
      </w:pPr>
      <w:r w:rsidRPr="00F92D69">
        <w:rPr>
          <w:rFonts w:ascii="Palatino Linotype" w:hAnsi="Palatino Linotype"/>
        </w:rPr>
        <w:t xml:space="preserve">PG&amp;E’s solution to request to deviate from Rule 20A to assist similarly situated communities to Live Oak </w:t>
      </w:r>
      <w:r>
        <w:rPr>
          <w:rFonts w:ascii="Palatino Linotype" w:hAnsi="Palatino Linotype"/>
        </w:rPr>
        <w:t>is unreasonable and represent a significant ratepayer liability</w:t>
      </w:r>
      <w:r w:rsidRPr="00F92D69">
        <w:rPr>
          <w:rFonts w:ascii="Palatino Linotype" w:hAnsi="Palatino Linotype"/>
        </w:rPr>
        <w:t>.</w:t>
      </w:r>
    </w:p>
    <w:p w14:paraId="5F218307" w14:textId="77777777" w:rsidR="00A551BD" w:rsidRDefault="00A551BD" w:rsidP="00A551BD">
      <w:pPr>
        <w:numPr>
          <w:ilvl w:val="0"/>
          <w:numId w:val="4"/>
        </w:numPr>
        <w:rPr>
          <w:rFonts w:ascii="Palatino Linotype" w:hAnsi="Palatino Linotype"/>
        </w:rPr>
      </w:pPr>
      <w:r w:rsidRPr="00A551BD">
        <w:rPr>
          <w:rFonts w:ascii="Palatino Linotype" w:hAnsi="Palatino Linotype"/>
        </w:rPr>
        <w:t>PG&amp;E sent the Commission a more precise cost estimate of $4,554,000 for the Live Oak Blvd. project v</w:t>
      </w:r>
      <w:r w:rsidRPr="005367C0">
        <w:rPr>
          <w:rFonts w:ascii="Palatino Linotype" w:hAnsi="Palatino Linotype"/>
        </w:rPr>
        <w:t>ia email on February 5, 2019 after receiving contractor bids in January.</w:t>
      </w:r>
      <w:r w:rsidRPr="00C274FA">
        <w:rPr>
          <w:rFonts w:ascii="Palatino Linotype" w:hAnsi="Palatino Linotype"/>
        </w:rPr>
        <w:t xml:space="preserve"> </w:t>
      </w:r>
    </w:p>
    <w:p w14:paraId="0796BEBE" w14:textId="693CDE1A" w:rsidR="00A551BD" w:rsidRPr="00A551BD" w:rsidRDefault="00A551BD" w:rsidP="00A551BD">
      <w:pPr>
        <w:numPr>
          <w:ilvl w:val="0"/>
          <w:numId w:val="4"/>
        </w:numPr>
        <w:rPr>
          <w:rFonts w:ascii="Palatino Linotype" w:hAnsi="Palatino Linotype"/>
        </w:rPr>
      </w:pPr>
      <w:r w:rsidRPr="00A551BD">
        <w:rPr>
          <w:rFonts w:ascii="Palatino Linotype" w:hAnsi="Palatino Linotype"/>
        </w:rPr>
        <w:t xml:space="preserve">This new estimate exceeds the City of Live Oak’s </w:t>
      </w:r>
      <w:r w:rsidRPr="00913DF7">
        <w:rPr>
          <w:rFonts w:ascii="Palatino Linotype" w:hAnsi="Palatino Linotype"/>
        </w:rPr>
        <w:t xml:space="preserve">current work credit balance </w:t>
      </w:r>
      <w:r w:rsidRPr="005367C0">
        <w:rPr>
          <w:rFonts w:ascii="Palatino Linotype" w:hAnsi="Palatino Linotype"/>
        </w:rPr>
        <w:t>of $4 million</w:t>
      </w:r>
      <w:r w:rsidRPr="00A551BD">
        <w:rPr>
          <w:rFonts w:ascii="Palatino Linotype" w:hAnsi="Palatino Linotype"/>
        </w:rPr>
        <w:t xml:space="preserve"> </w:t>
      </w:r>
      <w:r>
        <w:rPr>
          <w:rFonts w:ascii="Palatino Linotype" w:hAnsi="Palatino Linotype"/>
        </w:rPr>
        <w:t xml:space="preserve">and the </w:t>
      </w:r>
      <w:r w:rsidRPr="00A551BD">
        <w:rPr>
          <w:rFonts w:ascii="Palatino Linotype" w:hAnsi="Palatino Linotype"/>
        </w:rPr>
        <w:t>City of Live Oak requires an additional $554,000, which is the equivalent of 29 years of allocations</w:t>
      </w:r>
      <w:r>
        <w:rPr>
          <w:rFonts w:ascii="Palatino Linotype" w:hAnsi="Palatino Linotype"/>
        </w:rPr>
        <w:t>,</w:t>
      </w:r>
      <w:r w:rsidRPr="00A551BD">
        <w:rPr>
          <w:rFonts w:ascii="Palatino Linotype" w:hAnsi="Palatino Linotype"/>
        </w:rPr>
        <w:t xml:space="preserve"> to move forward with its Rule 20A project.</w:t>
      </w:r>
    </w:p>
    <w:p w14:paraId="5478EDAF" w14:textId="28213316" w:rsidR="00F41757" w:rsidRDefault="00C155F7" w:rsidP="00F41757">
      <w:pPr>
        <w:numPr>
          <w:ilvl w:val="0"/>
          <w:numId w:val="4"/>
        </w:numPr>
        <w:rPr>
          <w:rFonts w:ascii="Palatino Linotype" w:hAnsi="Palatino Linotype"/>
        </w:rPr>
      </w:pPr>
      <w:r>
        <w:rPr>
          <w:rFonts w:ascii="Palatino Linotype" w:hAnsi="Palatino Linotype"/>
        </w:rPr>
        <w:t>Rule 20A section</w:t>
      </w:r>
      <w:r w:rsidR="00913DF7">
        <w:rPr>
          <w:rFonts w:ascii="Palatino Linotype" w:hAnsi="Palatino Linotype"/>
        </w:rPr>
        <w:t xml:space="preserve"> 2.c</w:t>
      </w:r>
      <w:r w:rsidR="00BC3AB4">
        <w:rPr>
          <w:rFonts w:ascii="Palatino Linotype" w:hAnsi="Palatino Linotype"/>
        </w:rPr>
        <w:t xml:space="preserve"> </w:t>
      </w:r>
      <w:r w:rsidR="00913DF7">
        <w:rPr>
          <w:rFonts w:ascii="Palatino Linotype" w:hAnsi="Palatino Linotype"/>
        </w:rPr>
        <w:t xml:space="preserve">allows for the utility to reallocate work credits from inactive communities to communities in need that require additional </w:t>
      </w:r>
      <w:r w:rsidR="00480315">
        <w:rPr>
          <w:rFonts w:ascii="Palatino Linotype" w:hAnsi="Palatino Linotype"/>
        </w:rPr>
        <w:t>work credits</w:t>
      </w:r>
      <w:r w:rsidR="00913DF7">
        <w:rPr>
          <w:rFonts w:ascii="Palatino Linotype" w:hAnsi="Palatino Linotype"/>
        </w:rPr>
        <w:t xml:space="preserve"> to move forward with their Rule 20A projects.</w:t>
      </w:r>
      <w:r w:rsidR="00F41757" w:rsidRPr="00F41757">
        <w:rPr>
          <w:rFonts w:ascii="Palatino Linotype" w:hAnsi="Palatino Linotype"/>
        </w:rPr>
        <w:t xml:space="preserve"> </w:t>
      </w:r>
    </w:p>
    <w:p w14:paraId="4EDED249" w14:textId="51E83653" w:rsidR="00F41757" w:rsidRDefault="00F41757" w:rsidP="00F41757">
      <w:pPr>
        <w:numPr>
          <w:ilvl w:val="0"/>
          <w:numId w:val="4"/>
        </w:numPr>
        <w:rPr>
          <w:rFonts w:ascii="Palatino Linotype" w:hAnsi="Palatino Linotype"/>
        </w:rPr>
      </w:pPr>
      <w:r w:rsidRPr="004B6B07">
        <w:rPr>
          <w:rFonts w:ascii="Palatino Linotype" w:hAnsi="Palatino Linotype"/>
        </w:rPr>
        <w:t>Reallocation of $554,000 from inactive communities is the most reasonable solution to allow the City of Live Oak’s undergrounding project to proceed.</w:t>
      </w:r>
    </w:p>
    <w:p w14:paraId="796C7C87" w14:textId="4842F566" w:rsidR="00ED73FE" w:rsidRDefault="00796BAA" w:rsidP="00D46EB1">
      <w:pPr>
        <w:numPr>
          <w:ilvl w:val="0"/>
          <w:numId w:val="4"/>
        </w:numPr>
        <w:rPr>
          <w:rFonts w:ascii="Palatino Linotype" w:hAnsi="Palatino Linotype"/>
        </w:rPr>
      </w:pPr>
      <w:r>
        <w:rPr>
          <w:rFonts w:ascii="Palatino Linotype" w:hAnsi="Palatino Linotype"/>
        </w:rPr>
        <w:t>$108,815,591</w:t>
      </w:r>
      <w:r w:rsidR="00D46EB1" w:rsidRPr="000E22FB">
        <w:rPr>
          <w:rFonts w:ascii="Palatino Linotype" w:hAnsi="Palatino Linotype"/>
        </w:rPr>
        <w:t xml:space="preserve"> in Rule 20</w:t>
      </w:r>
      <w:r w:rsidR="00D74210">
        <w:rPr>
          <w:rFonts w:ascii="Palatino Linotype" w:hAnsi="Palatino Linotype"/>
        </w:rPr>
        <w:t xml:space="preserve"> </w:t>
      </w:r>
      <w:r w:rsidR="00ED73FE">
        <w:rPr>
          <w:rFonts w:ascii="Palatino Linotype" w:hAnsi="Palatino Linotype"/>
        </w:rPr>
        <w:t>A credits</w:t>
      </w:r>
      <w:r w:rsidR="00D46EB1" w:rsidRPr="000E22FB">
        <w:rPr>
          <w:rFonts w:ascii="Palatino Linotype" w:hAnsi="Palatino Linotype"/>
        </w:rPr>
        <w:t xml:space="preserve"> are available from </w:t>
      </w:r>
      <w:r w:rsidR="00D46EB1">
        <w:rPr>
          <w:rFonts w:ascii="Palatino Linotype" w:hAnsi="Palatino Linotype"/>
        </w:rPr>
        <w:t>92</w:t>
      </w:r>
      <w:r w:rsidR="00D46EB1" w:rsidRPr="000E22FB">
        <w:rPr>
          <w:rFonts w:ascii="Palatino Linotype" w:hAnsi="Palatino Linotype"/>
        </w:rPr>
        <w:t xml:space="preserve"> inactive communities</w:t>
      </w:r>
      <w:r w:rsidR="00D74210">
        <w:rPr>
          <w:rFonts w:ascii="Palatino Linotype" w:hAnsi="Palatino Linotype"/>
        </w:rPr>
        <w:t xml:space="preserve"> listed in Appendix </w:t>
      </w:r>
      <w:r w:rsidR="00D03BE7">
        <w:rPr>
          <w:rFonts w:ascii="Palatino Linotype" w:hAnsi="Palatino Linotype"/>
        </w:rPr>
        <w:t>A</w:t>
      </w:r>
      <w:r w:rsidR="00D74210">
        <w:rPr>
          <w:rFonts w:ascii="Palatino Linotype" w:hAnsi="Palatino Linotype"/>
        </w:rPr>
        <w:t>.</w:t>
      </w:r>
    </w:p>
    <w:p w14:paraId="04F616A3" w14:textId="19D5439F" w:rsidR="00D46EB1" w:rsidRDefault="00ED73FE" w:rsidP="00D46EB1">
      <w:pPr>
        <w:numPr>
          <w:ilvl w:val="0"/>
          <w:numId w:val="4"/>
        </w:numPr>
        <w:rPr>
          <w:rFonts w:ascii="Palatino Linotype" w:hAnsi="Palatino Linotype"/>
        </w:rPr>
      </w:pPr>
      <w:r>
        <w:rPr>
          <w:rFonts w:ascii="Palatino Linotype" w:hAnsi="Palatino Linotype"/>
        </w:rPr>
        <w:lastRenderedPageBreak/>
        <w:t>Reallocation from inactive communities does not impact active undergrounding programs</w:t>
      </w:r>
      <w:r w:rsidR="00D46EB1" w:rsidRPr="000E22FB">
        <w:rPr>
          <w:rFonts w:ascii="Palatino Linotype" w:hAnsi="Palatino Linotype"/>
        </w:rPr>
        <w:t xml:space="preserve"> in PG&amp;E’s service territory.</w:t>
      </w:r>
    </w:p>
    <w:p w14:paraId="63D5975A" w14:textId="284D1EA2" w:rsidR="00D35F42" w:rsidRDefault="00D35F42" w:rsidP="00D46EB1">
      <w:pPr>
        <w:numPr>
          <w:ilvl w:val="0"/>
          <w:numId w:val="4"/>
        </w:numPr>
        <w:rPr>
          <w:rFonts w:ascii="Palatino Linotype" w:hAnsi="Palatino Linotype"/>
        </w:rPr>
      </w:pPr>
      <w:r>
        <w:rPr>
          <w:rFonts w:ascii="Palatino Linotype" w:hAnsi="Palatino Linotype"/>
        </w:rPr>
        <w:t xml:space="preserve">It is reasonable for PG&amp;E to </w:t>
      </w:r>
      <w:bookmarkStart w:id="5" w:name="_Hlk2008444"/>
      <w:r>
        <w:rPr>
          <w:rFonts w:ascii="Palatino Linotype" w:hAnsi="Palatino Linotype"/>
        </w:rPr>
        <w:t xml:space="preserve">provide notice to inactive communities </w:t>
      </w:r>
      <w:bookmarkEnd w:id="5"/>
      <w:r>
        <w:rPr>
          <w:rFonts w:ascii="Palatino Linotype" w:hAnsi="Palatino Linotype"/>
        </w:rPr>
        <w:t xml:space="preserve">before </w:t>
      </w:r>
      <w:r w:rsidR="00721418">
        <w:rPr>
          <w:rFonts w:ascii="Palatino Linotype" w:hAnsi="Palatino Linotype"/>
        </w:rPr>
        <w:br/>
      </w:r>
      <w:r>
        <w:rPr>
          <w:rFonts w:ascii="Palatino Linotype" w:hAnsi="Palatino Linotype"/>
        </w:rPr>
        <w:t>re-allocating some of their unused credits to City of Live Oak.</w:t>
      </w:r>
    </w:p>
    <w:p w14:paraId="593EE607" w14:textId="769C488E" w:rsidR="00D35F42" w:rsidRDefault="00D35F42" w:rsidP="00D46EB1">
      <w:pPr>
        <w:numPr>
          <w:ilvl w:val="0"/>
          <w:numId w:val="4"/>
        </w:numPr>
        <w:rPr>
          <w:rFonts w:ascii="Palatino Linotype" w:hAnsi="Palatino Linotype"/>
        </w:rPr>
      </w:pPr>
      <w:r>
        <w:rPr>
          <w:rFonts w:ascii="Palatino Linotype" w:hAnsi="Palatino Linotype"/>
        </w:rPr>
        <w:t xml:space="preserve">It is reasonable for PG&amp;E to </w:t>
      </w:r>
      <w:r w:rsidRPr="00D35F42">
        <w:rPr>
          <w:rFonts w:ascii="Palatino Linotype" w:hAnsi="Palatino Linotype"/>
        </w:rPr>
        <w:t xml:space="preserve">provide notice to inactive communities </w:t>
      </w:r>
      <w:r>
        <w:rPr>
          <w:rFonts w:ascii="Palatino Linotype" w:hAnsi="Palatino Linotype"/>
        </w:rPr>
        <w:t xml:space="preserve">of the criteria </w:t>
      </w:r>
      <w:r w:rsidRPr="00D35F42">
        <w:rPr>
          <w:rFonts w:ascii="Palatino Linotype" w:hAnsi="Palatino Linotype"/>
        </w:rPr>
        <w:t>to be considered active and not subject to reallocation.</w:t>
      </w:r>
    </w:p>
    <w:p w14:paraId="64985A5B" w14:textId="54D5B277" w:rsidR="00DD7767" w:rsidRDefault="00DD7767" w:rsidP="00D46EB1">
      <w:pPr>
        <w:numPr>
          <w:ilvl w:val="0"/>
          <w:numId w:val="4"/>
        </w:numPr>
        <w:rPr>
          <w:rFonts w:ascii="Palatino Linotype" w:hAnsi="Palatino Linotype"/>
        </w:rPr>
      </w:pPr>
      <w:r>
        <w:rPr>
          <w:rFonts w:ascii="Palatino Linotype" w:hAnsi="Palatino Linotype"/>
        </w:rPr>
        <w:t>It is reasonable for inactive communities to have 90 days from the date of this Resolution to become active and not subject to reallocation of work credits.</w:t>
      </w:r>
    </w:p>
    <w:p w14:paraId="252C5194" w14:textId="77777777" w:rsidR="00F35D82" w:rsidRDefault="00F35D82" w:rsidP="00F35D82">
      <w:pPr>
        <w:ind w:left="420"/>
        <w:rPr>
          <w:rFonts w:ascii="Palatino Linotype" w:hAnsi="Palatino Linotype"/>
        </w:rPr>
      </w:pPr>
    </w:p>
    <w:p w14:paraId="68B660FC" w14:textId="24FBCA4E" w:rsidR="00CF17DE" w:rsidRPr="00082728" w:rsidRDefault="00CF17DE">
      <w:pPr>
        <w:pStyle w:val="Heading1"/>
      </w:pPr>
      <w:r w:rsidRPr="00082728">
        <w:t>Therefore it is ordered that:</w:t>
      </w:r>
    </w:p>
    <w:p w14:paraId="37B38075" w14:textId="3DD4EDFF" w:rsidR="00CF17DE" w:rsidRPr="000A6D41" w:rsidRDefault="000D482B">
      <w:pPr>
        <w:numPr>
          <w:ilvl w:val="0"/>
          <w:numId w:val="5"/>
        </w:numPr>
        <w:rPr>
          <w:rFonts w:ascii="Palatino Linotype" w:hAnsi="Palatino Linotype"/>
          <w:snapToGrid w:val="0"/>
        </w:rPr>
      </w:pPr>
      <w:r w:rsidRPr="000A6D41">
        <w:rPr>
          <w:rFonts w:ascii="Palatino Linotype" w:hAnsi="Palatino Linotype"/>
          <w:snapToGrid w:val="0"/>
        </w:rPr>
        <w:t>PG&amp;E’s request</w:t>
      </w:r>
      <w:r w:rsidR="00CF17DE" w:rsidRPr="000A6D41">
        <w:rPr>
          <w:rFonts w:ascii="Palatino Linotype" w:hAnsi="Palatino Linotype"/>
          <w:snapToGrid w:val="0"/>
        </w:rPr>
        <w:t xml:space="preserve"> to </w:t>
      </w:r>
      <w:r w:rsidR="00045E15" w:rsidRPr="000A6D41">
        <w:rPr>
          <w:rFonts w:ascii="Palatino Linotype" w:hAnsi="Palatino Linotype"/>
          <w:snapToGrid w:val="0"/>
        </w:rPr>
        <w:t>deviate from</w:t>
      </w:r>
      <w:r w:rsidR="00395DCD" w:rsidRPr="000A6D41">
        <w:rPr>
          <w:rFonts w:ascii="Palatino Linotype" w:hAnsi="Palatino Linotype"/>
          <w:snapToGrid w:val="0"/>
        </w:rPr>
        <w:t xml:space="preserve"> Rule 20A </w:t>
      </w:r>
      <w:r w:rsidR="00652E60" w:rsidRPr="000A6D41">
        <w:rPr>
          <w:rFonts w:ascii="Palatino Linotype" w:hAnsi="Palatino Linotype"/>
        </w:rPr>
        <w:t>in accordance with General Order 96-B, Section 9.2.3</w:t>
      </w:r>
      <w:r w:rsidR="00652E60">
        <w:rPr>
          <w:rFonts w:ascii="Palatino Linotype" w:hAnsi="Palatino Linotype"/>
        </w:rPr>
        <w:t xml:space="preserve"> and </w:t>
      </w:r>
      <w:r w:rsidR="00652E60" w:rsidRPr="000A6D41">
        <w:rPr>
          <w:rFonts w:ascii="Palatino Linotype" w:hAnsi="Palatino Linotype"/>
        </w:rPr>
        <w:t xml:space="preserve">borrow Rule 20A work credits </w:t>
      </w:r>
      <w:r w:rsidR="00652E60">
        <w:rPr>
          <w:rFonts w:ascii="Palatino Linotype" w:hAnsi="Palatino Linotype"/>
        </w:rPr>
        <w:t xml:space="preserve">up to 200 years </w:t>
      </w:r>
      <w:r w:rsidR="00652E60" w:rsidRPr="000A6D41">
        <w:rPr>
          <w:rFonts w:ascii="Palatino Linotype" w:hAnsi="Palatino Linotype"/>
        </w:rPr>
        <w:t>beyond the five-year borrow limit for the City</w:t>
      </w:r>
      <w:r w:rsidR="00652E60">
        <w:rPr>
          <w:rFonts w:ascii="Palatino Linotype" w:hAnsi="Palatino Linotype"/>
        </w:rPr>
        <w:t xml:space="preserve"> of Live Oak</w:t>
      </w:r>
      <w:r w:rsidR="00652E60" w:rsidRPr="000A6D41">
        <w:rPr>
          <w:rFonts w:ascii="Palatino Linotype" w:hAnsi="Palatino Linotype"/>
        </w:rPr>
        <w:t>’s Rule 20A project</w:t>
      </w:r>
      <w:r w:rsidR="00652E60">
        <w:rPr>
          <w:rFonts w:ascii="Palatino Linotype" w:hAnsi="Palatino Linotype"/>
        </w:rPr>
        <w:t xml:space="preserve"> </w:t>
      </w:r>
      <w:r w:rsidR="00CF17DE" w:rsidRPr="000A6D41">
        <w:rPr>
          <w:rFonts w:ascii="Palatino Linotype" w:hAnsi="Palatino Linotype"/>
          <w:snapToGrid w:val="0"/>
        </w:rPr>
        <w:t>is denied</w:t>
      </w:r>
      <w:r w:rsidR="00395DCD" w:rsidRPr="000A6D41">
        <w:rPr>
          <w:rFonts w:ascii="Palatino Linotype" w:hAnsi="Palatino Linotype"/>
          <w:snapToGrid w:val="0"/>
        </w:rPr>
        <w:t>.</w:t>
      </w:r>
      <w:r w:rsidR="00CF17DE" w:rsidRPr="000A6D41">
        <w:rPr>
          <w:rFonts w:ascii="Palatino Linotype" w:hAnsi="Palatino Linotype"/>
          <w:snapToGrid w:val="0"/>
        </w:rPr>
        <w:t xml:space="preserve">  </w:t>
      </w:r>
    </w:p>
    <w:p w14:paraId="15CFCEE9" w14:textId="7E9B0A4E" w:rsidR="00FE0F57" w:rsidRDefault="006B736A" w:rsidP="00FE0F57">
      <w:pPr>
        <w:numPr>
          <w:ilvl w:val="0"/>
          <w:numId w:val="5"/>
        </w:numPr>
        <w:rPr>
          <w:rFonts w:ascii="Palatino Linotype" w:hAnsi="Palatino Linotype"/>
          <w:snapToGrid w:val="0"/>
        </w:rPr>
      </w:pPr>
      <w:r w:rsidRPr="00591BC6">
        <w:rPr>
          <w:rFonts w:ascii="Palatino Linotype" w:hAnsi="Palatino Linotype"/>
          <w:snapToGrid w:val="0"/>
        </w:rPr>
        <w:t>PG&amp;E</w:t>
      </w:r>
      <w:r w:rsidR="000D482B" w:rsidRPr="00591BC6">
        <w:rPr>
          <w:rFonts w:ascii="Palatino Linotype" w:hAnsi="Palatino Linotype"/>
          <w:snapToGrid w:val="0"/>
        </w:rPr>
        <w:t xml:space="preserve"> </w:t>
      </w:r>
      <w:r w:rsidR="00D74210">
        <w:rPr>
          <w:rFonts w:ascii="Palatino Linotype" w:hAnsi="Palatino Linotype"/>
          <w:snapToGrid w:val="0"/>
        </w:rPr>
        <w:t>must</w:t>
      </w:r>
      <w:r w:rsidR="000D482B" w:rsidRPr="00591BC6">
        <w:rPr>
          <w:rFonts w:ascii="Palatino Linotype" w:hAnsi="Palatino Linotype"/>
          <w:snapToGrid w:val="0"/>
        </w:rPr>
        <w:t xml:space="preserve"> comply with Rule 20</w:t>
      </w:r>
      <w:r w:rsidR="00C34DC7" w:rsidRPr="00591BC6">
        <w:rPr>
          <w:rFonts w:ascii="Palatino Linotype" w:hAnsi="Palatino Linotype"/>
          <w:snapToGrid w:val="0"/>
        </w:rPr>
        <w:t>A</w:t>
      </w:r>
      <w:r w:rsidR="000D482B" w:rsidRPr="00591BC6">
        <w:rPr>
          <w:rFonts w:ascii="Palatino Linotype" w:hAnsi="Palatino Linotype"/>
          <w:snapToGrid w:val="0"/>
        </w:rPr>
        <w:t xml:space="preserve"> and transfer </w:t>
      </w:r>
      <w:r w:rsidR="00D74210">
        <w:rPr>
          <w:rFonts w:ascii="Palatino Linotype" w:hAnsi="Palatino Linotype"/>
          <w:snapToGrid w:val="0"/>
        </w:rPr>
        <w:t xml:space="preserve">$554,000 or a sufficient quantity of </w:t>
      </w:r>
      <w:r w:rsidR="000D482B" w:rsidRPr="00591BC6">
        <w:rPr>
          <w:rFonts w:ascii="Palatino Linotype" w:hAnsi="Palatino Linotype"/>
          <w:snapToGrid w:val="0"/>
        </w:rPr>
        <w:t xml:space="preserve">unused </w:t>
      </w:r>
      <w:r w:rsidR="00D74210">
        <w:rPr>
          <w:rFonts w:ascii="Palatino Linotype" w:hAnsi="Palatino Linotype"/>
          <w:snapToGrid w:val="0"/>
        </w:rPr>
        <w:t xml:space="preserve">work credit </w:t>
      </w:r>
      <w:r w:rsidR="000D482B" w:rsidRPr="00591BC6">
        <w:rPr>
          <w:rFonts w:ascii="Palatino Linotype" w:hAnsi="Palatino Linotype"/>
          <w:snapToGrid w:val="0"/>
        </w:rPr>
        <w:t>allocations accumulated</w:t>
      </w:r>
      <w:r w:rsidR="005A5290" w:rsidRPr="00591BC6">
        <w:rPr>
          <w:rFonts w:ascii="Palatino Linotype" w:hAnsi="Palatino Linotype"/>
          <w:snapToGrid w:val="0"/>
        </w:rPr>
        <w:t xml:space="preserve"> </w:t>
      </w:r>
      <w:r w:rsidR="000D482B" w:rsidRPr="00591BC6">
        <w:rPr>
          <w:rFonts w:ascii="Palatino Linotype" w:hAnsi="Palatino Linotype"/>
          <w:snapToGrid w:val="0"/>
        </w:rPr>
        <w:t xml:space="preserve">by </w:t>
      </w:r>
      <w:r w:rsidR="00D74210">
        <w:rPr>
          <w:rFonts w:ascii="Palatino Linotype" w:hAnsi="Palatino Linotype"/>
          <w:snapToGrid w:val="0"/>
        </w:rPr>
        <w:t xml:space="preserve">92 </w:t>
      </w:r>
      <w:r w:rsidR="000D482B" w:rsidRPr="00591BC6">
        <w:rPr>
          <w:rFonts w:ascii="Palatino Linotype" w:hAnsi="Palatino Linotype"/>
          <w:snapToGrid w:val="0"/>
        </w:rPr>
        <w:t>inactive communities</w:t>
      </w:r>
      <w:r w:rsidR="00D74210">
        <w:rPr>
          <w:rFonts w:ascii="Palatino Linotype" w:hAnsi="Palatino Linotype"/>
          <w:snapToGrid w:val="0"/>
        </w:rPr>
        <w:t xml:space="preserve"> listed in Appendix </w:t>
      </w:r>
      <w:r w:rsidR="00D03BE7">
        <w:rPr>
          <w:rFonts w:ascii="Palatino Linotype" w:hAnsi="Palatino Linotype"/>
          <w:snapToGrid w:val="0"/>
        </w:rPr>
        <w:t>A</w:t>
      </w:r>
      <w:r w:rsidR="00D74210">
        <w:rPr>
          <w:rFonts w:ascii="Palatino Linotype" w:hAnsi="Palatino Linotype"/>
          <w:snapToGrid w:val="0"/>
        </w:rPr>
        <w:t xml:space="preserve"> </w:t>
      </w:r>
      <w:r w:rsidR="000D482B" w:rsidRPr="00591BC6">
        <w:rPr>
          <w:rFonts w:ascii="Palatino Linotype" w:hAnsi="Palatino Linotype"/>
          <w:snapToGrid w:val="0"/>
        </w:rPr>
        <w:t xml:space="preserve">to </w:t>
      </w:r>
      <w:r w:rsidR="00A76686">
        <w:rPr>
          <w:rFonts w:ascii="Palatino Linotype" w:hAnsi="Palatino Linotype"/>
          <w:snapToGrid w:val="0"/>
        </w:rPr>
        <w:t>allow</w:t>
      </w:r>
      <w:r w:rsidR="00A76686" w:rsidRPr="00591BC6">
        <w:rPr>
          <w:rFonts w:ascii="Palatino Linotype" w:hAnsi="Palatino Linotype"/>
          <w:snapToGrid w:val="0"/>
        </w:rPr>
        <w:t xml:space="preserve"> </w:t>
      </w:r>
      <w:r w:rsidR="000D482B" w:rsidRPr="00591BC6">
        <w:rPr>
          <w:rFonts w:ascii="Palatino Linotype" w:hAnsi="Palatino Linotype"/>
          <w:snapToGrid w:val="0"/>
        </w:rPr>
        <w:t>the</w:t>
      </w:r>
      <w:r w:rsidR="00EE4FFA" w:rsidRPr="00591BC6">
        <w:rPr>
          <w:rFonts w:ascii="Palatino Linotype" w:hAnsi="Palatino Linotype"/>
          <w:snapToGrid w:val="0"/>
        </w:rPr>
        <w:t xml:space="preserve"> </w:t>
      </w:r>
      <w:r w:rsidR="00A76686">
        <w:rPr>
          <w:rFonts w:ascii="Palatino Linotype" w:hAnsi="Palatino Linotype"/>
          <w:snapToGrid w:val="0"/>
        </w:rPr>
        <w:t xml:space="preserve">City of </w:t>
      </w:r>
      <w:r w:rsidR="00EE4FFA" w:rsidRPr="00591BC6">
        <w:rPr>
          <w:rFonts w:ascii="Palatino Linotype" w:hAnsi="Palatino Linotype"/>
          <w:snapToGrid w:val="0"/>
        </w:rPr>
        <w:t>Live Oak</w:t>
      </w:r>
      <w:r w:rsidR="000D482B" w:rsidRPr="00591BC6">
        <w:rPr>
          <w:rFonts w:ascii="Palatino Linotype" w:hAnsi="Palatino Linotype"/>
          <w:snapToGrid w:val="0"/>
        </w:rPr>
        <w:t xml:space="preserve"> </w:t>
      </w:r>
      <w:r w:rsidR="00A76686">
        <w:rPr>
          <w:rFonts w:ascii="Palatino Linotype" w:hAnsi="Palatino Linotype"/>
          <w:snapToGrid w:val="0"/>
        </w:rPr>
        <w:t xml:space="preserve">to move forward with its </w:t>
      </w:r>
      <w:r w:rsidR="00F907A8">
        <w:rPr>
          <w:rFonts w:ascii="Palatino Linotype" w:hAnsi="Palatino Linotype"/>
          <w:snapToGrid w:val="0"/>
        </w:rPr>
        <w:t>Live Oak Blvd.</w:t>
      </w:r>
      <w:r w:rsidR="00D74210">
        <w:rPr>
          <w:rFonts w:ascii="Palatino Linotype" w:hAnsi="Palatino Linotype"/>
          <w:snapToGrid w:val="0"/>
        </w:rPr>
        <w:t xml:space="preserve"> </w:t>
      </w:r>
      <w:r w:rsidR="00A76686">
        <w:rPr>
          <w:rFonts w:ascii="Palatino Linotype" w:hAnsi="Palatino Linotype"/>
          <w:snapToGrid w:val="0"/>
        </w:rPr>
        <w:t>Rule 20A project</w:t>
      </w:r>
      <w:r w:rsidR="000D482B" w:rsidRPr="00591BC6">
        <w:rPr>
          <w:rFonts w:ascii="Palatino Linotype" w:hAnsi="Palatino Linotype"/>
          <w:snapToGrid w:val="0"/>
        </w:rPr>
        <w:t>.</w:t>
      </w:r>
      <w:r w:rsidR="0024686A">
        <w:rPr>
          <w:rFonts w:ascii="Palatino Linotype" w:hAnsi="Palatino Linotype"/>
          <w:snapToGrid w:val="0"/>
        </w:rPr>
        <w:t xml:space="preserve"> </w:t>
      </w:r>
      <w:r w:rsidR="0024686A" w:rsidRPr="0024686A">
        <w:rPr>
          <w:rFonts w:ascii="Palatino Linotype" w:hAnsi="Palatino Linotype"/>
          <w:snapToGrid w:val="0"/>
        </w:rPr>
        <w:t>Excess costs not approved by the Commission, will be paid either by pre-arranged community funds or by the utility shareholders.</w:t>
      </w:r>
    </w:p>
    <w:p w14:paraId="49C31AFA" w14:textId="7A065EFE" w:rsidR="00FE0F57" w:rsidRDefault="00FE0F57" w:rsidP="00FE0F57">
      <w:pPr>
        <w:numPr>
          <w:ilvl w:val="0"/>
          <w:numId w:val="5"/>
        </w:numPr>
        <w:rPr>
          <w:rFonts w:ascii="Palatino Linotype" w:hAnsi="Palatino Linotype"/>
          <w:snapToGrid w:val="0"/>
        </w:rPr>
      </w:pPr>
      <w:r>
        <w:rPr>
          <w:rFonts w:ascii="Palatino Linotype" w:hAnsi="Palatino Linotype"/>
          <w:snapToGrid w:val="0"/>
        </w:rPr>
        <w:t>Inactive communities have 90 days from the date of this Resolution to become an active undergrounding community and not be subject to reallocation of work credits.</w:t>
      </w:r>
    </w:p>
    <w:p w14:paraId="4596332A" w14:textId="77777777" w:rsidR="00FE68C5" w:rsidRPr="00AA1524" w:rsidRDefault="00FE68C5" w:rsidP="00FE68C5">
      <w:pPr>
        <w:pStyle w:val="ListParagraph"/>
        <w:numPr>
          <w:ilvl w:val="0"/>
          <w:numId w:val="5"/>
        </w:numPr>
        <w:rPr>
          <w:rFonts w:ascii="Palatino Linotype" w:hAnsi="Palatino Linotype"/>
          <w:snapToGrid w:val="0"/>
        </w:rPr>
      </w:pPr>
      <w:r w:rsidRPr="00FE68C5">
        <w:rPr>
          <w:rFonts w:ascii="Palatino Linotype" w:hAnsi="Palatino Linotype"/>
          <w:snapToGrid w:val="0"/>
        </w:rPr>
        <w:t>Once the 90 days has passed, PG&amp;E has five business days to determine the final list of inactive communities and file a Tier 1 Advice Letter detailing the reallocation and how the communities’ balances will be impacted.</w:t>
      </w:r>
    </w:p>
    <w:p w14:paraId="2A7277CC" w14:textId="55DAE654" w:rsidR="00D74210" w:rsidRPr="002D51C5" w:rsidRDefault="00D74210" w:rsidP="002D51C5">
      <w:pPr>
        <w:numPr>
          <w:ilvl w:val="0"/>
          <w:numId w:val="5"/>
        </w:numPr>
        <w:rPr>
          <w:rFonts w:ascii="Palatino Linotype" w:hAnsi="Palatino Linotype"/>
          <w:snapToGrid w:val="0"/>
        </w:rPr>
      </w:pPr>
      <w:r w:rsidRPr="00FE0F57">
        <w:rPr>
          <w:rFonts w:ascii="Palatino Linotype" w:hAnsi="Palatino Linotype"/>
        </w:rPr>
        <w:t>The Commission adopts the criteria for communities to be considered active and not subject to reallocatio</w:t>
      </w:r>
      <w:r w:rsidR="00FE0F57" w:rsidRPr="00FE0F57">
        <w:rPr>
          <w:rFonts w:ascii="Palatino Linotype" w:hAnsi="Palatino Linotype"/>
        </w:rPr>
        <w:t>n</w:t>
      </w:r>
      <w:r w:rsidRPr="00FE0F57">
        <w:rPr>
          <w:rFonts w:ascii="Palatino Linotype" w:hAnsi="Palatino Linotype"/>
        </w:rPr>
        <w:t>.</w:t>
      </w:r>
      <w:r w:rsidR="00FE0F57" w:rsidRPr="00FE0F57">
        <w:rPr>
          <w:rFonts w:ascii="Palatino Linotype" w:hAnsi="Palatino Linotype"/>
        </w:rPr>
        <w:t xml:space="preserve">  </w:t>
      </w:r>
      <w:r w:rsidRPr="00FE0F57">
        <w:rPr>
          <w:rFonts w:ascii="Palatino Linotype" w:hAnsi="Palatino Linotype"/>
        </w:rPr>
        <w:t>PG&amp;E may consider any community to be active and not subject to reallocation if it satisfies any of the following criteria:</w:t>
      </w:r>
    </w:p>
    <w:p w14:paraId="068018E6" w14:textId="3CF53733" w:rsidR="00D74210" w:rsidRPr="002D51C5" w:rsidRDefault="00D74210" w:rsidP="002D51C5">
      <w:pPr>
        <w:pStyle w:val="ListParagraph"/>
        <w:numPr>
          <w:ilvl w:val="0"/>
          <w:numId w:val="26"/>
        </w:numPr>
        <w:rPr>
          <w:rFonts w:ascii="Palatino Linotype" w:hAnsi="Palatino Linotype"/>
        </w:rPr>
      </w:pPr>
      <w:r w:rsidRPr="00533D00">
        <w:rPr>
          <w:rFonts w:ascii="Palatino Linotype" w:hAnsi="Palatino Linotype"/>
        </w:rPr>
        <w:t>Formally adopt</w:t>
      </w:r>
      <w:r>
        <w:rPr>
          <w:rFonts w:ascii="Palatino Linotype" w:hAnsi="Palatino Linotype"/>
        </w:rPr>
        <w:t>s</w:t>
      </w:r>
      <w:r w:rsidRPr="00533D00">
        <w:rPr>
          <w:rFonts w:ascii="Palatino Linotype" w:hAnsi="Palatino Linotype"/>
        </w:rPr>
        <w:t xml:space="preserve"> an undergrounding district ordinance which expires at</w:t>
      </w:r>
      <w:r w:rsidR="00FE0F57">
        <w:rPr>
          <w:rFonts w:ascii="Palatino Linotype" w:hAnsi="Palatino Linotype"/>
        </w:rPr>
        <w:t xml:space="preserve"> </w:t>
      </w:r>
      <w:r w:rsidRPr="002D51C5">
        <w:rPr>
          <w:rFonts w:ascii="Palatino Linotype" w:hAnsi="Palatino Linotype"/>
        </w:rPr>
        <w:t>the completion of work within the district boundaries; or</w:t>
      </w:r>
    </w:p>
    <w:p w14:paraId="7B47E25A" w14:textId="77777777" w:rsidR="00D74210" w:rsidRPr="00FC3333" w:rsidRDefault="00D74210" w:rsidP="002D51C5">
      <w:pPr>
        <w:pStyle w:val="ListParagraph"/>
        <w:numPr>
          <w:ilvl w:val="0"/>
          <w:numId w:val="26"/>
        </w:numPr>
        <w:rPr>
          <w:rFonts w:ascii="Palatino Linotype" w:hAnsi="Palatino Linotype"/>
        </w:rPr>
      </w:pPr>
      <w:r w:rsidRPr="00FC3333">
        <w:rPr>
          <w:rFonts w:ascii="Palatino Linotype" w:hAnsi="Palatino Linotype"/>
        </w:rPr>
        <w:t>Has started or completed construction of an undergrounding conversion project within</w:t>
      </w:r>
      <w:r>
        <w:rPr>
          <w:rFonts w:ascii="Palatino Linotype" w:hAnsi="Palatino Linotype"/>
        </w:rPr>
        <w:t xml:space="preserve"> </w:t>
      </w:r>
      <w:r w:rsidRPr="00FC3333">
        <w:rPr>
          <w:rFonts w:ascii="Palatino Linotype" w:hAnsi="Palatino Linotype"/>
        </w:rPr>
        <w:t>the last 8 years, defined as 2011 or later; or</w:t>
      </w:r>
    </w:p>
    <w:p w14:paraId="56EE3D0A" w14:textId="77777777" w:rsidR="00FE0F57" w:rsidRDefault="00D74210" w:rsidP="00FE0F57">
      <w:pPr>
        <w:pStyle w:val="ListParagraph"/>
        <w:numPr>
          <w:ilvl w:val="0"/>
          <w:numId w:val="26"/>
        </w:numPr>
      </w:pPr>
      <w:r>
        <w:t>Has received</w:t>
      </w:r>
      <w:r w:rsidRPr="00533D00">
        <w:t xml:space="preserve"> Rule 20</w:t>
      </w:r>
      <w:r>
        <w:t>A</w:t>
      </w:r>
      <w:r w:rsidRPr="00533D00">
        <w:t xml:space="preserve"> allocations from </w:t>
      </w:r>
      <w:r>
        <w:t>the utility</w:t>
      </w:r>
      <w:r w:rsidRPr="00533D00">
        <w:t xml:space="preserve"> for only 5 years or fewer due to</w:t>
      </w:r>
      <w:r>
        <w:t xml:space="preserve"> </w:t>
      </w:r>
      <w:r w:rsidRPr="00533D00">
        <w:t>recent incorporation.</w:t>
      </w:r>
    </w:p>
    <w:p w14:paraId="14E3F213" w14:textId="28AF0D55" w:rsidR="00FE0F57" w:rsidRPr="00FE0F57" w:rsidRDefault="00D74210" w:rsidP="002D51C5">
      <w:pPr>
        <w:pStyle w:val="ListParagraph"/>
        <w:numPr>
          <w:ilvl w:val="0"/>
          <w:numId w:val="5"/>
        </w:numPr>
      </w:pPr>
      <w:r w:rsidRPr="002D51C5">
        <w:rPr>
          <w:rFonts w:ascii="Palatino Linotype" w:hAnsi="Palatino Linotype"/>
        </w:rPr>
        <w:lastRenderedPageBreak/>
        <w:t xml:space="preserve">PG&amp;E </w:t>
      </w:r>
      <w:r w:rsidR="00FE0F57">
        <w:rPr>
          <w:rFonts w:ascii="Palatino Linotype" w:hAnsi="Palatino Linotype"/>
        </w:rPr>
        <w:t xml:space="preserve">shall notify </w:t>
      </w:r>
      <w:r w:rsidR="00FE0F57" w:rsidRPr="00FE0F57">
        <w:rPr>
          <w:rFonts w:ascii="Palatino Linotype" w:hAnsi="Palatino Linotype"/>
        </w:rPr>
        <w:t xml:space="preserve">in writing </w:t>
      </w:r>
      <w:r w:rsidR="00FE0F57">
        <w:rPr>
          <w:rFonts w:ascii="Palatino Linotype" w:hAnsi="Palatino Linotype"/>
        </w:rPr>
        <w:t xml:space="preserve">all affected </w:t>
      </w:r>
      <w:r w:rsidRPr="002D51C5">
        <w:rPr>
          <w:rFonts w:ascii="Palatino Linotype" w:hAnsi="Palatino Linotype"/>
        </w:rPr>
        <w:t>inactive communities</w:t>
      </w:r>
      <w:r w:rsidR="00FE0F57">
        <w:rPr>
          <w:rFonts w:ascii="Palatino Linotype" w:hAnsi="Palatino Linotype"/>
        </w:rPr>
        <w:t xml:space="preserve"> within 5 days of the effective date of this Resolution</w:t>
      </w:r>
      <w:r w:rsidRPr="002D51C5">
        <w:rPr>
          <w:rFonts w:ascii="Palatino Linotype" w:hAnsi="Palatino Linotype"/>
        </w:rPr>
        <w:t xml:space="preserve"> about the reallocation and the criteria</w:t>
      </w:r>
      <w:r w:rsidR="00FE0F57">
        <w:rPr>
          <w:rFonts w:ascii="Palatino Linotype" w:hAnsi="Palatino Linotype"/>
        </w:rPr>
        <w:t xml:space="preserve"> in OP 3</w:t>
      </w:r>
      <w:r w:rsidRPr="002D51C5">
        <w:rPr>
          <w:rFonts w:ascii="Palatino Linotype" w:hAnsi="Palatino Linotype"/>
        </w:rPr>
        <w:t xml:space="preserve"> to be considered active and not subject to reallocation.</w:t>
      </w:r>
      <w:r w:rsidR="00FE0F57">
        <w:rPr>
          <w:rFonts w:ascii="Palatino Linotype" w:hAnsi="Palatino Linotype"/>
        </w:rPr>
        <w:t xml:space="preserve">  </w:t>
      </w:r>
      <w:r w:rsidR="00FE0F57" w:rsidRPr="002D51C5">
        <w:rPr>
          <w:rFonts w:ascii="Palatino Linotype" w:hAnsi="Palatino Linotype"/>
        </w:rPr>
        <w:t>PG&amp;E must notify each of the affected inactive communities in writing (either electronic or in hard copy) to inform them</w:t>
      </w:r>
      <w:r w:rsidR="00C93E03">
        <w:rPr>
          <w:rFonts w:ascii="Palatino Linotype" w:hAnsi="Palatino Linotype"/>
        </w:rPr>
        <w:t xml:space="preserve"> of</w:t>
      </w:r>
      <w:r w:rsidR="00FE0F57" w:rsidRPr="002D51C5">
        <w:rPr>
          <w:rFonts w:ascii="Palatino Linotype" w:hAnsi="Palatino Linotype"/>
        </w:rPr>
        <w:t>:</w:t>
      </w:r>
    </w:p>
    <w:p w14:paraId="3286C828" w14:textId="77777777" w:rsidR="00C93E03" w:rsidRDefault="00C93E03" w:rsidP="00C93E03">
      <w:pPr>
        <w:pStyle w:val="ListParagraph"/>
        <w:numPr>
          <w:ilvl w:val="0"/>
          <w:numId w:val="29"/>
        </w:numPr>
        <w:rPr>
          <w:rFonts w:ascii="Palatino Linotype" w:hAnsi="Palatino Linotype"/>
        </w:rPr>
      </w:pPr>
      <w:r>
        <w:rPr>
          <w:rFonts w:ascii="Palatino Linotype" w:hAnsi="Palatino Linotype"/>
        </w:rPr>
        <w:t>Their status on the list of inactive communities;</w:t>
      </w:r>
    </w:p>
    <w:p w14:paraId="77B97C3F" w14:textId="77777777" w:rsidR="00C93E03" w:rsidRDefault="00C93E03" w:rsidP="00C93E03">
      <w:pPr>
        <w:pStyle w:val="ListParagraph"/>
        <w:numPr>
          <w:ilvl w:val="0"/>
          <w:numId w:val="29"/>
        </w:numPr>
        <w:rPr>
          <w:rFonts w:ascii="Palatino Linotype" w:hAnsi="Palatino Linotype"/>
        </w:rPr>
      </w:pPr>
      <w:r>
        <w:rPr>
          <w:rFonts w:ascii="Palatino Linotype" w:hAnsi="Palatino Linotype"/>
        </w:rPr>
        <w:t>The definition of inactive communities defined by this Resolution;</w:t>
      </w:r>
    </w:p>
    <w:p w14:paraId="21E0754C" w14:textId="77777777" w:rsidR="00C93E03" w:rsidRDefault="00C93E03" w:rsidP="00C93E03">
      <w:pPr>
        <w:pStyle w:val="ListParagraph"/>
        <w:numPr>
          <w:ilvl w:val="0"/>
          <w:numId w:val="29"/>
        </w:numPr>
        <w:rPr>
          <w:rFonts w:ascii="Palatino Linotype" w:hAnsi="Palatino Linotype"/>
        </w:rPr>
      </w:pPr>
      <w:r>
        <w:rPr>
          <w:rFonts w:ascii="Palatino Linotype" w:hAnsi="Palatino Linotype"/>
        </w:rPr>
        <w:t>The amount of unused work credits they have accumulated;</w:t>
      </w:r>
    </w:p>
    <w:p w14:paraId="3B00BA8E" w14:textId="77777777" w:rsidR="00C93E03" w:rsidRDefault="00C93E03" w:rsidP="00C93E03">
      <w:pPr>
        <w:pStyle w:val="ListParagraph"/>
        <w:numPr>
          <w:ilvl w:val="0"/>
          <w:numId w:val="29"/>
        </w:numPr>
        <w:rPr>
          <w:rFonts w:ascii="Palatino Linotype" w:hAnsi="Palatino Linotype"/>
        </w:rPr>
      </w:pPr>
      <w:r>
        <w:rPr>
          <w:rFonts w:ascii="Palatino Linotype" w:hAnsi="Palatino Linotype"/>
        </w:rPr>
        <w:t>T</w:t>
      </w:r>
      <w:r w:rsidRPr="00797C55">
        <w:rPr>
          <w:rFonts w:ascii="Palatino Linotype" w:hAnsi="Palatino Linotype"/>
        </w:rPr>
        <w:t xml:space="preserve">he </w:t>
      </w:r>
      <w:r>
        <w:rPr>
          <w:rFonts w:ascii="Palatino Linotype" w:hAnsi="Palatino Linotype"/>
        </w:rPr>
        <w:t>percentage</w:t>
      </w:r>
      <w:r w:rsidRPr="00797C55">
        <w:rPr>
          <w:rFonts w:ascii="Palatino Linotype" w:hAnsi="Palatino Linotype"/>
        </w:rPr>
        <w:t xml:space="preserve"> of credits that will be reallocated pursuant to this Resolution</w:t>
      </w:r>
      <w:r>
        <w:rPr>
          <w:rFonts w:ascii="Palatino Linotype" w:hAnsi="Palatino Linotype"/>
        </w:rPr>
        <w:t>;</w:t>
      </w:r>
    </w:p>
    <w:p w14:paraId="26019A2D" w14:textId="77777777" w:rsidR="00C93E03" w:rsidRDefault="00C93E03" w:rsidP="00C93E03">
      <w:pPr>
        <w:pStyle w:val="ListParagraph"/>
        <w:numPr>
          <w:ilvl w:val="0"/>
          <w:numId w:val="29"/>
        </w:numPr>
        <w:rPr>
          <w:rFonts w:ascii="Palatino Linotype" w:hAnsi="Palatino Linotype"/>
        </w:rPr>
      </w:pPr>
      <w:r>
        <w:rPr>
          <w:rFonts w:ascii="Palatino Linotype" w:hAnsi="Palatino Linotype"/>
        </w:rPr>
        <w:t>The Commission’s order that they have 90 days from the date of this Resolution to become active if they wish to retain the work credits subject to reallocation by this Resolution;</w:t>
      </w:r>
    </w:p>
    <w:p w14:paraId="268479DB" w14:textId="77777777" w:rsidR="00C93E03" w:rsidRDefault="00C93E03" w:rsidP="00C93E03">
      <w:pPr>
        <w:pStyle w:val="ListParagraph"/>
        <w:numPr>
          <w:ilvl w:val="0"/>
          <w:numId w:val="29"/>
        </w:numPr>
        <w:rPr>
          <w:rFonts w:ascii="Palatino Linotype" w:hAnsi="Palatino Linotype"/>
        </w:rPr>
      </w:pPr>
      <w:r>
        <w:rPr>
          <w:rFonts w:ascii="Palatino Linotype" w:hAnsi="Palatino Linotype"/>
        </w:rPr>
        <w:t>The revised criteria to be considered active as defined by this resolution.</w:t>
      </w:r>
    </w:p>
    <w:p w14:paraId="3C78E975" w14:textId="77777777" w:rsidR="00B8212F" w:rsidRDefault="00B8212F">
      <w:pPr>
        <w:tabs>
          <w:tab w:val="left" w:pos="720"/>
          <w:tab w:val="left" w:pos="1296"/>
          <w:tab w:val="left" w:pos="2016"/>
          <w:tab w:val="left" w:pos="2736"/>
          <w:tab w:val="left" w:pos="3456"/>
          <w:tab w:val="left" w:pos="4176"/>
          <w:tab w:val="left" w:pos="5760"/>
        </w:tabs>
        <w:rPr>
          <w:rFonts w:ascii="Palatino Linotype" w:hAnsi="Palatino Linotype"/>
        </w:rPr>
      </w:pPr>
    </w:p>
    <w:p w14:paraId="3A780C1F" w14:textId="3880B3A7" w:rsidR="00CF17DE" w:rsidRPr="000A6D41" w:rsidRDefault="00CF17DE">
      <w:pPr>
        <w:tabs>
          <w:tab w:val="left" w:pos="720"/>
          <w:tab w:val="left" w:pos="1296"/>
          <w:tab w:val="left" w:pos="2016"/>
          <w:tab w:val="left" w:pos="2736"/>
          <w:tab w:val="left" w:pos="3456"/>
          <w:tab w:val="left" w:pos="4176"/>
          <w:tab w:val="left" w:pos="5760"/>
        </w:tabs>
        <w:rPr>
          <w:rFonts w:ascii="Palatino Linotype" w:hAnsi="Palatino Linotype"/>
        </w:rPr>
      </w:pPr>
      <w:r w:rsidRPr="000A6D41">
        <w:rPr>
          <w:rFonts w:ascii="Palatino Linotype" w:hAnsi="Palatino Linotype"/>
        </w:rPr>
        <w:t>This Resolution is effective today.</w:t>
      </w:r>
    </w:p>
    <w:p w14:paraId="2A75DF00" w14:textId="77777777" w:rsidR="00CB42C3" w:rsidRPr="000A6D41" w:rsidRDefault="00CB42C3">
      <w:pPr>
        <w:tabs>
          <w:tab w:val="left" w:pos="720"/>
          <w:tab w:val="left" w:pos="1296"/>
          <w:tab w:val="left" w:pos="2016"/>
          <w:tab w:val="left" w:pos="2736"/>
          <w:tab w:val="left" w:pos="3456"/>
          <w:tab w:val="left" w:pos="4176"/>
          <w:tab w:val="left" w:pos="5760"/>
        </w:tabs>
        <w:rPr>
          <w:rFonts w:ascii="Palatino Linotype" w:hAnsi="Palatino Linotype"/>
        </w:rPr>
      </w:pPr>
    </w:p>
    <w:p w14:paraId="06F8BF65" w14:textId="6A8588FC" w:rsidR="00CF17DE" w:rsidRPr="000A6D41" w:rsidRDefault="00CF17DE">
      <w:pPr>
        <w:rPr>
          <w:rFonts w:ascii="Palatino Linotype" w:hAnsi="Palatino Linotype"/>
          <w:snapToGrid w:val="0"/>
        </w:rPr>
      </w:pPr>
      <w:r w:rsidRPr="000A6D41">
        <w:rPr>
          <w:rFonts w:ascii="Palatino Linotype" w:hAnsi="Palatino Linotype"/>
          <w:snapToGrid w:val="0"/>
        </w:rPr>
        <w:t xml:space="preserve">I certify that the foregoing resolution was duly introduced, passed and adopted at a conference of the Public Utilities Commission of the State of California held on </w:t>
      </w:r>
      <w:r w:rsidR="00596B02">
        <w:rPr>
          <w:rFonts w:ascii="Palatino Linotype" w:hAnsi="Palatino Linotype"/>
          <w:snapToGrid w:val="0"/>
        </w:rPr>
        <w:t>April 25</w:t>
      </w:r>
      <w:r w:rsidR="00041B72" w:rsidRPr="000A6D41">
        <w:rPr>
          <w:rFonts w:ascii="Palatino Linotype" w:hAnsi="Palatino Linotype"/>
          <w:snapToGrid w:val="0"/>
        </w:rPr>
        <w:t>, 2019</w:t>
      </w:r>
      <w:r w:rsidRPr="000A6D41">
        <w:rPr>
          <w:rFonts w:ascii="Palatino Linotype" w:hAnsi="Palatino Linotype"/>
          <w:snapToGrid w:val="0"/>
        </w:rPr>
        <w:t xml:space="preserve"> the following Commissioners voting favorably thereon:</w:t>
      </w:r>
    </w:p>
    <w:p w14:paraId="0FD3489B" w14:textId="77777777" w:rsidR="00CF17DE" w:rsidRPr="000A6D41" w:rsidRDefault="00CF17DE">
      <w:pPr>
        <w:tabs>
          <w:tab w:val="left" w:pos="720"/>
          <w:tab w:val="left" w:pos="1152"/>
          <w:tab w:val="left" w:pos="1728"/>
          <w:tab w:val="left" w:pos="3168"/>
          <w:tab w:val="left" w:pos="5040"/>
        </w:tabs>
        <w:ind w:right="144"/>
        <w:rPr>
          <w:rFonts w:ascii="Palatino Linotype" w:hAnsi="Palatino Linotype"/>
        </w:rPr>
      </w:pPr>
    </w:p>
    <w:p w14:paraId="7E5568F0" w14:textId="2DA7B4AD" w:rsidR="00F35D82" w:rsidRDefault="00F35D82">
      <w:pPr>
        <w:tabs>
          <w:tab w:val="left" w:pos="720"/>
          <w:tab w:val="left" w:pos="1152"/>
          <w:tab w:val="left" w:pos="1728"/>
          <w:tab w:val="left" w:pos="3168"/>
          <w:tab w:val="left" w:pos="5040"/>
        </w:tabs>
        <w:ind w:right="144"/>
        <w:rPr>
          <w:rFonts w:ascii="Palatino Linotype" w:hAnsi="Palatino Linotype"/>
        </w:rPr>
      </w:pPr>
    </w:p>
    <w:p w14:paraId="15CB237F" w14:textId="77777777" w:rsidR="00F35D82" w:rsidRDefault="00F35D82">
      <w:pPr>
        <w:tabs>
          <w:tab w:val="left" w:pos="720"/>
          <w:tab w:val="left" w:pos="1152"/>
          <w:tab w:val="left" w:pos="1728"/>
          <w:tab w:val="left" w:pos="3168"/>
          <w:tab w:val="left" w:pos="5040"/>
        </w:tabs>
        <w:ind w:right="144"/>
        <w:rPr>
          <w:rFonts w:ascii="Palatino Linotype" w:hAnsi="Palatino Linotype"/>
        </w:rPr>
      </w:pPr>
    </w:p>
    <w:p w14:paraId="201395F8" w14:textId="77777777" w:rsidR="00CF17DE" w:rsidRPr="000A6D41" w:rsidRDefault="00CF17DE">
      <w:pPr>
        <w:tabs>
          <w:tab w:val="left" w:pos="720"/>
          <w:tab w:val="left" w:pos="1152"/>
          <w:tab w:val="left" w:pos="1728"/>
          <w:tab w:val="left" w:pos="3168"/>
          <w:tab w:val="left" w:pos="5040"/>
        </w:tabs>
        <w:ind w:right="144"/>
        <w:rPr>
          <w:rFonts w:ascii="Palatino Linotype" w:hAnsi="Palatino Linotype"/>
        </w:rPr>
      </w:pP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t>_______________</w:t>
      </w:r>
      <w:r w:rsidR="008E6797" w:rsidRPr="000A6D41">
        <w:rPr>
          <w:rFonts w:ascii="Palatino Linotype" w:hAnsi="Palatino Linotype"/>
        </w:rPr>
        <w:t>______</w:t>
      </w:r>
    </w:p>
    <w:p w14:paraId="2A6D0C5C" w14:textId="4310C7DC" w:rsidR="00CF17DE" w:rsidRPr="000A6D41" w:rsidRDefault="00CF17DE">
      <w:pPr>
        <w:rPr>
          <w:rFonts w:ascii="Palatino Linotype" w:hAnsi="Palatino Linotype"/>
        </w:rPr>
      </w:pP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00041B72" w:rsidRPr="000A6D41">
        <w:rPr>
          <w:rFonts w:ascii="Palatino Linotype" w:hAnsi="Palatino Linotype"/>
        </w:rPr>
        <w:t>ALICE STEBBINS</w:t>
      </w:r>
    </w:p>
    <w:p w14:paraId="347FE0EA" w14:textId="267CF7DC" w:rsidR="00CF17DE" w:rsidRDefault="00CF17DE">
      <w:pPr>
        <w:rPr>
          <w:rFonts w:ascii="Palatino Linotype" w:hAnsi="Palatino Linotype"/>
        </w:rPr>
      </w:pP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r>
      <w:r w:rsidRPr="000A6D41">
        <w:rPr>
          <w:rFonts w:ascii="Palatino Linotype" w:hAnsi="Palatino Linotype"/>
        </w:rPr>
        <w:tab/>
        <w:t>Executive Director</w:t>
      </w:r>
    </w:p>
    <w:p w14:paraId="4297C776" w14:textId="77777777" w:rsidR="00082728" w:rsidRDefault="00082728" w:rsidP="00685E86">
      <w:pPr>
        <w:jc w:val="center"/>
        <w:rPr>
          <w:rFonts w:ascii="BookAntiqua,Bold" w:hAnsi="BookAntiqua,Bold" w:cs="BookAntiqua,Bold"/>
          <w:b/>
          <w:bCs/>
          <w:sz w:val="36"/>
          <w:szCs w:val="36"/>
        </w:rPr>
      </w:pPr>
    </w:p>
    <w:p w14:paraId="501D9A8D" w14:textId="77777777" w:rsidR="00082728" w:rsidRDefault="00082728" w:rsidP="00685E86">
      <w:pPr>
        <w:jc w:val="center"/>
        <w:rPr>
          <w:rFonts w:ascii="BookAntiqua,Bold" w:hAnsi="BookAntiqua,Bold" w:cs="BookAntiqua,Bold"/>
          <w:b/>
          <w:bCs/>
          <w:sz w:val="36"/>
          <w:szCs w:val="36"/>
        </w:rPr>
      </w:pPr>
    </w:p>
    <w:p w14:paraId="2A9924FA" w14:textId="77777777" w:rsidR="00082728" w:rsidRDefault="00082728" w:rsidP="00685E86">
      <w:pPr>
        <w:jc w:val="center"/>
        <w:rPr>
          <w:rFonts w:ascii="BookAntiqua,Bold" w:hAnsi="BookAntiqua,Bold" w:cs="BookAntiqua,Bold"/>
          <w:b/>
          <w:bCs/>
          <w:sz w:val="36"/>
          <w:szCs w:val="36"/>
        </w:rPr>
      </w:pPr>
    </w:p>
    <w:p w14:paraId="4ED43EF5" w14:textId="6252A7F2" w:rsidR="00082728" w:rsidRDefault="00082728" w:rsidP="00685E86">
      <w:pPr>
        <w:jc w:val="center"/>
        <w:rPr>
          <w:rFonts w:ascii="BookAntiqua,Bold" w:hAnsi="BookAntiqua,Bold" w:cs="BookAntiqua,Bold"/>
          <w:b/>
          <w:bCs/>
          <w:sz w:val="36"/>
          <w:szCs w:val="36"/>
        </w:rPr>
      </w:pPr>
    </w:p>
    <w:p w14:paraId="24FE08D2" w14:textId="77777777" w:rsidR="00082728" w:rsidRDefault="00082728" w:rsidP="00685E86">
      <w:pPr>
        <w:jc w:val="center"/>
        <w:rPr>
          <w:rFonts w:ascii="BookAntiqua,Bold" w:hAnsi="BookAntiqua,Bold" w:cs="BookAntiqua,Bold"/>
          <w:b/>
          <w:bCs/>
          <w:sz w:val="36"/>
          <w:szCs w:val="36"/>
        </w:rPr>
      </w:pPr>
    </w:p>
    <w:p w14:paraId="32A26F7E" w14:textId="77777777" w:rsidR="00082728" w:rsidRDefault="00082728" w:rsidP="00685E86">
      <w:pPr>
        <w:jc w:val="center"/>
        <w:rPr>
          <w:rFonts w:ascii="BookAntiqua,Bold" w:hAnsi="BookAntiqua,Bold" w:cs="BookAntiqua,Bold"/>
          <w:b/>
          <w:bCs/>
          <w:sz w:val="36"/>
          <w:szCs w:val="36"/>
        </w:rPr>
      </w:pPr>
    </w:p>
    <w:p w14:paraId="2734ADE0" w14:textId="77777777" w:rsidR="00082728" w:rsidRDefault="00082728" w:rsidP="00685E86">
      <w:pPr>
        <w:jc w:val="center"/>
        <w:rPr>
          <w:rFonts w:ascii="BookAntiqua,Bold" w:hAnsi="BookAntiqua,Bold" w:cs="BookAntiqua,Bold"/>
          <w:b/>
          <w:bCs/>
          <w:sz w:val="36"/>
          <w:szCs w:val="36"/>
        </w:rPr>
      </w:pPr>
    </w:p>
    <w:p w14:paraId="41C95345" w14:textId="2AFF3F7F" w:rsidR="00685E86" w:rsidRPr="000A6D41" w:rsidRDefault="00685E86" w:rsidP="00685E86">
      <w:pPr>
        <w:jc w:val="center"/>
        <w:rPr>
          <w:rFonts w:ascii="BookAntiqua,Bold" w:hAnsi="BookAntiqua,Bold" w:cs="BookAntiqua,Bold"/>
          <w:b/>
          <w:bCs/>
          <w:sz w:val="36"/>
          <w:szCs w:val="36"/>
        </w:rPr>
      </w:pPr>
      <w:r w:rsidRPr="000A6D41">
        <w:rPr>
          <w:rFonts w:ascii="BookAntiqua,Bold" w:hAnsi="BookAntiqua,Bold" w:cs="BookAntiqua,Bold"/>
          <w:b/>
          <w:bCs/>
          <w:sz w:val="36"/>
          <w:szCs w:val="36"/>
        </w:rPr>
        <w:lastRenderedPageBreak/>
        <w:t xml:space="preserve">APPENDIX </w:t>
      </w:r>
      <w:r w:rsidR="005956CF">
        <w:rPr>
          <w:rFonts w:ascii="BookAntiqua,Bold" w:hAnsi="BookAntiqua,Bold" w:cs="BookAntiqua,Bold"/>
          <w:b/>
          <w:bCs/>
          <w:sz w:val="36"/>
          <w:szCs w:val="36"/>
        </w:rPr>
        <w:t>A</w:t>
      </w:r>
    </w:p>
    <w:p w14:paraId="399FBC74" w14:textId="51B5FA5D" w:rsidR="00405C54" w:rsidRPr="000A6D41" w:rsidRDefault="00405C54" w:rsidP="00405C54">
      <w:pPr>
        <w:autoSpaceDE w:val="0"/>
        <w:autoSpaceDN w:val="0"/>
        <w:adjustRightInd w:val="0"/>
        <w:jc w:val="center"/>
        <w:rPr>
          <w:rFonts w:ascii="Palatino Linotype" w:hAnsi="Palatino Linotype" w:cs="BookAntiqua"/>
          <w:szCs w:val="26"/>
        </w:rPr>
      </w:pPr>
      <w:r w:rsidRPr="000A6D41">
        <w:rPr>
          <w:rFonts w:ascii="Palatino Linotype" w:hAnsi="Palatino Linotype" w:cs="BookAntiqua"/>
          <w:szCs w:val="26"/>
        </w:rPr>
        <w:t>Inactive Communities</w:t>
      </w:r>
      <w:r w:rsidR="00F47797">
        <w:rPr>
          <w:rFonts w:ascii="Palatino Linotype" w:hAnsi="Palatino Linotype" w:cs="BookAntiqua"/>
          <w:szCs w:val="26"/>
        </w:rPr>
        <w:t xml:space="preserve"> Reported by PG&amp;E</w:t>
      </w:r>
    </w:p>
    <w:p w14:paraId="467140AB" w14:textId="77777777" w:rsidR="00405C54" w:rsidRPr="000A6D41" w:rsidRDefault="00405C54" w:rsidP="00405C54">
      <w:pPr>
        <w:autoSpaceDE w:val="0"/>
        <w:autoSpaceDN w:val="0"/>
        <w:adjustRightInd w:val="0"/>
        <w:jc w:val="center"/>
        <w:rPr>
          <w:rFonts w:ascii="Palatino Linotype" w:hAnsi="Palatino Linotype" w:cs="BookAntiqua"/>
          <w:szCs w:val="26"/>
        </w:rPr>
      </w:pPr>
    </w:p>
    <w:p w14:paraId="400D79BF" w14:textId="77777777" w:rsidR="00405C54" w:rsidRPr="000A6D41" w:rsidRDefault="00405C54" w:rsidP="00405C54">
      <w:pPr>
        <w:autoSpaceDE w:val="0"/>
        <w:autoSpaceDN w:val="0"/>
        <w:adjustRightInd w:val="0"/>
        <w:rPr>
          <w:rFonts w:ascii="Palatino Linotype" w:hAnsi="Palatino Linotype" w:cs="BookAntiqua"/>
          <w:szCs w:val="26"/>
        </w:rPr>
      </w:pPr>
      <w:r w:rsidRPr="000A6D41">
        <w:rPr>
          <w:rFonts w:ascii="Palatino Linotype" w:hAnsi="Palatino Linotype" w:cs="BookAntiqua"/>
          <w:szCs w:val="26"/>
        </w:rPr>
        <w:t>None of the listed communities has:</w:t>
      </w:r>
    </w:p>
    <w:p w14:paraId="6004696E" w14:textId="4A512D40" w:rsidR="00405C54" w:rsidRPr="000A6D41" w:rsidRDefault="00405C54" w:rsidP="00405C54">
      <w:pPr>
        <w:autoSpaceDE w:val="0"/>
        <w:autoSpaceDN w:val="0"/>
        <w:adjustRightInd w:val="0"/>
        <w:rPr>
          <w:rFonts w:ascii="Palatino Linotype" w:hAnsi="Palatino Linotype" w:cs="BookAntiqua"/>
          <w:szCs w:val="26"/>
        </w:rPr>
      </w:pPr>
      <w:r w:rsidRPr="000A6D41">
        <w:rPr>
          <w:rFonts w:ascii="Palatino Linotype" w:hAnsi="Palatino Linotype" w:cs="BookAntiqua"/>
          <w:szCs w:val="26"/>
        </w:rPr>
        <w:t xml:space="preserve">1. </w:t>
      </w:r>
      <w:r w:rsidR="003A72B6">
        <w:rPr>
          <w:rFonts w:ascii="Palatino Linotype" w:hAnsi="Palatino Linotype" w:cs="BookAntiqua"/>
          <w:szCs w:val="26"/>
        </w:rPr>
        <w:t>Started or c</w:t>
      </w:r>
      <w:r w:rsidRPr="000A6D41">
        <w:rPr>
          <w:rFonts w:ascii="Palatino Linotype" w:hAnsi="Palatino Linotype" w:cs="BookAntiqua"/>
          <w:szCs w:val="26"/>
        </w:rPr>
        <w:t xml:space="preserve">ompleted </w:t>
      </w:r>
      <w:r w:rsidR="003A72B6">
        <w:rPr>
          <w:rFonts w:ascii="Palatino Linotype" w:hAnsi="Palatino Linotype" w:cs="BookAntiqua"/>
          <w:szCs w:val="26"/>
        </w:rPr>
        <w:t xml:space="preserve">construction </w:t>
      </w:r>
      <w:r w:rsidRPr="000A6D41">
        <w:rPr>
          <w:rFonts w:ascii="Palatino Linotype" w:hAnsi="Palatino Linotype" w:cs="BookAntiqua"/>
          <w:szCs w:val="26"/>
        </w:rPr>
        <w:t>an undergrounding conversion project after 201</w:t>
      </w:r>
      <w:r w:rsidR="00521219">
        <w:rPr>
          <w:rFonts w:ascii="Palatino Linotype" w:hAnsi="Palatino Linotype" w:cs="BookAntiqua"/>
          <w:szCs w:val="26"/>
        </w:rPr>
        <w:t>1</w:t>
      </w:r>
      <w:r w:rsidRPr="000A6D41">
        <w:rPr>
          <w:rFonts w:ascii="Palatino Linotype" w:hAnsi="Palatino Linotype" w:cs="BookAntiqua"/>
          <w:szCs w:val="26"/>
        </w:rPr>
        <w:t>.</w:t>
      </w:r>
    </w:p>
    <w:p w14:paraId="2152B914" w14:textId="2741D076" w:rsidR="003A72B6" w:rsidRPr="000A6D41" w:rsidRDefault="00405C54" w:rsidP="00405C54">
      <w:pPr>
        <w:autoSpaceDE w:val="0"/>
        <w:autoSpaceDN w:val="0"/>
        <w:adjustRightInd w:val="0"/>
        <w:rPr>
          <w:rFonts w:ascii="Palatino Linotype" w:hAnsi="Palatino Linotype" w:cs="BookAntiqua"/>
          <w:szCs w:val="26"/>
        </w:rPr>
      </w:pPr>
      <w:r w:rsidRPr="000A6D41">
        <w:rPr>
          <w:rFonts w:ascii="Palatino Linotype" w:hAnsi="Palatino Linotype" w:cs="BookAntiqua"/>
          <w:szCs w:val="26"/>
        </w:rPr>
        <w:t xml:space="preserve">2. </w:t>
      </w:r>
      <w:r w:rsidR="005F5485">
        <w:rPr>
          <w:rFonts w:ascii="Palatino Linotype" w:hAnsi="Palatino Linotype" w:cs="BookAntiqua"/>
          <w:szCs w:val="26"/>
        </w:rPr>
        <w:t>Established</w:t>
      </w:r>
      <w:r w:rsidRPr="000A6D41">
        <w:rPr>
          <w:rFonts w:ascii="Palatino Linotype" w:hAnsi="Palatino Linotype" w:cs="BookAntiqua"/>
          <w:szCs w:val="26"/>
        </w:rPr>
        <w:t xml:space="preserve"> an undergrounding district</w:t>
      </w:r>
      <w:r w:rsidR="00D93BD2">
        <w:rPr>
          <w:rFonts w:ascii="Palatino Linotype" w:hAnsi="Palatino Linotype" w:cs="BookAntiqua"/>
          <w:szCs w:val="26"/>
        </w:rPr>
        <w:t xml:space="preserve"> since 2011</w:t>
      </w:r>
      <w:r w:rsidRPr="000A6D41">
        <w:rPr>
          <w:rFonts w:ascii="Palatino Linotype" w:hAnsi="Palatino Linotype" w:cs="BookAntiqua"/>
          <w:szCs w:val="26"/>
        </w:rPr>
        <w:t xml:space="preserve"> or</w:t>
      </w:r>
      <w:r w:rsidR="005F5485">
        <w:rPr>
          <w:rFonts w:ascii="Palatino Linotype" w:hAnsi="Palatino Linotype" w:cs="BookAntiqua"/>
          <w:szCs w:val="26"/>
        </w:rPr>
        <w:t xml:space="preserve"> </w:t>
      </w:r>
      <w:r w:rsidRPr="000A6D41">
        <w:rPr>
          <w:rFonts w:ascii="Palatino Linotype" w:hAnsi="Palatino Linotype" w:cs="BookAntiqua"/>
          <w:szCs w:val="26"/>
        </w:rPr>
        <w:t>has future projects planned.</w:t>
      </w:r>
    </w:p>
    <w:p w14:paraId="12FEE977" w14:textId="12395CA4" w:rsidR="003A72B6" w:rsidRDefault="003A72B6" w:rsidP="002D51C5">
      <w:pPr>
        <w:autoSpaceDE w:val="0"/>
        <w:autoSpaceDN w:val="0"/>
        <w:adjustRightInd w:val="0"/>
      </w:pPr>
      <w:r>
        <w:rPr>
          <w:rFonts w:ascii="Palatino Linotype" w:hAnsi="Palatino Linotype" w:cs="BookAntiqua"/>
          <w:szCs w:val="26"/>
        </w:rPr>
        <w:t xml:space="preserve">3. </w:t>
      </w:r>
      <w:r>
        <w:t>Received</w:t>
      </w:r>
      <w:r w:rsidRPr="00533D00">
        <w:t xml:space="preserve"> Rule 20</w:t>
      </w:r>
      <w:r>
        <w:t>A</w:t>
      </w:r>
      <w:r w:rsidRPr="00533D00">
        <w:t xml:space="preserve"> allocations from </w:t>
      </w:r>
      <w:r>
        <w:t xml:space="preserve">PG&amp;E </w:t>
      </w:r>
      <w:r w:rsidRPr="00533D00">
        <w:t>for only 5 years or fewer due to</w:t>
      </w:r>
      <w:r>
        <w:t xml:space="preserve"> </w:t>
      </w:r>
      <w:r w:rsidRPr="00533D00">
        <w:t>recent incorporation.</w:t>
      </w:r>
    </w:p>
    <w:p w14:paraId="1179A790" w14:textId="5A672EAC" w:rsidR="00405C54" w:rsidRPr="000A6D41" w:rsidRDefault="003A72B6" w:rsidP="002D51C5">
      <w:pPr>
        <w:tabs>
          <w:tab w:val="left" w:pos="991"/>
        </w:tabs>
        <w:autoSpaceDE w:val="0"/>
        <w:autoSpaceDN w:val="0"/>
        <w:adjustRightInd w:val="0"/>
        <w:rPr>
          <w:rFonts w:ascii="Palatino Linotype" w:hAnsi="Palatino Linotype" w:cs="BookAntiqua"/>
          <w:szCs w:val="26"/>
        </w:rPr>
      </w:pPr>
      <w:r>
        <w:rPr>
          <w:rFonts w:ascii="Palatino Linotype" w:hAnsi="Palatino Linotype" w:cs="BookAntiqua"/>
          <w:szCs w:val="26"/>
        </w:rPr>
        <w:tab/>
      </w:r>
    </w:p>
    <w:p w14:paraId="1E5CEEE0" w14:textId="3763E130" w:rsidR="00405C54" w:rsidRDefault="008E1A32" w:rsidP="00405C54">
      <w:pPr>
        <w:autoSpaceDE w:val="0"/>
        <w:autoSpaceDN w:val="0"/>
        <w:adjustRightInd w:val="0"/>
        <w:rPr>
          <w:rFonts w:ascii="Palatino Linotype" w:hAnsi="Palatino Linotype" w:cs="BookAntiqua"/>
          <w:szCs w:val="26"/>
        </w:rPr>
      </w:pPr>
      <w:r w:rsidRPr="000A6D41">
        <w:rPr>
          <w:rFonts w:ascii="Palatino Linotype" w:hAnsi="Palatino Linotype" w:cs="BookAntiqua"/>
          <w:szCs w:val="26"/>
        </w:rPr>
        <w:t>T</w:t>
      </w:r>
      <w:r w:rsidR="00405C54" w:rsidRPr="000A6D41">
        <w:rPr>
          <w:rFonts w:ascii="Palatino Linotype" w:hAnsi="Palatino Linotype" w:cs="BookAntiqua"/>
          <w:szCs w:val="26"/>
        </w:rPr>
        <w:t>he total existing PG&amp;E Rule 20A unused work credit balance</w:t>
      </w:r>
      <w:r w:rsidR="00F47797">
        <w:rPr>
          <w:rFonts w:ascii="Palatino Linotype" w:hAnsi="Palatino Linotype" w:cs="BookAntiqua"/>
          <w:szCs w:val="26"/>
        </w:rPr>
        <w:t xml:space="preserve"> is</w:t>
      </w:r>
      <w:r w:rsidR="00405C54" w:rsidRPr="000A6D41">
        <w:rPr>
          <w:rFonts w:ascii="Palatino Linotype" w:hAnsi="Palatino Linotype" w:cs="BookAntiqua"/>
          <w:szCs w:val="26"/>
        </w:rPr>
        <w:t xml:space="preserve"> </w:t>
      </w:r>
      <w:r w:rsidR="001A6AD8" w:rsidRPr="001A6AD8">
        <w:rPr>
          <w:rFonts w:ascii="Palatino Linotype" w:hAnsi="Palatino Linotype" w:cs="BookAntiqua"/>
          <w:szCs w:val="26"/>
        </w:rPr>
        <w:t>$108,815,591</w:t>
      </w:r>
      <w:r w:rsidR="00F47797">
        <w:rPr>
          <w:rFonts w:ascii="Palatino Linotype" w:hAnsi="Palatino Linotype" w:cs="BookAntiqua"/>
          <w:szCs w:val="26"/>
        </w:rPr>
        <w:t xml:space="preserve">. </w:t>
      </w:r>
      <w:r w:rsidR="00F47797" w:rsidRPr="00F47797">
        <w:rPr>
          <w:rFonts w:ascii="Palatino Linotype" w:hAnsi="Palatino Linotype" w:cs="BookAntiqua"/>
          <w:szCs w:val="26"/>
        </w:rPr>
        <w:t>If $554,000 of work credits are reallocated to</w:t>
      </w:r>
      <w:r w:rsidR="00F47797">
        <w:rPr>
          <w:rFonts w:ascii="Palatino Linotype" w:hAnsi="Palatino Linotype" w:cs="BookAntiqua"/>
          <w:szCs w:val="26"/>
        </w:rPr>
        <w:t xml:space="preserve"> the City of Live Oak the unused work credit balance</w:t>
      </w:r>
      <w:r w:rsidR="00405C54" w:rsidRPr="000A6D41">
        <w:rPr>
          <w:rFonts w:ascii="Palatino Linotype" w:hAnsi="Palatino Linotype" w:cs="BookAntiqua"/>
          <w:szCs w:val="26"/>
        </w:rPr>
        <w:t xml:space="preserve"> will be reduced by </w:t>
      </w:r>
      <w:r w:rsidR="00A23AF8" w:rsidRPr="000A6D41">
        <w:rPr>
          <w:rFonts w:ascii="Palatino Linotype" w:hAnsi="Palatino Linotype" w:cs="BookAntiqua"/>
          <w:szCs w:val="26"/>
        </w:rPr>
        <w:t>0</w:t>
      </w:r>
      <w:r w:rsidR="00405C54" w:rsidRPr="000A6D41">
        <w:rPr>
          <w:rFonts w:ascii="Palatino Linotype" w:hAnsi="Palatino Linotype" w:cs="BookAntiqua"/>
          <w:szCs w:val="26"/>
        </w:rPr>
        <w:t>.</w:t>
      </w:r>
      <w:r w:rsidR="00521219">
        <w:rPr>
          <w:rFonts w:ascii="Palatino Linotype" w:hAnsi="Palatino Linotype" w:cs="BookAntiqua"/>
          <w:szCs w:val="26"/>
        </w:rPr>
        <w:t>53</w:t>
      </w:r>
      <w:r w:rsidR="00405C54" w:rsidRPr="000A6D41">
        <w:rPr>
          <w:rFonts w:ascii="Palatino Linotype" w:hAnsi="Palatino Linotype" w:cs="BookAntiqua"/>
          <w:szCs w:val="26"/>
        </w:rPr>
        <w:t xml:space="preserve">% </w:t>
      </w:r>
      <w:r w:rsidRPr="000A6D41">
        <w:rPr>
          <w:rFonts w:ascii="Palatino Linotype" w:hAnsi="Palatino Linotype" w:cs="BookAntiqua"/>
          <w:szCs w:val="26"/>
        </w:rPr>
        <w:t xml:space="preserve">proportionally from the </w:t>
      </w:r>
      <w:r w:rsidR="00F47797">
        <w:rPr>
          <w:rFonts w:ascii="Palatino Linotype" w:hAnsi="Palatino Linotype" w:cs="BookAntiqua"/>
          <w:szCs w:val="26"/>
        </w:rPr>
        <w:t xml:space="preserve">92 inactive </w:t>
      </w:r>
      <w:r w:rsidRPr="000A6D41">
        <w:rPr>
          <w:rFonts w:ascii="Palatino Linotype" w:hAnsi="Palatino Linotype" w:cs="BookAntiqua"/>
          <w:szCs w:val="26"/>
        </w:rPr>
        <w:t xml:space="preserve">communities </w:t>
      </w:r>
      <w:r w:rsidR="00405C54" w:rsidRPr="000A6D41">
        <w:rPr>
          <w:rFonts w:ascii="Palatino Linotype" w:hAnsi="Palatino Linotype" w:cs="BookAntiqua"/>
          <w:szCs w:val="26"/>
        </w:rPr>
        <w:t>shown</w:t>
      </w:r>
      <w:r w:rsidR="00F47797">
        <w:rPr>
          <w:rFonts w:ascii="Palatino Linotype" w:hAnsi="Palatino Linotype" w:cs="BookAntiqua"/>
          <w:szCs w:val="26"/>
        </w:rPr>
        <w:t xml:space="preserve"> below.</w:t>
      </w:r>
      <w:r w:rsidR="00480D93" w:rsidRPr="000A6D41" w:rsidDel="00480D93">
        <w:rPr>
          <w:rFonts w:ascii="Palatino Linotype" w:hAnsi="Palatino Linotype" w:cs="BookAntiqua"/>
          <w:szCs w:val="26"/>
        </w:rPr>
        <w:t xml:space="preserve"> </w:t>
      </w:r>
      <w:bookmarkStart w:id="6" w:name="_GoBack"/>
      <w:bookmarkEnd w:id="6"/>
    </w:p>
    <w:p w14:paraId="340DBFC9" w14:textId="77777777" w:rsidR="005D4D28" w:rsidRDefault="005D4D28" w:rsidP="002D51C5">
      <w:pPr>
        <w:autoSpaceDE w:val="0"/>
        <w:autoSpaceDN w:val="0"/>
        <w:adjustRightInd w:val="0"/>
        <w:rPr>
          <w:rFonts w:ascii="Calibri" w:hAnsi="Calibri"/>
          <w:b/>
          <w:bCs/>
          <w:color w:val="000000"/>
          <w:sz w:val="24"/>
          <w:szCs w:val="22"/>
        </w:rPr>
      </w:pPr>
    </w:p>
    <w:p w14:paraId="46848B7E" w14:textId="789BF385" w:rsidR="005D4D28" w:rsidRPr="000A6D41" w:rsidRDefault="005D4D28" w:rsidP="002D51C5">
      <w:pPr>
        <w:rPr>
          <w:rFonts w:ascii="Calibri" w:hAnsi="Calibri"/>
          <w:b/>
          <w:bCs/>
          <w:color w:val="000000"/>
          <w:sz w:val="24"/>
          <w:szCs w:val="22"/>
        </w:rPr>
      </w:pPr>
      <w:r w:rsidRPr="000A6D41">
        <w:rPr>
          <w:rFonts w:ascii="Calibri" w:hAnsi="Calibri"/>
          <w:b/>
          <w:bCs/>
          <w:color w:val="000000"/>
          <w:sz w:val="24"/>
          <w:szCs w:val="22"/>
        </w:rPr>
        <w:t xml:space="preserve">Table </w:t>
      </w:r>
      <w:r w:rsidR="00230612">
        <w:rPr>
          <w:rFonts w:ascii="Calibri" w:hAnsi="Calibri"/>
          <w:b/>
          <w:bCs/>
          <w:color w:val="000000"/>
          <w:sz w:val="24"/>
          <w:szCs w:val="22"/>
        </w:rPr>
        <w:t>1</w:t>
      </w:r>
      <w:r w:rsidRPr="000A6D41">
        <w:rPr>
          <w:rFonts w:ascii="Calibri" w:hAnsi="Calibri"/>
          <w:b/>
          <w:bCs/>
          <w:color w:val="000000"/>
          <w:sz w:val="24"/>
          <w:szCs w:val="22"/>
        </w:rPr>
        <w:t xml:space="preserve">. </w:t>
      </w:r>
      <w:r>
        <w:rPr>
          <w:rFonts w:ascii="Calibri" w:hAnsi="Calibri"/>
          <w:b/>
          <w:bCs/>
          <w:color w:val="000000"/>
          <w:sz w:val="24"/>
          <w:szCs w:val="22"/>
        </w:rPr>
        <w:t>Inactive Communities</w:t>
      </w:r>
    </w:p>
    <w:p w14:paraId="1DF74561" w14:textId="20BCAB4C" w:rsidR="00A23AF8" w:rsidRPr="005F5485" w:rsidRDefault="00A23AF8" w:rsidP="00405C54">
      <w:pPr>
        <w:autoSpaceDE w:val="0"/>
        <w:autoSpaceDN w:val="0"/>
        <w:adjustRightInd w:val="0"/>
        <w:rPr>
          <w:rFonts w:ascii="Palatino Linotype" w:hAnsi="Palatino Linotype"/>
          <w:sz w:val="20"/>
        </w:rPr>
      </w:pPr>
    </w:p>
    <w:tbl>
      <w:tblPr>
        <w:tblW w:w="5000" w:type="pct"/>
        <w:tblLook w:val="04A0" w:firstRow="1" w:lastRow="0" w:firstColumn="1" w:lastColumn="0" w:noHBand="0" w:noVBand="1"/>
      </w:tblPr>
      <w:tblGrid>
        <w:gridCol w:w="1121"/>
        <w:gridCol w:w="2481"/>
        <w:gridCol w:w="1317"/>
        <w:gridCol w:w="1554"/>
        <w:gridCol w:w="1313"/>
        <w:gridCol w:w="1554"/>
      </w:tblGrid>
      <w:tr w:rsidR="00B97529" w:rsidRPr="002608B2" w14:paraId="2E6670BC" w14:textId="77777777" w:rsidTr="0046730A">
        <w:trPr>
          <w:trHeight w:val="300"/>
          <w:tblHeader/>
        </w:trPr>
        <w:tc>
          <w:tcPr>
            <w:tcW w:w="600" w:type="pct"/>
            <w:vMerge w:val="restart"/>
            <w:tcBorders>
              <w:top w:val="single" w:sz="8" w:space="0" w:color="auto"/>
              <w:left w:val="single" w:sz="8" w:space="0" w:color="auto"/>
              <w:bottom w:val="single" w:sz="8" w:space="0" w:color="000000"/>
              <w:right w:val="single" w:sz="8" w:space="0" w:color="auto"/>
            </w:tcBorders>
            <w:shd w:val="clear" w:color="000000" w:fill="00B0F0"/>
            <w:noWrap/>
            <w:vAlign w:val="center"/>
            <w:hideMark/>
          </w:tcPr>
          <w:p w14:paraId="61A1D9A6"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No.</w:t>
            </w:r>
          </w:p>
        </w:tc>
        <w:tc>
          <w:tcPr>
            <w:tcW w:w="1328" w:type="pct"/>
            <w:vMerge w:val="restart"/>
            <w:tcBorders>
              <w:top w:val="single" w:sz="8" w:space="0" w:color="auto"/>
              <w:left w:val="single" w:sz="8" w:space="0" w:color="auto"/>
              <w:bottom w:val="single" w:sz="8" w:space="0" w:color="000000"/>
              <w:right w:val="single" w:sz="8" w:space="0" w:color="auto"/>
            </w:tcBorders>
            <w:shd w:val="clear" w:color="000000" w:fill="00B0F0"/>
            <w:vAlign w:val="center"/>
            <w:hideMark/>
          </w:tcPr>
          <w:p w14:paraId="1927B210"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Community</w:t>
            </w:r>
          </w:p>
        </w:tc>
        <w:tc>
          <w:tcPr>
            <w:tcW w:w="705" w:type="pct"/>
            <w:tcBorders>
              <w:top w:val="single" w:sz="8" w:space="0" w:color="auto"/>
              <w:left w:val="nil"/>
              <w:bottom w:val="nil"/>
              <w:right w:val="single" w:sz="8" w:space="0" w:color="auto"/>
            </w:tcBorders>
            <w:shd w:val="clear" w:color="000000" w:fill="00B0F0"/>
            <w:vAlign w:val="center"/>
            <w:hideMark/>
          </w:tcPr>
          <w:p w14:paraId="22E6D3D9"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 </w:t>
            </w:r>
          </w:p>
        </w:tc>
        <w:tc>
          <w:tcPr>
            <w:tcW w:w="832" w:type="pct"/>
            <w:tcBorders>
              <w:top w:val="single" w:sz="8" w:space="0" w:color="auto"/>
              <w:left w:val="nil"/>
              <w:bottom w:val="nil"/>
              <w:right w:val="single" w:sz="8" w:space="0" w:color="auto"/>
            </w:tcBorders>
            <w:shd w:val="clear" w:color="000000" w:fill="00B0F0"/>
            <w:vAlign w:val="center"/>
            <w:hideMark/>
          </w:tcPr>
          <w:p w14:paraId="0C5A02FA"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 </w:t>
            </w:r>
          </w:p>
        </w:tc>
        <w:tc>
          <w:tcPr>
            <w:tcW w:w="703" w:type="pct"/>
            <w:vMerge w:val="restart"/>
            <w:tcBorders>
              <w:top w:val="single" w:sz="8" w:space="0" w:color="auto"/>
              <w:left w:val="single" w:sz="8" w:space="0" w:color="auto"/>
              <w:bottom w:val="single" w:sz="8" w:space="0" w:color="000000"/>
              <w:right w:val="single" w:sz="8" w:space="0" w:color="auto"/>
            </w:tcBorders>
            <w:shd w:val="clear" w:color="000000" w:fill="00B0F0"/>
            <w:vAlign w:val="center"/>
            <w:hideMark/>
          </w:tcPr>
          <w:p w14:paraId="7430EDCF"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 xml:space="preserve">Proposed Reduction </w:t>
            </w:r>
          </w:p>
        </w:tc>
        <w:tc>
          <w:tcPr>
            <w:tcW w:w="832" w:type="pct"/>
            <w:vMerge w:val="restart"/>
            <w:tcBorders>
              <w:top w:val="single" w:sz="8" w:space="0" w:color="auto"/>
              <w:left w:val="single" w:sz="8" w:space="0" w:color="auto"/>
              <w:bottom w:val="single" w:sz="8" w:space="0" w:color="000000"/>
              <w:right w:val="single" w:sz="8" w:space="0" w:color="auto"/>
            </w:tcBorders>
            <w:shd w:val="clear" w:color="000000" w:fill="00B0F0"/>
            <w:vAlign w:val="center"/>
            <w:hideMark/>
          </w:tcPr>
          <w:p w14:paraId="142018DC"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New Balance</w:t>
            </w:r>
          </w:p>
        </w:tc>
      </w:tr>
      <w:tr w:rsidR="00B97529" w:rsidRPr="002608B2" w14:paraId="17D79A2E" w14:textId="77777777" w:rsidTr="0046730A">
        <w:trPr>
          <w:trHeight w:val="935"/>
          <w:tblHeader/>
        </w:trPr>
        <w:tc>
          <w:tcPr>
            <w:tcW w:w="600" w:type="pct"/>
            <w:vMerge/>
            <w:tcBorders>
              <w:top w:val="single" w:sz="8" w:space="0" w:color="auto"/>
              <w:left w:val="single" w:sz="8" w:space="0" w:color="auto"/>
              <w:bottom w:val="single" w:sz="8" w:space="0" w:color="000000"/>
              <w:right w:val="single" w:sz="8" w:space="0" w:color="auto"/>
            </w:tcBorders>
            <w:vAlign w:val="center"/>
            <w:hideMark/>
          </w:tcPr>
          <w:p w14:paraId="2AFFBAB5" w14:textId="77777777" w:rsidR="00B97529" w:rsidRPr="002608B2" w:rsidRDefault="00B97529" w:rsidP="0046730A">
            <w:pPr>
              <w:rPr>
                <w:rFonts w:ascii="Calibri" w:hAnsi="Calibri"/>
                <w:color w:val="000000"/>
                <w:sz w:val="22"/>
                <w:szCs w:val="22"/>
              </w:rPr>
            </w:pPr>
          </w:p>
        </w:tc>
        <w:tc>
          <w:tcPr>
            <w:tcW w:w="1328" w:type="pct"/>
            <w:vMerge/>
            <w:tcBorders>
              <w:top w:val="single" w:sz="8" w:space="0" w:color="auto"/>
              <w:left w:val="single" w:sz="8" w:space="0" w:color="auto"/>
              <w:bottom w:val="single" w:sz="8" w:space="0" w:color="000000"/>
              <w:right w:val="single" w:sz="8" w:space="0" w:color="auto"/>
            </w:tcBorders>
            <w:vAlign w:val="center"/>
            <w:hideMark/>
          </w:tcPr>
          <w:p w14:paraId="2FAA8680" w14:textId="77777777" w:rsidR="00B97529" w:rsidRPr="002608B2" w:rsidRDefault="00B97529" w:rsidP="0046730A">
            <w:pPr>
              <w:rPr>
                <w:rFonts w:ascii="Calibri" w:hAnsi="Calibri"/>
                <w:color w:val="000000"/>
                <w:sz w:val="22"/>
                <w:szCs w:val="22"/>
              </w:rPr>
            </w:pPr>
          </w:p>
        </w:tc>
        <w:tc>
          <w:tcPr>
            <w:tcW w:w="705" w:type="pct"/>
            <w:tcBorders>
              <w:top w:val="nil"/>
              <w:left w:val="nil"/>
              <w:bottom w:val="single" w:sz="4" w:space="0" w:color="auto"/>
              <w:right w:val="single" w:sz="8" w:space="0" w:color="auto"/>
            </w:tcBorders>
            <w:shd w:val="clear" w:color="000000" w:fill="00B0F0"/>
            <w:vAlign w:val="center"/>
            <w:hideMark/>
          </w:tcPr>
          <w:p w14:paraId="3BF6A0AF"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2019 Allocation</w:t>
            </w:r>
          </w:p>
          <w:p w14:paraId="7F7F3EA6"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 </w:t>
            </w:r>
          </w:p>
        </w:tc>
        <w:tc>
          <w:tcPr>
            <w:tcW w:w="832" w:type="pct"/>
            <w:tcBorders>
              <w:top w:val="nil"/>
              <w:left w:val="nil"/>
              <w:bottom w:val="single" w:sz="4" w:space="0" w:color="auto"/>
              <w:right w:val="single" w:sz="8" w:space="0" w:color="auto"/>
            </w:tcBorders>
            <w:shd w:val="clear" w:color="000000" w:fill="00B0F0"/>
            <w:vAlign w:val="center"/>
            <w:hideMark/>
          </w:tcPr>
          <w:p w14:paraId="4F9367C8"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2019 Balance</w:t>
            </w:r>
          </w:p>
          <w:p w14:paraId="650138B3"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 </w:t>
            </w:r>
          </w:p>
        </w:tc>
        <w:tc>
          <w:tcPr>
            <w:tcW w:w="703" w:type="pct"/>
            <w:vMerge/>
            <w:tcBorders>
              <w:top w:val="single" w:sz="8" w:space="0" w:color="auto"/>
              <w:left w:val="single" w:sz="8" w:space="0" w:color="auto"/>
              <w:bottom w:val="single" w:sz="8" w:space="0" w:color="000000"/>
              <w:right w:val="single" w:sz="8" w:space="0" w:color="auto"/>
            </w:tcBorders>
            <w:vAlign w:val="center"/>
            <w:hideMark/>
          </w:tcPr>
          <w:p w14:paraId="7AE90B15" w14:textId="77777777" w:rsidR="00B97529" w:rsidRPr="002608B2" w:rsidRDefault="00B97529" w:rsidP="0046730A">
            <w:pPr>
              <w:rPr>
                <w:rFonts w:ascii="Calibri" w:hAnsi="Calibri"/>
                <w:color w:val="000000"/>
                <w:sz w:val="22"/>
                <w:szCs w:val="22"/>
              </w:rPr>
            </w:pPr>
          </w:p>
        </w:tc>
        <w:tc>
          <w:tcPr>
            <w:tcW w:w="832" w:type="pct"/>
            <w:vMerge/>
            <w:tcBorders>
              <w:top w:val="single" w:sz="8" w:space="0" w:color="auto"/>
              <w:left w:val="single" w:sz="8" w:space="0" w:color="auto"/>
              <w:bottom w:val="single" w:sz="8" w:space="0" w:color="000000"/>
              <w:right w:val="single" w:sz="8" w:space="0" w:color="auto"/>
            </w:tcBorders>
            <w:vAlign w:val="center"/>
            <w:hideMark/>
          </w:tcPr>
          <w:p w14:paraId="595B1F96" w14:textId="77777777" w:rsidR="00B97529" w:rsidRPr="002608B2" w:rsidRDefault="00B97529" w:rsidP="0046730A">
            <w:pPr>
              <w:rPr>
                <w:rFonts w:ascii="Calibri" w:hAnsi="Calibri"/>
                <w:color w:val="000000"/>
                <w:sz w:val="22"/>
                <w:szCs w:val="22"/>
              </w:rPr>
            </w:pPr>
          </w:p>
        </w:tc>
      </w:tr>
      <w:tr w:rsidR="00B97529" w:rsidRPr="002608B2" w14:paraId="4B164549" w14:textId="77777777" w:rsidTr="0046730A">
        <w:trPr>
          <w:trHeight w:val="315"/>
        </w:trPr>
        <w:tc>
          <w:tcPr>
            <w:tcW w:w="1928" w:type="pct"/>
            <w:gridSpan w:val="2"/>
            <w:tcBorders>
              <w:top w:val="single" w:sz="8" w:space="0" w:color="000000"/>
              <w:left w:val="single" w:sz="8" w:space="0" w:color="auto"/>
              <w:bottom w:val="single" w:sz="8" w:space="0" w:color="auto"/>
              <w:right w:val="single" w:sz="8" w:space="0" w:color="000000"/>
            </w:tcBorders>
            <w:shd w:val="clear" w:color="auto" w:fill="auto"/>
            <w:noWrap/>
            <w:vAlign w:val="center"/>
            <w:hideMark/>
          </w:tcPr>
          <w:p w14:paraId="4542A4A3" w14:textId="77777777" w:rsidR="00B97529" w:rsidRPr="002608B2" w:rsidRDefault="00B97529" w:rsidP="0046730A">
            <w:pPr>
              <w:jc w:val="center"/>
              <w:rPr>
                <w:rFonts w:ascii="Calibri" w:hAnsi="Calibri"/>
                <w:color w:val="000000"/>
                <w:sz w:val="22"/>
                <w:szCs w:val="22"/>
              </w:rPr>
            </w:pPr>
            <w:r w:rsidRPr="002608B2">
              <w:rPr>
                <w:rFonts w:ascii="Calibri" w:hAnsi="Calibri"/>
                <w:color w:val="000000"/>
                <w:sz w:val="22"/>
                <w:szCs w:val="22"/>
              </w:rPr>
              <w:t>Total</w:t>
            </w:r>
          </w:p>
        </w:tc>
        <w:tc>
          <w:tcPr>
            <w:tcW w:w="705" w:type="pct"/>
            <w:tcBorders>
              <w:top w:val="single" w:sz="4" w:space="0" w:color="auto"/>
              <w:left w:val="nil"/>
              <w:bottom w:val="single" w:sz="8" w:space="0" w:color="auto"/>
              <w:right w:val="single" w:sz="8" w:space="0" w:color="auto"/>
            </w:tcBorders>
            <w:shd w:val="clear" w:color="000000" w:fill="FFFFFF"/>
            <w:vAlign w:val="center"/>
            <w:hideMark/>
          </w:tcPr>
          <w:p w14:paraId="28B2D77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$3,650,959 </w:t>
            </w:r>
          </w:p>
        </w:tc>
        <w:tc>
          <w:tcPr>
            <w:tcW w:w="832" w:type="pct"/>
            <w:tcBorders>
              <w:top w:val="single" w:sz="4" w:space="0" w:color="auto"/>
              <w:left w:val="nil"/>
              <w:bottom w:val="single" w:sz="8" w:space="0" w:color="auto"/>
              <w:right w:val="single" w:sz="8" w:space="0" w:color="auto"/>
            </w:tcBorders>
            <w:shd w:val="clear" w:color="000000" w:fill="FFFFFF"/>
            <w:vAlign w:val="center"/>
            <w:hideMark/>
          </w:tcPr>
          <w:p w14:paraId="70007FF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$108,815,591 </w:t>
            </w:r>
          </w:p>
        </w:tc>
        <w:tc>
          <w:tcPr>
            <w:tcW w:w="703" w:type="pct"/>
            <w:tcBorders>
              <w:top w:val="nil"/>
              <w:left w:val="nil"/>
              <w:bottom w:val="single" w:sz="8" w:space="0" w:color="auto"/>
              <w:right w:val="single" w:sz="8" w:space="0" w:color="auto"/>
            </w:tcBorders>
            <w:shd w:val="clear" w:color="000000" w:fill="FFFFFF"/>
            <w:vAlign w:val="center"/>
            <w:hideMark/>
          </w:tcPr>
          <w:p w14:paraId="5E3A061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$554,000 </w:t>
            </w:r>
          </w:p>
        </w:tc>
        <w:tc>
          <w:tcPr>
            <w:tcW w:w="832" w:type="pct"/>
            <w:tcBorders>
              <w:top w:val="nil"/>
              <w:left w:val="nil"/>
              <w:bottom w:val="single" w:sz="8" w:space="0" w:color="auto"/>
              <w:right w:val="single" w:sz="8" w:space="0" w:color="auto"/>
            </w:tcBorders>
            <w:shd w:val="clear" w:color="000000" w:fill="FFFFFF"/>
            <w:vAlign w:val="center"/>
            <w:hideMark/>
          </w:tcPr>
          <w:p w14:paraId="7309693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$108,261,591 </w:t>
            </w:r>
          </w:p>
        </w:tc>
      </w:tr>
      <w:tr w:rsidR="00B97529" w:rsidRPr="002608B2" w14:paraId="0C735B55"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306CE75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1</w:t>
            </w:r>
          </w:p>
        </w:tc>
        <w:tc>
          <w:tcPr>
            <w:tcW w:w="1328" w:type="pct"/>
            <w:tcBorders>
              <w:top w:val="nil"/>
              <w:left w:val="nil"/>
              <w:bottom w:val="single" w:sz="8" w:space="0" w:color="auto"/>
              <w:right w:val="single" w:sz="8" w:space="0" w:color="auto"/>
            </w:tcBorders>
            <w:shd w:val="clear" w:color="auto" w:fill="auto"/>
            <w:noWrap/>
            <w:vAlign w:val="center"/>
            <w:hideMark/>
          </w:tcPr>
          <w:p w14:paraId="5CF41566"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EMERYVILLE</w:t>
            </w:r>
          </w:p>
        </w:tc>
        <w:tc>
          <w:tcPr>
            <w:tcW w:w="705" w:type="pct"/>
            <w:tcBorders>
              <w:top w:val="nil"/>
              <w:left w:val="nil"/>
              <w:bottom w:val="single" w:sz="8" w:space="0" w:color="auto"/>
              <w:right w:val="single" w:sz="8" w:space="0" w:color="auto"/>
            </w:tcBorders>
            <w:shd w:val="clear" w:color="auto" w:fill="auto"/>
            <w:noWrap/>
            <w:vAlign w:val="center"/>
            <w:hideMark/>
          </w:tcPr>
          <w:p w14:paraId="1AE5E29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$41,725 </w:t>
            </w:r>
          </w:p>
        </w:tc>
        <w:tc>
          <w:tcPr>
            <w:tcW w:w="832" w:type="pct"/>
            <w:tcBorders>
              <w:top w:val="nil"/>
              <w:left w:val="nil"/>
              <w:bottom w:val="single" w:sz="8" w:space="0" w:color="auto"/>
              <w:right w:val="single" w:sz="8" w:space="0" w:color="auto"/>
            </w:tcBorders>
            <w:shd w:val="clear" w:color="auto" w:fill="auto"/>
            <w:noWrap/>
            <w:vAlign w:val="center"/>
            <w:hideMark/>
          </w:tcPr>
          <w:p w14:paraId="003384D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$939,903 </w:t>
            </w:r>
          </w:p>
        </w:tc>
        <w:tc>
          <w:tcPr>
            <w:tcW w:w="703" w:type="pct"/>
            <w:tcBorders>
              <w:top w:val="nil"/>
              <w:left w:val="nil"/>
              <w:bottom w:val="single" w:sz="8" w:space="0" w:color="auto"/>
              <w:right w:val="single" w:sz="8" w:space="0" w:color="auto"/>
            </w:tcBorders>
            <w:shd w:val="clear" w:color="auto" w:fill="auto"/>
            <w:noWrap/>
            <w:vAlign w:val="center"/>
            <w:hideMark/>
          </w:tcPr>
          <w:p w14:paraId="537C03D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$4,785 </w:t>
            </w:r>
          </w:p>
        </w:tc>
        <w:tc>
          <w:tcPr>
            <w:tcW w:w="832" w:type="pct"/>
            <w:tcBorders>
              <w:top w:val="nil"/>
              <w:left w:val="nil"/>
              <w:bottom w:val="single" w:sz="8" w:space="0" w:color="auto"/>
              <w:right w:val="single" w:sz="8" w:space="0" w:color="auto"/>
            </w:tcBorders>
            <w:shd w:val="clear" w:color="auto" w:fill="auto"/>
            <w:noWrap/>
            <w:vAlign w:val="center"/>
            <w:hideMark/>
          </w:tcPr>
          <w:p w14:paraId="57AC6A3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$935,118 </w:t>
            </w:r>
          </w:p>
        </w:tc>
      </w:tr>
      <w:tr w:rsidR="00B97529" w:rsidRPr="002608B2" w14:paraId="0DD23FC5"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0838AD2"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w:t>
            </w:r>
          </w:p>
        </w:tc>
        <w:tc>
          <w:tcPr>
            <w:tcW w:w="1328" w:type="pct"/>
            <w:tcBorders>
              <w:top w:val="nil"/>
              <w:left w:val="nil"/>
              <w:bottom w:val="single" w:sz="8" w:space="0" w:color="auto"/>
              <w:right w:val="single" w:sz="8" w:space="0" w:color="auto"/>
            </w:tcBorders>
            <w:shd w:val="clear" w:color="auto" w:fill="auto"/>
            <w:noWrap/>
            <w:vAlign w:val="center"/>
            <w:hideMark/>
          </w:tcPr>
          <w:p w14:paraId="117163F2"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NEWARK</w:t>
            </w:r>
          </w:p>
        </w:tc>
        <w:tc>
          <w:tcPr>
            <w:tcW w:w="705" w:type="pct"/>
            <w:tcBorders>
              <w:top w:val="nil"/>
              <w:left w:val="nil"/>
              <w:bottom w:val="single" w:sz="8" w:space="0" w:color="auto"/>
              <w:right w:val="single" w:sz="8" w:space="0" w:color="auto"/>
            </w:tcBorders>
            <w:shd w:val="clear" w:color="auto" w:fill="auto"/>
            <w:noWrap/>
            <w:vAlign w:val="center"/>
            <w:hideMark/>
          </w:tcPr>
          <w:p w14:paraId="4614039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$112,400 </w:t>
            </w:r>
          </w:p>
        </w:tc>
        <w:tc>
          <w:tcPr>
            <w:tcW w:w="832" w:type="pct"/>
            <w:tcBorders>
              <w:top w:val="nil"/>
              <w:left w:val="nil"/>
              <w:bottom w:val="single" w:sz="8" w:space="0" w:color="auto"/>
              <w:right w:val="single" w:sz="8" w:space="0" w:color="auto"/>
            </w:tcBorders>
            <w:shd w:val="clear" w:color="auto" w:fill="auto"/>
            <w:noWrap/>
            <w:vAlign w:val="center"/>
            <w:hideMark/>
          </w:tcPr>
          <w:p w14:paraId="08DABF6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$2,723,527 </w:t>
            </w:r>
          </w:p>
        </w:tc>
        <w:tc>
          <w:tcPr>
            <w:tcW w:w="703" w:type="pct"/>
            <w:tcBorders>
              <w:top w:val="nil"/>
              <w:left w:val="nil"/>
              <w:bottom w:val="single" w:sz="8" w:space="0" w:color="auto"/>
              <w:right w:val="single" w:sz="8" w:space="0" w:color="auto"/>
            </w:tcBorders>
            <w:shd w:val="clear" w:color="auto" w:fill="auto"/>
            <w:noWrap/>
            <w:vAlign w:val="center"/>
            <w:hideMark/>
          </w:tcPr>
          <w:p w14:paraId="4AED9C7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$13,866 </w:t>
            </w:r>
          </w:p>
        </w:tc>
        <w:tc>
          <w:tcPr>
            <w:tcW w:w="832" w:type="pct"/>
            <w:tcBorders>
              <w:top w:val="nil"/>
              <w:left w:val="nil"/>
              <w:bottom w:val="single" w:sz="8" w:space="0" w:color="auto"/>
              <w:right w:val="single" w:sz="8" w:space="0" w:color="auto"/>
            </w:tcBorders>
            <w:shd w:val="clear" w:color="auto" w:fill="auto"/>
            <w:noWrap/>
            <w:vAlign w:val="center"/>
            <w:hideMark/>
          </w:tcPr>
          <w:p w14:paraId="1897ACF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$2,709,661 </w:t>
            </w:r>
          </w:p>
        </w:tc>
      </w:tr>
      <w:tr w:rsidR="00B97529" w:rsidRPr="002608B2" w14:paraId="7B2BEC5E"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5E50E1B"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w:t>
            </w:r>
          </w:p>
        </w:tc>
        <w:tc>
          <w:tcPr>
            <w:tcW w:w="1328" w:type="pct"/>
            <w:tcBorders>
              <w:top w:val="nil"/>
              <w:left w:val="nil"/>
              <w:bottom w:val="single" w:sz="8" w:space="0" w:color="auto"/>
              <w:right w:val="single" w:sz="8" w:space="0" w:color="auto"/>
            </w:tcBorders>
            <w:shd w:val="clear" w:color="auto" w:fill="auto"/>
            <w:noWrap/>
            <w:vAlign w:val="center"/>
            <w:hideMark/>
          </w:tcPr>
          <w:p w14:paraId="4F5AFBB9"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PIEDMONT</w:t>
            </w:r>
          </w:p>
        </w:tc>
        <w:tc>
          <w:tcPr>
            <w:tcW w:w="705" w:type="pct"/>
            <w:tcBorders>
              <w:top w:val="nil"/>
              <w:left w:val="nil"/>
              <w:bottom w:val="single" w:sz="8" w:space="0" w:color="auto"/>
              <w:right w:val="single" w:sz="8" w:space="0" w:color="auto"/>
            </w:tcBorders>
            <w:shd w:val="clear" w:color="auto" w:fill="auto"/>
            <w:noWrap/>
            <w:vAlign w:val="center"/>
            <w:hideMark/>
          </w:tcPr>
          <w:p w14:paraId="7077C0D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$37,038 </w:t>
            </w:r>
          </w:p>
        </w:tc>
        <w:tc>
          <w:tcPr>
            <w:tcW w:w="832" w:type="pct"/>
            <w:tcBorders>
              <w:top w:val="nil"/>
              <w:left w:val="nil"/>
              <w:bottom w:val="single" w:sz="8" w:space="0" w:color="auto"/>
              <w:right w:val="single" w:sz="8" w:space="0" w:color="auto"/>
            </w:tcBorders>
            <w:shd w:val="clear" w:color="auto" w:fill="auto"/>
            <w:noWrap/>
            <w:vAlign w:val="center"/>
            <w:hideMark/>
          </w:tcPr>
          <w:p w14:paraId="3D2E1A1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$744,554 </w:t>
            </w:r>
          </w:p>
        </w:tc>
        <w:tc>
          <w:tcPr>
            <w:tcW w:w="703" w:type="pct"/>
            <w:tcBorders>
              <w:top w:val="nil"/>
              <w:left w:val="nil"/>
              <w:bottom w:val="single" w:sz="8" w:space="0" w:color="auto"/>
              <w:right w:val="single" w:sz="8" w:space="0" w:color="auto"/>
            </w:tcBorders>
            <w:shd w:val="clear" w:color="auto" w:fill="auto"/>
            <w:noWrap/>
            <w:vAlign w:val="center"/>
            <w:hideMark/>
          </w:tcPr>
          <w:p w14:paraId="2CAC263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$3,791 </w:t>
            </w:r>
          </w:p>
        </w:tc>
        <w:tc>
          <w:tcPr>
            <w:tcW w:w="832" w:type="pct"/>
            <w:tcBorders>
              <w:top w:val="nil"/>
              <w:left w:val="nil"/>
              <w:bottom w:val="single" w:sz="8" w:space="0" w:color="auto"/>
              <w:right w:val="single" w:sz="8" w:space="0" w:color="auto"/>
            </w:tcBorders>
            <w:shd w:val="clear" w:color="auto" w:fill="auto"/>
            <w:noWrap/>
            <w:vAlign w:val="center"/>
            <w:hideMark/>
          </w:tcPr>
          <w:p w14:paraId="6342225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$740,763 </w:t>
            </w:r>
          </w:p>
        </w:tc>
      </w:tr>
      <w:tr w:rsidR="00B97529" w:rsidRPr="002608B2" w14:paraId="564686F5"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F17DC04"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4</w:t>
            </w:r>
          </w:p>
        </w:tc>
        <w:tc>
          <w:tcPr>
            <w:tcW w:w="1328" w:type="pct"/>
            <w:tcBorders>
              <w:top w:val="nil"/>
              <w:left w:val="nil"/>
              <w:bottom w:val="single" w:sz="8" w:space="0" w:color="auto"/>
              <w:right w:val="single" w:sz="8" w:space="0" w:color="auto"/>
            </w:tcBorders>
            <w:shd w:val="clear" w:color="auto" w:fill="auto"/>
            <w:noWrap/>
            <w:vAlign w:val="center"/>
            <w:hideMark/>
          </w:tcPr>
          <w:p w14:paraId="316067AF"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ALPINE COUNTY</w:t>
            </w:r>
          </w:p>
        </w:tc>
        <w:tc>
          <w:tcPr>
            <w:tcW w:w="705" w:type="pct"/>
            <w:tcBorders>
              <w:top w:val="nil"/>
              <w:left w:val="nil"/>
              <w:bottom w:val="single" w:sz="8" w:space="0" w:color="auto"/>
              <w:right w:val="single" w:sz="8" w:space="0" w:color="auto"/>
            </w:tcBorders>
            <w:shd w:val="clear" w:color="auto" w:fill="auto"/>
            <w:noWrap/>
            <w:vAlign w:val="center"/>
            <w:hideMark/>
          </w:tcPr>
          <w:p w14:paraId="5A76836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$2,835 </w:t>
            </w:r>
          </w:p>
        </w:tc>
        <w:tc>
          <w:tcPr>
            <w:tcW w:w="832" w:type="pct"/>
            <w:tcBorders>
              <w:top w:val="nil"/>
              <w:left w:val="nil"/>
              <w:bottom w:val="single" w:sz="8" w:space="0" w:color="auto"/>
              <w:right w:val="single" w:sz="8" w:space="0" w:color="auto"/>
            </w:tcBorders>
            <w:shd w:val="clear" w:color="auto" w:fill="auto"/>
            <w:noWrap/>
            <w:vAlign w:val="center"/>
            <w:hideMark/>
          </w:tcPr>
          <w:p w14:paraId="0F9D118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$21,193 </w:t>
            </w:r>
          </w:p>
        </w:tc>
        <w:tc>
          <w:tcPr>
            <w:tcW w:w="703" w:type="pct"/>
            <w:tcBorders>
              <w:top w:val="nil"/>
              <w:left w:val="nil"/>
              <w:bottom w:val="single" w:sz="8" w:space="0" w:color="auto"/>
              <w:right w:val="single" w:sz="8" w:space="0" w:color="auto"/>
            </w:tcBorders>
            <w:shd w:val="clear" w:color="auto" w:fill="auto"/>
            <w:noWrap/>
            <w:vAlign w:val="center"/>
            <w:hideMark/>
          </w:tcPr>
          <w:p w14:paraId="17B5C6C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$108 </w:t>
            </w:r>
          </w:p>
        </w:tc>
        <w:tc>
          <w:tcPr>
            <w:tcW w:w="832" w:type="pct"/>
            <w:tcBorders>
              <w:top w:val="nil"/>
              <w:left w:val="nil"/>
              <w:bottom w:val="single" w:sz="8" w:space="0" w:color="auto"/>
              <w:right w:val="single" w:sz="8" w:space="0" w:color="auto"/>
            </w:tcBorders>
            <w:shd w:val="clear" w:color="auto" w:fill="auto"/>
            <w:noWrap/>
            <w:vAlign w:val="center"/>
            <w:hideMark/>
          </w:tcPr>
          <w:p w14:paraId="3397814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$21,085 </w:t>
            </w:r>
          </w:p>
        </w:tc>
      </w:tr>
      <w:tr w:rsidR="00B97529" w:rsidRPr="002608B2" w14:paraId="65CA3EDF"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AB457DE"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w:t>
            </w:r>
          </w:p>
        </w:tc>
        <w:tc>
          <w:tcPr>
            <w:tcW w:w="1328" w:type="pct"/>
            <w:tcBorders>
              <w:top w:val="nil"/>
              <w:left w:val="nil"/>
              <w:bottom w:val="single" w:sz="8" w:space="0" w:color="auto"/>
              <w:right w:val="single" w:sz="8" w:space="0" w:color="auto"/>
            </w:tcBorders>
            <w:shd w:val="clear" w:color="auto" w:fill="auto"/>
            <w:noWrap/>
            <w:vAlign w:val="center"/>
            <w:hideMark/>
          </w:tcPr>
          <w:p w14:paraId="239BCAF3"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AMADOR CITY</w:t>
            </w:r>
          </w:p>
        </w:tc>
        <w:tc>
          <w:tcPr>
            <w:tcW w:w="705" w:type="pct"/>
            <w:tcBorders>
              <w:top w:val="nil"/>
              <w:left w:val="nil"/>
              <w:bottom w:val="single" w:sz="8" w:space="0" w:color="auto"/>
              <w:right w:val="single" w:sz="8" w:space="0" w:color="auto"/>
            </w:tcBorders>
            <w:shd w:val="clear" w:color="auto" w:fill="auto"/>
            <w:noWrap/>
            <w:vAlign w:val="center"/>
            <w:hideMark/>
          </w:tcPr>
          <w:p w14:paraId="2AC583F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$1,383 </w:t>
            </w:r>
          </w:p>
        </w:tc>
        <w:tc>
          <w:tcPr>
            <w:tcW w:w="832" w:type="pct"/>
            <w:tcBorders>
              <w:top w:val="nil"/>
              <w:left w:val="nil"/>
              <w:bottom w:val="single" w:sz="8" w:space="0" w:color="auto"/>
              <w:right w:val="single" w:sz="8" w:space="0" w:color="auto"/>
            </w:tcBorders>
            <w:shd w:val="clear" w:color="auto" w:fill="auto"/>
            <w:noWrap/>
            <w:vAlign w:val="center"/>
            <w:hideMark/>
          </w:tcPr>
          <w:p w14:paraId="7663D98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$51,480 </w:t>
            </w:r>
          </w:p>
        </w:tc>
        <w:tc>
          <w:tcPr>
            <w:tcW w:w="703" w:type="pct"/>
            <w:tcBorders>
              <w:top w:val="nil"/>
              <w:left w:val="nil"/>
              <w:bottom w:val="single" w:sz="8" w:space="0" w:color="auto"/>
              <w:right w:val="single" w:sz="8" w:space="0" w:color="auto"/>
            </w:tcBorders>
            <w:shd w:val="clear" w:color="auto" w:fill="auto"/>
            <w:noWrap/>
            <w:vAlign w:val="center"/>
            <w:hideMark/>
          </w:tcPr>
          <w:p w14:paraId="6F9D824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$262 </w:t>
            </w:r>
          </w:p>
        </w:tc>
        <w:tc>
          <w:tcPr>
            <w:tcW w:w="832" w:type="pct"/>
            <w:tcBorders>
              <w:top w:val="nil"/>
              <w:left w:val="nil"/>
              <w:bottom w:val="single" w:sz="8" w:space="0" w:color="auto"/>
              <w:right w:val="single" w:sz="8" w:space="0" w:color="auto"/>
            </w:tcBorders>
            <w:shd w:val="clear" w:color="auto" w:fill="auto"/>
            <w:noWrap/>
            <w:vAlign w:val="center"/>
            <w:hideMark/>
          </w:tcPr>
          <w:p w14:paraId="089C0DC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$51,218 </w:t>
            </w:r>
          </w:p>
        </w:tc>
      </w:tr>
      <w:tr w:rsidR="00B97529" w:rsidRPr="002608B2" w14:paraId="6C9BE9BB"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ADAE334"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w:t>
            </w:r>
          </w:p>
        </w:tc>
        <w:tc>
          <w:tcPr>
            <w:tcW w:w="1328" w:type="pct"/>
            <w:tcBorders>
              <w:top w:val="nil"/>
              <w:left w:val="nil"/>
              <w:bottom w:val="single" w:sz="8" w:space="0" w:color="auto"/>
              <w:right w:val="single" w:sz="8" w:space="0" w:color="auto"/>
            </w:tcBorders>
            <w:shd w:val="clear" w:color="auto" w:fill="auto"/>
            <w:noWrap/>
            <w:vAlign w:val="center"/>
            <w:hideMark/>
          </w:tcPr>
          <w:p w14:paraId="5A4B14D6"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AMADOR COUNTY</w:t>
            </w:r>
          </w:p>
        </w:tc>
        <w:tc>
          <w:tcPr>
            <w:tcW w:w="705" w:type="pct"/>
            <w:tcBorders>
              <w:top w:val="nil"/>
              <w:left w:val="nil"/>
              <w:bottom w:val="single" w:sz="8" w:space="0" w:color="auto"/>
              <w:right w:val="single" w:sz="8" w:space="0" w:color="auto"/>
            </w:tcBorders>
            <w:shd w:val="clear" w:color="auto" w:fill="auto"/>
            <w:noWrap/>
            <w:vAlign w:val="center"/>
            <w:hideMark/>
          </w:tcPr>
          <w:p w14:paraId="0D6B328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$136,849 </w:t>
            </w:r>
          </w:p>
        </w:tc>
        <w:tc>
          <w:tcPr>
            <w:tcW w:w="832" w:type="pct"/>
            <w:tcBorders>
              <w:top w:val="nil"/>
              <w:left w:val="nil"/>
              <w:bottom w:val="single" w:sz="8" w:space="0" w:color="auto"/>
              <w:right w:val="single" w:sz="8" w:space="0" w:color="auto"/>
            </w:tcBorders>
            <w:shd w:val="clear" w:color="auto" w:fill="auto"/>
            <w:noWrap/>
            <w:vAlign w:val="center"/>
            <w:hideMark/>
          </w:tcPr>
          <w:p w14:paraId="647D53C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$3,566,437 </w:t>
            </w:r>
          </w:p>
        </w:tc>
        <w:tc>
          <w:tcPr>
            <w:tcW w:w="703" w:type="pct"/>
            <w:tcBorders>
              <w:top w:val="nil"/>
              <w:left w:val="nil"/>
              <w:bottom w:val="single" w:sz="8" w:space="0" w:color="auto"/>
              <w:right w:val="single" w:sz="8" w:space="0" w:color="auto"/>
            </w:tcBorders>
            <w:shd w:val="clear" w:color="auto" w:fill="auto"/>
            <w:noWrap/>
            <w:vAlign w:val="center"/>
            <w:hideMark/>
          </w:tcPr>
          <w:p w14:paraId="37030B9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$18,157 </w:t>
            </w:r>
          </w:p>
        </w:tc>
        <w:tc>
          <w:tcPr>
            <w:tcW w:w="832" w:type="pct"/>
            <w:tcBorders>
              <w:top w:val="nil"/>
              <w:left w:val="nil"/>
              <w:bottom w:val="single" w:sz="8" w:space="0" w:color="auto"/>
              <w:right w:val="single" w:sz="8" w:space="0" w:color="auto"/>
            </w:tcBorders>
            <w:shd w:val="clear" w:color="auto" w:fill="auto"/>
            <w:noWrap/>
            <w:vAlign w:val="center"/>
            <w:hideMark/>
          </w:tcPr>
          <w:p w14:paraId="0AE0C96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$3,548,280 </w:t>
            </w:r>
          </w:p>
        </w:tc>
      </w:tr>
      <w:tr w:rsidR="00B97529" w:rsidRPr="002608B2" w14:paraId="1348D92B"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34629F4C"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w:t>
            </w:r>
          </w:p>
        </w:tc>
        <w:tc>
          <w:tcPr>
            <w:tcW w:w="1328" w:type="pct"/>
            <w:tcBorders>
              <w:top w:val="nil"/>
              <w:left w:val="nil"/>
              <w:bottom w:val="single" w:sz="8" w:space="0" w:color="auto"/>
              <w:right w:val="single" w:sz="8" w:space="0" w:color="auto"/>
            </w:tcBorders>
            <w:shd w:val="clear" w:color="auto" w:fill="auto"/>
            <w:noWrap/>
            <w:vAlign w:val="center"/>
            <w:hideMark/>
          </w:tcPr>
          <w:p w14:paraId="468603E5"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IONE</w:t>
            </w:r>
          </w:p>
        </w:tc>
        <w:tc>
          <w:tcPr>
            <w:tcW w:w="705" w:type="pct"/>
            <w:tcBorders>
              <w:top w:val="nil"/>
              <w:left w:val="nil"/>
              <w:bottom w:val="single" w:sz="8" w:space="0" w:color="auto"/>
              <w:right w:val="single" w:sz="8" w:space="0" w:color="auto"/>
            </w:tcBorders>
            <w:shd w:val="clear" w:color="auto" w:fill="auto"/>
            <w:noWrap/>
            <w:vAlign w:val="center"/>
            <w:hideMark/>
          </w:tcPr>
          <w:p w14:paraId="1E50478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$14,373 </w:t>
            </w:r>
          </w:p>
        </w:tc>
        <w:tc>
          <w:tcPr>
            <w:tcW w:w="832" w:type="pct"/>
            <w:tcBorders>
              <w:top w:val="nil"/>
              <w:left w:val="nil"/>
              <w:bottom w:val="single" w:sz="8" w:space="0" w:color="auto"/>
              <w:right w:val="single" w:sz="8" w:space="0" w:color="auto"/>
            </w:tcBorders>
            <w:shd w:val="clear" w:color="auto" w:fill="auto"/>
            <w:noWrap/>
            <w:vAlign w:val="center"/>
            <w:hideMark/>
          </w:tcPr>
          <w:p w14:paraId="08D3D52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$532,932 </w:t>
            </w:r>
          </w:p>
        </w:tc>
        <w:tc>
          <w:tcPr>
            <w:tcW w:w="703" w:type="pct"/>
            <w:tcBorders>
              <w:top w:val="nil"/>
              <w:left w:val="nil"/>
              <w:bottom w:val="single" w:sz="8" w:space="0" w:color="auto"/>
              <w:right w:val="single" w:sz="8" w:space="0" w:color="auto"/>
            </w:tcBorders>
            <w:shd w:val="clear" w:color="auto" w:fill="auto"/>
            <w:noWrap/>
            <w:vAlign w:val="center"/>
            <w:hideMark/>
          </w:tcPr>
          <w:p w14:paraId="41A47F2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$2,713 </w:t>
            </w:r>
          </w:p>
        </w:tc>
        <w:tc>
          <w:tcPr>
            <w:tcW w:w="832" w:type="pct"/>
            <w:tcBorders>
              <w:top w:val="nil"/>
              <w:left w:val="nil"/>
              <w:bottom w:val="single" w:sz="8" w:space="0" w:color="auto"/>
              <w:right w:val="single" w:sz="8" w:space="0" w:color="auto"/>
            </w:tcBorders>
            <w:shd w:val="clear" w:color="auto" w:fill="auto"/>
            <w:noWrap/>
            <w:vAlign w:val="center"/>
            <w:hideMark/>
          </w:tcPr>
          <w:p w14:paraId="5EAFA48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$530,219 </w:t>
            </w:r>
          </w:p>
        </w:tc>
      </w:tr>
      <w:tr w:rsidR="00B97529" w:rsidRPr="002608B2" w14:paraId="73DA9567"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CC00A94"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8</w:t>
            </w:r>
          </w:p>
        </w:tc>
        <w:tc>
          <w:tcPr>
            <w:tcW w:w="1328" w:type="pct"/>
            <w:tcBorders>
              <w:top w:val="nil"/>
              <w:left w:val="nil"/>
              <w:bottom w:val="single" w:sz="8" w:space="0" w:color="auto"/>
              <w:right w:val="single" w:sz="8" w:space="0" w:color="auto"/>
            </w:tcBorders>
            <w:shd w:val="clear" w:color="auto" w:fill="auto"/>
            <w:noWrap/>
            <w:vAlign w:val="center"/>
            <w:hideMark/>
          </w:tcPr>
          <w:p w14:paraId="1E62C64E"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JACKSON</w:t>
            </w:r>
          </w:p>
        </w:tc>
        <w:tc>
          <w:tcPr>
            <w:tcW w:w="705" w:type="pct"/>
            <w:tcBorders>
              <w:top w:val="nil"/>
              <w:left w:val="nil"/>
              <w:bottom w:val="single" w:sz="8" w:space="0" w:color="auto"/>
              <w:right w:val="single" w:sz="8" w:space="0" w:color="auto"/>
            </w:tcBorders>
            <w:shd w:val="clear" w:color="auto" w:fill="auto"/>
            <w:noWrap/>
            <w:vAlign w:val="center"/>
            <w:hideMark/>
          </w:tcPr>
          <w:p w14:paraId="4E5E5F9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$21,285 </w:t>
            </w:r>
          </w:p>
        </w:tc>
        <w:tc>
          <w:tcPr>
            <w:tcW w:w="832" w:type="pct"/>
            <w:tcBorders>
              <w:top w:val="nil"/>
              <w:left w:val="nil"/>
              <w:bottom w:val="single" w:sz="8" w:space="0" w:color="auto"/>
              <w:right w:val="single" w:sz="8" w:space="0" w:color="auto"/>
            </w:tcBorders>
            <w:shd w:val="clear" w:color="auto" w:fill="auto"/>
            <w:noWrap/>
            <w:vAlign w:val="center"/>
            <w:hideMark/>
          </w:tcPr>
          <w:p w14:paraId="1586527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$350,174 </w:t>
            </w:r>
          </w:p>
        </w:tc>
        <w:tc>
          <w:tcPr>
            <w:tcW w:w="703" w:type="pct"/>
            <w:tcBorders>
              <w:top w:val="nil"/>
              <w:left w:val="nil"/>
              <w:bottom w:val="single" w:sz="8" w:space="0" w:color="auto"/>
              <w:right w:val="single" w:sz="8" w:space="0" w:color="auto"/>
            </w:tcBorders>
            <w:shd w:val="clear" w:color="auto" w:fill="auto"/>
            <w:noWrap/>
            <w:vAlign w:val="center"/>
            <w:hideMark/>
          </w:tcPr>
          <w:p w14:paraId="5D15751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$1,783 </w:t>
            </w:r>
          </w:p>
        </w:tc>
        <w:tc>
          <w:tcPr>
            <w:tcW w:w="832" w:type="pct"/>
            <w:tcBorders>
              <w:top w:val="nil"/>
              <w:left w:val="nil"/>
              <w:bottom w:val="single" w:sz="8" w:space="0" w:color="auto"/>
              <w:right w:val="single" w:sz="8" w:space="0" w:color="auto"/>
            </w:tcBorders>
            <w:shd w:val="clear" w:color="auto" w:fill="auto"/>
            <w:noWrap/>
            <w:vAlign w:val="center"/>
            <w:hideMark/>
          </w:tcPr>
          <w:p w14:paraId="1B38F9F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$348,391 </w:t>
            </w:r>
          </w:p>
        </w:tc>
      </w:tr>
      <w:tr w:rsidR="00B97529" w:rsidRPr="002608B2" w14:paraId="00BF0EAF"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3A2895B"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9</w:t>
            </w:r>
          </w:p>
        </w:tc>
        <w:tc>
          <w:tcPr>
            <w:tcW w:w="1328" w:type="pct"/>
            <w:tcBorders>
              <w:top w:val="nil"/>
              <w:left w:val="nil"/>
              <w:bottom w:val="single" w:sz="8" w:space="0" w:color="auto"/>
              <w:right w:val="single" w:sz="8" w:space="0" w:color="auto"/>
            </w:tcBorders>
            <w:shd w:val="clear" w:color="auto" w:fill="auto"/>
            <w:noWrap/>
            <w:vAlign w:val="center"/>
            <w:hideMark/>
          </w:tcPr>
          <w:p w14:paraId="2D7C2221"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PLYMOUTH</w:t>
            </w:r>
          </w:p>
        </w:tc>
        <w:tc>
          <w:tcPr>
            <w:tcW w:w="705" w:type="pct"/>
            <w:tcBorders>
              <w:top w:val="nil"/>
              <w:left w:val="nil"/>
              <w:bottom w:val="single" w:sz="8" w:space="0" w:color="auto"/>
              <w:right w:val="single" w:sz="8" w:space="0" w:color="auto"/>
            </w:tcBorders>
            <w:shd w:val="clear" w:color="auto" w:fill="auto"/>
            <w:noWrap/>
            <w:vAlign w:val="center"/>
            <w:hideMark/>
          </w:tcPr>
          <w:p w14:paraId="0E361D1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$4,452 </w:t>
            </w:r>
          </w:p>
        </w:tc>
        <w:tc>
          <w:tcPr>
            <w:tcW w:w="832" w:type="pct"/>
            <w:tcBorders>
              <w:top w:val="nil"/>
              <w:left w:val="nil"/>
              <w:bottom w:val="single" w:sz="8" w:space="0" w:color="auto"/>
              <w:right w:val="single" w:sz="8" w:space="0" w:color="auto"/>
            </w:tcBorders>
            <w:shd w:val="clear" w:color="auto" w:fill="auto"/>
            <w:noWrap/>
            <w:vAlign w:val="center"/>
            <w:hideMark/>
          </w:tcPr>
          <w:p w14:paraId="4D05B6D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$228,149 </w:t>
            </w:r>
          </w:p>
        </w:tc>
        <w:tc>
          <w:tcPr>
            <w:tcW w:w="703" w:type="pct"/>
            <w:tcBorders>
              <w:top w:val="nil"/>
              <w:left w:val="nil"/>
              <w:bottom w:val="single" w:sz="8" w:space="0" w:color="auto"/>
              <w:right w:val="single" w:sz="8" w:space="0" w:color="auto"/>
            </w:tcBorders>
            <w:shd w:val="clear" w:color="auto" w:fill="auto"/>
            <w:noWrap/>
            <w:vAlign w:val="center"/>
            <w:hideMark/>
          </w:tcPr>
          <w:p w14:paraId="6F435F1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$1,162 </w:t>
            </w:r>
          </w:p>
        </w:tc>
        <w:tc>
          <w:tcPr>
            <w:tcW w:w="832" w:type="pct"/>
            <w:tcBorders>
              <w:top w:val="nil"/>
              <w:left w:val="nil"/>
              <w:bottom w:val="single" w:sz="8" w:space="0" w:color="auto"/>
              <w:right w:val="single" w:sz="8" w:space="0" w:color="auto"/>
            </w:tcBorders>
            <w:shd w:val="clear" w:color="auto" w:fill="auto"/>
            <w:noWrap/>
            <w:vAlign w:val="center"/>
            <w:hideMark/>
          </w:tcPr>
          <w:p w14:paraId="06A4F10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$226,987 </w:t>
            </w:r>
          </w:p>
        </w:tc>
      </w:tr>
      <w:tr w:rsidR="00B97529" w:rsidRPr="002608B2" w14:paraId="4514C140"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3CA2F617"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10</w:t>
            </w:r>
          </w:p>
        </w:tc>
        <w:tc>
          <w:tcPr>
            <w:tcW w:w="1328" w:type="pct"/>
            <w:tcBorders>
              <w:top w:val="nil"/>
              <w:left w:val="nil"/>
              <w:bottom w:val="single" w:sz="8" w:space="0" w:color="auto"/>
              <w:right w:val="single" w:sz="8" w:space="0" w:color="auto"/>
            </w:tcBorders>
            <w:shd w:val="clear" w:color="auto" w:fill="auto"/>
            <w:noWrap/>
            <w:vAlign w:val="center"/>
            <w:hideMark/>
          </w:tcPr>
          <w:p w14:paraId="52C791C5"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SUTTER CREEK</w:t>
            </w:r>
          </w:p>
        </w:tc>
        <w:tc>
          <w:tcPr>
            <w:tcW w:w="705" w:type="pct"/>
            <w:tcBorders>
              <w:top w:val="nil"/>
              <w:left w:val="nil"/>
              <w:bottom w:val="single" w:sz="8" w:space="0" w:color="auto"/>
              <w:right w:val="single" w:sz="8" w:space="0" w:color="auto"/>
            </w:tcBorders>
            <w:shd w:val="clear" w:color="auto" w:fill="auto"/>
            <w:noWrap/>
            <w:vAlign w:val="center"/>
            <w:hideMark/>
          </w:tcPr>
          <w:p w14:paraId="4D30077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$14,435 </w:t>
            </w:r>
          </w:p>
        </w:tc>
        <w:tc>
          <w:tcPr>
            <w:tcW w:w="832" w:type="pct"/>
            <w:tcBorders>
              <w:top w:val="nil"/>
              <w:left w:val="nil"/>
              <w:bottom w:val="single" w:sz="8" w:space="0" w:color="auto"/>
              <w:right w:val="single" w:sz="8" w:space="0" w:color="auto"/>
            </w:tcBorders>
            <w:shd w:val="clear" w:color="auto" w:fill="auto"/>
            <w:noWrap/>
            <w:vAlign w:val="center"/>
            <w:hideMark/>
          </w:tcPr>
          <w:p w14:paraId="469B0BF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$614,416 </w:t>
            </w:r>
          </w:p>
        </w:tc>
        <w:tc>
          <w:tcPr>
            <w:tcW w:w="703" w:type="pct"/>
            <w:tcBorders>
              <w:top w:val="nil"/>
              <w:left w:val="nil"/>
              <w:bottom w:val="single" w:sz="8" w:space="0" w:color="auto"/>
              <w:right w:val="single" w:sz="8" w:space="0" w:color="auto"/>
            </w:tcBorders>
            <w:shd w:val="clear" w:color="auto" w:fill="auto"/>
            <w:noWrap/>
            <w:vAlign w:val="center"/>
            <w:hideMark/>
          </w:tcPr>
          <w:p w14:paraId="4527C5B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$3,128 </w:t>
            </w:r>
          </w:p>
        </w:tc>
        <w:tc>
          <w:tcPr>
            <w:tcW w:w="832" w:type="pct"/>
            <w:tcBorders>
              <w:top w:val="nil"/>
              <w:left w:val="nil"/>
              <w:bottom w:val="single" w:sz="8" w:space="0" w:color="auto"/>
              <w:right w:val="single" w:sz="8" w:space="0" w:color="auto"/>
            </w:tcBorders>
            <w:shd w:val="clear" w:color="auto" w:fill="auto"/>
            <w:noWrap/>
            <w:vAlign w:val="center"/>
            <w:hideMark/>
          </w:tcPr>
          <w:p w14:paraId="21DA0C4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$611,288 </w:t>
            </w:r>
          </w:p>
        </w:tc>
      </w:tr>
      <w:tr w:rsidR="00B97529" w:rsidRPr="002608B2" w14:paraId="56C25F71"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8469176"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11</w:t>
            </w:r>
          </w:p>
        </w:tc>
        <w:tc>
          <w:tcPr>
            <w:tcW w:w="1328" w:type="pct"/>
            <w:tcBorders>
              <w:top w:val="nil"/>
              <w:left w:val="nil"/>
              <w:bottom w:val="single" w:sz="8" w:space="0" w:color="auto"/>
              <w:right w:val="single" w:sz="8" w:space="0" w:color="auto"/>
            </w:tcBorders>
            <w:shd w:val="clear" w:color="auto" w:fill="auto"/>
            <w:noWrap/>
            <w:vAlign w:val="center"/>
            <w:hideMark/>
          </w:tcPr>
          <w:p w14:paraId="56473435"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BIGGS</w:t>
            </w:r>
          </w:p>
        </w:tc>
        <w:tc>
          <w:tcPr>
            <w:tcW w:w="705" w:type="pct"/>
            <w:tcBorders>
              <w:top w:val="nil"/>
              <w:left w:val="nil"/>
              <w:bottom w:val="single" w:sz="8" w:space="0" w:color="auto"/>
              <w:right w:val="single" w:sz="8" w:space="0" w:color="auto"/>
            </w:tcBorders>
            <w:shd w:val="clear" w:color="auto" w:fill="auto"/>
            <w:noWrap/>
            <w:vAlign w:val="center"/>
            <w:hideMark/>
          </w:tcPr>
          <w:p w14:paraId="04AAB50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$214 </w:t>
            </w:r>
          </w:p>
        </w:tc>
        <w:tc>
          <w:tcPr>
            <w:tcW w:w="832" w:type="pct"/>
            <w:tcBorders>
              <w:top w:val="nil"/>
              <w:left w:val="nil"/>
              <w:bottom w:val="single" w:sz="8" w:space="0" w:color="auto"/>
              <w:right w:val="single" w:sz="8" w:space="0" w:color="auto"/>
            </w:tcBorders>
            <w:shd w:val="clear" w:color="auto" w:fill="auto"/>
            <w:noWrap/>
            <w:vAlign w:val="center"/>
            <w:hideMark/>
          </w:tcPr>
          <w:p w14:paraId="23EF132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$14,712 </w:t>
            </w:r>
          </w:p>
        </w:tc>
        <w:tc>
          <w:tcPr>
            <w:tcW w:w="703" w:type="pct"/>
            <w:tcBorders>
              <w:top w:val="nil"/>
              <w:left w:val="nil"/>
              <w:bottom w:val="single" w:sz="8" w:space="0" w:color="auto"/>
              <w:right w:val="single" w:sz="8" w:space="0" w:color="auto"/>
            </w:tcBorders>
            <w:shd w:val="clear" w:color="auto" w:fill="auto"/>
            <w:noWrap/>
            <w:vAlign w:val="center"/>
            <w:hideMark/>
          </w:tcPr>
          <w:p w14:paraId="25BF6C1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$75 </w:t>
            </w:r>
          </w:p>
        </w:tc>
        <w:tc>
          <w:tcPr>
            <w:tcW w:w="832" w:type="pct"/>
            <w:tcBorders>
              <w:top w:val="nil"/>
              <w:left w:val="nil"/>
              <w:bottom w:val="single" w:sz="8" w:space="0" w:color="auto"/>
              <w:right w:val="single" w:sz="8" w:space="0" w:color="auto"/>
            </w:tcBorders>
            <w:shd w:val="clear" w:color="auto" w:fill="auto"/>
            <w:noWrap/>
            <w:vAlign w:val="center"/>
            <w:hideMark/>
          </w:tcPr>
          <w:p w14:paraId="3BA2271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$14,637 </w:t>
            </w:r>
          </w:p>
        </w:tc>
      </w:tr>
      <w:tr w:rsidR="00B97529" w:rsidRPr="002608B2" w14:paraId="7FD015A9"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9D453D4"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12</w:t>
            </w:r>
          </w:p>
        </w:tc>
        <w:tc>
          <w:tcPr>
            <w:tcW w:w="1328" w:type="pct"/>
            <w:tcBorders>
              <w:top w:val="nil"/>
              <w:left w:val="nil"/>
              <w:bottom w:val="single" w:sz="8" w:space="0" w:color="auto"/>
              <w:right w:val="single" w:sz="8" w:space="0" w:color="auto"/>
            </w:tcBorders>
            <w:shd w:val="clear" w:color="auto" w:fill="auto"/>
            <w:noWrap/>
            <w:vAlign w:val="center"/>
            <w:hideMark/>
          </w:tcPr>
          <w:p w14:paraId="61A0EDCA"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WILLIAMS</w:t>
            </w:r>
          </w:p>
        </w:tc>
        <w:tc>
          <w:tcPr>
            <w:tcW w:w="705" w:type="pct"/>
            <w:tcBorders>
              <w:top w:val="nil"/>
              <w:left w:val="nil"/>
              <w:bottom w:val="single" w:sz="8" w:space="0" w:color="auto"/>
              <w:right w:val="single" w:sz="8" w:space="0" w:color="auto"/>
            </w:tcBorders>
            <w:shd w:val="clear" w:color="auto" w:fill="auto"/>
            <w:noWrap/>
            <w:vAlign w:val="center"/>
            <w:hideMark/>
          </w:tcPr>
          <w:p w14:paraId="75CF4F4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$13,954 </w:t>
            </w:r>
          </w:p>
        </w:tc>
        <w:tc>
          <w:tcPr>
            <w:tcW w:w="832" w:type="pct"/>
            <w:tcBorders>
              <w:top w:val="nil"/>
              <w:left w:val="nil"/>
              <w:bottom w:val="single" w:sz="8" w:space="0" w:color="auto"/>
              <w:right w:val="single" w:sz="8" w:space="0" w:color="auto"/>
            </w:tcBorders>
            <w:shd w:val="clear" w:color="auto" w:fill="auto"/>
            <w:noWrap/>
            <w:vAlign w:val="center"/>
            <w:hideMark/>
          </w:tcPr>
          <w:p w14:paraId="2D220C8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$512,743 </w:t>
            </w:r>
          </w:p>
        </w:tc>
        <w:tc>
          <w:tcPr>
            <w:tcW w:w="703" w:type="pct"/>
            <w:tcBorders>
              <w:top w:val="nil"/>
              <w:left w:val="nil"/>
              <w:bottom w:val="single" w:sz="8" w:space="0" w:color="auto"/>
              <w:right w:val="single" w:sz="8" w:space="0" w:color="auto"/>
            </w:tcBorders>
            <w:shd w:val="clear" w:color="auto" w:fill="auto"/>
            <w:noWrap/>
            <w:vAlign w:val="center"/>
            <w:hideMark/>
          </w:tcPr>
          <w:p w14:paraId="0E482D1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$2,610 </w:t>
            </w:r>
          </w:p>
        </w:tc>
        <w:tc>
          <w:tcPr>
            <w:tcW w:w="832" w:type="pct"/>
            <w:tcBorders>
              <w:top w:val="nil"/>
              <w:left w:val="nil"/>
              <w:bottom w:val="single" w:sz="8" w:space="0" w:color="auto"/>
              <w:right w:val="single" w:sz="8" w:space="0" w:color="auto"/>
            </w:tcBorders>
            <w:shd w:val="clear" w:color="auto" w:fill="auto"/>
            <w:noWrap/>
            <w:vAlign w:val="center"/>
            <w:hideMark/>
          </w:tcPr>
          <w:p w14:paraId="01F71AE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$510,133 </w:t>
            </w:r>
          </w:p>
        </w:tc>
      </w:tr>
      <w:tr w:rsidR="00B97529" w:rsidRPr="002608B2" w14:paraId="65AC63CF"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CDBFD5D"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13</w:t>
            </w:r>
          </w:p>
        </w:tc>
        <w:tc>
          <w:tcPr>
            <w:tcW w:w="1328" w:type="pct"/>
            <w:tcBorders>
              <w:top w:val="nil"/>
              <w:left w:val="nil"/>
              <w:bottom w:val="single" w:sz="8" w:space="0" w:color="auto"/>
              <w:right w:val="single" w:sz="8" w:space="0" w:color="auto"/>
            </w:tcBorders>
            <w:shd w:val="clear" w:color="auto" w:fill="auto"/>
            <w:noWrap/>
            <w:vAlign w:val="center"/>
            <w:hideMark/>
          </w:tcPr>
          <w:p w14:paraId="4E93CB33"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CLAYTON</w:t>
            </w:r>
          </w:p>
        </w:tc>
        <w:tc>
          <w:tcPr>
            <w:tcW w:w="705" w:type="pct"/>
            <w:tcBorders>
              <w:top w:val="nil"/>
              <w:left w:val="nil"/>
              <w:bottom w:val="single" w:sz="8" w:space="0" w:color="auto"/>
              <w:right w:val="single" w:sz="8" w:space="0" w:color="auto"/>
            </w:tcBorders>
            <w:shd w:val="clear" w:color="auto" w:fill="auto"/>
            <w:noWrap/>
            <w:vAlign w:val="center"/>
            <w:hideMark/>
          </w:tcPr>
          <w:p w14:paraId="16E74B7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$20,588 </w:t>
            </w:r>
          </w:p>
        </w:tc>
        <w:tc>
          <w:tcPr>
            <w:tcW w:w="832" w:type="pct"/>
            <w:tcBorders>
              <w:top w:val="nil"/>
              <w:left w:val="nil"/>
              <w:bottom w:val="single" w:sz="8" w:space="0" w:color="auto"/>
              <w:right w:val="single" w:sz="8" w:space="0" w:color="auto"/>
            </w:tcBorders>
            <w:shd w:val="clear" w:color="auto" w:fill="auto"/>
            <w:noWrap/>
            <w:vAlign w:val="center"/>
            <w:hideMark/>
          </w:tcPr>
          <w:p w14:paraId="4246788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$361,440 </w:t>
            </w:r>
          </w:p>
        </w:tc>
        <w:tc>
          <w:tcPr>
            <w:tcW w:w="703" w:type="pct"/>
            <w:tcBorders>
              <w:top w:val="nil"/>
              <w:left w:val="nil"/>
              <w:bottom w:val="single" w:sz="8" w:space="0" w:color="auto"/>
              <w:right w:val="single" w:sz="8" w:space="0" w:color="auto"/>
            </w:tcBorders>
            <w:shd w:val="clear" w:color="auto" w:fill="auto"/>
            <w:noWrap/>
            <w:vAlign w:val="center"/>
            <w:hideMark/>
          </w:tcPr>
          <w:p w14:paraId="2489E52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$1,840 </w:t>
            </w:r>
          </w:p>
        </w:tc>
        <w:tc>
          <w:tcPr>
            <w:tcW w:w="832" w:type="pct"/>
            <w:tcBorders>
              <w:top w:val="nil"/>
              <w:left w:val="nil"/>
              <w:bottom w:val="single" w:sz="8" w:space="0" w:color="auto"/>
              <w:right w:val="single" w:sz="8" w:space="0" w:color="auto"/>
            </w:tcBorders>
            <w:shd w:val="clear" w:color="auto" w:fill="auto"/>
            <w:noWrap/>
            <w:vAlign w:val="center"/>
            <w:hideMark/>
          </w:tcPr>
          <w:p w14:paraId="5927C48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$359,600 </w:t>
            </w:r>
          </w:p>
        </w:tc>
      </w:tr>
      <w:tr w:rsidR="00B97529" w:rsidRPr="002608B2" w14:paraId="44F7ED79"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17DEF71"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14</w:t>
            </w:r>
          </w:p>
        </w:tc>
        <w:tc>
          <w:tcPr>
            <w:tcW w:w="1328" w:type="pct"/>
            <w:tcBorders>
              <w:top w:val="nil"/>
              <w:left w:val="nil"/>
              <w:bottom w:val="single" w:sz="8" w:space="0" w:color="auto"/>
              <w:right w:val="single" w:sz="8" w:space="0" w:color="auto"/>
            </w:tcBorders>
            <w:shd w:val="clear" w:color="auto" w:fill="auto"/>
            <w:noWrap/>
            <w:vAlign w:val="center"/>
            <w:hideMark/>
          </w:tcPr>
          <w:p w14:paraId="77578376"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EL CERRITO</w:t>
            </w:r>
          </w:p>
        </w:tc>
        <w:tc>
          <w:tcPr>
            <w:tcW w:w="705" w:type="pct"/>
            <w:tcBorders>
              <w:top w:val="nil"/>
              <w:left w:val="nil"/>
              <w:bottom w:val="single" w:sz="8" w:space="0" w:color="auto"/>
              <w:right w:val="single" w:sz="8" w:space="0" w:color="auto"/>
            </w:tcBorders>
            <w:shd w:val="clear" w:color="auto" w:fill="auto"/>
            <w:noWrap/>
            <w:vAlign w:val="center"/>
            <w:hideMark/>
          </w:tcPr>
          <w:p w14:paraId="735B35A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$115,671 </w:t>
            </w:r>
          </w:p>
        </w:tc>
        <w:tc>
          <w:tcPr>
            <w:tcW w:w="832" w:type="pct"/>
            <w:tcBorders>
              <w:top w:val="nil"/>
              <w:left w:val="nil"/>
              <w:bottom w:val="single" w:sz="8" w:space="0" w:color="auto"/>
              <w:right w:val="single" w:sz="8" w:space="0" w:color="auto"/>
            </w:tcBorders>
            <w:shd w:val="clear" w:color="auto" w:fill="auto"/>
            <w:noWrap/>
            <w:vAlign w:val="center"/>
            <w:hideMark/>
          </w:tcPr>
          <w:p w14:paraId="0D266E8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$2,620,596 </w:t>
            </w:r>
          </w:p>
        </w:tc>
        <w:tc>
          <w:tcPr>
            <w:tcW w:w="703" w:type="pct"/>
            <w:tcBorders>
              <w:top w:val="nil"/>
              <w:left w:val="nil"/>
              <w:bottom w:val="single" w:sz="8" w:space="0" w:color="auto"/>
              <w:right w:val="single" w:sz="8" w:space="0" w:color="auto"/>
            </w:tcBorders>
            <w:shd w:val="clear" w:color="auto" w:fill="auto"/>
            <w:noWrap/>
            <w:vAlign w:val="center"/>
            <w:hideMark/>
          </w:tcPr>
          <w:p w14:paraId="166B450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$13,342 </w:t>
            </w:r>
          </w:p>
        </w:tc>
        <w:tc>
          <w:tcPr>
            <w:tcW w:w="832" w:type="pct"/>
            <w:tcBorders>
              <w:top w:val="nil"/>
              <w:left w:val="nil"/>
              <w:bottom w:val="single" w:sz="8" w:space="0" w:color="auto"/>
              <w:right w:val="single" w:sz="8" w:space="0" w:color="auto"/>
            </w:tcBorders>
            <w:shd w:val="clear" w:color="auto" w:fill="auto"/>
            <w:noWrap/>
            <w:vAlign w:val="center"/>
            <w:hideMark/>
          </w:tcPr>
          <w:p w14:paraId="2C43ED6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$2,607,254 </w:t>
            </w:r>
          </w:p>
        </w:tc>
      </w:tr>
      <w:tr w:rsidR="00B97529" w:rsidRPr="002608B2" w14:paraId="37805119"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65E1F5C"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lastRenderedPageBreak/>
              <w:t>15</w:t>
            </w:r>
          </w:p>
        </w:tc>
        <w:tc>
          <w:tcPr>
            <w:tcW w:w="1328" w:type="pct"/>
            <w:tcBorders>
              <w:top w:val="nil"/>
              <w:left w:val="nil"/>
              <w:bottom w:val="single" w:sz="8" w:space="0" w:color="auto"/>
              <w:right w:val="single" w:sz="8" w:space="0" w:color="auto"/>
            </w:tcBorders>
            <w:shd w:val="clear" w:color="auto" w:fill="auto"/>
            <w:noWrap/>
            <w:vAlign w:val="center"/>
            <w:hideMark/>
          </w:tcPr>
          <w:p w14:paraId="13E5F58D"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HERCULES</w:t>
            </w:r>
          </w:p>
        </w:tc>
        <w:tc>
          <w:tcPr>
            <w:tcW w:w="705" w:type="pct"/>
            <w:tcBorders>
              <w:top w:val="nil"/>
              <w:left w:val="nil"/>
              <w:bottom w:val="single" w:sz="8" w:space="0" w:color="auto"/>
              <w:right w:val="single" w:sz="8" w:space="0" w:color="auto"/>
            </w:tcBorders>
            <w:shd w:val="clear" w:color="auto" w:fill="auto"/>
            <w:noWrap/>
            <w:vAlign w:val="center"/>
            <w:hideMark/>
          </w:tcPr>
          <w:p w14:paraId="7809CFB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$35,749 </w:t>
            </w:r>
          </w:p>
        </w:tc>
        <w:tc>
          <w:tcPr>
            <w:tcW w:w="832" w:type="pct"/>
            <w:tcBorders>
              <w:top w:val="nil"/>
              <w:left w:val="nil"/>
              <w:bottom w:val="single" w:sz="8" w:space="0" w:color="auto"/>
              <w:right w:val="single" w:sz="8" w:space="0" w:color="auto"/>
            </w:tcBorders>
            <w:shd w:val="clear" w:color="auto" w:fill="auto"/>
            <w:noWrap/>
            <w:vAlign w:val="center"/>
            <w:hideMark/>
          </w:tcPr>
          <w:p w14:paraId="2B72100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$1,110,275 </w:t>
            </w:r>
          </w:p>
        </w:tc>
        <w:tc>
          <w:tcPr>
            <w:tcW w:w="703" w:type="pct"/>
            <w:tcBorders>
              <w:top w:val="nil"/>
              <w:left w:val="nil"/>
              <w:bottom w:val="single" w:sz="8" w:space="0" w:color="auto"/>
              <w:right w:val="single" w:sz="8" w:space="0" w:color="auto"/>
            </w:tcBorders>
            <w:shd w:val="clear" w:color="auto" w:fill="auto"/>
            <w:noWrap/>
            <w:vAlign w:val="center"/>
            <w:hideMark/>
          </w:tcPr>
          <w:p w14:paraId="51DE665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$5,653 </w:t>
            </w:r>
          </w:p>
        </w:tc>
        <w:tc>
          <w:tcPr>
            <w:tcW w:w="832" w:type="pct"/>
            <w:tcBorders>
              <w:top w:val="nil"/>
              <w:left w:val="nil"/>
              <w:bottom w:val="single" w:sz="8" w:space="0" w:color="auto"/>
              <w:right w:val="single" w:sz="8" w:space="0" w:color="auto"/>
            </w:tcBorders>
            <w:shd w:val="clear" w:color="auto" w:fill="auto"/>
            <w:noWrap/>
            <w:vAlign w:val="center"/>
            <w:hideMark/>
          </w:tcPr>
          <w:p w14:paraId="5C07EF9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$1,104,622 </w:t>
            </w:r>
          </w:p>
        </w:tc>
      </w:tr>
      <w:tr w:rsidR="00B97529" w:rsidRPr="002608B2" w14:paraId="2157FECB"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0B3F79C"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16</w:t>
            </w:r>
          </w:p>
        </w:tc>
        <w:tc>
          <w:tcPr>
            <w:tcW w:w="1328" w:type="pct"/>
            <w:tcBorders>
              <w:top w:val="nil"/>
              <w:left w:val="nil"/>
              <w:bottom w:val="single" w:sz="8" w:space="0" w:color="auto"/>
              <w:right w:val="single" w:sz="8" w:space="0" w:color="auto"/>
            </w:tcBorders>
            <w:shd w:val="clear" w:color="auto" w:fill="auto"/>
            <w:noWrap/>
            <w:vAlign w:val="center"/>
            <w:hideMark/>
          </w:tcPr>
          <w:p w14:paraId="232EF91C"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OAKLEY</w:t>
            </w:r>
          </w:p>
        </w:tc>
        <w:tc>
          <w:tcPr>
            <w:tcW w:w="705" w:type="pct"/>
            <w:tcBorders>
              <w:top w:val="nil"/>
              <w:left w:val="nil"/>
              <w:bottom w:val="single" w:sz="8" w:space="0" w:color="auto"/>
              <w:right w:val="single" w:sz="8" w:space="0" w:color="auto"/>
            </w:tcBorders>
            <w:shd w:val="clear" w:color="auto" w:fill="auto"/>
            <w:noWrap/>
            <w:vAlign w:val="center"/>
            <w:hideMark/>
          </w:tcPr>
          <w:p w14:paraId="5C176E0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$67,844 </w:t>
            </w:r>
          </w:p>
        </w:tc>
        <w:tc>
          <w:tcPr>
            <w:tcW w:w="832" w:type="pct"/>
            <w:tcBorders>
              <w:top w:val="nil"/>
              <w:left w:val="nil"/>
              <w:bottom w:val="single" w:sz="8" w:space="0" w:color="auto"/>
              <w:right w:val="single" w:sz="8" w:space="0" w:color="auto"/>
            </w:tcBorders>
            <w:shd w:val="clear" w:color="auto" w:fill="auto"/>
            <w:noWrap/>
            <w:vAlign w:val="center"/>
            <w:hideMark/>
          </w:tcPr>
          <w:p w14:paraId="09E5E27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$994,932 </w:t>
            </w:r>
          </w:p>
        </w:tc>
        <w:tc>
          <w:tcPr>
            <w:tcW w:w="703" w:type="pct"/>
            <w:tcBorders>
              <w:top w:val="nil"/>
              <w:left w:val="nil"/>
              <w:bottom w:val="single" w:sz="8" w:space="0" w:color="auto"/>
              <w:right w:val="single" w:sz="8" w:space="0" w:color="auto"/>
            </w:tcBorders>
            <w:shd w:val="clear" w:color="auto" w:fill="auto"/>
            <w:noWrap/>
            <w:vAlign w:val="center"/>
            <w:hideMark/>
          </w:tcPr>
          <w:p w14:paraId="532E68E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$5,065 </w:t>
            </w:r>
          </w:p>
        </w:tc>
        <w:tc>
          <w:tcPr>
            <w:tcW w:w="832" w:type="pct"/>
            <w:tcBorders>
              <w:top w:val="nil"/>
              <w:left w:val="nil"/>
              <w:bottom w:val="single" w:sz="8" w:space="0" w:color="auto"/>
              <w:right w:val="single" w:sz="8" w:space="0" w:color="auto"/>
            </w:tcBorders>
            <w:shd w:val="clear" w:color="auto" w:fill="auto"/>
            <w:noWrap/>
            <w:vAlign w:val="center"/>
            <w:hideMark/>
          </w:tcPr>
          <w:p w14:paraId="367AD55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$989,867 </w:t>
            </w:r>
          </w:p>
        </w:tc>
      </w:tr>
      <w:tr w:rsidR="00B97529" w:rsidRPr="002608B2" w14:paraId="110DB84D"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7D67974"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17</w:t>
            </w:r>
          </w:p>
        </w:tc>
        <w:tc>
          <w:tcPr>
            <w:tcW w:w="1328" w:type="pct"/>
            <w:tcBorders>
              <w:top w:val="nil"/>
              <w:left w:val="nil"/>
              <w:bottom w:val="single" w:sz="8" w:space="0" w:color="auto"/>
              <w:right w:val="single" w:sz="8" w:space="0" w:color="auto"/>
            </w:tcBorders>
            <w:shd w:val="clear" w:color="auto" w:fill="auto"/>
            <w:noWrap/>
            <w:vAlign w:val="center"/>
            <w:hideMark/>
          </w:tcPr>
          <w:p w14:paraId="09FE2A77"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MENDOTA</w:t>
            </w:r>
          </w:p>
        </w:tc>
        <w:tc>
          <w:tcPr>
            <w:tcW w:w="705" w:type="pct"/>
            <w:tcBorders>
              <w:top w:val="nil"/>
              <w:left w:val="nil"/>
              <w:bottom w:val="single" w:sz="8" w:space="0" w:color="auto"/>
              <w:right w:val="single" w:sz="8" w:space="0" w:color="auto"/>
            </w:tcBorders>
            <w:shd w:val="clear" w:color="auto" w:fill="auto"/>
            <w:noWrap/>
            <w:vAlign w:val="center"/>
            <w:hideMark/>
          </w:tcPr>
          <w:p w14:paraId="76AFCA1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$20,531 </w:t>
            </w:r>
          </w:p>
        </w:tc>
        <w:tc>
          <w:tcPr>
            <w:tcW w:w="832" w:type="pct"/>
            <w:tcBorders>
              <w:top w:val="nil"/>
              <w:left w:val="nil"/>
              <w:bottom w:val="single" w:sz="8" w:space="0" w:color="auto"/>
              <w:right w:val="single" w:sz="8" w:space="0" w:color="auto"/>
            </w:tcBorders>
            <w:shd w:val="clear" w:color="auto" w:fill="auto"/>
            <w:noWrap/>
            <w:vAlign w:val="center"/>
            <w:hideMark/>
          </w:tcPr>
          <w:p w14:paraId="50E9547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$870,713 </w:t>
            </w:r>
          </w:p>
        </w:tc>
        <w:tc>
          <w:tcPr>
            <w:tcW w:w="703" w:type="pct"/>
            <w:tcBorders>
              <w:top w:val="nil"/>
              <w:left w:val="nil"/>
              <w:bottom w:val="single" w:sz="8" w:space="0" w:color="auto"/>
              <w:right w:val="single" w:sz="8" w:space="0" w:color="auto"/>
            </w:tcBorders>
            <w:shd w:val="clear" w:color="auto" w:fill="auto"/>
            <w:noWrap/>
            <w:vAlign w:val="center"/>
            <w:hideMark/>
          </w:tcPr>
          <w:p w14:paraId="225A070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$4,433 </w:t>
            </w:r>
          </w:p>
        </w:tc>
        <w:tc>
          <w:tcPr>
            <w:tcW w:w="832" w:type="pct"/>
            <w:tcBorders>
              <w:top w:val="nil"/>
              <w:left w:val="nil"/>
              <w:bottom w:val="single" w:sz="8" w:space="0" w:color="auto"/>
              <w:right w:val="single" w:sz="8" w:space="0" w:color="auto"/>
            </w:tcBorders>
            <w:shd w:val="clear" w:color="auto" w:fill="auto"/>
            <w:noWrap/>
            <w:vAlign w:val="center"/>
            <w:hideMark/>
          </w:tcPr>
          <w:p w14:paraId="72CBD74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$866,280 </w:t>
            </w:r>
          </w:p>
        </w:tc>
      </w:tr>
      <w:tr w:rsidR="00B97529" w:rsidRPr="002608B2" w14:paraId="21FD1B75"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66413CD"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18</w:t>
            </w:r>
          </w:p>
        </w:tc>
        <w:tc>
          <w:tcPr>
            <w:tcW w:w="1328" w:type="pct"/>
            <w:tcBorders>
              <w:top w:val="nil"/>
              <w:left w:val="nil"/>
              <w:bottom w:val="single" w:sz="8" w:space="0" w:color="auto"/>
              <w:right w:val="single" w:sz="8" w:space="0" w:color="auto"/>
            </w:tcBorders>
            <w:shd w:val="clear" w:color="auto" w:fill="auto"/>
            <w:noWrap/>
            <w:vAlign w:val="center"/>
            <w:hideMark/>
          </w:tcPr>
          <w:p w14:paraId="5858714B"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SAN JOAQUIN</w:t>
            </w:r>
          </w:p>
        </w:tc>
        <w:tc>
          <w:tcPr>
            <w:tcW w:w="705" w:type="pct"/>
            <w:tcBorders>
              <w:top w:val="nil"/>
              <w:left w:val="nil"/>
              <w:bottom w:val="single" w:sz="8" w:space="0" w:color="auto"/>
              <w:right w:val="single" w:sz="8" w:space="0" w:color="auto"/>
            </w:tcBorders>
            <w:shd w:val="clear" w:color="auto" w:fill="auto"/>
            <w:noWrap/>
            <w:vAlign w:val="center"/>
            <w:hideMark/>
          </w:tcPr>
          <w:p w14:paraId="53FF319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$7,584 </w:t>
            </w:r>
          </w:p>
        </w:tc>
        <w:tc>
          <w:tcPr>
            <w:tcW w:w="832" w:type="pct"/>
            <w:tcBorders>
              <w:top w:val="nil"/>
              <w:left w:val="nil"/>
              <w:bottom w:val="single" w:sz="8" w:space="0" w:color="auto"/>
              <w:right w:val="single" w:sz="8" w:space="0" w:color="auto"/>
            </w:tcBorders>
            <w:shd w:val="clear" w:color="auto" w:fill="auto"/>
            <w:noWrap/>
            <w:vAlign w:val="center"/>
            <w:hideMark/>
          </w:tcPr>
          <w:p w14:paraId="001D9A6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$372,811 </w:t>
            </w:r>
          </w:p>
        </w:tc>
        <w:tc>
          <w:tcPr>
            <w:tcW w:w="703" w:type="pct"/>
            <w:tcBorders>
              <w:top w:val="nil"/>
              <w:left w:val="nil"/>
              <w:bottom w:val="single" w:sz="8" w:space="0" w:color="auto"/>
              <w:right w:val="single" w:sz="8" w:space="0" w:color="auto"/>
            </w:tcBorders>
            <w:shd w:val="clear" w:color="auto" w:fill="auto"/>
            <w:noWrap/>
            <w:vAlign w:val="center"/>
            <w:hideMark/>
          </w:tcPr>
          <w:p w14:paraId="0AB8947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$1,898 </w:t>
            </w:r>
          </w:p>
        </w:tc>
        <w:tc>
          <w:tcPr>
            <w:tcW w:w="832" w:type="pct"/>
            <w:tcBorders>
              <w:top w:val="nil"/>
              <w:left w:val="nil"/>
              <w:bottom w:val="single" w:sz="8" w:space="0" w:color="auto"/>
              <w:right w:val="single" w:sz="8" w:space="0" w:color="auto"/>
            </w:tcBorders>
            <w:shd w:val="clear" w:color="auto" w:fill="auto"/>
            <w:noWrap/>
            <w:vAlign w:val="center"/>
            <w:hideMark/>
          </w:tcPr>
          <w:p w14:paraId="6624848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$370,913 </w:t>
            </w:r>
          </w:p>
        </w:tc>
      </w:tr>
      <w:tr w:rsidR="00B97529" w:rsidRPr="002608B2" w14:paraId="2C156D34"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06131BB1"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19</w:t>
            </w:r>
          </w:p>
        </w:tc>
        <w:tc>
          <w:tcPr>
            <w:tcW w:w="1328" w:type="pct"/>
            <w:tcBorders>
              <w:top w:val="nil"/>
              <w:left w:val="nil"/>
              <w:bottom w:val="single" w:sz="8" w:space="0" w:color="auto"/>
              <w:right w:val="single" w:sz="8" w:space="0" w:color="auto"/>
            </w:tcBorders>
            <w:shd w:val="clear" w:color="auto" w:fill="auto"/>
            <w:noWrap/>
            <w:vAlign w:val="center"/>
            <w:hideMark/>
          </w:tcPr>
          <w:p w14:paraId="261A1405"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GLENN COUNTY</w:t>
            </w:r>
          </w:p>
        </w:tc>
        <w:tc>
          <w:tcPr>
            <w:tcW w:w="705" w:type="pct"/>
            <w:tcBorders>
              <w:top w:val="nil"/>
              <w:left w:val="nil"/>
              <w:bottom w:val="single" w:sz="8" w:space="0" w:color="auto"/>
              <w:right w:val="single" w:sz="8" w:space="0" w:color="auto"/>
            </w:tcBorders>
            <w:shd w:val="clear" w:color="auto" w:fill="auto"/>
            <w:noWrap/>
            <w:vAlign w:val="center"/>
            <w:hideMark/>
          </w:tcPr>
          <w:p w14:paraId="517EB89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$96,439 </w:t>
            </w:r>
          </w:p>
        </w:tc>
        <w:tc>
          <w:tcPr>
            <w:tcW w:w="832" w:type="pct"/>
            <w:tcBorders>
              <w:top w:val="nil"/>
              <w:left w:val="nil"/>
              <w:bottom w:val="single" w:sz="8" w:space="0" w:color="auto"/>
              <w:right w:val="single" w:sz="8" w:space="0" w:color="auto"/>
            </w:tcBorders>
            <w:shd w:val="clear" w:color="auto" w:fill="auto"/>
            <w:noWrap/>
            <w:vAlign w:val="center"/>
            <w:hideMark/>
          </w:tcPr>
          <w:p w14:paraId="057B67B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$3,490,648 </w:t>
            </w:r>
          </w:p>
        </w:tc>
        <w:tc>
          <w:tcPr>
            <w:tcW w:w="703" w:type="pct"/>
            <w:tcBorders>
              <w:top w:val="nil"/>
              <w:left w:val="nil"/>
              <w:bottom w:val="single" w:sz="8" w:space="0" w:color="auto"/>
              <w:right w:val="single" w:sz="8" w:space="0" w:color="auto"/>
            </w:tcBorders>
            <w:shd w:val="clear" w:color="auto" w:fill="auto"/>
            <w:noWrap/>
            <w:vAlign w:val="center"/>
            <w:hideMark/>
          </w:tcPr>
          <w:p w14:paraId="6A46DDE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$17,772 </w:t>
            </w:r>
          </w:p>
        </w:tc>
        <w:tc>
          <w:tcPr>
            <w:tcW w:w="832" w:type="pct"/>
            <w:tcBorders>
              <w:top w:val="nil"/>
              <w:left w:val="nil"/>
              <w:bottom w:val="single" w:sz="8" w:space="0" w:color="auto"/>
              <w:right w:val="single" w:sz="8" w:space="0" w:color="auto"/>
            </w:tcBorders>
            <w:shd w:val="clear" w:color="auto" w:fill="auto"/>
            <w:noWrap/>
            <w:vAlign w:val="center"/>
            <w:hideMark/>
          </w:tcPr>
          <w:p w14:paraId="3BBBBB8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$3,472,876 </w:t>
            </w:r>
          </w:p>
        </w:tc>
      </w:tr>
      <w:tr w:rsidR="00B97529" w:rsidRPr="002608B2" w14:paraId="41CDD896"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D0B2AD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20</w:t>
            </w:r>
          </w:p>
        </w:tc>
        <w:tc>
          <w:tcPr>
            <w:tcW w:w="1328" w:type="pct"/>
            <w:tcBorders>
              <w:top w:val="nil"/>
              <w:left w:val="nil"/>
              <w:bottom w:val="single" w:sz="8" w:space="0" w:color="auto"/>
              <w:right w:val="single" w:sz="8" w:space="0" w:color="auto"/>
            </w:tcBorders>
            <w:shd w:val="clear" w:color="auto" w:fill="auto"/>
            <w:noWrap/>
            <w:vAlign w:val="center"/>
            <w:hideMark/>
          </w:tcPr>
          <w:p w14:paraId="4077A132"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WILLOWS</w:t>
            </w:r>
          </w:p>
        </w:tc>
        <w:tc>
          <w:tcPr>
            <w:tcW w:w="705" w:type="pct"/>
            <w:tcBorders>
              <w:top w:val="nil"/>
              <w:left w:val="nil"/>
              <w:bottom w:val="single" w:sz="8" w:space="0" w:color="auto"/>
              <w:right w:val="single" w:sz="8" w:space="0" w:color="auto"/>
            </w:tcBorders>
            <w:shd w:val="clear" w:color="auto" w:fill="auto"/>
            <w:noWrap/>
            <w:vAlign w:val="center"/>
            <w:hideMark/>
          </w:tcPr>
          <w:p w14:paraId="486FD74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$25,802 </w:t>
            </w:r>
          </w:p>
        </w:tc>
        <w:tc>
          <w:tcPr>
            <w:tcW w:w="832" w:type="pct"/>
            <w:tcBorders>
              <w:top w:val="nil"/>
              <w:left w:val="nil"/>
              <w:bottom w:val="single" w:sz="8" w:space="0" w:color="auto"/>
              <w:right w:val="single" w:sz="8" w:space="0" w:color="auto"/>
            </w:tcBorders>
            <w:shd w:val="clear" w:color="auto" w:fill="auto"/>
            <w:noWrap/>
            <w:vAlign w:val="center"/>
            <w:hideMark/>
          </w:tcPr>
          <w:p w14:paraId="05A1952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$812,994 </w:t>
            </w:r>
          </w:p>
        </w:tc>
        <w:tc>
          <w:tcPr>
            <w:tcW w:w="703" w:type="pct"/>
            <w:tcBorders>
              <w:top w:val="nil"/>
              <w:left w:val="nil"/>
              <w:bottom w:val="single" w:sz="8" w:space="0" w:color="auto"/>
              <w:right w:val="single" w:sz="8" w:space="0" w:color="auto"/>
            </w:tcBorders>
            <w:shd w:val="clear" w:color="auto" w:fill="auto"/>
            <w:noWrap/>
            <w:vAlign w:val="center"/>
            <w:hideMark/>
          </w:tcPr>
          <w:p w14:paraId="22E3F06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$4,139 </w:t>
            </w:r>
          </w:p>
        </w:tc>
        <w:tc>
          <w:tcPr>
            <w:tcW w:w="832" w:type="pct"/>
            <w:tcBorders>
              <w:top w:val="nil"/>
              <w:left w:val="nil"/>
              <w:bottom w:val="single" w:sz="8" w:space="0" w:color="auto"/>
              <w:right w:val="single" w:sz="8" w:space="0" w:color="auto"/>
            </w:tcBorders>
            <w:shd w:val="clear" w:color="auto" w:fill="auto"/>
            <w:noWrap/>
            <w:vAlign w:val="center"/>
            <w:hideMark/>
          </w:tcPr>
          <w:p w14:paraId="1D8992B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$808,855 </w:t>
            </w:r>
          </w:p>
        </w:tc>
      </w:tr>
      <w:tr w:rsidR="00B97529" w:rsidRPr="002608B2" w14:paraId="3065476C"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0FABA20"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21</w:t>
            </w:r>
          </w:p>
        </w:tc>
        <w:tc>
          <w:tcPr>
            <w:tcW w:w="1328" w:type="pct"/>
            <w:tcBorders>
              <w:top w:val="nil"/>
              <w:left w:val="nil"/>
              <w:bottom w:val="single" w:sz="8" w:space="0" w:color="auto"/>
              <w:right w:val="single" w:sz="8" w:space="0" w:color="auto"/>
            </w:tcBorders>
            <w:shd w:val="clear" w:color="auto" w:fill="auto"/>
            <w:noWrap/>
            <w:vAlign w:val="center"/>
            <w:hideMark/>
          </w:tcPr>
          <w:p w14:paraId="7DC329F9"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BLUE LAKE</w:t>
            </w:r>
          </w:p>
        </w:tc>
        <w:tc>
          <w:tcPr>
            <w:tcW w:w="705" w:type="pct"/>
            <w:tcBorders>
              <w:top w:val="nil"/>
              <w:left w:val="nil"/>
              <w:bottom w:val="single" w:sz="8" w:space="0" w:color="auto"/>
              <w:right w:val="single" w:sz="8" w:space="0" w:color="auto"/>
            </w:tcBorders>
            <w:shd w:val="clear" w:color="auto" w:fill="auto"/>
            <w:noWrap/>
            <w:vAlign w:val="center"/>
            <w:hideMark/>
          </w:tcPr>
          <w:p w14:paraId="432E392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$6,597 </w:t>
            </w:r>
          </w:p>
        </w:tc>
        <w:tc>
          <w:tcPr>
            <w:tcW w:w="832" w:type="pct"/>
            <w:tcBorders>
              <w:top w:val="nil"/>
              <w:left w:val="nil"/>
              <w:bottom w:val="single" w:sz="8" w:space="0" w:color="auto"/>
              <w:right w:val="single" w:sz="8" w:space="0" w:color="auto"/>
            </w:tcBorders>
            <w:shd w:val="clear" w:color="auto" w:fill="auto"/>
            <w:noWrap/>
            <w:vAlign w:val="center"/>
            <w:hideMark/>
          </w:tcPr>
          <w:p w14:paraId="5F54802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$368,357 </w:t>
            </w:r>
          </w:p>
        </w:tc>
        <w:tc>
          <w:tcPr>
            <w:tcW w:w="703" w:type="pct"/>
            <w:tcBorders>
              <w:top w:val="nil"/>
              <w:left w:val="nil"/>
              <w:bottom w:val="single" w:sz="8" w:space="0" w:color="auto"/>
              <w:right w:val="single" w:sz="8" w:space="0" w:color="auto"/>
            </w:tcBorders>
            <w:shd w:val="clear" w:color="auto" w:fill="auto"/>
            <w:noWrap/>
            <w:vAlign w:val="center"/>
            <w:hideMark/>
          </w:tcPr>
          <w:p w14:paraId="47C4A42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$1,875 </w:t>
            </w:r>
          </w:p>
        </w:tc>
        <w:tc>
          <w:tcPr>
            <w:tcW w:w="832" w:type="pct"/>
            <w:tcBorders>
              <w:top w:val="nil"/>
              <w:left w:val="nil"/>
              <w:bottom w:val="single" w:sz="8" w:space="0" w:color="auto"/>
              <w:right w:val="single" w:sz="8" w:space="0" w:color="auto"/>
            </w:tcBorders>
            <w:shd w:val="clear" w:color="auto" w:fill="auto"/>
            <w:noWrap/>
            <w:vAlign w:val="center"/>
            <w:hideMark/>
          </w:tcPr>
          <w:p w14:paraId="5DDADD3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$366,482 </w:t>
            </w:r>
          </w:p>
        </w:tc>
      </w:tr>
      <w:tr w:rsidR="00B97529" w:rsidRPr="002608B2" w14:paraId="43AC3FE7"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3871B5CE"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22</w:t>
            </w:r>
          </w:p>
        </w:tc>
        <w:tc>
          <w:tcPr>
            <w:tcW w:w="1328" w:type="pct"/>
            <w:tcBorders>
              <w:top w:val="nil"/>
              <w:left w:val="nil"/>
              <w:bottom w:val="single" w:sz="8" w:space="0" w:color="auto"/>
              <w:right w:val="single" w:sz="8" w:space="0" w:color="auto"/>
            </w:tcBorders>
            <w:shd w:val="clear" w:color="auto" w:fill="auto"/>
            <w:noWrap/>
            <w:vAlign w:val="center"/>
            <w:hideMark/>
          </w:tcPr>
          <w:p w14:paraId="7D5862D2"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RIO DELL</w:t>
            </w:r>
          </w:p>
        </w:tc>
        <w:tc>
          <w:tcPr>
            <w:tcW w:w="705" w:type="pct"/>
            <w:tcBorders>
              <w:top w:val="nil"/>
              <w:left w:val="nil"/>
              <w:bottom w:val="single" w:sz="8" w:space="0" w:color="auto"/>
              <w:right w:val="single" w:sz="8" w:space="0" w:color="auto"/>
            </w:tcBorders>
            <w:shd w:val="clear" w:color="auto" w:fill="auto"/>
            <w:noWrap/>
            <w:vAlign w:val="center"/>
            <w:hideMark/>
          </w:tcPr>
          <w:p w14:paraId="42D3FAF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$15,095 </w:t>
            </w:r>
          </w:p>
        </w:tc>
        <w:tc>
          <w:tcPr>
            <w:tcW w:w="832" w:type="pct"/>
            <w:tcBorders>
              <w:top w:val="nil"/>
              <w:left w:val="nil"/>
              <w:bottom w:val="single" w:sz="8" w:space="0" w:color="auto"/>
              <w:right w:val="single" w:sz="8" w:space="0" w:color="auto"/>
            </w:tcBorders>
            <w:shd w:val="clear" w:color="auto" w:fill="auto"/>
            <w:noWrap/>
            <w:vAlign w:val="center"/>
            <w:hideMark/>
          </w:tcPr>
          <w:p w14:paraId="594FA62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$457,358 </w:t>
            </w:r>
          </w:p>
        </w:tc>
        <w:tc>
          <w:tcPr>
            <w:tcW w:w="703" w:type="pct"/>
            <w:tcBorders>
              <w:top w:val="nil"/>
              <w:left w:val="nil"/>
              <w:bottom w:val="single" w:sz="8" w:space="0" w:color="auto"/>
              <w:right w:val="single" w:sz="8" w:space="0" w:color="auto"/>
            </w:tcBorders>
            <w:shd w:val="clear" w:color="auto" w:fill="auto"/>
            <w:noWrap/>
            <w:vAlign w:val="center"/>
            <w:hideMark/>
          </w:tcPr>
          <w:p w14:paraId="5FA5160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$2,328 </w:t>
            </w:r>
          </w:p>
        </w:tc>
        <w:tc>
          <w:tcPr>
            <w:tcW w:w="832" w:type="pct"/>
            <w:tcBorders>
              <w:top w:val="nil"/>
              <w:left w:val="nil"/>
              <w:bottom w:val="single" w:sz="8" w:space="0" w:color="auto"/>
              <w:right w:val="single" w:sz="8" w:space="0" w:color="auto"/>
            </w:tcBorders>
            <w:shd w:val="clear" w:color="auto" w:fill="auto"/>
            <w:noWrap/>
            <w:vAlign w:val="center"/>
            <w:hideMark/>
          </w:tcPr>
          <w:p w14:paraId="5B4A124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$455,030 </w:t>
            </w:r>
          </w:p>
        </w:tc>
      </w:tr>
      <w:tr w:rsidR="00B97529" w:rsidRPr="002608B2" w14:paraId="7366F4D0"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21C6266"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23</w:t>
            </w:r>
          </w:p>
        </w:tc>
        <w:tc>
          <w:tcPr>
            <w:tcW w:w="1328" w:type="pct"/>
            <w:tcBorders>
              <w:top w:val="nil"/>
              <w:left w:val="nil"/>
              <w:bottom w:val="single" w:sz="8" w:space="0" w:color="auto"/>
              <w:right w:val="single" w:sz="8" w:space="0" w:color="auto"/>
            </w:tcBorders>
            <w:shd w:val="clear" w:color="auto" w:fill="auto"/>
            <w:noWrap/>
            <w:vAlign w:val="center"/>
            <w:hideMark/>
          </w:tcPr>
          <w:p w14:paraId="55F7C8F5"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ARVIN</w:t>
            </w:r>
          </w:p>
        </w:tc>
        <w:tc>
          <w:tcPr>
            <w:tcW w:w="705" w:type="pct"/>
            <w:tcBorders>
              <w:top w:val="nil"/>
              <w:left w:val="nil"/>
              <w:bottom w:val="single" w:sz="8" w:space="0" w:color="auto"/>
              <w:right w:val="single" w:sz="8" w:space="0" w:color="auto"/>
            </w:tcBorders>
            <w:shd w:val="clear" w:color="auto" w:fill="auto"/>
            <w:noWrap/>
            <w:vAlign w:val="center"/>
            <w:hideMark/>
          </w:tcPr>
          <w:p w14:paraId="1DE53A0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$34,533 </w:t>
            </w:r>
          </w:p>
        </w:tc>
        <w:tc>
          <w:tcPr>
            <w:tcW w:w="832" w:type="pct"/>
            <w:tcBorders>
              <w:top w:val="nil"/>
              <w:left w:val="nil"/>
              <w:bottom w:val="single" w:sz="8" w:space="0" w:color="auto"/>
              <w:right w:val="single" w:sz="8" w:space="0" w:color="auto"/>
            </w:tcBorders>
            <w:shd w:val="clear" w:color="auto" w:fill="auto"/>
            <w:noWrap/>
            <w:vAlign w:val="center"/>
            <w:hideMark/>
          </w:tcPr>
          <w:p w14:paraId="7DF0861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$829,767 </w:t>
            </w:r>
          </w:p>
        </w:tc>
        <w:tc>
          <w:tcPr>
            <w:tcW w:w="703" w:type="pct"/>
            <w:tcBorders>
              <w:top w:val="nil"/>
              <w:left w:val="nil"/>
              <w:bottom w:val="single" w:sz="8" w:space="0" w:color="auto"/>
              <w:right w:val="single" w:sz="8" w:space="0" w:color="auto"/>
            </w:tcBorders>
            <w:shd w:val="clear" w:color="auto" w:fill="auto"/>
            <w:noWrap/>
            <w:vAlign w:val="center"/>
            <w:hideMark/>
          </w:tcPr>
          <w:p w14:paraId="0F5444B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$4,224 </w:t>
            </w:r>
          </w:p>
        </w:tc>
        <w:tc>
          <w:tcPr>
            <w:tcW w:w="832" w:type="pct"/>
            <w:tcBorders>
              <w:top w:val="nil"/>
              <w:left w:val="nil"/>
              <w:bottom w:val="single" w:sz="8" w:space="0" w:color="auto"/>
              <w:right w:val="single" w:sz="8" w:space="0" w:color="auto"/>
            </w:tcBorders>
            <w:shd w:val="clear" w:color="auto" w:fill="auto"/>
            <w:noWrap/>
            <w:vAlign w:val="center"/>
            <w:hideMark/>
          </w:tcPr>
          <w:p w14:paraId="2EDD1B2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$825,543 </w:t>
            </w:r>
          </w:p>
        </w:tc>
      </w:tr>
      <w:tr w:rsidR="00B97529" w:rsidRPr="002608B2" w14:paraId="4612D05A"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FCACD5E"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24</w:t>
            </w:r>
          </w:p>
        </w:tc>
        <w:tc>
          <w:tcPr>
            <w:tcW w:w="1328" w:type="pct"/>
            <w:tcBorders>
              <w:top w:val="nil"/>
              <w:left w:val="nil"/>
              <w:bottom w:val="single" w:sz="8" w:space="0" w:color="auto"/>
              <w:right w:val="single" w:sz="8" w:space="0" w:color="auto"/>
            </w:tcBorders>
            <w:shd w:val="clear" w:color="auto" w:fill="auto"/>
            <w:noWrap/>
            <w:vAlign w:val="center"/>
            <w:hideMark/>
          </w:tcPr>
          <w:p w14:paraId="32356817"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MARICOPA</w:t>
            </w:r>
          </w:p>
        </w:tc>
        <w:tc>
          <w:tcPr>
            <w:tcW w:w="705" w:type="pct"/>
            <w:tcBorders>
              <w:top w:val="nil"/>
              <w:left w:val="nil"/>
              <w:bottom w:val="single" w:sz="8" w:space="0" w:color="auto"/>
              <w:right w:val="single" w:sz="8" w:space="0" w:color="auto"/>
            </w:tcBorders>
            <w:shd w:val="clear" w:color="auto" w:fill="auto"/>
            <w:noWrap/>
            <w:vAlign w:val="center"/>
            <w:hideMark/>
          </w:tcPr>
          <w:p w14:paraId="45E7052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$5,612 </w:t>
            </w:r>
          </w:p>
        </w:tc>
        <w:tc>
          <w:tcPr>
            <w:tcW w:w="832" w:type="pct"/>
            <w:tcBorders>
              <w:top w:val="nil"/>
              <w:left w:val="nil"/>
              <w:bottom w:val="single" w:sz="8" w:space="0" w:color="auto"/>
              <w:right w:val="single" w:sz="8" w:space="0" w:color="auto"/>
            </w:tcBorders>
            <w:shd w:val="clear" w:color="auto" w:fill="auto"/>
            <w:noWrap/>
            <w:vAlign w:val="center"/>
            <w:hideMark/>
          </w:tcPr>
          <w:p w14:paraId="4ABCCDD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$322,349 </w:t>
            </w:r>
          </w:p>
        </w:tc>
        <w:tc>
          <w:tcPr>
            <w:tcW w:w="703" w:type="pct"/>
            <w:tcBorders>
              <w:top w:val="nil"/>
              <w:left w:val="nil"/>
              <w:bottom w:val="single" w:sz="8" w:space="0" w:color="auto"/>
              <w:right w:val="single" w:sz="8" w:space="0" w:color="auto"/>
            </w:tcBorders>
            <w:shd w:val="clear" w:color="auto" w:fill="auto"/>
            <w:noWrap/>
            <w:vAlign w:val="center"/>
            <w:hideMark/>
          </w:tcPr>
          <w:p w14:paraId="48312E1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$1,641 </w:t>
            </w:r>
          </w:p>
        </w:tc>
        <w:tc>
          <w:tcPr>
            <w:tcW w:w="832" w:type="pct"/>
            <w:tcBorders>
              <w:top w:val="nil"/>
              <w:left w:val="nil"/>
              <w:bottom w:val="single" w:sz="8" w:space="0" w:color="auto"/>
              <w:right w:val="single" w:sz="8" w:space="0" w:color="auto"/>
            </w:tcBorders>
            <w:shd w:val="clear" w:color="auto" w:fill="auto"/>
            <w:noWrap/>
            <w:vAlign w:val="center"/>
            <w:hideMark/>
          </w:tcPr>
          <w:p w14:paraId="21C2B7D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$320,708 </w:t>
            </w:r>
          </w:p>
        </w:tc>
      </w:tr>
      <w:tr w:rsidR="00B97529" w:rsidRPr="002608B2" w14:paraId="5F368C03"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ACFD71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25</w:t>
            </w:r>
          </w:p>
        </w:tc>
        <w:tc>
          <w:tcPr>
            <w:tcW w:w="1328" w:type="pct"/>
            <w:tcBorders>
              <w:top w:val="nil"/>
              <w:left w:val="nil"/>
              <w:bottom w:val="single" w:sz="8" w:space="0" w:color="auto"/>
              <w:right w:val="single" w:sz="8" w:space="0" w:color="auto"/>
            </w:tcBorders>
            <w:shd w:val="clear" w:color="auto" w:fill="auto"/>
            <w:noWrap/>
            <w:vAlign w:val="center"/>
            <w:hideMark/>
          </w:tcPr>
          <w:p w14:paraId="727BC214"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WASCO</w:t>
            </w:r>
          </w:p>
        </w:tc>
        <w:tc>
          <w:tcPr>
            <w:tcW w:w="705" w:type="pct"/>
            <w:tcBorders>
              <w:top w:val="nil"/>
              <w:left w:val="nil"/>
              <w:bottom w:val="single" w:sz="8" w:space="0" w:color="auto"/>
              <w:right w:val="single" w:sz="8" w:space="0" w:color="auto"/>
            </w:tcBorders>
            <w:shd w:val="clear" w:color="auto" w:fill="auto"/>
            <w:noWrap/>
            <w:vAlign w:val="center"/>
            <w:hideMark/>
          </w:tcPr>
          <w:p w14:paraId="10D17DF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$49,641 </w:t>
            </w:r>
          </w:p>
        </w:tc>
        <w:tc>
          <w:tcPr>
            <w:tcW w:w="832" w:type="pct"/>
            <w:tcBorders>
              <w:top w:val="nil"/>
              <w:left w:val="nil"/>
              <w:bottom w:val="single" w:sz="8" w:space="0" w:color="auto"/>
              <w:right w:val="single" w:sz="8" w:space="0" w:color="auto"/>
            </w:tcBorders>
            <w:shd w:val="clear" w:color="auto" w:fill="auto"/>
            <w:noWrap/>
            <w:vAlign w:val="center"/>
            <w:hideMark/>
          </w:tcPr>
          <w:p w14:paraId="4FDA3A9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$1,793,750 </w:t>
            </w:r>
          </w:p>
        </w:tc>
        <w:tc>
          <w:tcPr>
            <w:tcW w:w="703" w:type="pct"/>
            <w:tcBorders>
              <w:top w:val="nil"/>
              <w:left w:val="nil"/>
              <w:bottom w:val="single" w:sz="8" w:space="0" w:color="auto"/>
              <w:right w:val="single" w:sz="8" w:space="0" w:color="auto"/>
            </w:tcBorders>
            <w:shd w:val="clear" w:color="auto" w:fill="auto"/>
            <w:noWrap/>
            <w:vAlign w:val="center"/>
            <w:hideMark/>
          </w:tcPr>
          <w:p w14:paraId="0206356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$9,132 </w:t>
            </w:r>
          </w:p>
        </w:tc>
        <w:tc>
          <w:tcPr>
            <w:tcW w:w="832" w:type="pct"/>
            <w:tcBorders>
              <w:top w:val="nil"/>
              <w:left w:val="nil"/>
              <w:bottom w:val="single" w:sz="8" w:space="0" w:color="auto"/>
              <w:right w:val="single" w:sz="8" w:space="0" w:color="auto"/>
            </w:tcBorders>
            <w:shd w:val="clear" w:color="auto" w:fill="auto"/>
            <w:noWrap/>
            <w:vAlign w:val="center"/>
            <w:hideMark/>
          </w:tcPr>
          <w:p w14:paraId="433B910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$1,784,618 </w:t>
            </w:r>
          </w:p>
        </w:tc>
      </w:tr>
      <w:tr w:rsidR="00B97529" w:rsidRPr="002608B2" w14:paraId="2CA760E6"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AA625DB"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26</w:t>
            </w:r>
          </w:p>
        </w:tc>
        <w:tc>
          <w:tcPr>
            <w:tcW w:w="1328" w:type="pct"/>
            <w:tcBorders>
              <w:top w:val="nil"/>
              <w:left w:val="nil"/>
              <w:bottom w:val="single" w:sz="8" w:space="0" w:color="auto"/>
              <w:right w:val="single" w:sz="8" w:space="0" w:color="auto"/>
            </w:tcBorders>
            <w:shd w:val="clear" w:color="auto" w:fill="auto"/>
            <w:noWrap/>
            <w:vAlign w:val="center"/>
            <w:hideMark/>
          </w:tcPr>
          <w:p w14:paraId="6307296F"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AVENAL</w:t>
            </w:r>
          </w:p>
        </w:tc>
        <w:tc>
          <w:tcPr>
            <w:tcW w:w="705" w:type="pct"/>
            <w:tcBorders>
              <w:top w:val="nil"/>
              <w:left w:val="nil"/>
              <w:bottom w:val="single" w:sz="8" w:space="0" w:color="auto"/>
              <w:right w:val="single" w:sz="8" w:space="0" w:color="auto"/>
            </w:tcBorders>
            <w:shd w:val="clear" w:color="auto" w:fill="auto"/>
            <w:noWrap/>
            <w:vAlign w:val="center"/>
            <w:hideMark/>
          </w:tcPr>
          <w:p w14:paraId="24CD703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$23,582 </w:t>
            </w:r>
          </w:p>
        </w:tc>
        <w:tc>
          <w:tcPr>
            <w:tcW w:w="832" w:type="pct"/>
            <w:tcBorders>
              <w:top w:val="nil"/>
              <w:left w:val="nil"/>
              <w:bottom w:val="single" w:sz="8" w:space="0" w:color="auto"/>
              <w:right w:val="single" w:sz="8" w:space="0" w:color="auto"/>
            </w:tcBorders>
            <w:shd w:val="clear" w:color="auto" w:fill="auto"/>
            <w:noWrap/>
            <w:vAlign w:val="center"/>
            <w:hideMark/>
          </w:tcPr>
          <w:p w14:paraId="78571FE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$821,365 </w:t>
            </w:r>
          </w:p>
        </w:tc>
        <w:tc>
          <w:tcPr>
            <w:tcW w:w="703" w:type="pct"/>
            <w:tcBorders>
              <w:top w:val="nil"/>
              <w:left w:val="nil"/>
              <w:bottom w:val="single" w:sz="8" w:space="0" w:color="auto"/>
              <w:right w:val="single" w:sz="8" w:space="0" w:color="auto"/>
            </w:tcBorders>
            <w:shd w:val="clear" w:color="auto" w:fill="auto"/>
            <w:noWrap/>
            <w:vAlign w:val="center"/>
            <w:hideMark/>
          </w:tcPr>
          <w:p w14:paraId="4170FCE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$4,182 </w:t>
            </w:r>
          </w:p>
        </w:tc>
        <w:tc>
          <w:tcPr>
            <w:tcW w:w="832" w:type="pct"/>
            <w:tcBorders>
              <w:top w:val="nil"/>
              <w:left w:val="nil"/>
              <w:bottom w:val="single" w:sz="8" w:space="0" w:color="auto"/>
              <w:right w:val="single" w:sz="8" w:space="0" w:color="auto"/>
            </w:tcBorders>
            <w:shd w:val="clear" w:color="auto" w:fill="auto"/>
            <w:noWrap/>
            <w:vAlign w:val="center"/>
            <w:hideMark/>
          </w:tcPr>
          <w:p w14:paraId="26A1EA5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$817,183 </w:t>
            </w:r>
          </w:p>
        </w:tc>
      </w:tr>
      <w:tr w:rsidR="00B97529" w:rsidRPr="002608B2" w14:paraId="1F3520A9"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C3D1CDD"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27</w:t>
            </w:r>
          </w:p>
        </w:tc>
        <w:tc>
          <w:tcPr>
            <w:tcW w:w="1328" w:type="pct"/>
            <w:tcBorders>
              <w:top w:val="nil"/>
              <w:left w:val="nil"/>
              <w:bottom w:val="single" w:sz="8" w:space="0" w:color="auto"/>
              <w:right w:val="single" w:sz="8" w:space="0" w:color="auto"/>
            </w:tcBorders>
            <w:shd w:val="clear" w:color="auto" w:fill="auto"/>
            <w:noWrap/>
            <w:vAlign w:val="center"/>
            <w:hideMark/>
          </w:tcPr>
          <w:p w14:paraId="3F8924CD"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CORCORAN</w:t>
            </w:r>
          </w:p>
        </w:tc>
        <w:tc>
          <w:tcPr>
            <w:tcW w:w="705" w:type="pct"/>
            <w:tcBorders>
              <w:top w:val="nil"/>
              <w:left w:val="nil"/>
              <w:bottom w:val="single" w:sz="8" w:space="0" w:color="auto"/>
              <w:right w:val="single" w:sz="8" w:space="0" w:color="auto"/>
            </w:tcBorders>
            <w:shd w:val="clear" w:color="auto" w:fill="auto"/>
            <w:noWrap/>
            <w:vAlign w:val="center"/>
            <w:hideMark/>
          </w:tcPr>
          <w:p w14:paraId="0B55902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$38,880 </w:t>
            </w:r>
          </w:p>
        </w:tc>
        <w:tc>
          <w:tcPr>
            <w:tcW w:w="832" w:type="pct"/>
            <w:tcBorders>
              <w:top w:val="nil"/>
              <w:left w:val="nil"/>
              <w:bottom w:val="single" w:sz="8" w:space="0" w:color="auto"/>
              <w:right w:val="single" w:sz="8" w:space="0" w:color="auto"/>
            </w:tcBorders>
            <w:shd w:val="clear" w:color="auto" w:fill="auto"/>
            <w:noWrap/>
            <w:vAlign w:val="center"/>
            <w:hideMark/>
          </w:tcPr>
          <w:p w14:paraId="6C87430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$38,880 </w:t>
            </w:r>
          </w:p>
        </w:tc>
        <w:tc>
          <w:tcPr>
            <w:tcW w:w="703" w:type="pct"/>
            <w:tcBorders>
              <w:top w:val="nil"/>
              <w:left w:val="nil"/>
              <w:bottom w:val="single" w:sz="8" w:space="0" w:color="auto"/>
              <w:right w:val="single" w:sz="8" w:space="0" w:color="auto"/>
            </w:tcBorders>
            <w:shd w:val="clear" w:color="auto" w:fill="auto"/>
            <w:noWrap/>
            <w:vAlign w:val="center"/>
            <w:hideMark/>
          </w:tcPr>
          <w:p w14:paraId="1C22C20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$198 </w:t>
            </w:r>
          </w:p>
        </w:tc>
        <w:tc>
          <w:tcPr>
            <w:tcW w:w="832" w:type="pct"/>
            <w:tcBorders>
              <w:top w:val="nil"/>
              <w:left w:val="nil"/>
              <w:bottom w:val="single" w:sz="8" w:space="0" w:color="auto"/>
              <w:right w:val="single" w:sz="8" w:space="0" w:color="auto"/>
            </w:tcBorders>
            <w:shd w:val="clear" w:color="auto" w:fill="auto"/>
            <w:noWrap/>
            <w:vAlign w:val="center"/>
            <w:hideMark/>
          </w:tcPr>
          <w:p w14:paraId="7C7B3F3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$38,682 </w:t>
            </w:r>
          </w:p>
        </w:tc>
      </w:tr>
      <w:tr w:rsidR="00B97529" w:rsidRPr="002608B2" w14:paraId="5F9E8CAB"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432BAA7"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28</w:t>
            </w:r>
          </w:p>
        </w:tc>
        <w:tc>
          <w:tcPr>
            <w:tcW w:w="1328" w:type="pct"/>
            <w:tcBorders>
              <w:top w:val="nil"/>
              <w:left w:val="nil"/>
              <w:bottom w:val="single" w:sz="8" w:space="0" w:color="auto"/>
              <w:right w:val="single" w:sz="8" w:space="0" w:color="auto"/>
            </w:tcBorders>
            <w:shd w:val="clear" w:color="auto" w:fill="auto"/>
            <w:noWrap/>
            <w:vAlign w:val="center"/>
            <w:hideMark/>
          </w:tcPr>
          <w:p w14:paraId="392F688B"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LAKEPORT</w:t>
            </w:r>
          </w:p>
        </w:tc>
        <w:tc>
          <w:tcPr>
            <w:tcW w:w="705" w:type="pct"/>
            <w:tcBorders>
              <w:top w:val="nil"/>
              <w:left w:val="nil"/>
              <w:bottom w:val="single" w:sz="8" w:space="0" w:color="auto"/>
              <w:right w:val="single" w:sz="8" w:space="0" w:color="auto"/>
            </w:tcBorders>
            <w:shd w:val="clear" w:color="auto" w:fill="auto"/>
            <w:noWrap/>
            <w:vAlign w:val="center"/>
            <w:hideMark/>
          </w:tcPr>
          <w:p w14:paraId="6ACA681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$27,629 </w:t>
            </w:r>
          </w:p>
        </w:tc>
        <w:tc>
          <w:tcPr>
            <w:tcW w:w="832" w:type="pct"/>
            <w:tcBorders>
              <w:top w:val="nil"/>
              <w:left w:val="nil"/>
              <w:bottom w:val="single" w:sz="8" w:space="0" w:color="auto"/>
              <w:right w:val="single" w:sz="8" w:space="0" w:color="auto"/>
            </w:tcBorders>
            <w:shd w:val="clear" w:color="auto" w:fill="auto"/>
            <w:noWrap/>
            <w:vAlign w:val="center"/>
            <w:hideMark/>
          </w:tcPr>
          <w:p w14:paraId="72086B7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$987,645 </w:t>
            </w:r>
          </w:p>
        </w:tc>
        <w:tc>
          <w:tcPr>
            <w:tcW w:w="703" w:type="pct"/>
            <w:tcBorders>
              <w:top w:val="nil"/>
              <w:left w:val="nil"/>
              <w:bottom w:val="single" w:sz="8" w:space="0" w:color="auto"/>
              <w:right w:val="single" w:sz="8" w:space="0" w:color="auto"/>
            </w:tcBorders>
            <w:shd w:val="clear" w:color="auto" w:fill="auto"/>
            <w:noWrap/>
            <w:vAlign w:val="center"/>
            <w:hideMark/>
          </w:tcPr>
          <w:p w14:paraId="48105D2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$5,028 </w:t>
            </w:r>
          </w:p>
        </w:tc>
        <w:tc>
          <w:tcPr>
            <w:tcW w:w="832" w:type="pct"/>
            <w:tcBorders>
              <w:top w:val="nil"/>
              <w:left w:val="nil"/>
              <w:bottom w:val="single" w:sz="8" w:space="0" w:color="auto"/>
              <w:right w:val="single" w:sz="8" w:space="0" w:color="auto"/>
            </w:tcBorders>
            <w:shd w:val="clear" w:color="auto" w:fill="auto"/>
            <w:noWrap/>
            <w:vAlign w:val="center"/>
            <w:hideMark/>
          </w:tcPr>
          <w:p w14:paraId="36D334D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$982,617 </w:t>
            </w:r>
          </w:p>
        </w:tc>
      </w:tr>
      <w:tr w:rsidR="00B97529" w:rsidRPr="002608B2" w14:paraId="05D7FB4D"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0876C4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29</w:t>
            </w:r>
          </w:p>
        </w:tc>
        <w:tc>
          <w:tcPr>
            <w:tcW w:w="1328" w:type="pct"/>
            <w:tcBorders>
              <w:top w:val="nil"/>
              <w:left w:val="nil"/>
              <w:bottom w:val="single" w:sz="8" w:space="0" w:color="auto"/>
              <w:right w:val="single" w:sz="8" w:space="0" w:color="auto"/>
            </w:tcBorders>
            <w:shd w:val="clear" w:color="auto" w:fill="auto"/>
            <w:noWrap/>
            <w:vAlign w:val="center"/>
            <w:hideMark/>
          </w:tcPr>
          <w:p w14:paraId="46522980"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LASSEN COUNTY</w:t>
            </w:r>
          </w:p>
        </w:tc>
        <w:tc>
          <w:tcPr>
            <w:tcW w:w="705" w:type="pct"/>
            <w:tcBorders>
              <w:top w:val="nil"/>
              <w:left w:val="nil"/>
              <w:bottom w:val="single" w:sz="8" w:space="0" w:color="auto"/>
              <w:right w:val="single" w:sz="8" w:space="0" w:color="auto"/>
            </w:tcBorders>
            <w:shd w:val="clear" w:color="auto" w:fill="auto"/>
            <w:noWrap/>
            <w:vAlign w:val="center"/>
            <w:hideMark/>
          </w:tcPr>
          <w:p w14:paraId="590EEC7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$10,133 </w:t>
            </w:r>
          </w:p>
        </w:tc>
        <w:tc>
          <w:tcPr>
            <w:tcW w:w="832" w:type="pct"/>
            <w:tcBorders>
              <w:top w:val="nil"/>
              <w:left w:val="nil"/>
              <w:bottom w:val="single" w:sz="8" w:space="0" w:color="auto"/>
              <w:right w:val="single" w:sz="8" w:space="0" w:color="auto"/>
            </w:tcBorders>
            <w:shd w:val="clear" w:color="auto" w:fill="auto"/>
            <w:noWrap/>
            <w:vAlign w:val="center"/>
            <w:hideMark/>
          </w:tcPr>
          <w:p w14:paraId="2C9175D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$420,720 </w:t>
            </w:r>
          </w:p>
        </w:tc>
        <w:tc>
          <w:tcPr>
            <w:tcW w:w="703" w:type="pct"/>
            <w:tcBorders>
              <w:top w:val="nil"/>
              <w:left w:val="nil"/>
              <w:bottom w:val="single" w:sz="8" w:space="0" w:color="auto"/>
              <w:right w:val="single" w:sz="8" w:space="0" w:color="auto"/>
            </w:tcBorders>
            <w:shd w:val="clear" w:color="auto" w:fill="auto"/>
            <w:noWrap/>
            <w:vAlign w:val="center"/>
            <w:hideMark/>
          </w:tcPr>
          <w:p w14:paraId="63622A7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$2,142 </w:t>
            </w:r>
          </w:p>
        </w:tc>
        <w:tc>
          <w:tcPr>
            <w:tcW w:w="832" w:type="pct"/>
            <w:tcBorders>
              <w:top w:val="nil"/>
              <w:left w:val="nil"/>
              <w:bottom w:val="single" w:sz="8" w:space="0" w:color="auto"/>
              <w:right w:val="single" w:sz="8" w:space="0" w:color="auto"/>
            </w:tcBorders>
            <w:shd w:val="clear" w:color="auto" w:fill="auto"/>
            <w:noWrap/>
            <w:vAlign w:val="center"/>
            <w:hideMark/>
          </w:tcPr>
          <w:p w14:paraId="480513D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$418,578 </w:t>
            </w:r>
          </w:p>
        </w:tc>
      </w:tr>
      <w:tr w:rsidR="00B97529" w:rsidRPr="002608B2" w14:paraId="618C15EF"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9D06FAC"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30</w:t>
            </w:r>
          </w:p>
        </w:tc>
        <w:tc>
          <w:tcPr>
            <w:tcW w:w="1328" w:type="pct"/>
            <w:tcBorders>
              <w:top w:val="nil"/>
              <w:left w:val="nil"/>
              <w:bottom w:val="single" w:sz="8" w:space="0" w:color="auto"/>
              <w:right w:val="single" w:sz="8" w:space="0" w:color="auto"/>
            </w:tcBorders>
            <w:shd w:val="clear" w:color="auto" w:fill="auto"/>
            <w:noWrap/>
            <w:vAlign w:val="center"/>
            <w:hideMark/>
          </w:tcPr>
          <w:p w14:paraId="5C58E3E3"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CORTE MADERA</w:t>
            </w:r>
          </w:p>
        </w:tc>
        <w:tc>
          <w:tcPr>
            <w:tcW w:w="705" w:type="pct"/>
            <w:tcBorders>
              <w:top w:val="nil"/>
              <w:left w:val="nil"/>
              <w:bottom w:val="single" w:sz="8" w:space="0" w:color="auto"/>
              <w:right w:val="single" w:sz="8" w:space="0" w:color="auto"/>
            </w:tcBorders>
            <w:shd w:val="clear" w:color="auto" w:fill="auto"/>
            <w:noWrap/>
            <w:vAlign w:val="center"/>
            <w:hideMark/>
          </w:tcPr>
          <w:p w14:paraId="592B637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$40,728 </w:t>
            </w:r>
          </w:p>
        </w:tc>
        <w:tc>
          <w:tcPr>
            <w:tcW w:w="832" w:type="pct"/>
            <w:tcBorders>
              <w:top w:val="nil"/>
              <w:left w:val="nil"/>
              <w:bottom w:val="single" w:sz="8" w:space="0" w:color="auto"/>
              <w:right w:val="single" w:sz="8" w:space="0" w:color="auto"/>
            </w:tcBorders>
            <w:shd w:val="clear" w:color="auto" w:fill="auto"/>
            <w:noWrap/>
            <w:vAlign w:val="center"/>
            <w:hideMark/>
          </w:tcPr>
          <w:p w14:paraId="7093AA9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$266,744 </w:t>
            </w:r>
          </w:p>
        </w:tc>
        <w:tc>
          <w:tcPr>
            <w:tcW w:w="703" w:type="pct"/>
            <w:tcBorders>
              <w:top w:val="nil"/>
              <w:left w:val="nil"/>
              <w:bottom w:val="single" w:sz="8" w:space="0" w:color="auto"/>
              <w:right w:val="single" w:sz="8" w:space="0" w:color="auto"/>
            </w:tcBorders>
            <w:shd w:val="clear" w:color="auto" w:fill="auto"/>
            <w:noWrap/>
            <w:vAlign w:val="center"/>
            <w:hideMark/>
          </w:tcPr>
          <w:p w14:paraId="6C034A7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$1,358 </w:t>
            </w:r>
          </w:p>
        </w:tc>
        <w:tc>
          <w:tcPr>
            <w:tcW w:w="832" w:type="pct"/>
            <w:tcBorders>
              <w:top w:val="nil"/>
              <w:left w:val="nil"/>
              <w:bottom w:val="single" w:sz="8" w:space="0" w:color="auto"/>
              <w:right w:val="single" w:sz="8" w:space="0" w:color="auto"/>
            </w:tcBorders>
            <w:shd w:val="clear" w:color="auto" w:fill="auto"/>
            <w:noWrap/>
            <w:vAlign w:val="center"/>
            <w:hideMark/>
          </w:tcPr>
          <w:p w14:paraId="554C0C9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$265,386 </w:t>
            </w:r>
          </w:p>
        </w:tc>
      </w:tr>
      <w:tr w:rsidR="00B97529" w:rsidRPr="002608B2" w14:paraId="5457D31B"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6324F2F"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31</w:t>
            </w:r>
          </w:p>
        </w:tc>
        <w:tc>
          <w:tcPr>
            <w:tcW w:w="1328" w:type="pct"/>
            <w:tcBorders>
              <w:top w:val="nil"/>
              <w:left w:val="nil"/>
              <w:bottom w:val="single" w:sz="8" w:space="0" w:color="auto"/>
              <w:right w:val="single" w:sz="8" w:space="0" w:color="auto"/>
            </w:tcBorders>
            <w:shd w:val="clear" w:color="auto" w:fill="auto"/>
            <w:noWrap/>
            <w:vAlign w:val="center"/>
            <w:hideMark/>
          </w:tcPr>
          <w:p w14:paraId="6314A459"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FAIRFAX</w:t>
            </w:r>
          </w:p>
        </w:tc>
        <w:tc>
          <w:tcPr>
            <w:tcW w:w="705" w:type="pct"/>
            <w:tcBorders>
              <w:top w:val="nil"/>
              <w:left w:val="nil"/>
              <w:bottom w:val="single" w:sz="8" w:space="0" w:color="auto"/>
              <w:right w:val="single" w:sz="8" w:space="0" w:color="auto"/>
            </w:tcBorders>
            <w:shd w:val="clear" w:color="auto" w:fill="auto"/>
            <w:noWrap/>
            <w:vAlign w:val="center"/>
            <w:hideMark/>
          </w:tcPr>
          <w:p w14:paraId="29F1E83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$36,159 </w:t>
            </w:r>
          </w:p>
        </w:tc>
        <w:tc>
          <w:tcPr>
            <w:tcW w:w="832" w:type="pct"/>
            <w:tcBorders>
              <w:top w:val="nil"/>
              <w:left w:val="nil"/>
              <w:bottom w:val="single" w:sz="8" w:space="0" w:color="auto"/>
              <w:right w:val="single" w:sz="8" w:space="0" w:color="auto"/>
            </w:tcBorders>
            <w:shd w:val="clear" w:color="auto" w:fill="auto"/>
            <w:noWrap/>
            <w:vAlign w:val="center"/>
            <w:hideMark/>
          </w:tcPr>
          <w:p w14:paraId="40663F7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$647,360 </w:t>
            </w:r>
          </w:p>
        </w:tc>
        <w:tc>
          <w:tcPr>
            <w:tcW w:w="703" w:type="pct"/>
            <w:tcBorders>
              <w:top w:val="nil"/>
              <w:left w:val="nil"/>
              <w:bottom w:val="single" w:sz="8" w:space="0" w:color="auto"/>
              <w:right w:val="single" w:sz="8" w:space="0" w:color="auto"/>
            </w:tcBorders>
            <w:shd w:val="clear" w:color="auto" w:fill="auto"/>
            <w:noWrap/>
            <w:vAlign w:val="center"/>
            <w:hideMark/>
          </w:tcPr>
          <w:p w14:paraId="2D9D04D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$3,296 </w:t>
            </w:r>
          </w:p>
        </w:tc>
        <w:tc>
          <w:tcPr>
            <w:tcW w:w="832" w:type="pct"/>
            <w:tcBorders>
              <w:top w:val="nil"/>
              <w:left w:val="nil"/>
              <w:bottom w:val="single" w:sz="8" w:space="0" w:color="auto"/>
              <w:right w:val="single" w:sz="8" w:space="0" w:color="auto"/>
            </w:tcBorders>
            <w:shd w:val="clear" w:color="auto" w:fill="auto"/>
            <w:noWrap/>
            <w:vAlign w:val="center"/>
            <w:hideMark/>
          </w:tcPr>
          <w:p w14:paraId="7BCF21F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$644,064 </w:t>
            </w:r>
          </w:p>
        </w:tc>
      </w:tr>
      <w:tr w:rsidR="00B97529" w:rsidRPr="002608B2" w14:paraId="52EB0B98"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84A97BD"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32</w:t>
            </w:r>
          </w:p>
        </w:tc>
        <w:tc>
          <w:tcPr>
            <w:tcW w:w="1328" w:type="pct"/>
            <w:tcBorders>
              <w:top w:val="nil"/>
              <w:left w:val="nil"/>
              <w:bottom w:val="single" w:sz="8" w:space="0" w:color="auto"/>
              <w:right w:val="single" w:sz="8" w:space="0" w:color="auto"/>
            </w:tcBorders>
            <w:shd w:val="clear" w:color="auto" w:fill="auto"/>
            <w:noWrap/>
            <w:vAlign w:val="center"/>
            <w:hideMark/>
          </w:tcPr>
          <w:p w14:paraId="70ABFAD5"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ROSS</w:t>
            </w:r>
          </w:p>
        </w:tc>
        <w:tc>
          <w:tcPr>
            <w:tcW w:w="705" w:type="pct"/>
            <w:tcBorders>
              <w:top w:val="nil"/>
              <w:left w:val="nil"/>
              <w:bottom w:val="single" w:sz="8" w:space="0" w:color="auto"/>
              <w:right w:val="single" w:sz="8" w:space="0" w:color="auto"/>
            </w:tcBorders>
            <w:shd w:val="clear" w:color="auto" w:fill="auto"/>
            <w:noWrap/>
            <w:vAlign w:val="center"/>
            <w:hideMark/>
          </w:tcPr>
          <w:p w14:paraId="10C2C10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$9,811 </w:t>
            </w:r>
          </w:p>
        </w:tc>
        <w:tc>
          <w:tcPr>
            <w:tcW w:w="832" w:type="pct"/>
            <w:tcBorders>
              <w:top w:val="nil"/>
              <w:left w:val="nil"/>
              <w:bottom w:val="single" w:sz="8" w:space="0" w:color="auto"/>
              <w:right w:val="single" w:sz="8" w:space="0" w:color="auto"/>
            </w:tcBorders>
            <w:shd w:val="clear" w:color="auto" w:fill="auto"/>
            <w:noWrap/>
            <w:vAlign w:val="center"/>
            <w:hideMark/>
          </w:tcPr>
          <w:p w14:paraId="1A7408E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$260,441 </w:t>
            </w:r>
          </w:p>
        </w:tc>
        <w:tc>
          <w:tcPr>
            <w:tcW w:w="703" w:type="pct"/>
            <w:tcBorders>
              <w:top w:val="nil"/>
              <w:left w:val="nil"/>
              <w:bottom w:val="single" w:sz="8" w:space="0" w:color="auto"/>
              <w:right w:val="single" w:sz="8" w:space="0" w:color="auto"/>
            </w:tcBorders>
            <w:shd w:val="clear" w:color="auto" w:fill="auto"/>
            <w:noWrap/>
            <w:vAlign w:val="center"/>
            <w:hideMark/>
          </w:tcPr>
          <w:p w14:paraId="70874EB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$1,326 </w:t>
            </w:r>
          </w:p>
        </w:tc>
        <w:tc>
          <w:tcPr>
            <w:tcW w:w="832" w:type="pct"/>
            <w:tcBorders>
              <w:top w:val="nil"/>
              <w:left w:val="nil"/>
              <w:bottom w:val="single" w:sz="8" w:space="0" w:color="auto"/>
              <w:right w:val="single" w:sz="8" w:space="0" w:color="auto"/>
            </w:tcBorders>
            <w:shd w:val="clear" w:color="auto" w:fill="auto"/>
            <w:noWrap/>
            <w:vAlign w:val="center"/>
            <w:hideMark/>
          </w:tcPr>
          <w:p w14:paraId="11E32AB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$259,115 </w:t>
            </w:r>
          </w:p>
        </w:tc>
      </w:tr>
      <w:tr w:rsidR="00B97529" w:rsidRPr="002608B2" w14:paraId="73CF652B"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E28A0E2"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33</w:t>
            </w:r>
          </w:p>
        </w:tc>
        <w:tc>
          <w:tcPr>
            <w:tcW w:w="1328" w:type="pct"/>
            <w:tcBorders>
              <w:top w:val="nil"/>
              <w:left w:val="nil"/>
              <w:bottom w:val="single" w:sz="8" w:space="0" w:color="auto"/>
              <w:right w:val="single" w:sz="8" w:space="0" w:color="auto"/>
            </w:tcBorders>
            <w:shd w:val="clear" w:color="auto" w:fill="auto"/>
            <w:noWrap/>
            <w:vAlign w:val="center"/>
            <w:hideMark/>
          </w:tcPr>
          <w:p w14:paraId="17B0CFB4"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SAUSALITO</w:t>
            </w:r>
          </w:p>
        </w:tc>
        <w:tc>
          <w:tcPr>
            <w:tcW w:w="705" w:type="pct"/>
            <w:tcBorders>
              <w:top w:val="nil"/>
              <w:left w:val="nil"/>
              <w:bottom w:val="single" w:sz="8" w:space="0" w:color="auto"/>
              <w:right w:val="single" w:sz="8" w:space="0" w:color="auto"/>
            </w:tcBorders>
            <w:shd w:val="clear" w:color="auto" w:fill="auto"/>
            <w:noWrap/>
            <w:vAlign w:val="center"/>
            <w:hideMark/>
          </w:tcPr>
          <w:p w14:paraId="751CD87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$44,109 </w:t>
            </w:r>
          </w:p>
        </w:tc>
        <w:tc>
          <w:tcPr>
            <w:tcW w:w="832" w:type="pct"/>
            <w:tcBorders>
              <w:top w:val="nil"/>
              <w:left w:val="nil"/>
              <w:bottom w:val="single" w:sz="8" w:space="0" w:color="auto"/>
              <w:right w:val="single" w:sz="8" w:space="0" w:color="auto"/>
            </w:tcBorders>
            <w:shd w:val="clear" w:color="auto" w:fill="auto"/>
            <w:noWrap/>
            <w:vAlign w:val="center"/>
            <w:hideMark/>
          </w:tcPr>
          <w:p w14:paraId="6EA8861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$1,919,905 </w:t>
            </w:r>
          </w:p>
        </w:tc>
        <w:tc>
          <w:tcPr>
            <w:tcW w:w="703" w:type="pct"/>
            <w:tcBorders>
              <w:top w:val="nil"/>
              <w:left w:val="nil"/>
              <w:bottom w:val="single" w:sz="8" w:space="0" w:color="auto"/>
              <w:right w:val="single" w:sz="8" w:space="0" w:color="auto"/>
            </w:tcBorders>
            <w:shd w:val="clear" w:color="auto" w:fill="auto"/>
            <w:noWrap/>
            <w:vAlign w:val="center"/>
            <w:hideMark/>
          </w:tcPr>
          <w:p w14:paraId="522E451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$9,775 </w:t>
            </w:r>
          </w:p>
        </w:tc>
        <w:tc>
          <w:tcPr>
            <w:tcW w:w="832" w:type="pct"/>
            <w:tcBorders>
              <w:top w:val="nil"/>
              <w:left w:val="nil"/>
              <w:bottom w:val="single" w:sz="8" w:space="0" w:color="auto"/>
              <w:right w:val="single" w:sz="8" w:space="0" w:color="auto"/>
            </w:tcBorders>
            <w:shd w:val="clear" w:color="auto" w:fill="auto"/>
            <w:noWrap/>
            <w:vAlign w:val="center"/>
            <w:hideMark/>
          </w:tcPr>
          <w:p w14:paraId="541CE6C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$1,910,130 </w:t>
            </w:r>
          </w:p>
        </w:tc>
      </w:tr>
      <w:tr w:rsidR="00B97529" w:rsidRPr="002608B2" w14:paraId="01364273"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66917E2"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34</w:t>
            </w:r>
          </w:p>
        </w:tc>
        <w:tc>
          <w:tcPr>
            <w:tcW w:w="1328" w:type="pct"/>
            <w:tcBorders>
              <w:top w:val="nil"/>
              <w:left w:val="nil"/>
              <w:bottom w:val="single" w:sz="8" w:space="0" w:color="auto"/>
              <w:right w:val="single" w:sz="8" w:space="0" w:color="auto"/>
            </w:tcBorders>
            <w:shd w:val="clear" w:color="auto" w:fill="auto"/>
            <w:noWrap/>
            <w:vAlign w:val="center"/>
            <w:hideMark/>
          </w:tcPr>
          <w:p w14:paraId="38C61D48"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MARIPOSA COUNTY</w:t>
            </w:r>
          </w:p>
        </w:tc>
        <w:tc>
          <w:tcPr>
            <w:tcW w:w="705" w:type="pct"/>
            <w:tcBorders>
              <w:top w:val="nil"/>
              <w:left w:val="nil"/>
              <w:bottom w:val="single" w:sz="8" w:space="0" w:color="auto"/>
              <w:right w:val="single" w:sz="8" w:space="0" w:color="auto"/>
            </w:tcBorders>
            <w:shd w:val="clear" w:color="auto" w:fill="auto"/>
            <w:noWrap/>
            <w:vAlign w:val="center"/>
            <w:hideMark/>
          </w:tcPr>
          <w:p w14:paraId="235E277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$121,654 </w:t>
            </w:r>
          </w:p>
        </w:tc>
        <w:tc>
          <w:tcPr>
            <w:tcW w:w="832" w:type="pct"/>
            <w:tcBorders>
              <w:top w:val="nil"/>
              <w:left w:val="nil"/>
              <w:bottom w:val="single" w:sz="8" w:space="0" w:color="auto"/>
              <w:right w:val="single" w:sz="8" w:space="0" w:color="auto"/>
            </w:tcBorders>
            <w:shd w:val="clear" w:color="auto" w:fill="auto"/>
            <w:noWrap/>
            <w:vAlign w:val="center"/>
            <w:hideMark/>
          </w:tcPr>
          <w:p w14:paraId="6E1C4DE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$3,376,937 </w:t>
            </w:r>
          </w:p>
        </w:tc>
        <w:tc>
          <w:tcPr>
            <w:tcW w:w="703" w:type="pct"/>
            <w:tcBorders>
              <w:top w:val="nil"/>
              <w:left w:val="nil"/>
              <w:bottom w:val="single" w:sz="8" w:space="0" w:color="auto"/>
              <w:right w:val="single" w:sz="8" w:space="0" w:color="auto"/>
            </w:tcBorders>
            <w:shd w:val="clear" w:color="auto" w:fill="auto"/>
            <w:noWrap/>
            <w:vAlign w:val="center"/>
            <w:hideMark/>
          </w:tcPr>
          <w:p w14:paraId="4EE4882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$17,193 </w:t>
            </w:r>
          </w:p>
        </w:tc>
        <w:tc>
          <w:tcPr>
            <w:tcW w:w="832" w:type="pct"/>
            <w:tcBorders>
              <w:top w:val="nil"/>
              <w:left w:val="nil"/>
              <w:bottom w:val="single" w:sz="8" w:space="0" w:color="auto"/>
              <w:right w:val="single" w:sz="8" w:space="0" w:color="auto"/>
            </w:tcBorders>
            <w:shd w:val="clear" w:color="auto" w:fill="auto"/>
            <w:noWrap/>
            <w:vAlign w:val="center"/>
            <w:hideMark/>
          </w:tcPr>
          <w:p w14:paraId="304925A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$3,359,744 </w:t>
            </w:r>
          </w:p>
        </w:tc>
      </w:tr>
      <w:tr w:rsidR="00B97529" w:rsidRPr="002608B2" w14:paraId="0AD18D9E"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99FF3E5"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35</w:t>
            </w:r>
          </w:p>
        </w:tc>
        <w:tc>
          <w:tcPr>
            <w:tcW w:w="1328" w:type="pct"/>
            <w:tcBorders>
              <w:top w:val="nil"/>
              <w:left w:val="nil"/>
              <w:bottom w:val="single" w:sz="8" w:space="0" w:color="auto"/>
              <w:right w:val="single" w:sz="8" w:space="0" w:color="auto"/>
            </w:tcBorders>
            <w:shd w:val="clear" w:color="auto" w:fill="auto"/>
            <w:noWrap/>
            <w:vAlign w:val="center"/>
            <w:hideMark/>
          </w:tcPr>
          <w:p w14:paraId="285C61EC"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FORT BRAGG</w:t>
            </w:r>
          </w:p>
        </w:tc>
        <w:tc>
          <w:tcPr>
            <w:tcW w:w="705" w:type="pct"/>
            <w:tcBorders>
              <w:top w:val="nil"/>
              <w:left w:val="nil"/>
              <w:bottom w:val="single" w:sz="8" w:space="0" w:color="auto"/>
              <w:right w:val="single" w:sz="8" w:space="0" w:color="auto"/>
            </w:tcBorders>
            <w:shd w:val="clear" w:color="auto" w:fill="auto"/>
            <w:noWrap/>
            <w:vAlign w:val="center"/>
            <w:hideMark/>
          </w:tcPr>
          <w:p w14:paraId="7B2575E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$36,678 </w:t>
            </w:r>
          </w:p>
        </w:tc>
        <w:tc>
          <w:tcPr>
            <w:tcW w:w="832" w:type="pct"/>
            <w:tcBorders>
              <w:top w:val="nil"/>
              <w:left w:val="nil"/>
              <w:bottom w:val="single" w:sz="8" w:space="0" w:color="auto"/>
              <w:right w:val="single" w:sz="8" w:space="0" w:color="auto"/>
            </w:tcBorders>
            <w:shd w:val="clear" w:color="auto" w:fill="auto"/>
            <w:noWrap/>
            <w:vAlign w:val="center"/>
            <w:hideMark/>
          </w:tcPr>
          <w:p w14:paraId="67284AC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$1,252,505 </w:t>
            </w:r>
          </w:p>
        </w:tc>
        <w:tc>
          <w:tcPr>
            <w:tcW w:w="703" w:type="pct"/>
            <w:tcBorders>
              <w:top w:val="nil"/>
              <w:left w:val="nil"/>
              <w:bottom w:val="single" w:sz="8" w:space="0" w:color="auto"/>
              <w:right w:val="single" w:sz="8" w:space="0" w:color="auto"/>
            </w:tcBorders>
            <w:shd w:val="clear" w:color="auto" w:fill="auto"/>
            <w:noWrap/>
            <w:vAlign w:val="center"/>
            <w:hideMark/>
          </w:tcPr>
          <w:p w14:paraId="0FCAD86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$6,377 </w:t>
            </w:r>
          </w:p>
        </w:tc>
        <w:tc>
          <w:tcPr>
            <w:tcW w:w="832" w:type="pct"/>
            <w:tcBorders>
              <w:top w:val="nil"/>
              <w:left w:val="nil"/>
              <w:bottom w:val="single" w:sz="8" w:space="0" w:color="auto"/>
              <w:right w:val="single" w:sz="8" w:space="0" w:color="auto"/>
            </w:tcBorders>
            <w:shd w:val="clear" w:color="auto" w:fill="auto"/>
            <w:noWrap/>
            <w:vAlign w:val="center"/>
            <w:hideMark/>
          </w:tcPr>
          <w:p w14:paraId="73DD45F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$1,246,128 </w:t>
            </w:r>
          </w:p>
        </w:tc>
      </w:tr>
      <w:tr w:rsidR="00B97529" w:rsidRPr="002608B2" w14:paraId="42A07B0B"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4329023"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36</w:t>
            </w:r>
          </w:p>
        </w:tc>
        <w:tc>
          <w:tcPr>
            <w:tcW w:w="1328" w:type="pct"/>
            <w:tcBorders>
              <w:top w:val="nil"/>
              <w:left w:val="nil"/>
              <w:bottom w:val="single" w:sz="8" w:space="0" w:color="auto"/>
              <w:right w:val="single" w:sz="8" w:space="0" w:color="auto"/>
            </w:tcBorders>
            <w:shd w:val="clear" w:color="auto" w:fill="auto"/>
            <w:noWrap/>
            <w:vAlign w:val="center"/>
            <w:hideMark/>
          </w:tcPr>
          <w:p w14:paraId="42D048DC"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POINT ARENA</w:t>
            </w:r>
          </w:p>
        </w:tc>
        <w:tc>
          <w:tcPr>
            <w:tcW w:w="705" w:type="pct"/>
            <w:tcBorders>
              <w:top w:val="nil"/>
              <w:left w:val="nil"/>
              <w:bottom w:val="single" w:sz="8" w:space="0" w:color="auto"/>
              <w:right w:val="single" w:sz="8" w:space="0" w:color="auto"/>
            </w:tcBorders>
            <w:shd w:val="clear" w:color="auto" w:fill="auto"/>
            <w:noWrap/>
            <w:vAlign w:val="center"/>
            <w:hideMark/>
          </w:tcPr>
          <w:p w14:paraId="4B87F7F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$2,949 </w:t>
            </w:r>
          </w:p>
        </w:tc>
        <w:tc>
          <w:tcPr>
            <w:tcW w:w="832" w:type="pct"/>
            <w:tcBorders>
              <w:top w:val="nil"/>
              <w:left w:val="nil"/>
              <w:bottom w:val="single" w:sz="8" w:space="0" w:color="auto"/>
              <w:right w:val="single" w:sz="8" w:space="0" w:color="auto"/>
            </w:tcBorders>
            <w:shd w:val="clear" w:color="auto" w:fill="auto"/>
            <w:noWrap/>
            <w:vAlign w:val="center"/>
            <w:hideMark/>
          </w:tcPr>
          <w:p w14:paraId="3A40829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$144,306 </w:t>
            </w:r>
          </w:p>
        </w:tc>
        <w:tc>
          <w:tcPr>
            <w:tcW w:w="703" w:type="pct"/>
            <w:tcBorders>
              <w:top w:val="nil"/>
              <w:left w:val="nil"/>
              <w:bottom w:val="single" w:sz="8" w:space="0" w:color="auto"/>
              <w:right w:val="single" w:sz="8" w:space="0" w:color="auto"/>
            </w:tcBorders>
            <w:shd w:val="clear" w:color="auto" w:fill="auto"/>
            <w:noWrap/>
            <w:vAlign w:val="center"/>
            <w:hideMark/>
          </w:tcPr>
          <w:p w14:paraId="57DFB09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$735 </w:t>
            </w:r>
          </w:p>
        </w:tc>
        <w:tc>
          <w:tcPr>
            <w:tcW w:w="832" w:type="pct"/>
            <w:tcBorders>
              <w:top w:val="nil"/>
              <w:left w:val="nil"/>
              <w:bottom w:val="single" w:sz="8" w:space="0" w:color="auto"/>
              <w:right w:val="single" w:sz="8" w:space="0" w:color="auto"/>
            </w:tcBorders>
            <w:shd w:val="clear" w:color="auto" w:fill="auto"/>
            <w:noWrap/>
            <w:vAlign w:val="center"/>
            <w:hideMark/>
          </w:tcPr>
          <w:p w14:paraId="3B86EF8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$143,571 </w:t>
            </w:r>
          </w:p>
        </w:tc>
      </w:tr>
      <w:tr w:rsidR="00B97529" w:rsidRPr="002608B2" w14:paraId="28DF95EC"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19D1CC8"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37</w:t>
            </w:r>
          </w:p>
        </w:tc>
        <w:tc>
          <w:tcPr>
            <w:tcW w:w="1328" w:type="pct"/>
            <w:tcBorders>
              <w:top w:val="nil"/>
              <w:left w:val="nil"/>
              <w:bottom w:val="single" w:sz="8" w:space="0" w:color="auto"/>
              <w:right w:val="single" w:sz="8" w:space="0" w:color="auto"/>
            </w:tcBorders>
            <w:shd w:val="clear" w:color="auto" w:fill="auto"/>
            <w:noWrap/>
            <w:vAlign w:val="center"/>
            <w:hideMark/>
          </w:tcPr>
          <w:p w14:paraId="2365D895"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DOS PALOS</w:t>
            </w:r>
          </w:p>
        </w:tc>
        <w:tc>
          <w:tcPr>
            <w:tcW w:w="705" w:type="pct"/>
            <w:tcBorders>
              <w:top w:val="nil"/>
              <w:left w:val="nil"/>
              <w:bottom w:val="single" w:sz="8" w:space="0" w:color="auto"/>
              <w:right w:val="single" w:sz="8" w:space="0" w:color="auto"/>
            </w:tcBorders>
            <w:shd w:val="clear" w:color="auto" w:fill="auto"/>
            <w:noWrap/>
            <w:vAlign w:val="center"/>
            <w:hideMark/>
          </w:tcPr>
          <w:p w14:paraId="1532A14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$17,260 </w:t>
            </w:r>
          </w:p>
        </w:tc>
        <w:tc>
          <w:tcPr>
            <w:tcW w:w="832" w:type="pct"/>
            <w:tcBorders>
              <w:top w:val="nil"/>
              <w:left w:val="nil"/>
              <w:bottom w:val="single" w:sz="8" w:space="0" w:color="auto"/>
              <w:right w:val="single" w:sz="8" w:space="0" w:color="auto"/>
            </w:tcBorders>
            <w:shd w:val="clear" w:color="auto" w:fill="auto"/>
            <w:noWrap/>
            <w:vAlign w:val="center"/>
            <w:hideMark/>
          </w:tcPr>
          <w:p w14:paraId="5260D4E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$765,765 </w:t>
            </w:r>
          </w:p>
        </w:tc>
        <w:tc>
          <w:tcPr>
            <w:tcW w:w="703" w:type="pct"/>
            <w:tcBorders>
              <w:top w:val="nil"/>
              <w:left w:val="nil"/>
              <w:bottom w:val="single" w:sz="8" w:space="0" w:color="auto"/>
              <w:right w:val="single" w:sz="8" w:space="0" w:color="auto"/>
            </w:tcBorders>
            <w:shd w:val="clear" w:color="auto" w:fill="auto"/>
            <w:noWrap/>
            <w:vAlign w:val="center"/>
            <w:hideMark/>
          </w:tcPr>
          <w:p w14:paraId="67D4E57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$3,899 </w:t>
            </w:r>
          </w:p>
        </w:tc>
        <w:tc>
          <w:tcPr>
            <w:tcW w:w="832" w:type="pct"/>
            <w:tcBorders>
              <w:top w:val="nil"/>
              <w:left w:val="nil"/>
              <w:bottom w:val="single" w:sz="8" w:space="0" w:color="auto"/>
              <w:right w:val="single" w:sz="8" w:space="0" w:color="auto"/>
            </w:tcBorders>
            <w:shd w:val="clear" w:color="auto" w:fill="auto"/>
            <w:noWrap/>
            <w:vAlign w:val="center"/>
            <w:hideMark/>
          </w:tcPr>
          <w:p w14:paraId="6D747CA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$761,866 </w:t>
            </w:r>
          </w:p>
        </w:tc>
      </w:tr>
      <w:tr w:rsidR="00B97529" w:rsidRPr="002608B2" w14:paraId="753AAF4C"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487447F"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38</w:t>
            </w:r>
          </w:p>
        </w:tc>
        <w:tc>
          <w:tcPr>
            <w:tcW w:w="1328" w:type="pct"/>
            <w:tcBorders>
              <w:top w:val="nil"/>
              <w:left w:val="nil"/>
              <w:bottom w:val="single" w:sz="8" w:space="0" w:color="auto"/>
              <w:right w:val="single" w:sz="8" w:space="0" w:color="auto"/>
            </w:tcBorders>
            <w:shd w:val="clear" w:color="auto" w:fill="auto"/>
            <w:noWrap/>
            <w:vAlign w:val="center"/>
            <w:hideMark/>
          </w:tcPr>
          <w:p w14:paraId="745B73BB"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GUSTINE</w:t>
            </w:r>
          </w:p>
        </w:tc>
        <w:tc>
          <w:tcPr>
            <w:tcW w:w="705" w:type="pct"/>
            <w:tcBorders>
              <w:top w:val="nil"/>
              <w:left w:val="nil"/>
              <w:bottom w:val="single" w:sz="8" w:space="0" w:color="auto"/>
              <w:right w:val="single" w:sz="8" w:space="0" w:color="auto"/>
            </w:tcBorders>
            <w:shd w:val="clear" w:color="auto" w:fill="auto"/>
            <w:noWrap/>
            <w:vAlign w:val="center"/>
            <w:hideMark/>
          </w:tcPr>
          <w:p w14:paraId="7373C49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$19,546 </w:t>
            </w:r>
          </w:p>
        </w:tc>
        <w:tc>
          <w:tcPr>
            <w:tcW w:w="832" w:type="pct"/>
            <w:tcBorders>
              <w:top w:val="nil"/>
              <w:left w:val="nil"/>
              <w:bottom w:val="single" w:sz="8" w:space="0" w:color="auto"/>
              <w:right w:val="single" w:sz="8" w:space="0" w:color="auto"/>
            </w:tcBorders>
            <w:shd w:val="clear" w:color="auto" w:fill="auto"/>
            <w:noWrap/>
            <w:vAlign w:val="center"/>
            <w:hideMark/>
          </w:tcPr>
          <w:p w14:paraId="3B49D83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$376,866 </w:t>
            </w:r>
          </w:p>
        </w:tc>
        <w:tc>
          <w:tcPr>
            <w:tcW w:w="703" w:type="pct"/>
            <w:tcBorders>
              <w:top w:val="nil"/>
              <w:left w:val="nil"/>
              <w:bottom w:val="single" w:sz="8" w:space="0" w:color="auto"/>
              <w:right w:val="single" w:sz="8" w:space="0" w:color="auto"/>
            </w:tcBorders>
            <w:shd w:val="clear" w:color="auto" w:fill="auto"/>
            <w:noWrap/>
            <w:vAlign w:val="center"/>
            <w:hideMark/>
          </w:tcPr>
          <w:p w14:paraId="1AF82CC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$1,919 </w:t>
            </w:r>
          </w:p>
        </w:tc>
        <w:tc>
          <w:tcPr>
            <w:tcW w:w="832" w:type="pct"/>
            <w:tcBorders>
              <w:top w:val="nil"/>
              <w:left w:val="nil"/>
              <w:bottom w:val="single" w:sz="8" w:space="0" w:color="auto"/>
              <w:right w:val="single" w:sz="8" w:space="0" w:color="auto"/>
            </w:tcBorders>
            <w:shd w:val="clear" w:color="auto" w:fill="auto"/>
            <w:noWrap/>
            <w:vAlign w:val="center"/>
            <w:hideMark/>
          </w:tcPr>
          <w:p w14:paraId="3DDA27E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$374,947 </w:t>
            </w:r>
          </w:p>
        </w:tc>
      </w:tr>
      <w:tr w:rsidR="00B97529" w:rsidRPr="002608B2" w14:paraId="26BE77F1"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763EEA4"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39</w:t>
            </w:r>
          </w:p>
        </w:tc>
        <w:tc>
          <w:tcPr>
            <w:tcW w:w="1328" w:type="pct"/>
            <w:tcBorders>
              <w:top w:val="nil"/>
              <w:left w:val="nil"/>
              <w:bottom w:val="single" w:sz="8" w:space="0" w:color="auto"/>
              <w:right w:val="single" w:sz="8" w:space="0" w:color="auto"/>
            </w:tcBorders>
            <w:shd w:val="clear" w:color="auto" w:fill="auto"/>
            <w:noWrap/>
            <w:vAlign w:val="center"/>
            <w:hideMark/>
          </w:tcPr>
          <w:p w14:paraId="7FC7097A"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LIVINGSTON</w:t>
            </w:r>
          </w:p>
        </w:tc>
        <w:tc>
          <w:tcPr>
            <w:tcW w:w="705" w:type="pct"/>
            <w:tcBorders>
              <w:top w:val="nil"/>
              <w:left w:val="nil"/>
              <w:bottom w:val="single" w:sz="8" w:space="0" w:color="auto"/>
              <w:right w:val="single" w:sz="8" w:space="0" w:color="auto"/>
            </w:tcBorders>
            <w:shd w:val="clear" w:color="auto" w:fill="auto"/>
            <w:noWrap/>
            <w:vAlign w:val="center"/>
            <w:hideMark/>
          </w:tcPr>
          <w:p w14:paraId="11C38FD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$18,529 </w:t>
            </w:r>
          </w:p>
        </w:tc>
        <w:tc>
          <w:tcPr>
            <w:tcW w:w="832" w:type="pct"/>
            <w:tcBorders>
              <w:top w:val="nil"/>
              <w:left w:val="nil"/>
              <w:bottom w:val="single" w:sz="8" w:space="0" w:color="auto"/>
              <w:right w:val="single" w:sz="8" w:space="0" w:color="auto"/>
            </w:tcBorders>
            <w:shd w:val="clear" w:color="auto" w:fill="auto"/>
            <w:noWrap/>
            <w:vAlign w:val="center"/>
            <w:hideMark/>
          </w:tcPr>
          <w:p w14:paraId="16723B7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$759,508 </w:t>
            </w:r>
          </w:p>
        </w:tc>
        <w:tc>
          <w:tcPr>
            <w:tcW w:w="703" w:type="pct"/>
            <w:tcBorders>
              <w:top w:val="nil"/>
              <w:left w:val="nil"/>
              <w:bottom w:val="single" w:sz="8" w:space="0" w:color="auto"/>
              <w:right w:val="single" w:sz="8" w:space="0" w:color="auto"/>
            </w:tcBorders>
            <w:shd w:val="clear" w:color="auto" w:fill="auto"/>
            <w:noWrap/>
            <w:vAlign w:val="center"/>
            <w:hideMark/>
          </w:tcPr>
          <w:p w14:paraId="37612B7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$3,867 </w:t>
            </w:r>
          </w:p>
        </w:tc>
        <w:tc>
          <w:tcPr>
            <w:tcW w:w="832" w:type="pct"/>
            <w:tcBorders>
              <w:top w:val="nil"/>
              <w:left w:val="nil"/>
              <w:bottom w:val="single" w:sz="8" w:space="0" w:color="auto"/>
              <w:right w:val="single" w:sz="8" w:space="0" w:color="auto"/>
            </w:tcBorders>
            <w:shd w:val="clear" w:color="auto" w:fill="auto"/>
            <w:noWrap/>
            <w:vAlign w:val="center"/>
            <w:hideMark/>
          </w:tcPr>
          <w:p w14:paraId="25CC394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$755,641 </w:t>
            </w:r>
          </w:p>
        </w:tc>
      </w:tr>
      <w:tr w:rsidR="00B97529" w:rsidRPr="002608B2" w14:paraId="1D9CA73D"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40C2AE5"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40</w:t>
            </w:r>
          </w:p>
        </w:tc>
        <w:tc>
          <w:tcPr>
            <w:tcW w:w="1328" w:type="pct"/>
            <w:tcBorders>
              <w:top w:val="nil"/>
              <w:left w:val="nil"/>
              <w:bottom w:val="single" w:sz="8" w:space="0" w:color="auto"/>
              <w:right w:val="single" w:sz="8" w:space="0" w:color="auto"/>
            </w:tcBorders>
            <w:shd w:val="clear" w:color="auto" w:fill="auto"/>
            <w:noWrap/>
            <w:vAlign w:val="center"/>
            <w:hideMark/>
          </w:tcPr>
          <w:p w14:paraId="11D684F0"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CARMEL</w:t>
            </w:r>
          </w:p>
        </w:tc>
        <w:tc>
          <w:tcPr>
            <w:tcW w:w="705" w:type="pct"/>
            <w:tcBorders>
              <w:top w:val="nil"/>
              <w:left w:val="nil"/>
              <w:bottom w:val="single" w:sz="8" w:space="0" w:color="auto"/>
              <w:right w:val="single" w:sz="8" w:space="0" w:color="auto"/>
            </w:tcBorders>
            <w:shd w:val="clear" w:color="auto" w:fill="auto"/>
            <w:noWrap/>
            <w:vAlign w:val="center"/>
            <w:hideMark/>
          </w:tcPr>
          <w:p w14:paraId="6DB6947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$35,739 </w:t>
            </w:r>
          </w:p>
        </w:tc>
        <w:tc>
          <w:tcPr>
            <w:tcW w:w="832" w:type="pct"/>
            <w:tcBorders>
              <w:top w:val="nil"/>
              <w:left w:val="nil"/>
              <w:bottom w:val="single" w:sz="8" w:space="0" w:color="auto"/>
              <w:right w:val="single" w:sz="8" w:space="0" w:color="auto"/>
            </w:tcBorders>
            <w:shd w:val="clear" w:color="auto" w:fill="auto"/>
            <w:noWrap/>
            <w:vAlign w:val="center"/>
            <w:hideMark/>
          </w:tcPr>
          <w:p w14:paraId="106AC30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$884,824 </w:t>
            </w:r>
          </w:p>
        </w:tc>
        <w:tc>
          <w:tcPr>
            <w:tcW w:w="703" w:type="pct"/>
            <w:tcBorders>
              <w:top w:val="nil"/>
              <w:left w:val="nil"/>
              <w:bottom w:val="single" w:sz="8" w:space="0" w:color="auto"/>
              <w:right w:val="single" w:sz="8" w:space="0" w:color="auto"/>
            </w:tcBorders>
            <w:shd w:val="clear" w:color="auto" w:fill="auto"/>
            <w:noWrap/>
            <w:vAlign w:val="center"/>
            <w:hideMark/>
          </w:tcPr>
          <w:p w14:paraId="6AC8615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$4,505 </w:t>
            </w:r>
          </w:p>
        </w:tc>
        <w:tc>
          <w:tcPr>
            <w:tcW w:w="832" w:type="pct"/>
            <w:tcBorders>
              <w:top w:val="nil"/>
              <w:left w:val="nil"/>
              <w:bottom w:val="single" w:sz="8" w:space="0" w:color="auto"/>
              <w:right w:val="single" w:sz="8" w:space="0" w:color="auto"/>
            </w:tcBorders>
            <w:shd w:val="clear" w:color="auto" w:fill="auto"/>
            <w:noWrap/>
            <w:vAlign w:val="center"/>
            <w:hideMark/>
          </w:tcPr>
          <w:p w14:paraId="244C491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$880,319 </w:t>
            </w:r>
          </w:p>
        </w:tc>
      </w:tr>
      <w:tr w:rsidR="00B97529" w:rsidRPr="002608B2" w14:paraId="0357E99D"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DC88543"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41</w:t>
            </w:r>
          </w:p>
        </w:tc>
        <w:tc>
          <w:tcPr>
            <w:tcW w:w="1328" w:type="pct"/>
            <w:tcBorders>
              <w:top w:val="nil"/>
              <w:left w:val="nil"/>
              <w:bottom w:val="single" w:sz="8" w:space="0" w:color="auto"/>
              <w:right w:val="single" w:sz="8" w:space="0" w:color="auto"/>
            </w:tcBorders>
            <w:shd w:val="clear" w:color="auto" w:fill="auto"/>
            <w:noWrap/>
            <w:vAlign w:val="center"/>
            <w:hideMark/>
          </w:tcPr>
          <w:p w14:paraId="30AD145D"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GONZALES</w:t>
            </w:r>
          </w:p>
        </w:tc>
        <w:tc>
          <w:tcPr>
            <w:tcW w:w="705" w:type="pct"/>
            <w:tcBorders>
              <w:top w:val="nil"/>
              <w:left w:val="nil"/>
              <w:bottom w:val="single" w:sz="8" w:space="0" w:color="auto"/>
              <w:right w:val="single" w:sz="8" w:space="0" w:color="auto"/>
            </w:tcBorders>
            <w:shd w:val="clear" w:color="auto" w:fill="auto"/>
            <w:noWrap/>
            <w:vAlign w:val="center"/>
            <w:hideMark/>
          </w:tcPr>
          <w:p w14:paraId="7AF2F00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$15,819 </w:t>
            </w:r>
          </w:p>
        </w:tc>
        <w:tc>
          <w:tcPr>
            <w:tcW w:w="832" w:type="pct"/>
            <w:tcBorders>
              <w:top w:val="nil"/>
              <w:left w:val="nil"/>
              <w:bottom w:val="single" w:sz="8" w:space="0" w:color="auto"/>
              <w:right w:val="single" w:sz="8" w:space="0" w:color="auto"/>
            </w:tcBorders>
            <w:shd w:val="clear" w:color="auto" w:fill="auto"/>
            <w:noWrap/>
            <w:vAlign w:val="center"/>
            <w:hideMark/>
          </w:tcPr>
          <w:p w14:paraId="54EF17E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$498,547 </w:t>
            </w:r>
          </w:p>
        </w:tc>
        <w:tc>
          <w:tcPr>
            <w:tcW w:w="703" w:type="pct"/>
            <w:tcBorders>
              <w:top w:val="nil"/>
              <w:left w:val="nil"/>
              <w:bottom w:val="single" w:sz="8" w:space="0" w:color="auto"/>
              <w:right w:val="single" w:sz="8" w:space="0" w:color="auto"/>
            </w:tcBorders>
            <w:shd w:val="clear" w:color="auto" w:fill="auto"/>
            <w:noWrap/>
            <w:vAlign w:val="center"/>
            <w:hideMark/>
          </w:tcPr>
          <w:p w14:paraId="7373FCC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$2,538 </w:t>
            </w:r>
          </w:p>
        </w:tc>
        <w:tc>
          <w:tcPr>
            <w:tcW w:w="832" w:type="pct"/>
            <w:tcBorders>
              <w:top w:val="nil"/>
              <w:left w:val="nil"/>
              <w:bottom w:val="single" w:sz="8" w:space="0" w:color="auto"/>
              <w:right w:val="single" w:sz="8" w:space="0" w:color="auto"/>
            </w:tcBorders>
            <w:shd w:val="clear" w:color="auto" w:fill="auto"/>
            <w:noWrap/>
            <w:vAlign w:val="center"/>
            <w:hideMark/>
          </w:tcPr>
          <w:p w14:paraId="43B49F8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$496,009 </w:t>
            </w:r>
          </w:p>
        </w:tc>
      </w:tr>
      <w:tr w:rsidR="00B97529" w:rsidRPr="002608B2" w14:paraId="4720998D"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EA9E607"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42</w:t>
            </w:r>
          </w:p>
        </w:tc>
        <w:tc>
          <w:tcPr>
            <w:tcW w:w="1328" w:type="pct"/>
            <w:tcBorders>
              <w:top w:val="nil"/>
              <w:left w:val="nil"/>
              <w:bottom w:val="single" w:sz="8" w:space="0" w:color="auto"/>
              <w:right w:val="single" w:sz="8" w:space="0" w:color="auto"/>
            </w:tcBorders>
            <w:shd w:val="clear" w:color="auto" w:fill="auto"/>
            <w:noWrap/>
            <w:vAlign w:val="center"/>
            <w:hideMark/>
          </w:tcPr>
          <w:p w14:paraId="36EA8B03"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KING CITY</w:t>
            </w:r>
          </w:p>
        </w:tc>
        <w:tc>
          <w:tcPr>
            <w:tcW w:w="705" w:type="pct"/>
            <w:tcBorders>
              <w:top w:val="nil"/>
              <w:left w:val="nil"/>
              <w:bottom w:val="single" w:sz="8" w:space="0" w:color="auto"/>
              <w:right w:val="single" w:sz="8" w:space="0" w:color="auto"/>
            </w:tcBorders>
            <w:shd w:val="clear" w:color="auto" w:fill="auto"/>
            <w:noWrap/>
            <w:vAlign w:val="center"/>
            <w:hideMark/>
          </w:tcPr>
          <w:p w14:paraId="5EE3BE3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$27,741 </w:t>
            </w:r>
          </w:p>
        </w:tc>
        <w:tc>
          <w:tcPr>
            <w:tcW w:w="832" w:type="pct"/>
            <w:tcBorders>
              <w:top w:val="nil"/>
              <w:left w:val="nil"/>
              <w:bottom w:val="single" w:sz="8" w:space="0" w:color="auto"/>
              <w:right w:val="single" w:sz="8" w:space="0" w:color="auto"/>
            </w:tcBorders>
            <w:shd w:val="clear" w:color="auto" w:fill="auto"/>
            <w:noWrap/>
            <w:vAlign w:val="center"/>
            <w:hideMark/>
          </w:tcPr>
          <w:p w14:paraId="620532C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$55,126 </w:t>
            </w:r>
          </w:p>
        </w:tc>
        <w:tc>
          <w:tcPr>
            <w:tcW w:w="703" w:type="pct"/>
            <w:tcBorders>
              <w:top w:val="nil"/>
              <w:left w:val="nil"/>
              <w:bottom w:val="single" w:sz="8" w:space="0" w:color="auto"/>
              <w:right w:val="single" w:sz="8" w:space="0" w:color="auto"/>
            </w:tcBorders>
            <w:shd w:val="clear" w:color="auto" w:fill="auto"/>
            <w:noWrap/>
            <w:vAlign w:val="center"/>
            <w:hideMark/>
          </w:tcPr>
          <w:p w14:paraId="7C7AAEB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$281 </w:t>
            </w:r>
          </w:p>
        </w:tc>
        <w:tc>
          <w:tcPr>
            <w:tcW w:w="832" w:type="pct"/>
            <w:tcBorders>
              <w:top w:val="nil"/>
              <w:left w:val="nil"/>
              <w:bottom w:val="single" w:sz="8" w:space="0" w:color="auto"/>
              <w:right w:val="single" w:sz="8" w:space="0" w:color="auto"/>
            </w:tcBorders>
            <w:shd w:val="clear" w:color="auto" w:fill="auto"/>
            <w:noWrap/>
            <w:vAlign w:val="center"/>
            <w:hideMark/>
          </w:tcPr>
          <w:p w14:paraId="098ED22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$54,845 </w:t>
            </w:r>
          </w:p>
        </w:tc>
      </w:tr>
      <w:tr w:rsidR="00B97529" w:rsidRPr="002608B2" w14:paraId="69F3E29C"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8AF9455"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43</w:t>
            </w:r>
          </w:p>
        </w:tc>
        <w:tc>
          <w:tcPr>
            <w:tcW w:w="1328" w:type="pct"/>
            <w:tcBorders>
              <w:top w:val="nil"/>
              <w:left w:val="nil"/>
              <w:bottom w:val="single" w:sz="8" w:space="0" w:color="auto"/>
              <w:right w:val="single" w:sz="8" w:space="0" w:color="auto"/>
            </w:tcBorders>
            <w:shd w:val="clear" w:color="auto" w:fill="auto"/>
            <w:noWrap/>
            <w:vAlign w:val="center"/>
            <w:hideMark/>
          </w:tcPr>
          <w:p w14:paraId="12DA601E"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SOLEDAD</w:t>
            </w:r>
          </w:p>
        </w:tc>
        <w:tc>
          <w:tcPr>
            <w:tcW w:w="705" w:type="pct"/>
            <w:tcBorders>
              <w:top w:val="nil"/>
              <w:left w:val="nil"/>
              <w:bottom w:val="single" w:sz="8" w:space="0" w:color="auto"/>
              <w:right w:val="single" w:sz="8" w:space="0" w:color="auto"/>
            </w:tcBorders>
            <w:shd w:val="clear" w:color="auto" w:fill="auto"/>
            <w:noWrap/>
            <w:vAlign w:val="center"/>
            <w:hideMark/>
          </w:tcPr>
          <w:p w14:paraId="5EA60D3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$26,955 </w:t>
            </w:r>
          </w:p>
        </w:tc>
        <w:tc>
          <w:tcPr>
            <w:tcW w:w="832" w:type="pct"/>
            <w:tcBorders>
              <w:top w:val="nil"/>
              <w:left w:val="nil"/>
              <w:bottom w:val="single" w:sz="8" w:space="0" w:color="auto"/>
              <w:right w:val="single" w:sz="8" w:space="0" w:color="auto"/>
            </w:tcBorders>
            <w:shd w:val="clear" w:color="auto" w:fill="auto"/>
            <w:noWrap/>
            <w:vAlign w:val="center"/>
            <w:hideMark/>
          </w:tcPr>
          <w:p w14:paraId="2355677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$776,935 </w:t>
            </w:r>
          </w:p>
        </w:tc>
        <w:tc>
          <w:tcPr>
            <w:tcW w:w="703" w:type="pct"/>
            <w:tcBorders>
              <w:top w:val="nil"/>
              <w:left w:val="nil"/>
              <w:bottom w:val="single" w:sz="8" w:space="0" w:color="auto"/>
              <w:right w:val="single" w:sz="8" w:space="0" w:color="auto"/>
            </w:tcBorders>
            <w:shd w:val="clear" w:color="auto" w:fill="auto"/>
            <w:noWrap/>
            <w:vAlign w:val="center"/>
            <w:hideMark/>
          </w:tcPr>
          <w:p w14:paraId="1E6F4FC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$3,956 </w:t>
            </w:r>
          </w:p>
        </w:tc>
        <w:tc>
          <w:tcPr>
            <w:tcW w:w="832" w:type="pct"/>
            <w:tcBorders>
              <w:top w:val="nil"/>
              <w:left w:val="nil"/>
              <w:bottom w:val="single" w:sz="8" w:space="0" w:color="auto"/>
              <w:right w:val="single" w:sz="8" w:space="0" w:color="auto"/>
            </w:tcBorders>
            <w:shd w:val="clear" w:color="auto" w:fill="auto"/>
            <w:noWrap/>
            <w:vAlign w:val="center"/>
            <w:hideMark/>
          </w:tcPr>
          <w:p w14:paraId="2F54F97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$772,979 </w:t>
            </w:r>
          </w:p>
        </w:tc>
      </w:tr>
      <w:tr w:rsidR="00B97529" w:rsidRPr="002608B2" w14:paraId="1EBA7056"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C496F56"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44</w:t>
            </w:r>
          </w:p>
        </w:tc>
        <w:tc>
          <w:tcPr>
            <w:tcW w:w="1328" w:type="pct"/>
            <w:tcBorders>
              <w:top w:val="nil"/>
              <w:left w:val="nil"/>
              <w:bottom w:val="single" w:sz="8" w:space="0" w:color="auto"/>
              <w:right w:val="single" w:sz="8" w:space="0" w:color="auto"/>
            </w:tcBorders>
            <w:shd w:val="clear" w:color="auto" w:fill="auto"/>
            <w:noWrap/>
            <w:vAlign w:val="center"/>
            <w:hideMark/>
          </w:tcPr>
          <w:p w14:paraId="384108F7"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CALISTOGA</w:t>
            </w:r>
          </w:p>
        </w:tc>
        <w:tc>
          <w:tcPr>
            <w:tcW w:w="705" w:type="pct"/>
            <w:tcBorders>
              <w:top w:val="nil"/>
              <w:left w:val="nil"/>
              <w:bottom w:val="single" w:sz="8" w:space="0" w:color="auto"/>
              <w:right w:val="single" w:sz="8" w:space="0" w:color="auto"/>
            </w:tcBorders>
            <w:shd w:val="clear" w:color="auto" w:fill="auto"/>
            <w:noWrap/>
            <w:vAlign w:val="center"/>
            <w:hideMark/>
          </w:tcPr>
          <w:p w14:paraId="3201B39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$19,957 </w:t>
            </w:r>
          </w:p>
        </w:tc>
        <w:tc>
          <w:tcPr>
            <w:tcW w:w="832" w:type="pct"/>
            <w:tcBorders>
              <w:top w:val="nil"/>
              <w:left w:val="nil"/>
              <w:bottom w:val="single" w:sz="8" w:space="0" w:color="auto"/>
              <w:right w:val="single" w:sz="8" w:space="0" w:color="auto"/>
            </w:tcBorders>
            <w:shd w:val="clear" w:color="auto" w:fill="auto"/>
            <w:noWrap/>
            <w:vAlign w:val="center"/>
            <w:hideMark/>
          </w:tcPr>
          <w:p w14:paraId="065362C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$788,708 </w:t>
            </w:r>
          </w:p>
        </w:tc>
        <w:tc>
          <w:tcPr>
            <w:tcW w:w="703" w:type="pct"/>
            <w:tcBorders>
              <w:top w:val="nil"/>
              <w:left w:val="nil"/>
              <w:bottom w:val="single" w:sz="8" w:space="0" w:color="auto"/>
              <w:right w:val="single" w:sz="8" w:space="0" w:color="auto"/>
            </w:tcBorders>
            <w:shd w:val="clear" w:color="auto" w:fill="auto"/>
            <w:noWrap/>
            <w:vAlign w:val="center"/>
            <w:hideMark/>
          </w:tcPr>
          <w:p w14:paraId="480030B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$4,015 </w:t>
            </w:r>
          </w:p>
        </w:tc>
        <w:tc>
          <w:tcPr>
            <w:tcW w:w="832" w:type="pct"/>
            <w:tcBorders>
              <w:top w:val="nil"/>
              <w:left w:val="nil"/>
              <w:bottom w:val="single" w:sz="8" w:space="0" w:color="auto"/>
              <w:right w:val="single" w:sz="8" w:space="0" w:color="auto"/>
            </w:tcBorders>
            <w:shd w:val="clear" w:color="auto" w:fill="auto"/>
            <w:noWrap/>
            <w:vAlign w:val="center"/>
            <w:hideMark/>
          </w:tcPr>
          <w:p w14:paraId="4A5AF6C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$784,693 </w:t>
            </w:r>
          </w:p>
        </w:tc>
      </w:tr>
      <w:tr w:rsidR="00B97529" w:rsidRPr="002608B2" w14:paraId="4179B2AD"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1745B9F"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45</w:t>
            </w:r>
          </w:p>
        </w:tc>
        <w:tc>
          <w:tcPr>
            <w:tcW w:w="1328" w:type="pct"/>
            <w:tcBorders>
              <w:top w:val="nil"/>
              <w:left w:val="nil"/>
              <w:bottom w:val="single" w:sz="8" w:space="0" w:color="auto"/>
              <w:right w:val="single" w:sz="8" w:space="0" w:color="auto"/>
            </w:tcBorders>
            <w:shd w:val="clear" w:color="auto" w:fill="auto"/>
            <w:noWrap/>
            <w:vAlign w:val="center"/>
            <w:hideMark/>
          </w:tcPr>
          <w:p w14:paraId="17EBCE70"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YOUNTVILLE</w:t>
            </w:r>
          </w:p>
        </w:tc>
        <w:tc>
          <w:tcPr>
            <w:tcW w:w="705" w:type="pct"/>
            <w:tcBorders>
              <w:top w:val="nil"/>
              <w:left w:val="nil"/>
              <w:bottom w:val="single" w:sz="8" w:space="0" w:color="auto"/>
              <w:right w:val="single" w:sz="8" w:space="0" w:color="auto"/>
            </w:tcBorders>
            <w:shd w:val="clear" w:color="auto" w:fill="auto"/>
            <w:noWrap/>
            <w:vAlign w:val="center"/>
            <w:hideMark/>
          </w:tcPr>
          <w:p w14:paraId="4C5B52E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$7,231 </w:t>
            </w:r>
          </w:p>
        </w:tc>
        <w:tc>
          <w:tcPr>
            <w:tcW w:w="832" w:type="pct"/>
            <w:tcBorders>
              <w:top w:val="nil"/>
              <w:left w:val="nil"/>
              <w:bottom w:val="single" w:sz="8" w:space="0" w:color="auto"/>
              <w:right w:val="single" w:sz="8" w:space="0" w:color="auto"/>
            </w:tcBorders>
            <w:shd w:val="clear" w:color="auto" w:fill="auto"/>
            <w:noWrap/>
            <w:vAlign w:val="center"/>
            <w:hideMark/>
          </w:tcPr>
          <w:p w14:paraId="6688A5A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$174,074 </w:t>
            </w:r>
          </w:p>
        </w:tc>
        <w:tc>
          <w:tcPr>
            <w:tcW w:w="703" w:type="pct"/>
            <w:tcBorders>
              <w:top w:val="nil"/>
              <w:left w:val="nil"/>
              <w:bottom w:val="single" w:sz="8" w:space="0" w:color="auto"/>
              <w:right w:val="single" w:sz="8" w:space="0" w:color="auto"/>
            </w:tcBorders>
            <w:shd w:val="clear" w:color="auto" w:fill="auto"/>
            <w:noWrap/>
            <w:vAlign w:val="center"/>
            <w:hideMark/>
          </w:tcPr>
          <w:p w14:paraId="234734C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$886 </w:t>
            </w:r>
          </w:p>
        </w:tc>
        <w:tc>
          <w:tcPr>
            <w:tcW w:w="832" w:type="pct"/>
            <w:tcBorders>
              <w:top w:val="nil"/>
              <w:left w:val="nil"/>
              <w:bottom w:val="single" w:sz="8" w:space="0" w:color="auto"/>
              <w:right w:val="single" w:sz="8" w:space="0" w:color="auto"/>
            </w:tcBorders>
            <w:shd w:val="clear" w:color="auto" w:fill="auto"/>
            <w:noWrap/>
            <w:vAlign w:val="center"/>
            <w:hideMark/>
          </w:tcPr>
          <w:p w14:paraId="7DBFC87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$173,188 </w:t>
            </w:r>
          </w:p>
        </w:tc>
      </w:tr>
      <w:tr w:rsidR="00B97529" w:rsidRPr="002608B2" w14:paraId="70217287"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4C87B06"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46</w:t>
            </w:r>
          </w:p>
        </w:tc>
        <w:tc>
          <w:tcPr>
            <w:tcW w:w="1328" w:type="pct"/>
            <w:tcBorders>
              <w:top w:val="nil"/>
              <w:left w:val="nil"/>
              <w:bottom w:val="single" w:sz="8" w:space="0" w:color="auto"/>
              <w:right w:val="single" w:sz="8" w:space="0" w:color="auto"/>
            </w:tcBorders>
            <w:shd w:val="clear" w:color="auto" w:fill="auto"/>
            <w:noWrap/>
            <w:vAlign w:val="center"/>
            <w:hideMark/>
          </w:tcPr>
          <w:p w14:paraId="4A248FC3"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GRASS VALLEY</w:t>
            </w:r>
          </w:p>
        </w:tc>
        <w:tc>
          <w:tcPr>
            <w:tcW w:w="705" w:type="pct"/>
            <w:tcBorders>
              <w:top w:val="nil"/>
              <w:left w:val="nil"/>
              <w:bottom w:val="single" w:sz="8" w:space="0" w:color="auto"/>
              <w:right w:val="single" w:sz="8" w:space="0" w:color="auto"/>
            </w:tcBorders>
            <w:shd w:val="clear" w:color="auto" w:fill="auto"/>
            <w:noWrap/>
            <w:vAlign w:val="center"/>
            <w:hideMark/>
          </w:tcPr>
          <w:p w14:paraId="77AC0BF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$55,345 </w:t>
            </w:r>
          </w:p>
        </w:tc>
        <w:tc>
          <w:tcPr>
            <w:tcW w:w="832" w:type="pct"/>
            <w:tcBorders>
              <w:top w:val="nil"/>
              <w:left w:val="nil"/>
              <w:bottom w:val="single" w:sz="8" w:space="0" w:color="auto"/>
              <w:right w:val="single" w:sz="8" w:space="0" w:color="auto"/>
            </w:tcBorders>
            <w:shd w:val="clear" w:color="auto" w:fill="auto"/>
            <w:noWrap/>
            <w:vAlign w:val="center"/>
            <w:hideMark/>
          </w:tcPr>
          <w:p w14:paraId="1E542B0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$748,685 </w:t>
            </w:r>
          </w:p>
        </w:tc>
        <w:tc>
          <w:tcPr>
            <w:tcW w:w="703" w:type="pct"/>
            <w:tcBorders>
              <w:top w:val="nil"/>
              <w:left w:val="nil"/>
              <w:bottom w:val="single" w:sz="8" w:space="0" w:color="auto"/>
              <w:right w:val="single" w:sz="8" w:space="0" w:color="auto"/>
            </w:tcBorders>
            <w:shd w:val="clear" w:color="auto" w:fill="auto"/>
            <w:noWrap/>
            <w:vAlign w:val="center"/>
            <w:hideMark/>
          </w:tcPr>
          <w:p w14:paraId="1E03377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$3,812 </w:t>
            </w:r>
          </w:p>
        </w:tc>
        <w:tc>
          <w:tcPr>
            <w:tcW w:w="832" w:type="pct"/>
            <w:tcBorders>
              <w:top w:val="nil"/>
              <w:left w:val="nil"/>
              <w:bottom w:val="single" w:sz="8" w:space="0" w:color="auto"/>
              <w:right w:val="single" w:sz="8" w:space="0" w:color="auto"/>
            </w:tcBorders>
            <w:shd w:val="clear" w:color="auto" w:fill="auto"/>
            <w:noWrap/>
            <w:vAlign w:val="center"/>
            <w:hideMark/>
          </w:tcPr>
          <w:p w14:paraId="7C7358C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$744,873 </w:t>
            </w:r>
          </w:p>
        </w:tc>
      </w:tr>
      <w:tr w:rsidR="00B97529" w:rsidRPr="002608B2" w14:paraId="1A4AFA2A"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E3393B6"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47</w:t>
            </w:r>
          </w:p>
        </w:tc>
        <w:tc>
          <w:tcPr>
            <w:tcW w:w="1328" w:type="pct"/>
            <w:tcBorders>
              <w:top w:val="nil"/>
              <w:left w:val="nil"/>
              <w:bottom w:val="single" w:sz="8" w:space="0" w:color="auto"/>
              <w:right w:val="single" w:sz="8" w:space="0" w:color="auto"/>
            </w:tcBorders>
            <w:shd w:val="clear" w:color="auto" w:fill="auto"/>
            <w:noWrap/>
            <w:vAlign w:val="center"/>
            <w:hideMark/>
          </w:tcPr>
          <w:p w14:paraId="2BB691E6"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ROCKLIN</w:t>
            </w:r>
          </w:p>
        </w:tc>
        <w:tc>
          <w:tcPr>
            <w:tcW w:w="705" w:type="pct"/>
            <w:tcBorders>
              <w:top w:val="nil"/>
              <w:left w:val="nil"/>
              <w:bottom w:val="single" w:sz="8" w:space="0" w:color="auto"/>
              <w:right w:val="single" w:sz="8" w:space="0" w:color="auto"/>
            </w:tcBorders>
            <w:shd w:val="clear" w:color="auto" w:fill="auto"/>
            <w:noWrap/>
            <w:vAlign w:val="center"/>
            <w:hideMark/>
          </w:tcPr>
          <w:p w14:paraId="1607E3C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$125,157 </w:t>
            </w:r>
          </w:p>
        </w:tc>
        <w:tc>
          <w:tcPr>
            <w:tcW w:w="832" w:type="pct"/>
            <w:tcBorders>
              <w:top w:val="nil"/>
              <w:left w:val="nil"/>
              <w:bottom w:val="single" w:sz="8" w:space="0" w:color="auto"/>
              <w:right w:val="single" w:sz="8" w:space="0" w:color="auto"/>
            </w:tcBorders>
            <w:shd w:val="clear" w:color="auto" w:fill="auto"/>
            <w:noWrap/>
            <w:vAlign w:val="center"/>
            <w:hideMark/>
          </w:tcPr>
          <w:p w14:paraId="47BAC84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$563,237 </w:t>
            </w:r>
          </w:p>
        </w:tc>
        <w:tc>
          <w:tcPr>
            <w:tcW w:w="703" w:type="pct"/>
            <w:tcBorders>
              <w:top w:val="nil"/>
              <w:left w:val="nil"/>
              <w:bottom w:val="single" w:sz="8" w:space="0" w:color="auto"/>
              <w:right w:val="single" w:sz="8" w:space="0" w:color="auto"/>
            </w:tcBorders>
            <w:shd w:val="clear" w:color="auto" w:fill="auto"/>
            <w:noWrap/>
            <w:vAlign w:val="center"/>
            <w:hideMark/>
          </w:tcPr>
          <w:p w14:paraId="63A203F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$2,868 </w:t>
            </w:r>
          </w:p>
        </w:tc>
        <w:tc>
          <w:tcPr>
            <w:tcW w:w="832" w:type="pct"/>
            <w:tcBorders>
              <w:top w:val="nil"/>
              <w:left w:val="nil"/>
              <w:bottom w:val="single" w:sz="8" w:space="0" w:color="auto"/>
              <w:right w:val="single" w:sz="8" w:space="0" w:color="auto"/>
            </w:tcBorders>
            <w:shd w:val="clear" w:color="auto" w:fill="auto"/>
            <w:noWrap/>
            <w:vAlign w:val="center"/>
            <w:hideMark/>
          </w:tcPr>
          <w:p w14:paraId="597FE39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$560,369 </w:t>
            </w:r>
          </w:p>
        </w:tc>
      </w:tr>
      <w:tr w:rsidR="00B97529" w:rsidRPr="002608B2" w14:paraId="1F9A2331"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96BDCB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48</w:t>
            </w:r>
          </w:p>
        </w:tc>
        <w:tc>
          <w:tcPr>
            <w:tcW w:w="1328" w:type="pct"/>
            <w:tcBorders>
              <w:top w:val="nil"/>
              <w:left w:val="nil"/>
              <w:bottom w:val="single" w:sz="8" w:space="0" w:color="auto"/>
              <w:right w:val="single" w:sz="8" w:space="0" w:color="auto"/>
            </w:tcBorders>
            <w:shd w:val="clear" w:color="auto" w:fill="auto"/>
            <w:noWrap/>
            <w:vAlign w:val="center"/>
            <w:hideMark/>
          </w:tcPr>
          <w:p w14:paraId="49FF7947"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ROSEVILLE</w:t>
            </w:r>
          </w:p>
        </w:tc>
        <w:tc>
          <w:tcPr>
            <w:tcW w:w="705" w:type="pct"/>
            <w:tcBorders>
              <w:top w:val="nil"/>
              <w:left w:val="nil"/>
              <w:bottom w:val="single" w:sz="8" w:space="0" w:color="auto"/>
              <w:right w:val="single" w:sz="8" w:space="0" w:color="auto"/>
            </w:tcBorders>
            <w:shd w:val="clear" w:color="auto" w:fill="auto"/>
            <w:noWrap/>
            <w:vAlign w:val="center"/>
            <w:hideMark/>
          </w:tcPr>
          <w:p w14:paraId="68DC6AF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$203 </w:t>
            </w:r>
          </w:p>
        </w:tc>
        <w:tc>
          <w:tcPr>
            <w:tcW w:w="832" w:type="pct"/>
            <w:tcBorders>
              <w:top w:val="nil"/>
              <w:left w:val="nil"/>
              <w:bottom w:val="single" w:sz="8" w:space="0" w:color="auto"/>
              <w:right w:val="single" w:sz="8" w:space="0" w:color="auto"/>
            </w:tcBorders>
            <w:shd w:val="clear" w:color="auto" w:fill="auto"/>
            <w:noWrap/>
            <w:vAlign w:val="center"/>
            <w:hideMark/>
          </w:tcPr>
          <w:p w14:paraId="6B014FB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$19,243 </w:t>
            </w:r>
          </w:p>
        </w:tc>
        <w:tc>
          <w:tcPr>
            <w:tcW w:w="703" w:type="pct"/>
            <w:tcBorders>
              <w:top w:val="nil"/>
              <w:left w:val="nil"/>
              <w:bottom w:val="single" w:sz="8" w:space="0" w:color="auto"/>
              <w:right w:val="single" w:sz="8" w:space="0" w:color="auto"/>
            </w:tcBorders>
            <w:shd w:val="clear" w:color="auto" w:fill="auto"/>
            <w:noWrap/>
            <w:vAlign w:val="center"/>
            <w:hideMark/>
          </w:tcPr>
          <w:p w14:paraId="2C5BF73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$98 </w:t>
            </w:r>
          </w:p>
        </w:tc>
        <w:tc>
          <w:tcPr>
            <w:tcW w:w="832" w:type="pct"/>
            <w:tcBorders>
              <w:top w:val="nil"/>
              <w:left w:val="nil"/>
              <w:bottom w:val="single" w:sz="8" w:space="0" w:color="auto"/>
              <w:right w:val="single" w:sz="8" w:space="0" w:color="auto"/>
            </w:tcBorders>
            <w:shd w:val="clear" w:color="auto" w:fill="auto"/>
            <w:noWrap/>
            <w:vAlign w:val="center"/>
            <w:hideMark/>
          </w:tcPr>
          <w:p w14:paraId="5F28142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$19,145 </w:t>
            </w:r>
          </w:p>
        </w:tc>
      </w:tr>
      <w:tr w:rsidR="00B97529" w:rsidRPr="002608B2" w14:paraId="156B2A26"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744CE6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lastRenderedPageBreak/>
              <w:t>49</w:t>
            </w:r>
          </w:p>
        </w:tc>
        <w:tc>
          <w:tcPr>
            <w:tcW w:w="1328" w:type="pct"/>
            <w:tcBorders>
              <w:top w:val="nil"/>
              <w:left w:val="nil"/>
              <w:bottom w:val="single" w:sz="8" w:space="0" w:color="auto"/>
              <w:right w:val="single" w:sz="8" w:space="0" w:color="auto"/>
            </w:tcBorders>
            <w:shd w:val="clear" w:color="auto" w:fill="auto"/>
            <w:noWrap/>
            <w:vAlign w:val="center"/>
            <w:hideMark/>
          </w:tcPr>
          <w:p w14:paraId="25AF9A84"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ISLETON</w:t>
            </w:r>
          </w:p>
        </w:tc>
        <w:tc>
          <w:tcPr>
            <w:tcW w:w="705" w:type="pct"/>
            <w:tcBorders>
              <w:top w:val="nil"/>
              <w:left w:val="nil"/>
              <w:bottom w:val="single" w:sz="8" w:space="0" w:color="auto"/>
              <w:right w:val="single" w:sz="8" w:space="0" w:color="auto"/>
            </w:tcBorders>
            <w:shd w:val="clear" w:color="auto" w:fill="auto"/>
            <w:noWrap/>
            <w:vAlign w:val="center"/>
            <w:hideMark/>
          </w:tcPr>
          <w:p w14:paraId="5CC783E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$4,833 </w:t>
            </w:r>
          </w:p>
        </w:tc>
        <w:tc>
          <w:tcPr>
            <w:tcW w:w="832" w:type="pct"/>
            <w:tcBorders>
              <w:top w:val="nil"/>
              <w:left w:val="nil"/>
              <w:bottom w:val="single" w:sz="8" w:space="0" w:color="auto"/>
              <w:right w:val="single" w:sz="8" w:space="0" w:color="auto"/>
            </w:tcBorders>
            <w:shd w:val="clear" w:color="auto" w:fill="auto"/>
            <w:noWrap/>
            <w:vAlign w:val="center"/>
            <w:hideMark/>
          </w:tcPr>
          <w:p w14:paraId="6D1C3FD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$304,632 </w:t>
            </w:r>
          </w:p>
        </w:tc>
        <w:tc>
          <w:tcPr>
            <w:tcW w:w="703" w:type="pct"/>
            <w:tcBorders>
              <w:top w:val="nil"/>
              <w:left w:val="nil"/>
              <w:bottom w:val="single" w:sz="8" w:space="0" w:color="auto"/>
              <w:right w:val="single" w:sz="8" w:space="0" w:color="auto"/>
            </w:tcBorders>
            <w:shd w:val="clear" w:color="auto" w:fill="auto"/>
            <w:noWrap/>
            <w:vAlign w:val="center"/>
            <w:hideMark/>
          </w:tcPr>
          <w:p w14:paraId="6FC9C57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$1,551 </w:t>
            </w:r>
          </w:p>
        </w:tc>
        <w:tc>
          <w:tcPr>
            <w:tcW w:w="832" w:type="pct"/>
            <w:tcBorders>
              <w:top w:val="nil"/>
              <w:left w:val="nil"/>
              <w:bottom w:val="single" w:sz="8" w:space="0" w:color="auto"/>
              <w:right w:val="single" w:sz="8" w:space="0" w:color="auto"/>
            </w:tcBorders>
            <w:shd w:val="clear" w:color="auto" w:fill="auto"/>
            <w:noWrap/>
            <w:vAlign w:val="center"/>
            <w:hideMark/>
          </w:tcPr>
          <w:p w14:paraId="2AA84BA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$303,081 </w:t>
            </w:r>
          </w:p>
        </w:tc>
      </w:tr>
      <w:tr w:rsidR="00B97529" w:rsidRPr="002608B2" w14:paraId="66BD6CA1"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B3CBD8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50</w:t>
            </w:r>
          </w:p>
        </w:tc>
        <w:tc>
          <w:tcPr>
            <w:tcW w:w="1328" w:type="pct"/>
            <w:tcBorders>
              <w:top w:val="nil"/>
              <w:left w:val="nil"/>
              <w:bottom w:val="single" w:sz="8" w:space="0" w:color="auto"/>
              <w:right w:val="single" w:sz="8" w:space="0" w:color="auto"/>
            </w:tcBorders>
            <w:shd w:val="clear" w:color="auto" w:fill="auto"/>
            <w:noWrap/>
            <w:vAlign w:val="center"/>
            <w:hideMark/>
          </w:tcPr>
          <w:p w14:paraId="7440006A"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SACRAMENTO COUNTY</w:t>
            </w:r>
          </w:p>
        </w:tc>
        <w:tc>
          <w:tcPr>
            <w:tcW w:w="705" w:type="pct"/>
            <w:tcBorders>
              <w:top w:val="nil"/>
              <w:left w:val="nil"/>
              <w:bottom w:val="single" w:sz="8" w:space="0" w:color="auto"/>
              <w:right w:val="single" w:sz="8" w:space="0" w:color="auto"/>
            </w:tcBorders>
            <w:shd w:val="clear" w:color="auto" w:fill="auto"/>
            <w:noWrap/>
            <w:vAlign w:val="center"/>
            <w:hideMark/>
          </w:tcPr>
          <w:p w14:paraId="565CE5E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$20,098 </w:t>
            </w:r>
          </w:p>
        </w:tc>
        <w:tc>
          <w:tcPr>
            <w:tcW w:w="832" w:type="pct"/>
            <w:tcBorders>
              <w:top w:val="nil"/>
              <w:left w:val="nil"/>
              <w:bottom w:val="single" w:sz="8" w:space="0" w:color="auto"/>
              <w:right w:val="single" w:sz="8" w:space="0" w:color="auto"/>
            </w:tcBorders>
            <w:shd w:val="clear" w:color="auto" w:fill="auto"/>
            <w:noWrap/>
            <w:vAlign w:val="center"/>
            <w:hideMark/>
          </w:tcPr>
          <w:p w14:paraId="44EDCC6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$1,064,631 </w:t>
            </w:r>
          </w:p>
        </w:tc>
        <w:tc>
          <w:tcPr>
            <w:tcW w:w="703" w:type="pct"/>
            <w:tcBorders>
              <w:top w:val="nil"/>
              <w:left w:val="nil"/>
              <w:bottom w:val="single" w:sz="8" w:space="0" w:color="auto"/>
              <w:right w:val="single" w:sz="8" w:space="0" w:color="auto"/>
            </w:tcBorders>
            <w:shd w:val="clear" w:color="auto" w:fill="auto"/>
            <w:noWrap/>
            <w:vAlign w:val="center"/>
            <w:hideMark/>
          </w:tcPr>
          <w:p w14:paraId="71C674C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$5,420 </w:t>
            </w:r>
          </w:p>
        </w:tc>
        <w:tc>
          <w:tcPr>
            <w:tcW w:w="832" w:type="pct"/>
            <w:tcBorders>
              <w:top w:val="nil"/>
              <w:left w:val="nil"/>
              <w:bottom w:val="single" w:sz="8" w:space="0" w:color="auto"/>
              <w:right w:val="single" w:sz="8" w:space="0" w:color="auto"/>
            </w:tcBorders>
            <w:shd w:val="clear" w:color="auto" w:fill="auto"/>
            <w:noWrap/>
            <w:vAlign w:val="center"/>
            <w:hideMark/>
          </w:tcPr>
          <w:p w14:paraId="657C25A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$1,059,211 </w:t>
            </w:r>
          </w:p>
        </w:tc>
      </w:tr>
      <w:tr w:rsidR="00B97529" w:rsidRPr="002608B2" w14:paraId="6AC9813B"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0BFD4B16"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51</w:t>
            </w:r>
          </w:p>
        </w:tc>
        <w:tc>
          <w:tcPr>
            <w:tcW w:w="1328" w:type="pct"/>
            <w:tcBorders>
              <w:top w:val="nil"/>
              <w:left w:val="nil"/>
              <w:bottom w:val="single" w:sz="8" w:space="0" w:color="auto"/>
              <w:right w:val="single" w:sz="8" w:space="0" w:color="auto"/>
            </w:tcBorders>
            <w:shd w:val="clear" w:color="auto" w:fill="auto"/>
            <w:noWrap/>
            <w:vAlign w:val="center"/>
            <w:hideMark/>
          </w:tcPr>
          <w:p w14:paraId="0F36425E"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SAN BENITO COUNTY</w:t>
            </w:r>
          </w:p>
        </w:tc>
        <w:tc>
          <w:tcPr>
            <w:tcW w:w="705" w:type="pct"/>
            <w:tcBorders>
              <w:top w:val="nil"/>
              <w:left w:val="nil"/>
              <w:bottom w:val="single" w:sz="8" w:space="0" w:color="auto"/>
              <w:right w:val="single" w:sz="8" w:space="0" w:color="auto"/>
            </w:tcBorders>
            <w:shd w:val="clear" w:color="auto" w:fill="auto"/>
            <w:noWrap/>
            <w:vAlign w:val="center"/>
            <w:hideMark/>
          </w:tcPr>
          <w:p w14:paraId="2F9CCC8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$82,122 </w:t>
            </w:r>
          </w:p>
        </w:tc>
        <w:tc>
          <w:tcPr>
            <w:tcW w:w="832" w:type="pct"/>
            <w:tcBorders>
              <w:top w:val="nil"/>
              <w:left w:val="nil"/>
              <w:bottom w:val="single" w:sz="8" w:space="0" w:color="auto"/>
              <w:right w:val="single" w:sz="8" w:space="0" w:color="auto"/>
            </w:tcBorders>
            <w:shd w:val="clear" w:color="auto" w:fill="auto"/>
            <w:noWrap/>
            <w:vAlign w:val="center"/>
            <w:hideMark/>
          </w:tcPr>
          <w:p w14:paraId="2D5FB36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$3,621,276 </w:t>
            </w:r>
          </w:p>
        </w:tc>
        <w:tc>
          <w:tcPr>
            <w:tcW w:w="703" w:type="pct"/>
            <w:tcBorders>
              <w:top w:val="nil"/>
              <w:left w:val="nil"/>
              <w:bottom w:val="single" w:sz="8" w:space="0" w:color="auto"/>
              <w:right w:val="single" w:sz="8" w:space="0" w:color="auto"/>
            </w:tcBorders>
            <w:shd w:val="clear" w:color="auto" w:fill="auto"/>
            <w:noWrap/>
            <w:vAlign w:val="center"/>
            <w:hideMark/>
          </w:tcPr>
          <w:p w14:paraId="4B727E7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$18,437 </w:t>
            </w:r>
          </w:p>
        </w:tc>
        <w:tc>
          <w:tcPr>
            <w:tcW w:w="832" w:type="pct"/>
            <w:tcBorders>
              <w:top w:val="nil"/>
              <w:left w:val="nil"/>
              <w:bottom w:val="single" w:sz="8" w:space="0" w:color="auto"/>
              <w:right w:val="single" w:sz="8" w:space="0" w:color="auto"/>
            </w:tcBorders>
            <w:shd w:val="clear" w:color="auto" w:fill="auto"/>
            <w:noWrap/>
            <w:vAlign w:val="center"/>
            <w:hideMark/>
          </w:tcPr>
          <w:p w14:paraId="026B55D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$3,602,839 </w:t>
            </w:r>
          </w:p>
        </w:tc>
      </w:tr>
      <w:tr w:rsidR="00B97529" w:rsidRPr="002608B2" w14:paraId="68952C65"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F6FA9FF"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52</w:t>
            </w:r>
          </w:p>
        </w:tc>
        <w:tc>
          <w:tcPr>
            <w:tcW w:w="1328" w:type="pct"/>
            <w:tcBorders>
              <w:top w:val="nil"/>
              <w:left w:val="nil"/>
              <w:bottom w:val="single" w:sz="8" w:space="0" w:color="auto"/>
              <w:right w:val="single" w:sz="8" w:space="0" w:color="auto"/>
            </w:tcBorders>
            <w:shd w:val="clear" w:color="auto" w:fill="auto"/>
            <w:noWrap/>
            <w:vAlign w:val="center"/>
            <w:hideMark/>
          </w:tcPr>
          <w:p w14:paraId="09D98C42"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SAN JUAN BAUTISTA</w:t>
            </w:r>
          </w:p>
        </w:tc>
        <w:tc>
          <w:tcPr>
            <w:tcW w:w="705" w:type="pct"/>
            <w:tcBorders>
              <w:top w:val="nil"/>
              <w:left w:val="nil"/>
              <w:bottom w:val="single" w:sz="8" w:space="0" w:color="auto"/>
              <w:right w:val="single" w:sz="8" w:space="0" w:color="auto"/>
            </w:tcBorders>
            <w:shd w:val="clear" w:color="auto" w:fill="auto"/>
            <w:noWrap/>
            <w:vAlign w:val="center"/>
            <w:hideMark/>
          </w:tcPr>
          <w:p w14:paraId="79E673A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$7,725 </w:t>
            </w:r>
          </w:p>
        </w:tc>
        <w:tc>
          <w:tcPr>
            <w:tcW w:w="832" w:type="pct"/>
            <w:tcBorders>
              <w:top w:val="nil"/>
              <w:left w:val="nil"/>
              <w:bottom w:val="single" w:sz="8" w:space="0" w:color="auto"/>
              <w:right w:val="single" w:sz="8" w:space="0" w:color="auto"/>
            </w:tcBorders>
            <w:shd w:val="clear" w:color="auto" w:fill="auto"/>
            <w:noWrap/>
            <w:vAlign w:val="center"/>
            <w:hideMark/>
          </w:tcPr>
          <w:p w14:paraId="18F09A6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$375,306 </w:t>
            </w:r>
          </w:p>
        </w:tc>
        <w:tc>
          <w:tcPr>
            <w:tcW w:w="703" w:type="pct"/>
            <w:tcBorders>
              <w:top w:val="nil"/>
              <w:left w:val="nil"/>
              <w:bottom w:val="single" w:sz="8" w:space="0" w:color="auto"/>
              <w:right w:val="single" w:sz="8" w:space="0" w:color="auto"/>
            </w:tcBorders>
            <w:shd w:val="clear" w:color="auto" w:fill="auto"/>
            <w:noWrap/>
            <w:vAlign w:val="center"/>
            <w:hideMark/>
          </w:tcPr>
          <w:p w14:paraId="616114B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$1,911 </w:t>
            </w:r>
          </w:p>
        </w:tc>
        <w:tc>
          <w:tcPr>
            <w:tcW w:w="832" w:type="pct"/>
            <w:tcBorders>
              <w:top w:val="nil"/>
              <w:left w:val="nil"/>
              <w:bottom w:val="single" w:sz="8" w:space="0" w:color="auto"/>
              <w:right w:val="single" w:sz="8" w:space="0" w:color="auto"/>
            </w:tcBorders>
            <w:shd w:val="clear" w:color="auto" w:fill="auto"/>
            <w:noWrap/>
            <w:vAlign w:val="center"/>
            <w:hideMark/>
          </w:tcPr>
          <w:p w14:paraId="6463ED5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$373,395 </w:t>
            </w:r>
          </w:p>
        </w:tc>
      </w:tr>
      <w:tr w:rsidR="00B97529" w:rsidRPr="002608B2" w14:paraId="7889A94D"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3DD52051"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53</w:t>
            </w:r>
          </w:p>
        </w:tc>
        <w:tc>
          <w:tcPr>
            <w:tcW w:w="1328" w:type="pct"/>
            <w:tcBorders>
              <w:top w:val="nil"/>
              <w:left w:val="nil"/>
              <w:bottom w:val="single" w:sz="8" w:space="0" w:color="auto"/>
              <w:right w:val="single" w:sz="8" w:space="0" w:color="auto"/>
            </w:tcBorders>
            <w:shd w:val="clear" w:color="auto" w:fill="auto"/>
            <w:noWrap/>
            <w:vAlign w:val="center"/>
            <w:hideMark/>
          </w:tcPr>
          <w:p w14:paraId="3445A668"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ESCALON</w:t>
            </w:r>
          </w:p>
        </w:tc>
        <w:tc>
          <w:tcPr>
            <w:tcW w:w="705" w:type="pct"/>
            <w:tcBorders>
              <w:top w:val="nil"/>
              <w:left w:val="nil"/>
              <w:bottom w:val="single" w:sz="8" w:space="0" w:color="auto"/>
              <w:right w:val="single" w:sz="8" w:space="0" w:color="auto"/>
            </w:tcBorders>
            <w:shd w:val="clear" w:color="auto" w:fill="auto"/>
            <w:noWrap/>
            <w:vAlign w:val="center"/>
            <w:hideMark/>
          </w:tcPr>
          <w:p w14:paraId="6F0DBB98" w14:textId="77777777" w:rsidR="00B97529" w:rsidRPr="002608B2" w:rsidRDefault="00B97529" w:rsidP="0046730A">
            <w:pPr>
              <w:jc w:val="center"/>
              <w:rPr>
                <w:rFonts w:ascii="Calibri" w:hAnsi="Calibri"/>
                <w:color w:val="000000"/>
                <w:sz w:val="20"/>
              </w:rPr>
            </w:pPr>
            <w:r w:rsidRPr="002608B2">
              <w:rPr>
                <w:rFonts w:ascii="Calibri" w:hAnsi="Calibri"/>
                <w:color w:val="000000"/>
                <w:sz w:val="20"/>
              </w:rPr>
              <w:t xml:space="preserve">$18,031 </w:t>
            </w:r>
          </w:p>
        </w:tc>
        <w:tc>
          <w:tcPr>
            <w:tcW w:w="832" w:type="pct"/>
            <w:tcBorders>
              <w:top w:val="nil"/>
              <w:left w:val="nil"/>
              <w:bottom w:val="single" w:sz="8" w:space="0" w:color="auto"/>
              <w:right w:val="single" w:sz="8" w:space="0" w:color="auto"/>
            </w:tcBorders>
            <w:shd w:val="clear" w:color="auto" w:fill="auto"/>
            <w:noWrap/>
            <w:vAlign w:val="center"/>
            <w:hideMark/>
          </w:tcPr>
          <w:p w14:paraId="7CE2B1E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$661,232 </w:t>
            </w:r>
          </w:p>
        </w:tc>
        <w:tc>
          <w:tcPr>
            <w:tcW w:w="703" w:type="pct"/>
            <w:tcBorders>
              <w:top w:val="nil"/>
              <w:left w:val="nil"/>
              <w:bottom w:val="single" w:sz="8" w:space="0" w:color="auto"/>
              <w:right w:val="single" w:sz="8" w:space="0" w:color="auto"/>
            </w:tcBorders>
            <w:shd w:val="clear" w:color="auto" w:fill="auto"/>
            <w:noWrap/>
            <w:vAlign w:val="center"/>
            <w:hideMark/>
          </w:tcPr>
          <w:p w14:paraId="1FD0A6B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$3,366 </w:t>
            </w:r>
          </w:p>
        </w:tc>
        <w:tc>
          <w:tcPr>
            <w:tcW w:w="832" w:type="pct"/>
            <w:tcBorders>
              <w:top w:val="nil"/>
              <w:left w:val="nil"/>
              <w:bottom w:val="single" w:sz="8" w:space="0" w:color="auto"/>
              <w:right w:val="single" w:sz="8" w:space="0" w:color="auto"/>
            </w:tcBorders>
            <w:shd w:val="clear" w:color="auto" w:fill="auto"/>
            <w:noWrap/>
            <w:vAlign w:val="center"/>
            <w:hideMark/>
          </w:tcPr>
          <w:p w14:paraId="2299922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$657,866 </w:t>
            </w:r>
          </w:p>
        </w:tc>
      </w:tr>
      <w:tr w:rsidR="00B97529" w:rsidRPr="002608B2" w14:paraId="217EB9F2"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430F0D3"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54</w:t>
            </w:r>
          </w:p>
        </w:tc>
        <w:tc>
          <w:tcPr>
            <w:tcW w:w="1328" w:type="pct"/>
            <w:tcBorders>
              <w:top w:val="nil"/>
              <w:left w:val="nil"/>
              <w:bottom w:val="single" w:sz="8" w:space="0" w:color="auto"/>
              <w:right w:val="single" w:sz="8" w:space="0" w:color="auto"/>
            </w:tcBorders>
            <w:shd w:val="clear" w:color="auto" w:fill="auto"/>
            <w:noWrap/>
            <w:vAlign w:val="center"/>
            <w:hideMark/>
          </w:tcPr>
          <w:p w14:paraId="7493A03F"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LATHROP</w:t>
            </w:r>
          </w:p>
        </w:tc>
        <w:tc>
          <w:tcPr>
            <w:tcW w:w="705" w:type="pct"/>
            <w:tcBorders>
              <w:top w:val="nil"/>
              <w:left w:val="nil"/>
              <w:bottom w:val="single" w:sz="8" w:space="0" w:color="auto"/>
              <w:right w:val="single" w:sz="8" w:space="0" w:color="auto"/>
            </w:tcBorders>
            <w:shd w:val="clear" w:color="auto" w:fill="auto"/>
            <w:noWrap/>
            <w:vAlign w:val="center"/>
            <w:hideMark/>
          </w:tcPr>
          <w:p w14:paraId="5E7789A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$31,487 </w:t>
            </w:r>
          </w:p>
        </w:tc>
        <w:tc>
          <w:tcPr>
            <w:tcW w:w="832" w:type="pct"/>
            <w:tcBorders>
              <w:top w:val="nil"/>
              <w:left w:val="nil"/>
              <w:bottom w:val="single" w:sz="8" w:space="0" w:color="auto"/>
              <w:right w:val="single" w:sz="8" w:space="0" w:color="auto"/>
            </w:tcBorders>
            <w:shd w:val="clear" w:color="auto" w:fill="auto"/>
            <w:noWrap/>
            <w:vAlign w:val="center"/>
            <w:hideMark/>
          </w:tcPr>
          <w:p w14:paraId="2AE95DD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$392,752 </w:t>
            </w:r>
          </w:p>
        </w:tc>
        <w:tc>
          <w:tcPr>
            <w:tcW w:w="703" w:type="pct"/>
            <w:tcBorders>
              <w:top w:val="nil"/>
              <w:left w:val="nil"/>
              <w:bottom w:val="single" w:sz="8" w:space="0" w:color="auto"/>
              <w:right w:val="single" w:sz="8" w:space="0" w:color="auto"/>
            </w:tcBorders>
            <w:shd w:val="clear" w:color="auto" w:fill="auto"/>
            <w:noWrap/>
            <w:vAlign w:val="center"/>
            <w:hideMark/>
          </w:tcPr>
          <w:p w14:paraId="55C17FC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$2,000 </w:t>
            </w:r>
          </w:p>
        </w:tc>
        <w:tc>
          <w:tcPr>
            <w:tcW w:w="832" w:type="pct"/>
            <w:tcBorders>
              <w:top w:val="nil"/>
              <w:left w:val="nil"/>
              <w:bottom w:val="single" w:sz="8" w:space="0" w:color="auto"/>
              <w:right w:val="single" w:sz="8" w:space="0" w:color="auto"/>
            </w:tcBorders>
            <w:shd w:val="clear" w:color="auto" w:fill="auto"/>
            <w:noWrap/>
            <w:vAlign w:val="center"/>
            <w:hideMark/>
          </w:tcPr>
          <w:p w14:paraId="7B4F04F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$390,752 </w:t>
            </w:r>
          </w:p>
        </w:tc>
      </w:tr>
      <w:tr w:rsidR="00B97529" w:rsidRPr="002608B2" w14:paraId="2FC4DE44"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5B04B90"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55</w:t>
            </w:r>
          </w:p>
        </w:tc>
        <w:tc>
          <w:tcPr>
            <w:tcW w:w="1328" w:type="pct"/>
            <w:tcBorders>
              <w:top w:val="nil"/>
              <w:left w:val="nil"/>
              <w:bottom w:val="single" w:sz="8" w:space="0" w:color="auto"/>
              <w:right w:val="single" w:sz="8" w:space="0" w:color="auto"/>
            </w:tcBorders>
            <w:shd w:val="clear" w:color="auto" w:fill="auto"/>
            <w:noWrap/>
            <w:vAlign w:val="center"/>
            <w:hideMark/>
          </w:tcPr>
          <w:p w14:paraId="274F9434"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MANTECA</w:t>
            </w:r>
          </w:p>
        </w:tc>
        <w:tc>
          <w:tcPr>
            <w:tcW w:w="705" w:type="pct"/>
            <w:tcBorders>
              <w:top w:val="nil"/>
              <w:left w:val="nil"/>
              <w:bottom w:val="single" w:sz="8" w:space="0" w:color="auto"/>
              <w:right w:val="single" w:sz="8" w:space="0" w:color="auto"/>
            </w:tcBorders>
            <w:shd w:val="clear" w:color="auto" w:fill="auto"/>
            <w:noWrap/>
            <w:vAlign w:val="center"/>
            <w:hideMark/>
          </w:tcPr>
          <w:p w14:paraId="32F54DE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$157,689 </w:t>
            </w:r>
          </w:p>
        </w:tc>
        <w:tc>
          <w:tcPr>
            <w:tcW w:w="832" w:type="pct"/>
            <w:tcBorders>
              <w:top w:val="nil"/>
              <w:left w:val="nil"/>
              <w:bottom w:val="single" w:sz="8" w:space="0" w:color="auto"/>
              <w:right w:val="single" w:sz="8" w:space="0" w:color="auto"/>
            </w:tcBorders>
            <w:shd w:val="clear" w:color="auto" w:fill="auto"/>
            <w:noWrap/>
            <w:vAlign w:val="center"/>
            <w:hideMark/>
          </w:tcPr>
          <w:p w14:paraId="07BA8DE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$4,169,629 </w:t>
            </w:r>
          </w:p>
        </w:tc>
        <w:tc>
          <w:tcPr>
            <w:tcW w:w="703" w:type="pct"/>
            <w:tcBorders>
              <w:top w:val="nil"/>
              <w:left w:val="nil"/>
              <w:bottom w:val="single" w:sz="8" w:space="0" w:color="auto"/>
              <w:right w:val="single" w:sz="8" w:space="0" w:color="auto"/>
            </w:tcBorders>
            <w:shd w:val="clear" w:color="auto" w:fill="auto"/>
            <w:noWrap/>
            <w:vAlign w:val="center"/>
            <w:hideMark/>
          </w:tcPr>
          <w:p w14:paraId="1AE2C1D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$21,228 </w:t>
            </w:r>
          </w:p>
        </w:tc>
        <w:tc>
          <w:tcPr>
            <w:tcW w:w="832" w:type="pct"/>
            <w:tcBorders>
              <w:top w:val="nil"/>
              <w:left w:val="nil"/>
              <w:bottom w:val="single" w:sz="8" w:space="0" w:color="auto"/>
              <w:right w:val="single" w:sz="8" w:space="0" w:color="auto"/>
            </w:tcBorders>
            <w:shd w:val="clear" w:color="auto" w:fill="auto"/>
            <w:noWrap/>
            <w:vAlign w:val="center"/>
            <w:hideMark/>
          </w:tcPr>
          <w:p w14:paraId="083336A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$4,148,401 </w:t>
            </w:r>
          </w:p>
        </w:tc>
      </w:tr>
      <w:tr w:rsidR="00B97529" w:rsidRPr="002608B2" w14:paraId="3359EFCC"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E8FAD9F"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56</w:t>
            </w:r>
          </w:p>
        </w:tc>
        <w:tc>
          <w:tcPr>
            <w:tcW w:w="1328" w:type="pct"/>
            <w:tcBorders>
              <w:top w:val="nil"/>
              <w:left w:val="nil"/>
              <w:bottom w:val="single" w:sz="8" w:space="0" w:color="auto"/>
              <w:right w:val="single" w:sz="8" w:space="0" w:color="auto"/>
            </w:tcBorders>
            <w:shd w:val="clear" w:color="auto" w:fill="auto"/>
            <w:noWrap/>
            <w:vAlign w:val="center"/>
            <w:hideMark/>
          </w:tcPr>
          <w:p w14:paraId="59047B36"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RIPON</w:t>
            </w:r>
          </w:p>
        </w:tc>
        <w:tc>
          <w:tcPr>
            <w:tcW w:w="705" w:type="pct"/>
            <w:tcBorders>
              <w:top w:val="nil"/>
              <w:left w:val="nil"/>
              <w:bottom w:val="single" w:sz="8" w:space="0" w:color="auto"/>
              <w:right w:val="single" w:sz="8" w:space="0" w:color="auto"/>
            </w:tcBorders>
            <w:shd w:val="clear" w:color="auto" w:fill="auto"/>
            <w:noWrap/>
            <w:vAlign w:val="center"/>
            <w:hideMark/>
          </w:tcPr>
          <w:p w14:paraId="1BF7A74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$26,638 </w:t>
            </w:r>
          </w:p>
        </w:tc>
        <w:tc>
          <w:tcPr>
            <w:tcW w:w="832" w:type="pct"/>
            <w:tcBorders>
              <w:top w:val="nil"/>
              <w:left w:val="nil"/>
              <w:bottom w:val="single" w:sz="8" w:space="0" w:color="auto"/>
              <w:right w:val="single" w:sz="8" w:space="0" w:color="auto"/>
            </w:tcBorders>
            <w:shd w:val="clear" w:color="auto" w:fill="auto"/>
            <w:noWrap/>
            <w:vAlign w:val="center"/>
            <w:hideMark/>
          </w:tcPr>
          <w:p w14:paraId="06D90E6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$42,357 </w:t>
            </w:r>
          </w:p>
        </w:tc>
        <w:tc>
          <w:tcPr>
            <w:tcW w:w="703" w:type="pct"/>
            <w:tcBorders>
              <w:top w:val="nil"/>
              <w:left w:val="nil"/>
              <w:bottom w:val="single" w:sz="8" w:space="0" w:color="auto"/>
              <w:right w:val="single" w:sz="8" w:space="0" w:color="auto"/>
            </w:tcBorders>
            <w:shd w:val="clear" w:color="auto" w:fill="auto"/>
            <w:noWrap/>
            <w:vAlign w:val="center"/>
            <w:hideMark/>
          </w:tcPr>
          <w:p w14:paraId="500A8DC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$216 </w:t>
            </w:r>
          </w:p>
        </w:tc>
        <w:tc>
          <w:tcPr>
            <w:tcW w:w="832" w:type="pct"/>
            <w:tcBorders>
              <w:top w:val="nil"/>
              <w:left w:val="nil"/>
              <w:bottom w:val="single" w:sz="8" w:space="0" w:color="auto"/>
              <w:right w:val="single" w:sz="8" w:space="0" w:color="auto"/>
            </w:tcBorders>
            <w:shd w:val="clear" w:color="auto" w:fill="auto"/>
            <w:noWrap/>
            <w:vAlign w:val="center"/>
            <w:hideMark/>
          </w:tcPr>
          <w:p w14:paraId="3FEE485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$42,141 </w:t>
            </w:r>
          </w:p>
        </w:tc>
      </w:tr>
      <w:tr w:rsidR="00B97529" w:rsidRPr="002608B2" w14:paraId="268F5B56"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C5135CF"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57</w:t>
            </w:r>
          </w:p>
        </w:tc>
        <w:tc>
          <w:tcPr>
            <w:tcW w:w="1328" w:type="pct"/>
            <w:tcBorders>
              <w:top w:val="nil"/>
              <w:left w:val="nil"/>
              <w:bottom w:val="single" w:sz="8" w:space="0" w:color="auto"/>
              <w:right w:val="single" w:sz="8" w:space="0" w:color="auto"/>
            </w:tcBorders>
            <w:shd w:val="clear" w:color="auto" w:fill="auto"/>
            <w:noWrap/>
            <w:vAlign w:val="center"/>
            <w:hideMark/>
          </w:tcPr>
          <w:p w14:paraId="728A11B9"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ATHERTON</w:t>
            </w:r>
          </w:p>
        </w:tc>
        <w:tc>
          <w:tcPr>
            <w:tcW w:w="705" w:type="pct"/>
            <w:tcBorders>
              <w:top w:val="nil"/>
              <w:left w:val="nil"/>
              <w:bottom w:val="single" w:sz="8" w:space="0" w:color="auto"/>
              <w:right w:val="single" w:sz="8" w:space="0" w:color="auto"/>
            </w:tcBorders>
            <w:shd w:val="clear" w:color="auto" w:fill="auto"/>
            <w:noWrap/>
            <w:vAlign w:val="center"/>
            <w:hideMark/>
          </w:tcPr>
          <w:p w14:paraId="35D6EA0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$25,336 </w:t>
            </w:r>
          </w:p>
        </w:tc>
        <w:tc>
          <w:tcPr>
            <w:tcW w:w="832" w:type="pct"/>
            <w:tcBorders>
              <w:top w:val="nil"/>
              <w:left w:val="nil"/>
              <w:bottom w:val="single" w:sz="8" w:space="0" w:color="auto"/>
              <w:right w:val="single" w:sz="8" w:space="0" w:color="auto"/>
            </w:tcBorders>
            <w:shd w:val="clear" w:color="auto" w:fill="auto"/>
            <w:noWrap/>
            <w:vAlign w:val="center"/>
            <w:hideMark/>
          </w:tcPr>
          <w:p w14:paraId="10DC15B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$1,402,334 </w:t>
            </w:r>
          </w:p>
        </w:tc>
        <w:tc>
          <w:tcPr>
            <w:tcW w:w="703" w:type="pct"/>
            <w:tcBorders>
              <w:top w:val="nil"/>
              <w:left w:val="nil"/>
              <w:bottom w:val="single" w:sz="8" w:space="0" w:color="auto"/>
              <w:right w:val="single" w:sz="8" w:space="0" w:color="auto"/>
            </w:tcBorders>
            <w:shd w:val="clear" w:color="auto" w:fill="auto"/>
            <w:noWrap/>
            <w:vAlign w:val="center"/>
            <w:hideMark/>
          </w:tcPr>
          <w:p w14:paraId="6638B4F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$7,140 </w:t>
            </w:r>
          </w:p>
        </w:tc>
        <w:tc>
          <w:tcPr>
            <w:tcW w:w="832" w:type="pct"/>
            <w:tcBorders>
              <w:top w:val="nil"/>
              <w:left w:val="nil"/>
              <w:bottom w:val="single" w:sz="8" w:space="0" w:color="auto"/>
              <w:right w:val="single" w:sz="8" w:space="0" w:color="auto"/>
            </w:tcBorders>
            <w:shd w:val="clear" w:color="auto" w:fill="auto"/>
            <w:noWrap/>
            <w:vAlign w:val="center"/>
            <w:hideMark/>
          </w:tcPr>
          <w:p w14:paraId="2882374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$1,395,194 </w:t>
            </w:r>
          </w:p>
        </w:tc>
      </w:tr>
      <w:tr w:rsidR="00B97529" w:rsidRPr="002608B2" w14:paraId="67FDF3E9"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4AFC317"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58</w:t>
            </w:r>
          </w:p>
        </w:tc>
        <w:tc>
          <w:tcPr>
            <w:tcW w:w="1328" w:type="pct"/>
            <w:tcBorders>
              <w:top w:val="nil"/>
              <w:left w:val="nil"/>
              <w:bottom w:val="single" w:sz="8" w:space="0" w:color="auto"/>
              <w:right w:val="single" w:sz="8" w:space="0" w:color="auto"/>
            </w:tcBorders>
            <w:shd w:val="clear" w:color="auto" w:fill="auto"/>
            <w:noWrap/>
            <w:vAlign w:val="center"/>
            <w:hideMark/>
          </w:tcPr>
          <w:p w14:paraId="45DC22D2"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BRISBANE</w:t>
            </w:r>
          </w:p>
        </w:tc>
        <w:tc>
          <w:tcPr>
            <w:tcW w:w="705" w:type="pct"/>
            <w:tcBorders>
              <w:top w:val="nil"/>
              <w:left w:val="nil"/>
              <w:bottom w:val="single" w:sz="8" w:space="0" w:color="auto"/>
              <w:right w:val="single" w:sz="8" w:space="0" w:color="auto"/>
            </w:tcBorders>
            <w:shd w:val="clear" w:color="auto" w:fill="auto"/>
            <w:noWrap/>
            <w:vAlign w:val="center"/>
            <w:hideMark/>
          </w:tcPr>
          <w:p w14:paraId="2930A77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$19,434 </w:t>
            </w:r>
          </w:p>
        </w:tc>
        <w:tc>
          <w:tcPr>
            <w:tcW w:w="832" w:type="pct"/>
            <w:tcBorders>
              <w:top w:val="nil"/>
              <w:left w:val="nil"/>
              <w:bottom w:val="single" w:sz="8" w:space="0" w:color="auto"/>
              <w:right w:val="single" w:sz="8" w:space="0" w:color="auto"/>
            </w:tcBorders>
            <w:shd w:val="clear" w:color="auto" w:fill="auto"/>
            <w:noWrap/>
            <w:vAlign w:val="center"/>
            <w:hideMark/>
          </w:tcPr>
          <w:p w14:paraId="4A9607A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$2,878 </w:t>
            </w:r>
          </w:p>
        </w:tc>
        <w:tc>
          <w:tcPr>
            <w:tcW w:w="703" w:type="pct"/>
            <w:tcBorders>
              <w:top w:val="nil"/>
              <w:left w:val="nil"/>
              <w:bottom w:val="single" w:sz="8" w:space="0" w:color="auto"/>
              <w:right w:val="single" w:sz="8" w:space="0" w:color="auto"/>
            </w:tcBorders>
            <w:shd w:val="clear" w:color="auto" w:fill="auto"/>
            <w:noWrap/>
            <w:vAlign w:val="center"/>
            <w:hideMark/>
          </w:tcPr>
          <w:p w14:paraId="78B16A8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$15 </w:t>
            </w:r>
          </w:p>
        </w:tc>
        <w:tc>
          <w:tcPr>
            <w:tcW w:w="832" w:type="pct"/>
            <w:tcBorders>
              <w:top w:val="nil"/>
              <w:left w:val="nil"/>
              <w:bottom w:val="single" w:sz="8" w:space="0" w:color="auto"/>
              <w:right w:val="single" w:sz="8" w:space="0" w:color="auto"/>
            </w:tcBorders>
            <w:shd w:val="clear" w:color="auto" w:fill="auto"/>
            <w:noWrap/>
            <w:vAlign w:val="center"/>
            <w:hideMark/>
          </w:tcPr>
          <w:p w14:paraId="4951F3A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$2,863 </w:t>
            </w:r>
          </w:p>
        </w:tc>
      </w:tr>
      <w:tr w:rsidR="00B97529" w:rsidRPr="002608B2" w14:paraId="6136A92F"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483171A"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59</w:t>
            </w:r>
          </w:p>
        </w:tc>
        <w:tc>
          <w:tcPr>
            <w:tcW w:w="1328" w:type="pct"/>
            <w:tcBorders>
              <w:top w:val="nil"/>
              <w:left w:val="nil"/>
              <w:bottom w:val="single" w:sz="8" w:space="0" w:color="auto"/>
              <w:right w:val="single" w:sz="8" w:space="0" w:color="auto"/>
            </w:tcBorders>
            <w:shd w:val="clear" w:color="auto" w:fill="auto"/>
            <w:noWrap/>
            <w:vAlign w:val="center"/>
            <w:hideMark/>
          </w:tcPr>
          <w:p w14:paraId="0419F1AD"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BURLINGAME</w:t>
            </w:r>
          </w:p>
        </w:tc>
        <w:tc>
          <w:tcPr>
            <w:tcW w:w="705" w:type="pct"/>
            <w:tcBorders>
              <w:top w:val="nil"/>
              <w:left w:val="nil"/>
              <w:bottom w:val="single" w:sz="8" w:space="0" w:color="auto"/>
              <w:right w:val="single" w:sz="8" w:space="0" w:color="auto"/>
            </w:tcBorders>
            <w:shd w:val="clear" w:color="auto" w:fill="auto"/>
            <w:noWrap/>
            <w:vAlign w:val="center"/>
            <w:hideMark/>
          </w:tcPr>
          <w:p w14:paraId="72593A4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$138,111 </w:t>
            </w:r>
          </w:p>
        </w:tc>
        <w:tc>
          <w:tcPr>
            <w:tcW w:w="832" w:type="pct"/>
            <w:tcBorders>
              <w:top w:val="nil"/>
              <w:left w:val="nil"/>
              <w:bottom w:val="single" w:sz="8" w:space="0" w:color="auto"/>
              <w:right w:val="single" w:sz="8" w:space="0" w:color="auto"/>
            </w:tcBorders>
            <w:shd w:val="clear" w:color="auto" w:fill="auto"/>
            <w:noWrap/>
            <w:vAlign w:val="center"/>
            <w:hideMark/>
          </w:tcPr>
          <w:p w14:paraId="641DE47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$5,744,986 </w:t>
            </w:r>
          </w:p>
        </w:tc>
        <w:tc>
          <w:tcPr>
            <w:tcW w:w="703" w:type="pct"/>
            <w:tcBorders>
              <w:top w:val="nil"/>
              <w:left w:val="nil"/>
              <w:bottom w:val="single" w:sz="8" w:space="0" w:color="auto"/>
              <w:right w:val="single" w:sz="8" w:space="0" w:color="auto"/>
            </w:tcBorders>
            <w:shd w:val="clear" w:color="auto" w:fill="auto"/>
            <w:noWrap/>
            <w:vAlign w:val="center"/>
            <w:hideMark/>
          </w:tcPr>
          <w:p w14:paraId="69D1F93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$29,249 </w:t>
            </w:r>
          </w:p>
        </w:tc>
        <w:tc>
          <w:tcPr>
            <w:tcW w:w="832" w:type="pct"/>
            <w:tcBorders>
              <w:top w:val="nil"/>
              <w:left w:val="nil"/>
              <w:bottom w:val="single" w:sz="8" w:space="0" w:color="auto"/>
              <w:right w:val="single" w:sz="8" w:space="0" w:color="auto"/>
            </w:tcBorders>
            <w:shd w:val="clear" w:color="auto" w:fill="auto"/>
            <w:noWrap/>
            <w:vAlign w:val="center"/>
            <w:hideMark/>
          </w:tcPr>
          <w:p w14:paraId="3752092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$5,715,737 </w:t>
            </w:r>
          </w:p>
        </w:tc>
      </w:tr>
      <w:tr w:rsidR="00B97529" w:rsidRPr="002608B2" w14:paraId="0D3359B7"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090565DD"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60</w:t>
            </w:r>
          </w:p>
        </w:tc>
        <w:tc>
          <w:tcPr>
            <w:tcW w:w="1328" w:type="pct"/>
            <w:tcBorders>
              <w:top w:val="nil"/>
              <w:left w:val="nil"/>
              <w:bottom w:val="single" w:sz="8" w:space="0" w:color="auto"/>
              <w:right w:val="single" w:sz="8" w:space="0" w:color="auto"/>
            </w:tcBorders>
            <w:shd w:val="clear" w:color="auto" w:fill="auto"/>
            <w:noWrap/>
            <w:vAlign w:val="center"/>
            <w:hideMark/>
          </w:tcPr>
          <w:p w14:paraId="2F219771"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FOSTER CITY</w:t>
            </w:r>
          </w:p>
        </w:tc>
        <w:tc>
          <w:tcPr>
            <w:tcW w:w="705" w:type="pct"/>
            <w:tcBorders>
              <w:top w:val="nil"/>
              <w:left w:val="nil"/>
              <w:bottom w:val="single" w:sz="8" w:space="0" w:color="auto"/>
              <w:right w:val="single" w:sz="8" w:space="0" w:color="auto"/>
            </w:tcBorders>
            <w:shd w:val="clear" w:color="auto" w:fill="auto"/>
            <w:noWrap/>
            <w:vAlign w:val="center"/>
            <w:hideMark/>
          </w:tcPr>
          <w:p w14:paraId="36BBA0D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$55,063 </w:t>
            </w:r>
          </w:p>
        </w:tc>
        <w:tc>
          <w:tcPr>
            <w:tcW w:w="832" w:type="pct"/>
            <w:tcBorders>
              <w:top w:val="nil"/>
              <w:left w:val="nil"/>
              <w:bottom w:val="single" w:sz="8" w:space="0" w:color="auto"/>
              <w:right w:val="single" w:sz="8" w:space="0" w:color="auto"/>
            </w:tcBorders>
            <w:shd w:val="clear" w:color="auto" w:fill="auto"/>
            <w:noWrap/>
            <w:vAlign w:val="center"/>
            <w:hideMark/>
          </w:tcPr>
          <w:p w14:paraId="571558C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$110,051 </w:t>
            </w:r>
          </w:p>
        </w:tc>
        <w:tc>
          <w:tcPr>
            <w:tcW w:w="703" w:type="pct"/>
            <w:tcBorders>
              <w:top w:val="nil"/>
              <w:left w:val="nil"/>
              <w:bottom w:val="single" w:sz="8" w:space="0" w:color="auto"/>
              <w:right w:val="single" w:sz="8" w:space="0" w:color="auto"/>
            </w:tcBorders>
            <w:shd w:val="clear" w:color="auto" w:fill="auto"/>
            <w:noWrap/>
            <w:vAlign w:val="center"/>
            <w:hideMark/>
          </w:tcPr>
          <w:p w14:paraId="68FC995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$560 </w:t>
            </w:r>
          </w:p>
        </w:tc>
        <w:tc>
          <w:tcPr>
            <w:tcW w:w="832" w:type="pct"/>
            <w:tcBorders>
              <w:top w:val="nil"/>
              <w:left w:val="nil"/>
              <w:bottom w:val="single" w:sz="8" w:space="0" w:color="auto"/>
              <w:right w:val="single" w:sz="8" w:space="0" w:color="auto"/>
            </w:tcBorders>
            <w:shd w:val="clear" w:color="auto" w:fill="auto"/>
            <w:noWrap/>
            <w:vAlign w:val="center"/>
            <w:hideMark/>
          </w:tcPr>
          <w:p w14:paraId="3D94B6B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$109,491 </w:t>
            </w:r>
          </w:p>
        </w:tc>
      </w:tr>
      <w:tr w:rsidR="00B97529" w:rsidRPr="002608B2" w14:paraId="0890E94D"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060567EC"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61</w:t>
            </w:r>
          </w:p>
        </w:tc>
        <w:tc>
          <w:tcPr>
            <w:tcW w:w="1328" w:type="pct"/>
            <w:tcBorders>
              <w:top w:val="nil"/>
              <w:left w:val="nil"/>
              <w:bottom w:val="single" w:sz="8" w:space="0" w:color="auto"/>
              <w:right w:val="single" w:sz="8" w:space="0" w:color="auto"/>
            </w:tcBorders>
            <w:shd w:val="clear" w:color="auto" w:fill="auto"/>
            <w:noWrap/>
            <w:vAlign w:val="center"/>
            <w:hideMark/>
          </w:tcPr>
          <w:p w14:paraId="1870832E"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MENLO PARK</w:t>
            </w:r>
          </w:p>
        </w:tc>
        <w:tc>
          <w:tcPr>
            <w:tcW w:w="705" w:type="pct"/>
            <w:tcBorders>
              <w:top w:val="nil"/>
              <w:left w:val="nil"/>
              <w:bottom w:val="single" w:sz="8" w:space="0" w:color="auto"/>
              <w:right w:val="single" w:sz="8" w:space="0" w:color="auto"/>
            </w:tcBorders>
            <w:shd w:val="clear" w:color="auto" w:fill="auto"/>
            <w:noWrap/>
            <w:vAlign w:val="center"/>
            <w:hideMark/>
          </w:tcPr>
          <w:p w14:paraId="2F65494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$135,416 </w:t>
            </w:r>
          </w:p>
        </w:tc>
        <w:tc>
          <w:tcPr>
            <w:tcW w:w="832" w:type="pct"/>
            <w:tcBorders>
              <w:top w:val="nil"/>
              <w:left w:val="nil"/>
              <w:bottom w:val="single" w:sz="8" w:space="0" w:color="auto"/>
              <w:right w:val="single" w:sz="8" w:space="0" w:color="auto"/>
            </w:tcBorders>
            <w:shd w:val="clear" w:color="auto" w:fill="auto"/>
            <w:noWrap/>
            <w:vAlign w:val="center"/>
            <w:hideMark/>
          </w:tcPr>
          <w:p w14:paraId="5BB8691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$6,054,236 </w:t>
            </w:r>
          </w:p>
        </w:tc>
        <w:tc>
          <w:tcPr>
            <w:tcW w:w="703" w:type="pct"/>
            <w:tcBorders>
              <w:top w:val="nil"/>
              <w:left w:val="nil"/>
              <w:bottom w:val="single" w:sz="8" w:space="0" w:color="auto"/>
              <w:right w:val="single" w:sz="8" w:space="0" w:color="auto"/>
            </w:tcBorders>
            <w:shd w:val="clear" w:color="auto" w:fill="auto"/>
            <w:noWrap/>
            <w:vAlign w:val="center"/>
            <w:hideMark/>
          </w:tcPr>
          <w:p w14:paraId="4CA4FB8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$30,823 </w:t>
            </w:r>
          </w:p>
        </w:tc>
        <w:tc>
          <w:tcPr>
            <w:tcW w:w="832" w:type="pct"/>
            <w:tcBorders>
              <w:top w:val="nil"/>
              <w:left w:val="nil"/>
              <w:bottom w:val="single" w:sz="8" w:space="0" w:color="auto"/>
              <w:right w:val="single" w:sz="8" w:space="0" w:color="auto"/>
            </w:tcBorders>
            <w:shd w:val="clear" w:color="auto" w:fill="auto"/>
            <w:noWrap/>
            <w:vAlign w:val="center"/>
            <w:hideMark/>
          </w:tcPr>
          <w:p w14:paraId="7051AE1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$6,023,413 </w:t>
            </w:r>
          </w:p>
        </w:tc>
      </w:tr>
      <w:tr w:rsidR="00B97529" w:rsidRPr="002608B2" w14:paraId="30515FB9"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3A52D7F6"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62</w:t>
            </w:r>
          </w:p>
        </w:tc>
        <w:tc>
          <w:tcPr>
            <w:tcW w:w="1328" w:type="pct"/>
            <w:tcBorders>
              <w:top w:val="nil"/>
              <w:left w:val="nil"/>
              <w:bottom w:val="single" w:sz="8" w:space="0" w:color="auto"/>
              <w:right w:val="single" w:sz="8" w:space="0" w:color="auto"/>
            </w:tcBorders>
            <w:shd w:val="clear" w:color="auto" w:fill="auto"/>
            <w:noWrap/>
            <w:vAlign w:val="center"/>
            <w:hideMark/>
          </w:tcPr>
          <w:p w14:paraId="1733B98F"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SAN BENITO COUNTY</w:t>
            </w:r>
          </w:p>
        </w:tc>
        <w:tc>
          <w:tcPr>
            <w:tcW w:w="705" w:type="pct"/>
            <w:tcBorders>
              <w:top w:val="nil"/>
              <w:left w:val="nil"/>
              <w:bottom w:val="single" w:sz="8" w:space="0" w:color="auto"/>
              <w:right w:val="single" w:sz="8" w:space="0" w:color="auto"/>
            </w:tcBorders>
            <w:shd w:val="clear" w:color="auto" w:fill="auto"/>
            <w:noWrap/>
            <w:vAlign w:val="center"/>
            <w:hideMark/>
          </w:tcPr>
          <w:p w14:paraId="3662577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$82,122 </w:t>
            </w:r>
          </w:p>
        </w:tc>
        <w:tc>
          <w:tcPr>
            <w:tcW w:w="832" w:type="pct"/>
            <w:tcBorders>
              <w:top w:val="nil"/>
              <w:left w:val="nil"/>
              <w:bottom w:val="single" w:sz="8" w:space="0" w:color="auto"/>
              <w:right w:val="single" w:sz="8" w:space="0" w:color="auto"/>
            </w:tcBorders>
            <w:shd w:val="clear" w:color="auto" w:fill="auto"/>
            <w:noWrap/>
            <w:vAlign w:val="center"/>
            <w:hideMark/>
          </w:tcPr>
          <w:p w14:paraId="75C2A37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$3,621,276 </w:t>
            </w:r>
          </w:p>
        </w:tc>
        <w:tc>
          <w:tcPr>
            <w:tcW w:w="703" w:type="pct"/>
            <w:tcBorders>
              <w:top w:val="nil"/>
              <w:left w:val="nil"/>
              <w:bottom w:val="single" w:sz="8" w:space="0" w:color="auto"/>
              <w:right w:val="single" w:sz="8" w:space="0" w:color="auto"/>
            </w:tcBorders>
            <w:shd w:val="clear" w:color="auto" w:fill="auto"/>
            <w:noWrap/>
            <w:vAlign w:val="center"/>
            <w:hideMark/>
          </w:tcPr>
          <w:p w14:paraId="4705ABE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$18,437 </w:t>
            </w:r>
          </w:p>
        </w:tc>
        <w:tc>
          <w:tcPr>
            <w:tcW w:w="832" w:type="pct"/>
            <w:tcBorders>
              <w:top w:val="nil"/>
              <w:left w:val="nil"/>
              <w:bottom w:val="single" w:sz="8" w:space="0" w:color="auto"/>
              <w:right w:val="single" w:sz="8" w:space="0" w:color="auto"/>
            </w:tcBorders>
            <w:shd w:val="clear" w:color="auto" w:fill="auto"/>
            <w:noWrap/>
            <w:vAlign w:val="center"/>
            <w:hideMark/>
          </w:tcPr>
          <w:p w14:paraId="3FA176A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$3,602,839 </w:t>
            </w:r>
          </w:p>
        </w:tc>
      </w:tr>
      <w:tr w:rsidR="00B97529" w:rsidRPr="002608B2" w14:paraId="11892400"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3CD2167F"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63</w:t>
            </w:r>
          </w:p>
        </w:tc>
        <w:tc>
          <w:tcPr>
            <w:tcW w:w="1328" w:type="pct"/>
            <w:tcBorders>
              <w:top w:val="nil"/>
              <w:left w:val="nil"/>
              <w:bottom w:val="single" w:sz="8" w:space="0" w:color="auto"/>
              <w:right w:val="single" w:sz="8" w:space="0" w:color="auto"/>
            </w:tcBorders>
            <w:shd w:val="clear" w:color="auto" w:fill="auto"/>
            <w:noWrap/>
            <w:vAlign w:val="center"/>
            <w:hideMark/>
          </w:tcPr>
          <w:p w14:paraId="62B5DB41"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SAN JUAN BAUTISTA</w:t>
            </w:r>
          </w:p>
        </w:tc>
        <w:tc>
          <w:tcPr>
            <w:tcW w:w="705" w:type="pct"/>
            <w:tcBorders>
              <w:top w:val="nil"/>
              <w:left w:val="nil"/>
              <w:bottom w:val="single" w:sz="8" w:space="0" w:color="auto"/>
              <w:right w:val="single" w:sz="8" w:space="0" w:color="auto"/>
            </w:tcBorders>
            <w:shd w:val="clear" w:color="auto" w:fill="auto"/>
            <w:noWrap/>
            <w:vAlign w:val="center"/>
            <w:hideMark/>
          </w:tcPr>
          <w:p w14:paraId="75A933A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$7,725 </w:t>
            </w:r>
          </w:p>
        </w:tc>
        <w:tc>
          <w:tcPr>
            <w:tcW w:w="832" w:type="pct"/>
            <w:tcBorders>
              <w:top w:val="nil"/>
              <w:left w:val="nil"/>
              <w:bottom w:val="single" w:sz="8" w:space="0" w:color="auto"/>
              <w:right w:val="single" w:sz="8" w:space="0" w:color="auto"/>
            </w:tcBorders>
            <w:shd w:val="clear" w:color="auto" w:fill="auto"/>
            <w:noWrap/>
            <w:vAlign w:val="center"/>
            <w:hideMark/>
          </w:tcPr>
          <w:p w14:paraId="772EEB0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$375,306 </w:t>
            </w:r>
          </w:p>
        </w:tc>
        <w:tc>
          <w:tcPr>
            <w:tcW w:w="703" w:type="pct"/>
            <w:tcBorders>
              <w:top w:val="nil"/>
              <w:left w:val="nil"/>
              <w:bottom w:val="single" w:sz="8" w:space="0" w:color="auto"/>
              <w:right w:val="single" w:sz="8" w:space="0" w:color="auto"/>
            </w:tcBorders>
            <w:shd w:val="clear" w:color="auto" w:fill="auto"/>
            <w:noWrap/>
            <w:vAlign w:val="center"/>
            <w:hideMark/>
          </w:tcPr>
          <w:p w14:paraId="5DFC2ED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$1,911 </w:t>
            </w:r>
          </w:p>
        </w:tc>
        <w:tc>
          <w:tcPr>
            <w:tcW w:w="832" w:type="pct"/>
            <w:tcBorders>
              <w:top w:val="nil"/>
              <w:left w:val="nil"/>
              <w:bottom w:val="single" w:sz="8" w:space="0" w:color="auto"/>
              <w:right w:val="single" w:sz="8" w:space="0" w:color="auto"/>
            </w:tcBorders>
            <w:shd w:val="clear" w:color="auto" w:fill="auto"/>
            <w:noWrap/>
            <w:vAlign w:val="center"/>
            <w:hideMark/>
          </w:tcPr>
          <w:p w14:paraId="2E9E7F5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$373,395 </w:t>
            </w:r>
          </w:p>
        </w:tc>
      </w:tr>
      <w:tr w:rsidR="00B97529" w:rsidRPr="002608B2" w14:paraId="297124B5"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536C83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64</w:t>
            </w:r>
          </w:p>
        </w:tc>
        <w:tc>
          <w:tcPr>
            <w:tcW w:w="1328" w:type="pct"/>
            <w:tcBorders>
              <w:top w:val="nil"/>
              <w:left w:val="nil"/>
              <w:bottom w:val="single" w:sz="8" w:space="0" w:color="auto"/>
              <w:right w:val="single" w:sz="8" w:space="0" w:color="auto"/>
            </w:tcBorders>
            <w:shd w:val="clear" w:color="auto" w:fill="auto"/>
            <w:noWrap/>
            <w:vAlign w:val="center"/>
            <w:hideMark/>
          </w:tcPr>
          <w:p w14:paraId="31AC23B3"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ESCALON</w:t>
            </w:r>
          </w:p>
        </w:tc>
        <w:tc>
          <w:tcPr>
            <w:tcW w:w="705" w:type="pct"/>
            <w:tcBorders>
              <w:top w:val="nil"/>
              <w:left w:val="nil"/>
              <w:bottom w:val="single" w:sz="8" w:space="0" w:color="auto"/>
              <w:right w:val="single" w:sz="8" w:space="0" w:color="auto"/>
            </w:tcBorders>
            <w:shd w:val="clear" w:color="auto" w:fill="auto"/>
            <w:noWrap/>
            <w:vAlign w:val="center"/>
            <w:hideMark/>
          </w:tcPr>
          <w:p w14:paraId="33E2609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$18,031 </w:t>
            </w:r>
          </w:p>
        </w:tc>
        <w:tc>
          <w:tcPr>
            <w:tcW w:w="832" w:type="pct"/>
            <w:tcBorders>
              <w:top w:val="nil"/>
              <w:left w:val="nil"/>
              <w:bottom w:val="single" w:sz="8" w:space="0" w:color="auto"/>
              <w:right w:val="single" w:sz="8" w:space="0" w:color="auto"/>
            </w:tcBorders>
            <w:shd w:val="clear" w:color="auto" w:fill="auto"/>
            <w:noWrap/>
            <w:vAlign w:val="center"/>
            <w:hideMark/>
          </w:tcPr>
          <w:p w14:paraId="0E9F930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$661,232 </w:t>
            </w:r>
          </w:p>
        </w:tc>
        <w:tc>
          <w:tcPr>
            <w:tcW w:w="703" w:type="pct"/>
            <w:tcBorders>
              <w:top w:val="nil"/>
              <w:left w:val="nil"/>
              <w:bottom w:val="single" w:sz="8" w:space="0" w:color="auto"/>
              <w:right w:val="single" w:sz="8" w:space="0" w:color="auto"/>
            </w:tcBorders>
            <w:shd w:val="clear" w:color="auto" w:fill="auto"/>
            <w:noWrap/>
            <w:vAlign w:val="center"/>
            <w:hideMark/>
          </w:tcPr>
          <w:p w14:paraId="1AD7A8F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$3,366 </w:t>
            </w:r>
          </w:p>
        </w:tc>
        <w:tc>
          <w:tcPr>
            <w:tcW w:w="832" w:type="pct"/>
            <w:tcBorders>
              <w:top w:val="nil"/>
              <w:left w:val="nil"/>
              <w:bottom w:val="single" w:sz="8" w:space="0" w:color="auto"/>
              <w:right w:val="single" w:sz="8" w:space="0" w:color="auto"/>
            </w:tcBorders>
            <w:shd w:val="clear" w:color="auto" w:fill="auto"/>
            <w:noWrap/>
            <w:vAlign w:val="center"/>
            <w:hideMark/>
          </w:tcPr>
          <w:p w14:paraId="5E7AD60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$657,866 </w:t>
            </w:r>
          </w:p>
        </w:tc>
      </w:tr>
      <w:tr w:rsidR="00B97529" w:rsidRPr="002608B2" w14:paraId="1B4999B8"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499F1A4"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65</w:t>
            </w:r>
          </w:p>
        </w:tc>
        <w:tc>
          <w:tcPr>
            <w:tcW w:w="1328" w:type="pct"/>
            <w:tcBorders>
              <w:top w:val="nil"/>
              <w:left w:val="nil"/>
              <w:bottom w:val="single" w:sz="8" w:space="0" w:color="auto"/>
              <w:right w:val="single" w:sz="8" w:space="0" w:color="auto"/>
            </w:tcBorders>
            <w:shd w:val="clear" w:color="auto" w:fill="auto"/>
            <w:noWrap/>
            <w:vAlign w:val="center"/>
            <w:hideMark/>
          </w:tcPr>
          <w:p w14:paraId="50D82221"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MILLBRAE</w:t>
            </w:r>
          </w:p>
        </w:tc>
        <w:tc>
          <w:tcPr>
            <w:tcW w:w="705" w:type="pct"/>
            <w:tcBorders>
              <w:top w:val="nil"/>
              <w:left w:val="nil"/>
              <w:bottom w:val="single" w:sz="8" w:space="0" w:color="auto"/>
              <w:right w:val="single" w:sz="8" w:space="0" w:color="auto"/>
            </w:tcBorders>
            <w:shd w:val="clear" w:color="auto" w:fill="auto"/>
            <w:noWrap/>
            <w:vAlign w:val="center"/>
            <w:hideMark/>
          </w:tcPr>
          <w:p w14:paraId="0EA2281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$78,345 </w:t>
            </w:r>
          </w:p>
        </w:tc>
        <w:tc>
          <w:tcPr>
            <w:tcW w:w="832" w:type="pct"/>
            <w:tcBorders>
              <w:top w:val="nil"/>
              <w:left w:val="nil"/>
              <w:bottom w:val="single" w:sz="8" w:space="0" w:color="auto"/>
              <w:right w:val="single" w:sz="8" w:space="0" w:color="auto"/>
            </w:tcBorders>
            <w:shd w:val="clear" w:color="auto" w:fill="auto"/>
            <w:noWrap/>
            <w:vAlign w:val="center"/>
            <w:hideMark/>
          </w:tcPr>
          <w:p w14:paraId="7DE843C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$3,338,907 </w:t>
            </w:r>
          </w:p>
        </w:tc>
        <w:tc>
          <w:tcPr>
            <w:tcW w:w="703" w:type="pct"/>
            <w:tcBorders>
              <w:top w:val="nil"/>
              <w:left w:val="nil"/>
              <w:bottom w:val="single" w:sz="8" w:space="0" w:color="auto"/>
              <w:right w:val="single" w:sz="8" w:space="0" w:color="auto"/>
            </w:tcBorders>
            <w:shd w:val="clear" w:color="auto" w:fill="auto"/>
            <w:noWrap/>
            <w:vAlign w:val="center"/>
            <w:hideMark/>
          </w:tcPr>
          <w:p w14:paraId="527E2D0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$16,999 </w:t>
            </w:r>
          </w:p>
        </w:tc>
        <w:tc>
          <w:tcPr>
            <w:tcW w:w="832" w:type="pct"/>
            <w:tcBorders>
              <w:top w:val="nil"/>
              <w:left w:val="nil"/>
              <w:bottom w:val="single" w:sz="8" w:space="0" w:color="auto"/>
              <w:right w:val="single" w:sz="8" w:space="0" w:color="auto"/>
            </w:tcBorders>
            <w:shd w:val="clear" w:color="auto" w:fill="auto"/>
            <w:noWrap/>
            <w:vAlign w:val="center"/>
            <w:hideMark/>
          </w:tcPr>
          <w:p w14:paraId="4D92FEE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$3,321,908 </w:t>
            </w:r>
          </w:p>
        </w:tc>
      </w:tr>
      <w:tr w:rsidR="00B97529" w:rsidRPr="002608B2" w14:paraId="4317B44F"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19AEB5A"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66</w:t>
            </w:r>
          </w:p>
        </w:tc>
        <w:tc>
          <w:tcPr>
            <w:tcW w:w="1328" w:type="pct"/>
            <w:tcBorders>
              <w:top w:val="nil"/>
              <w:left w:val="nil"/>
              <w:bottom w:val="single" w:sz="8" w:space="0" w:color="auto"/>
              <w:right w:val="single" w:sz="8" w:space="0" w:color="auto"/>
            </w:tcBorders>
            <w:shd w:val="clear" w:color="auto" w:fill="auto"/>
            <w:noWrap/>
            <w:vAlign w:val="center"/>
            <w:hideMark/>
          </w:tcPr>
          <w:p w14:paraId="5F43CEC9"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SAN BRUNO</w:t>
            </w:r>
          </w:p>
        </w:tc>
        <w:tc>
          <w:tcPr>
            <w:tcW w:w="705" w:type="pct"/>
            <w:tcBorders>
              <w:top w:val="nil"/>
              <w:left w:val="nil"/>
              <w:bottom w:val="single" w:sz="8" w:space="0" w:color="auto"/>
              <w:right w:val="single" w:sz="8" w:space="0" w:color="auto"/>
            </w:tcBorders>
            <w:shd w:val="clear" w:color="auto" w:fill="auto"/>
            <w:noWrap/>
            <w:vAlign w:val="center"/>
            <w:hideMark/>
          </w:tcPr>
          <w:p w14:paraId="4760CED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$149,908 </w:t>
            </w:r>
          </w:p>
        </w:tc>
        <w:tc>
          <w:tcPr>
            <w:tcW w:w="832" w:type="pct"/>
            <w:tcBorders>
              <w:top w:val="nil"/>
              <w:left w:val="nil"/>
              <w:bottom w:val="single" w:sz="8" w:space="0" w:color="auto"/>
              <w:right w:val="single" w:sz="8" w:space="0" w:color="auto"/>
            </w:tcBorders>
            <w:shd w:val="clear" w:color="auto" w:fill="auto"/>
            <w:noWrap/>
            <w:vAlign w:val="center"/>
            <w:hideMark/>
          </w:tcPr>
          <w:p w14:paraId="67EC9F9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$6,114,211 </w:t>
            </w:r>
          </w:p>
        </w:tc>
        <w:tc>
          <w:tcPr>
            <w:tcW w:w="703" w:type="pct"/>
            <w:tcBorders>
              <w:top w:val="nil"/>
              <w:left w:val="nil"/>
              <w:bottom w:val="single" w:sz="8" w:space="0" w:color="auto"/>
              <w:right w:val="single" w:sz="8" w:space="0" w:color="auto"/>
            </w:tcBorders>
            <w:shd w:val="clear" w:color="auto" w:fill="auto"/>
            <w:noWrap/>
            <w:vAlign w:val="center"/>
            <w:hideMark/>
          </w:tcPr>
          <w:p w14:paraId="7BB3639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$31,129 </w:t>
            </w:r>
          </w:p>
        </w:tc>
        <w:tc>
          <w:tcPr>
            <w:tcW w:w="832" w:type="pct"/>
            <w:tcBorders>
              <w:top w:val="nil"/>
              <w:left w:val="nil"/>
              <w:bottom w:val="single" w:sz="8" w:space="0" w:color="auto"/>
              <w:right w:val="single" w:sz="8" w:space="0" w:color="auto"/>
            </w:tcBorders>
            <w:shd w:val="clear" w:color="auto" w:fill="auto"/>
            <w:noWrap/>
            <w:vAlign w:val="center"/>
            <w:hideMark/>
          </w:tcPr>
          <w:p w14:paraId="2C0125E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$6,083,082 </w:t>
            </w:r>
          </w:p>
        </w:tc>
      </w:tr>
      <w:tr w:rsidR="00B97529" w:rsidRPr="002608B2" w14:paraId="767E24AA"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F6D06AC"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67</w:t>
            </w:r>
          </w:p>
        </w:tc>
        <w:tc>
          <w:tcPr>
            <w:tcW w:w="1328" w:type="pct"/>
            <w:tcBorders>
              <w:top w:val="nil"/>
              <w:left w:val="nil"/>
              <w:bottom w:val="single" w:sz="8" w:space="0" w:color="auto"/>
              <w:right w:val="single" w:sz="8" w:space="0" w:color="auto"/>
            </w:tcBorders>
            <w:shd w:val="clear" w:color="auto" w:fill="auto"/>
            <w:noWrap/>
            <w:vAlign w:val="center"/>
            <w:hideMark/>
          </w:tcPr>
          <w:p w14:paraId="14A5FBBC"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WOODSIDE</w:t>
            </w:r>
          </w:p>
        </w:tc>
        <w:tc>
          <w:tcPr>
            <w:tcW w:w="705" w:type="pct"/>
            <w:tcBorders>
              <w:top w:val="nil"/>
              <w:left w:val="nil"/>
              <w:bottom w:val="single" w:sz="8" w:space="0" w:color="auto"/>
              <w:right w:val="single" w:sz="8" w:space="0" w:color="auto"/>
            </w:tcBorders>
            <w:shd w:val="clear" w:color="auto" w:fill="auto"/>
            <w:noWrap/>
            <w:vAlign w:val="center"/>
            <w:hideMark/>
          </w:tcPr>
          <w:p w14:paraId="3EB7098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$22,155 </w:t>
            </w:r>
          </w:p>
        </w:tc>
        <w:tc>
          <w:tcPr>
            <w:tcW w:w="832" w:type="pct"/>
            <w:tcBorders>
              <w:top w:val="nil"/>
              <w:left w:val="nil"/>
              <w:bottom w:val="single" w:sz="8" w:space="0" w:color="auto"/>
              <w:right w:val="single" w:sz="8" w:space="0" w:color="auto"/>
            </w:tcBorders>
            <w:shd w:val="clear" w:color="auto" w:fill="auto"/>
            <w:noWrap/>
            <w:vAlign w:val="center"/>
            <w:hideMark/>
          </w:tcPr>
          <w:p w14:paraId="0EF55CA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$919,283 </w:t>
            </w:r>
          </w:p>
        </w:tc>
        <w:tc>
          <w:tcPr>
            <w:tcW w:w="703" w:type="pct"/>
            <w:tcBorders>
              <w:top w:val="nil"/>
              <w:left w:val="nil"/>
              <w:bottom w:val="single" w:sz="8" w:space="0" w:color="auto"/>
              <w:right w:val="single" w:sz="8" w:space="0" w:color="auto"/>
            </w:tcBorders>
            <w:shd w:val="clear" w:color="auto" w:fill="auto"/>
            <w:noWrap/>
            <w:vAlign w:val="center"/>
            <w:hideMark/>
          </w:tcPr>
          <w:p w14:paraId="75F05FF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$4,680 </w:t>
            </w:r>
          </w:p>
        </w:tc>
        <w:tc>
          <w:tcPr>
            <w:tcW w:w="832" w:type="pct"/>
            <w:tcBorders>
              <w:top w:val="nil"/>
              <w:left w:val="nil"/>
              <w:bottom w:val="single" w:sz="8" w:space="0" w:color="auto"/>
              <w:right w:val="single" w:sz="8" w:space="0" w:color="auto"/>
            </w:tcBorders>
            <w:shd w:val="clear" w:color="auto" w:fill="auto"/>
            <w:noWrap/>
            <w:vAlign w:val="center"/>
            <w:hideMark/>
          </w:tcPr>
          <w:p w14:paraId="219F474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$914,603 </w:t>
            </w:r>
          </w:p>
        </w:tc>
      </w:tr>
      <w:tr w:rsidR="00B97529" w:rsidRPr="002608B2" w14:paraId="211E6B6C"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0517E9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68</w:t>
            </w:r>
          </w:p>
        </w:tc>
        <w:tc>
          <w:tcPr>
            <w:tcW w:w="1328" w:type="pct"/>
            <w:tcBorders>
              <w:top w:val="nil"/>
              <w:left w:val="nil"/>
              <w:bottom w:val="single" w:sz="8" w:space="0" w:color="auto"/>
              <w:right w:val="single" w:sz="8" w:space="0" w:color="auto"/>
            </w:tcBorders>
            <w:shd w:val="clear" w:color="auto" w:fill="auto"/>
            <w:noWrap/>
            <w:vAlign w:val="center"/>
            <w:hideMark/>
          </w:tcPr>
          <w:p w14:paraId="3172A2B4"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BUELLTON</w:t>
            </w:r>
          </w:p>
        </w:tc>
        <w:tc>
          <w:tcPr>
            <w:tcW w:w="705" w:type="pct"/>
            <w:tcBorders>
              <w:top w:val="nil"/>
              <w:left w:val="nil"/>
              <w:bottom w:val="single" w:sz="8" w:space="0" w:color="auto"/>
              <w:right w:val="single" w:sz="8" w:space="0" w:color="auto"/>
            </w:tcBorders>
            <w:shd w:val="clear" w:color="auto" w:fill="auto"/>
            <w:noWrap/>
            <w:vAlign w:val="center"/>
            <w:hideMark/>
          </w:tcPr>
          <w:p w14:paraId="15D8952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$11,342 </w:t>
            </w:r>
          </w:p>
        </w:tc>
        <w:tc>
          <w:tcPr>
            <w:tcW w:w="832" w:type="pct"/>
            <w:tcBorders>
              <w:top w:val="nil"/>
              <w:left w:val="nil"/>
              <w:bottom w:val="single" w:sz="8" w:space="0" w:color="auto"/>
              <w:right w:val="single" w:sz="8" w:space="0" w:color="auto"/>
            </w:tcBorders>
            <w:shd w:val="clear" w:color="auto" w:fill="auto"/>
            <w:noWrap/>
            <w:vAlign w:val="center"/>
            <w:hideMark/>
          </w:tcPr>
          <w:p w14:paraId="30DFCB9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$180,018 </w:t>
            </w:r>
          </w:p>
        </w:tc>
        <w:tc>
          <w:tcPr>
            <w:tcW w:w="703" w:type="pct"/>
            <w:tcBorders>
              <w:top w:val="nil"/>
              <w:left w:val="nil"/>
              <w:bottom w:val="single" w:sz="8" w:space="0" w:color="auto"/>
              <w:right w:val="single" w:sz="8" w:space="0" w:color="auto"/>
            </w:tcBorders>
            <w:shd w:val="clear" w:color="auto" w:fill="auto"/>
            <w:noWrap/>
            <w:vAlign w:val="center"/>
            <w:hideMark/>
          </w:tcPr>
          <w:p w14:paraId="1493584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$917 </w:t>
            </w:r>
          </w:p>
        </w:tc>
        <w:tc>
          <w:tcPr>
            <w:tcW w:w="832" w:type="pct"/>
            <w:tcBorders>
              <w:top w:val="nil"/>
              <w:left w:val="nil"/>
              <w:bottom w:val="single" w:sz="8" w:space="0" w:color="auto"/>
              <w:right w:val="single" w:sz="8" w:space="0" w:color="auto"/>
            </w:tcBorders>
            <w:shd w:val="clear" w:color="auto" w:fill="auto"/>
            <w:noWrap/>
            <w:vAlign w:val="center"/>
            <w:hideMark/>
          </w:tcPr>
          <w:p w14:paraId="73AF24A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$179,101 </w:t>
            </w:r>
          </w:p>
        </w:tc>
      </w:tr>
      <w:tr w:rsidR="00B97529" w:rsidRPr="002608B2" w14:paraId="2B2FD758"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70BC3CF"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69</w:t>
            </w:r>
          </w:p>
        </w:tc>
        <w:tc>
          <w:tcPr>
            <w:tcW w:w="1328" w:type="pct"/>
            <w:tcBorders>
              <w:top w:val="nil"/>
              <w:left w:val="nil"/>
              <w:bottom w:val="single" w:sz="8" w:space="0" w:color="auto"/>
              <w:right w:val="single" w:sz="8" w:space="0" w:color="auto"/>
            </w:tcBorders>
            <w:shd w:val="clear" w:color="auto" w:fill="auto"/>
            <w:noWrap/>
            <w:vAlign w:val="center"/>
            <w:hideMark/>
          </w:tcPr>
          <w:p w14:paraId="0963B12C"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GUADALUPE</w:t>
            </w:r>
          </w:p>
        </w:tc>
        <w:tc>
          <w:tcPr>
            <w:tcW w:w="705" w:type="pct"/>
            <w:tcBorders>
              <w:top w:val="nil"/>
              <w:left w:val="nil"/>
              <w:bottom w:val="single" w:sz="8" w:space="0" w:color="auto"/>
              <w:right w:val="single" w:sz="8" w:space="0" w:color="auto"/>
            </w:tcBorders>
            <w:shd w:val="clear" w:color="auto" w:fill="auto"/>
            <w:noWrap/>
            <w:vAlign w:val="center"/>
            <w:hideMark/>
          </w:tcPr>
          <w:p w14:paraId="509097B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$16,270 </w:t>
            </w:r>
          </w:p>
        </w:tc>
        <w:tc>
          <w:tcPr>
            <w:tcW w:w="832" w:type="pct"/>
            <w:tcBorders>
              <w:top w:val="nil"/>
              <w:left w:val="nil"/>
              <w:bottom w:val="single" w:sz="8" w:space="0" w:color="auto"/>
              <w:right w:val="single" w:sz="8" w:space="0" w:color="auto"/>
            </w:tcBorders>
            <w:shd w:val="clear" w:color="auto" w:fill="auto"/>
            <w:noWrap/>
            <w:vAlign w:val="center"/>
            <w:hideMark/>
          </w:tcPr>
          <w:p w14:paraId="5618F9D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$407,245 </w:t>
            </w:r>
          </w:p>
        </w:tc>
        <w:tc>
          <w:tcPr>
            <w:tcW w:w="703" w:type="pct"/>
            <w:tcBorders>
              <w:top w:val="nil"/>
              <w:left w:val="nil"/>
              <w:bottom w:val="single" w:sz="8" w:space="0" w:color="auto"/>
              <w:right w:val="single" w:sz="8" w:space="0" w:color="auto"/>
            </w:tcBorders>
            <w:shd w:val="clear" w:color="auto" w:fill="auto"/>
            <w:noWrap/>
            <w:vAlign w:val="center"/>
            <w:hideMark/>
          </w:tcPr>
          <w:p w14:paraId="17353C9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$2,073 </w:t>
            </w:r>
          </w:p>
        </w:tc>
        <w:tc>
          <w:tcPr>
            <w:tcW w:w="832" w:type="pct"/>
            <w:tcBorders>
              <w:top w:val="nil"/>
              <w:left w:val="nil"/>
              <w:bottom w:val="single" w:sz="8" w:space="0" w:color="auto"/>
              <w:right w:val="single" w:sz="8" w:space="0" w:color="auto"/>
            </w:tcBorders>
            <w:shd w:val="clear" w:color="auto" w:fill="auto"/>
            <w:noWrap/>
            <w:vAlign w:val="center"/>
            <w:hideMark/>
          </w:tcPr>
          <w:p w14:paraId="706343E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$405,172 </w:t>
            </w:r>
          </w:p>
        </w:tc>
      </w:tr>
      <w:tr w:rsidR="00B97529" w:rsidRPr="002608B2" w14:paraId="39F56155"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5652541"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70</w:t>
            </w:r>
          </w:p>
        </w:tc>
        <w:tc>
          <w:tcPr>
            <w:tcW w:w="1328" w:type="pct"/>
            <w:tcBorders>
              <w:top w:val="nil"/>
              <w:left w:val="nil"/>
              <w:bottom w:val="single" w:sz="8" w:space="0" w:color="auto"/>
              <w:right w:val="single" w:sz="8" w:space="0" w:color="auto"/>
            </w:tcBorders>
            <w:shd w:val="clear" w:color="auto" w:fill="auto"/>
            <w:noWrap/>
            <w:vAlign w:val="center"/>
            <w:hideMark/>
          </w:tcPr>
          <w:p w14:paraId="74532A18"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GILROY</w:t>
            </w:r>
          </w:p>
        </w:tc>
        <w:tc>
          <w:tcPr>
            <w:tcW w:w="705" w:type="pct"/>
            <w:tcBorders>
              <w:top w:val="nil"/>
              <w:left w:val="nil"/>
              <w:bottom w:val="single" w:sz="8" w:space="0" w:color="auto"/>
              <w:right w:val="single" w:sz="8" w:space="0" w:color="auto"/>
            </w:tcBorders>
            <w:shd w:val="clear" w:color="auto" w:fill="auto"/>
            <w:noWrap/>
            <w:vAlign w:val="center"/>
            <w:hideMark/>
          </w:tcPr>
          <w:p w14:paraId="3582C1B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$109,138 </w:t>
            </w:r>
          </w:p>
        </w:tc>
        <w:tc>
          <w:tcPr>
            <w:tcW w:w="832" w:type="pct"/>
            <w:tcBorders>
              <w:top w:val="nil"/>
              <w:left w:val="nil"/>
              <w:bottom w:val="single" w:sz="8" w:space="0" w:color="auto"/>
              <w:right w:val="single" w:sz="8" w:space="0" w:color="auto"/>
            </w:tcBorders>
            <w:shd w:val="clear" w:color="auto" w:fill="auto"/>
            <w:noWrap/>
            <w:vAlign w:val="center"/>
            <w:hideMark/>
          </w:tcPr>
          <w:p w14:paraId="744F8CE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$3,159,344 </w:t>
            </w:r>
          </w:p>
        </w:tc>
        <w:tc>
          <w:tcPr>
            <w:tcW w:w="703" w:type="pct"/>
            <w:tcBorders>
              <w:top w:val="nil"/>
              <w:left w:val="nil"/>
              <w:bottom w:val="single" w:sz="8" w:space="0" w:color="auto"/>
              <w:right w:val="single" w:sz="8" w:space="0" w:color="auto"/>
            </w:tcBorders>
            <w:shd w:val="clear" w:color="auto" w:fill="auto"/>
            <w:noWrap/>
            <w:vAlign w:val="center"/>
            <w:hideMark/>
          </w:tcPr>
          <w:p w14:paraId="2ADE90C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$16,085 </w:t>
            </w:r>
          </w:p>
        </w:tc>
        <w:tc>
          <w:tcPr>
            <w:tcW w:w="832" w:type="pct"/>
            <w:tcBorders>
              <w:top w:val="nil"/>
              <w:left w:val="nil"/>
              <w:bottom w:val="single" w:sz="8" w:space="0" w:color="auto"/>
              <w:right w:val="single" w:sz="8" w:space="0" w:color="auto"/>
            </w:tcBorders>
            <w:shd w:val="clear" w:color="auto" w:fill="auto"/>
            <w:noWrap/>
            <w:vAlign w:val="center"/>
            <w:hideMark/>
          </w:tcPr>
          <w:p w14:paraId="3765081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$3,143,259 </w:t>
            </w:r>
          </w:p>
        </w:tc>
      </w:tr>
      <w:tr w:rsidR="00B97529" w:rsidRPr="002608B2" w14:paraId="792BA575"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5A3CC14"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71</w:t>
            </w:r>
          </w:p>
        </w:tc>
        <w:tc>
          <w:tcPr>
            <w:tcW w:w="1328" w:type="pct"/>
            <w:tcBorders>
              <w:top w:val="nil"/>
              <w:left w:val="nil"/>
              <w:bottom w:val="single" w:sz="8" w:space="0" w:color="auto"/>
              <w:right w:val="single" w:sz="8" w:space="0" w:color="auto"/>
            </w:tcBorders>
            <w:shd w:val="clear" w:color="auto" w:fill="auto"/>
            <w:noWrap/>
            <w:vAlign w:val="center"/>
            <w:hideMark/>
          </w:tcPr>
          <w:p w14:paraId="47D8D8B5"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LOS ALTOS HILLS</w:t>
            </w:r>
          </w:p>
        </w:tc>
        <w:tc>
          <w:tcPr>
            <w:tcW w:w="705" w:type="pct"/>
            <w:tcBorders>
              <w:top w:val="nil"/>
              <w:left w:val="nil"/>
              <w:bottom w:val="single" w:sz="8" w:space="0" w:color="auto"/>
              <w:right w:val="single" w:sz="8" w:space="0" w:color="auto"/>
            </w:tcBorders>
            <w:shd w:val="clear" w:color="auto" w:fill="auto"/>
            <w:noWrap/>
            <w:vAlign w:val="center"/>
            <w:hideMark/>
          </w:tcPr>
          <w:p w14:paraId="64FE6F7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$27,692 </w:t>
            </w:r>
          </w:p>
        </w:tc>
        <w:tc>
          <w:tcPr>
            <w:tcW w:w="832" w:type="pct"/>
            <w:tcBorders>
              <w:top w:val="nil"/>
              <w:left w:val="nil"/>
              <w:bottom w:val="single" w:sz="8" w:space="0" w:color="auto"/>
              <w:right w:val="single" w:sz="8" w:space="0" w:color="auto"/>
            </w:tcBorders>
            <w:shd w:val="clear" w:color="auto" w:fill="auto"/>
            <w:noWrap/>
            <w:vAlign w:val="center"/>
            <w:hideMark/>
          </w:tcPr>
          <w:p w14:paraId="1008298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$249,951 </w:t>
            </w:r>
          </w:p>
        </w:tc>
        <w:tc>
          <w:tcPr>
            <w:tcW w:w="703" w:type="pct"/>
            <w:tcBorders>
              <w:top w:val="nil"/>
              <w:left w:val="nil"/>
              <w:bottom w:val="single" w:sz="8" w:space="0" w:color="auto"/>
              <w:right w:val="single" w:sz="8" w:space="0" w:color="auto"/>
            </w:tcBorders>
            <w:shd w:val="clear" w:color="auto" w:fill="auto"/>
            <w:noWrap/>
            <w:vAlign w:val="center"/>
            <w:hideMark/>
          </w:tcPr>
          <w:p w14:paraId="242D604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$1,273 </w:t>
            </w:r>
          </w:p>
        </w:tc>
        <w:tc>
          <w:tcPr>
            <w:tcW w:w="832" w:type="pct"/>
            <w:tcBorders>
              <w:top w:val="nil"/>
              <w:left w:val="nil"/>
              <w:bottom w:val="single" w:sz="8" w:space="0" w:color="auto"/>
              <w:right w:val="single" w:sz="8" w:space="0" w:color="auto"/>
            </w:tcBorders>
            <w:shd w:val="clear" w:color="auto" w:fill="auto"/>
            <w:noWrap/>
            <w:vAlign w:val="center"/>
            <w:hideMark/>
          </w:tcPr>
          <w:p w14:paraId="7BD36DE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$248,678 </w:t>
            </w:r>
          </w:p>
        </w:tc>
      </w:tr>
      <w:tr w:rsidR="00B97529" w:rsidRPr="002608B2" w14:paraId="411DC4E7"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A776D6C"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72</w:t>
            </w:r>
          </w:p>
        </w:tc>
        <w:tc>
          <w:tcPr>
            <w:tcW w:w="1328" w:type="pct"/>
            <w:tcBorders>
              <w:top w:val="nil"/>
              <w:left w:val="nil"/>
              <w:bottom w:val="single" w:sz="8" w:space="0" w:color="auto"/>
              <w:right w:val="single" w:sz="8" w:space="0" w:color="auto"/>
            </w:tcBorders>
            <w:shd w:val="clear" w:color="auto" w:fill="auto"/>
            <w:noWrap/>
            <w:vAlign w:val="center"/>
            <w:hideMark/>
          </w:tcPr>
          <w:p w14:paraId="72AD7BB5"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MONTE SERENO</w:t>
            </w:r>
          </w:p>
        </w:tc>
        <w:tc>
          <w:tcPr>
            <w:tcW w:w="705" w:type="pct"/>
            <w:tcBorders>
              <w:top w:val="nil"/>
              <w:left w:val="nil"/>
              <w:bottom w:val="single" w:sz="8" w:space="0" w:color="auto"/>
              <w:right w:val="single" w:sz="8" w:space="0" w:color="auto"/>
            </w:tcBorders>
            <w:shd w:val="clear" w:color="auto" w:fill="auto"/>
            <w:noWrap/>
            <w:vAlign w:val="center"/>
            <w:hideMark/>
          </w:tcPr>
          <w:p w14:paraId="046FC6C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$11,630 </w:t>
            </w:r>
          </w:p>
        </w:tc>
        <w:tc>
          <w:tcPr>
            <w:tcW w:w="832" w:type="pct"/>
            <w:tcBorders>
              <w:top w:val="nil"/>
              <w:left w:val="nil"/>
              <w:bottom w:val="single" w:sz="8" w:space="0" w:color="auto"/>
              <w:right w:val="single" w:sz="8" w:space="0" w:color="auto"/>
            </w:tcBorders>
            <w:shd w:val="clear" w:color="auto" w:fill="auto"/>
            <w:noWrap/>
            <w:vAlign w:val="center"/>
            <w:hideMark/>
          </w:tcPr>
          <w:p w14:paraId="4F2A0CE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$509,749 </w:t>
            </w:r>
          </w:p>
        </w:tc>
        <w:tc>
          <w:tcPr>
            <w:tcW w:w="703" w:type="pct"/>
            <w:tcBorders>
              <w:top w:val="nil"/>
              <w:left w:val="nil"/>
              <w:bottom w:val="single" w:sz="8" w:space="0" w:color="auto"/>
              <w:right w:val="single" w:sz="8" w:space="0" w:color="auto"/>
            </w:tcBorders>
            <w:shd w:val="clear" w:color="auto" w:fill="auto"/>
            <w:noWrap/>
            <w:vAlign w:val="center"/>
            <w:hideMark/>
          </w:tcPr>
          <w:p w14:paraId="1B3E95E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$2,595 </w:t>
            </w:r>
          </w:p>
        </w:tc>
        <w:tc>
          <w:tcPr>
            <w:tcW w:w="832" w:type="pct"/>
            <w:tcBorders>
              <w:top w:val="nil"/>
              <w:left w:val="nil"/>
              <w:bottom w:val="single" w:sz="8" w:space="0" w:color="auto"/>
              <w:right w:val="single" w:sz="8" w:space="0" w:color="auto"/>
            </w:tcBorders>
            <w:shd w:val="clear" w:color="auto" w:fill="auto"/>
            <w:noWrap/>
            <w:vAlign w:val="center"/>
            <w:hideMark/>
          </w:tcPr>
          <w:p w14:paraId="4B095C1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$507,154 </w:t>
            </w:r>
          </w:p>
        </w:tc>
      </w:tr>
      <w:tr w:rsidR="00B97529" w:rsidRPr="002608B2" w14:paraId="3B7A6E31"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E17ABC2"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73</w:t>
            </w:r>
          </w:p>
        </w:tc>
        <w:tc>
          <w:tcPr>
            <w:tcW w:w="1328" w:type="pct"/>
            <w:tcBorders>
              <w:top w:val="nil"/>
              <w:left w:val="nil"/>
              <w:bottom w:val="single" w:sz="8" w:space="0" w:color="auto"/>
              <w:right w:val="single" w:sz="8" w:space="0" w:color="auto"/>
            </w:tcBorders>
            <w:shd w:val="clear" w:color="auto" w:fill="auto"/>
            <w:noWrap/>
            <w:vAlign w:val="center"/>
            <w:hideMark/>
          </w:tcPr>
          <w:p w14:paraId="5D250326"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SARATOGA</w:t>
            </w:r>
          </w:p>
        </w:tc>
        <w:tc>
          <w:tcPr>
            <w:tcW w:w="705" w:type="pct"/>
            <w:tcBorders>
              <w:top w:val="nil"/>
              <w:left w:val="nil"/>
              <w:bottom w:val="single" w:sz="8" w:space="0" w:color="auto"/>
              <w:right w:val="single" w:sz="8" w:space="0" w:color="auto"/>
            </w:tcBorders>
            <w:shd w:val="clear" w:color="auto" w:fill="auto"/>
            <w:noWrap/>
            <w:vAlign w:val="center"/>
            <w:hideMark/>
          </w:tcPr>
          <w:p w14:paraId="6FF6A23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$94,923 </w:t>
            </w:r>
          </w:p>
        </w:tc>
        <w:tc>
          <w:tcPr>
            <w:tcW w:w="832" w:type="pct"/>
            <w:tcBorders>
              <w:top w:val="nil"/>
              <w:left w:val="nil"/>
              <w:bottom w:val="single" w:sz="8" w:space="0" w:color="auto"/>
              <w:right w:val="single" w:sz="8" w:space="0" w:color="auto"/>
            </w:tcBorders>
            <w:shd w:val="clear" w:color="auto" w:fill="auto"/>
            <w:noWrap/>
            <w:vAlign w:val="center"/>
            <w:hideMark/>
          </w:tcPr>
          <w:p w14:paraId="63B9266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$3,956,198 </w:t>
            </w:r>
          </w:p>
        </w:tc>
        <w:tc>
          <w:tcPr>
            <w:tcW w:w="703" w:type="pct"/>
            <w:tcBorders>
              <w:top w:val="nil"/>
              <w:left w:val="nil"/>
              <w:bottom w:val="single" w:sz="8" w:space="0" w:color="auto"/>
              <w:right w:val="single" w:sz="8" w:space="0" w:color="auto"/>
            </w:tcBorders>
            <w:shd w:val="clear" w:color="auto" w:fill="auto"/>
            <w:noWrap/>
            <w:vAlign w:val="center"/>
            <w:hideMark/>
          </w:tcPr>
          <w:p w14:paraId="5102961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$20,142 </w:t>
            </w:r>
          </w:p>
        </w:tc>
        <w:tc>
          <w:tcPr>
            <w:tcW w:w="832" w:type="pct"/>
            <w:tcBorders>
              <w:top w:val="nil"/>
              <w:left w:val="nil"/>
              <w:bottom w:val="single" w:sz="8" w:space="0" w:color="auto"/>
              <w:right w:val="single" w:sz="8" w:space="0" w:color="auto"/>
            </w:tcBorders>
            <w:shd w:val="clear" w:color="auto" w:fill="auto"/>
            <w:noWrap/>
            <w:vAlign w:val="center"/>
            <w:hideMark/>
          </w:tcPr>
          <w:p w14:paraId="6B446F9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$3,936,056 </w:t>
            </w:r>
          </w:p>
        </w:tc>
      </w:tr>
      <w:tr w:rsidR="00B97529" w:rsidRPr="002608B2" w14:paraId="34A59C73"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2E22265"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74</w:t>
            </w:r>
          </w:p>
        </w:tc>
        <w:tc>
          <w:tcPr>
            <w:tcW w:w="1328" w:type="pct"/>
            <w:tcBorders>
              <w:top w:val="nil"/>
              <w:left w:val="nil"/>
              <w:bottom w:val="single" w:sz="8" w:space="0" w:color="auto"/>
              <w:right w:val="single" w:sz="8" w:space="0" w:color="auto"/>
            </w:tcBorders>
            <w:shd w:val="clear" w:color="auto" w:fill="auto"/>
            <w:noWrap/>
            <w:vAlign w:val="center"/>
            <w:hideMark/>
          </w:tcPr>
          <w:p w14:paraId="184E594E"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SCOTTS VALLEY</w:t>
            </w:r>
          </w:p>
        </w:tc>
        <w:tc>
          <w:tcPr>
            <w:tcW w:w="705" w:type="pct"/>
            <w:tcBorders>
              <w:top w:val="nil"/>
              <w:left w:val="nil"/>
              <w:bottom w:val="single" w:sz="8" w:space="0" w:color="auto"/>
              <w:right w:val="single" w:sz="8" w:space="0" w:color="auto"/>
            </w:tcBorders>
            <w:shd w:val="clear" w:color="auto" w:fill="auto"/>
            <w:noWrap/>
            <w:vAlign w:val="center"/>
            <w:hideMark/>
          </w:tcPr>
          <w:p w14:paraId="10C4CC4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$34,075 </w:t>
            </w:r>
          </w:p>
        </w:tc>
        <w:tc>
          <w:tcPr>
            <w:tcW w:w="832" w:type="pct"/>
            <w:tcBorders>
              <w:top w:val="nil"/>
              <w:left w:val="nil"/>
              <w:bottom w:val="single" w:sz="8" w:space="0" w:color="auto"/>
              <w:right w:val="single" w:sz="8" w:space="0" w:color="auto"/>
            </w:tcBorders>
            <w:shd w:val="clear" w:color="auto" w:fill="auto"/>
            <w:noWrap/>
            <w:vAlign w:val="center"/>
            <w:hideMark/>
          </w:tcPr>
          <w:p w14:paraId="68DE339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$1,199,763 </w:t>
            </w:r>
          </w:p>
        </w:tc>
        <w:tc>
          <w:tcPr>
            <w:tcW w:w="703" w:type="pct"/>
            <w:tcBorders>
              <w:top w:val="nil"/>
              <w:left w:val="nil"/>
              <w:bottom w:val="single" w:sz="8" w:space="0" w:color="auto"/>
              <w:right w:val="single" w:sz="8" w:space="0" w:color="auto"/>
            </w:tcBorders>
            <w:shd w:val="clear" w:color="auto" w:fill="auto"/>
            <w:noWrap/>
            <w:vAlign w:val="center"/>
            <w:hideMark/>
          </w:tcPr>
          <w:p w14:paraId="2F6EC3C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$6,108 </w:t>
            </w:r>
          </w:p>
        </w:tc>
        <w:tc>
          <w:tcPr>
            <w:tcW w:w="832" w:type="pct"/>
            <w:tcBorders>
              <w:top w:val="nil"/>
              <w:left w:val="nil"/>
              <w:bottom w:val="single" w:sz="8" w:space="0" w:color="auto"/>
              <w:right w:val="single" w:sz="8" w:space="0" w:color="auto"/>
            </w:tcBorders>
            <w:shd w:val="clear" w:color="auto" w:fill="auto"/>
            <w:noWrap/>
            <w:vAlign w:val="center"/>
            <w:hideMark/>
          </w:tcPr>
          <w:p w14:paraId="4758CC6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$1,193,655 </w:t>
            </w:r>
          </w:p>
        </w:tc>
      </w:tr>
      <w:tr w:rsidR="00B97529" w:rsidRPr="002608B2" w14:paraId="6BBB8FFA"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06FC13E"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75</w:t>
            </w:r>
          </w:p>
        </w:tc>
        <w:tc>
          <w:tcPr>
            <w:tcW w:w="1328" w:type="pct"/>
            <w:tcBorders>
              <w:top w:val="nil"/>
              <w:left w:val="nil"/>
              <w:bottom w:val="single" w:sz="8" w:space="0" w:color="auto"/>
              <w:right w:val="single" w:sz="8" w:space="0" w:color="auto"/>
            </w:tcBorders>
            <w:shd w:val="clear" w:color="auto" w:fill="auto"/>
            <w:noWrap/>
            <w:vAlign w:val="center"/>
            <w:hideMark/>
          </w:tcPr>
          <w:p w14:paraId="6A553CB7"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SHASTA LAKE</w:t>
            </w:r>
          </w:p>
        </w:tc>
        <w:tc>
          <w:tcPr>
            <w:tcW w:w="705" w:type="pct"/>
            <w:tcBorders>
              <w:top w:val="nil"/>
              <w:left w:val="nil"/>
              <w:bottom w:val="single" w:sz="8" w:space="0" w:color="auto"/>
              <w:right w:val="single" w:sz="8" w:space="0" w:color="auto"/>
            </w:tcBorders>
            <w:shd w:val="clear" w:color="auto" w:fill="auto"/>
            <w:noWrap/>
            <w:vAlign w:val="center"/>
            <w:hideMark/>
          </w:tcPr>
          <w:p w14:paraId="6307267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$522 </w:t>
            </w:r>
          </w:p>
        </w:tc>
        <w:tc>
          <w:tcPr>
            <w:tcW w:w="832" w:type="pct"/>
            <w:tcBorders>
              <w:top w:val="nil"/>
              <w:left w:val="nil"/>
              <w:bottom w:val="single" w:sz="8" w:space="0" w:color="auto"/>
              <w:right w:val="single" w:sz="8" w:space="0" w:color="auto"/>
            </w:tcBorders>
            <w:shd w:val="clear" w:color="auto" w:fill="auto"/>
            <w:noWrap/>
            <w:vAlign w:val="center"/>
            <w:hideMark/>
          </w:tcPr>
          <w:p w14:paraId="245BE2A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$8,082 </w:t>
            </w:r>
          </w:p>
        </w:tc>
        <w:tc>
          <w:tcPr>
            <w:tcW w:w="703" w:type="pct"/>
            <w:tcBorders>
              <w:top w:val="nil"/>
              <w:left w:val="nil"/>
              <w:bottom w:val="single" w:sz="8" w:space="0" w:color="auto"/>
              <w:right w:val="single" w:sz="8" w:space="0" w:color="auto"/>
            </w:tcBorders>
            <w:shd w:val="clear" w:color="auto" w:fill="auto"/>
            <w:noWrap/>
            <w:vAlign w:val="center"/>
            <w:hideMark/>
          </w:tcPr>
          <w:p w14:paraId="7413BDD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$41 </w:t>
            </w:r>
          </w:p>
        </w:tc>
        <w:tc>
          <w:tcPr>
            <w:tcW w:w="832" w:type="pct"/>
            <w:tcBorders>
              <w:top w:val="nil"/>
              <w:left w:val="nil"/>
              <w:bottom w:val="single" w:sz="8" w:space="0" w:color="auto"/>
              <w:right w:val="single" w:sz="8" w:space="0" w:color="auto"/>
            </w:tcBorders>
            <w:shd w:val="clear" w:color="auto" w:fill="auto"/>
            <w:noWrap/>
            <w:vAlign w:val="center"/>
            <w:hideMark/>
          </w:tcPr>
          <w:p w14:paraId="3466EDB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$8,041 </w:t>
            </w:r>
          </w:p>
        </w:tc>
      </w:tr>
      <w:tr w:rsidR="00B97529" w:rsidRPr="002608B2" w14:paraId="2D9CCE8C"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58F50A0"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76</w:t>
            </w:r>
          </w:p>
        </w:tc>
        <w:tc>
          <w:tcPr>
            <w:tcW w:w="1328" w:type="pct"/>
            <w:tcBorders>
              <w:top w:val="nil"/>
              <w:left w:val="nil"/>
              <w:bottom w:val="single" w:sz="8" w:space="0" w:color="auto"/>
              <w:right w:val="single" w:sz="8" w:space="0" w:color="auto"/>
            </w:tcBorders>
            <w:shd w:val="clear" w:color="auto" w:fill="auto"/>
            <w:noWrap/>
            <w:vAlign w:val="center"/>
            <w:hideMark/>
          </w:tcPr>
          <w:p w14:paraId="3614C5B2"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SIERRA COUNTY</w:t>
            </w:r>
          </w:p>
        </w:tc>
        <w:tc>
          <w:tcPr>
            <w:tcW w:w="705" w:type="pct"/>
            <w:tcBorders>
              <w:top w:val="nil"/>
              <w:left w:val="nil"/>
              <w:bottom w:val="single" w:sz="8" w:space="0" w:color="auto"/>
              <w:right w:val="single" w:sz="8" w:space="0" w:color="auto"/>
            </w:tcBorders>
            <w:shd w:val="clear" w:color="auto" w:fill="auto"/>
            <w:noWrap/>
            <w:vAlign w:val="center"/>
            <w:hideMark/>
          </w:tcPr>
          <w:p w14:paraId="55F100A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$12,346 </w:t>
            </w:r>
          </w:p>
        </w:tc>
        <w:tc>
          <w:tcPr>
            <w:tcW w:w="832" w:type="pct"/>
            <w:tcBorders>
              <w:top w:val="nil"/>
              <w:left w:val="nil"/>
              <w:bottom w:val="single" w:sz="8" w:space="0" w:color="auto"/>
              <w:right w:val="single" w:sz="8" w:space="0" w:color="auto"/>
            </w:tcBorders>
            <w:shd w:val="clear" w:color="auto" w:fill="auto"/>
            <w:noWrap/>
            <w:vAlign w:val="center"/>
            <w:hideMark/>
          </w:tcPr>
          <w:p w14:paraId="19B2C8F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$451,527 </w:t>
            </w:r>
          </w:p>
        </w:tc>
        <w:tc>
          <w:tcPr>
            <w:tcW w:w="703" w:type="pct"/>
            <w:tcBorders>
              <w:top w:val="nil"/>
              <w:left w:val="nil"/>
              <w:bottom w:val="single" w:sz="8" w:space="0" w:color="auto"/>
              <w:right w:val="single" w:sz="8" w:space="0" w:color="auto"/>
            </w:tcBorders>
            <w:shd w:val="clear" w:color="auto" w:fill="auto"/>
            <w:noWrap/>
            <w:vAlign w:val="center"/>
            <w:hideMark/>
          </w:tcPr>
          <w:p w14:paraId="7AD5158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$2,299 </w:t>
            </w:r>
          </w:p>
        </w:tc>
        <w:tc>
          <w:tcPr>
            <w:tcW w:w="832" w:type="pct"/>
            <w:tcBorders>
              <w:top w:val="nil"/>
              <w:left w:val="nil"/>
              <w:bottom w:val="single" w:sz="8" w:space="0" w:color="auto"/>
              <w:right w:val="single" w:sz="8" w:space="0" w:color="auto"/>
            </w:tcBorders>
            <w:shd w:val="clear" w:color="auto" w:fill="auto"/>
            <w:noWrap/>
            <w:vAlign w:val="center"/>
            <w:hideMark/>
          </w:tcPr>
          <w:p w14:paraId="5BA6EB4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$449,228 </w:t>
            </w:r>
          </w:p>
        </w:tc>
      </w:tr>
      <w:tr w:rsidR="00B97529" w:rsidRPr="002608B2" w14:paraId="2A021E86"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73AC9CD5"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77</w:t>
            </w:r>
          </w:p>
        </w:tc>
        <w:tc>
          <w:tcPr>
            <w:tcW w:w="1328" w:type="pct"/>
            <w:tcBorders>
              <w:top w:val="nil"/>
              <w:left w:val="nil"/>
              <w:bottom w:val="single" w:sz="8" w:space="0" w:color="auto"/>
              <w:right w:val="single" w:sz="8" w:space="0" w:color="auto"/>
            </w:tcBorders>
            <w:shd w:val="clear" w:color="auto" w:fill="auto"/>
            <w:noWrap/>
            <w:vAlign w:val="center"/>
            <w:hideMark/>
          </w:tcPr>
          <w:p w14:paraId="40099EA0"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SISKIYOU COUNTY</w:t>
            </w:r>
          </w:p>
        </w:tc>
        <w:tc>
          <w:tcPr>
            <w:tcW w:w="705" w:type="pct"/>
            <w:tcBorders>
              <w:top w:val="nil"/>
              <w:left w:val="nil"/>
              <w:bottom w:val="single" w:sz="8" w:space="0" w:color="auto"/>
              <w:right w:val="single" w:sz="8" w:space="0" w:color="auto"/>
            </w:tcBorders>
            <w:shd w:val="clear" w:color="auto" w:fill="auto"/>
            <w:noWrap/>
            <w:vAlign w:val="center"/>
            <w:hideMark/>
          </w:tcPr>
          <w:p w14:paraId="4C1734B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$478 </w:t>
            </w:r>
          </w:p>
        </w:tc>
        <w:tc>
          <w:tcPr>
            <w:tcW w:w="832" w:type="pct"/>
            <w:tcBorders>
              <w:top w:val="nil"/>
              <w:left w:val="nil"/>
              <w:bottom w:val="single" w:sz="8" w:space="0" w:color="auto"/>
              <w:right w:val="single" w:sz="8" w:space="0" w:color="auto"/>
            </w:tcBorders>
            <w:shd w:val="clear" w:color="auto" w:fill="auto"/>
            <w:noWrap/>
            <w:vAlign w:val="center"/>
            <w:hideMark/>
          </w:tcPr>
          <w:p w14:paraId="314E537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$39,102 </w:t>
            </w:r>
          </w:p>
        </w:tc>
        <w:tc>
          <w:tcPr>
            <w:tcW w:w="703" w:type="pct"/>
            <w:tcBorders>
              <w:top w:val="nil"/>
              <w:left w:val="nil"/>
              <w:bottom w:val="single" w:sz="8" w:space="0" w:color="auto"/>
              <w:right w:val="single" w:sz="8" w:space="0" w:color="auto"/>
            </w:tcBorders>
            <w:shd w:val="clear" w:color="auto" w:fill="auto"/>
            <w:noWrap/>
            <w:vAlign w:val="center"/>
            <w:hideMark/>
          </w:tcPr>
          <w:p w14:paraId="24E4767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$199 </w:t>
            </w:r>
          </w:p>
        </w:tc>
        <w:tc>
          <w:tcPr>
            <w:tcW w:w="832" w:type="pct"/>
            <w:tcBorders>
              <w:top w:val="nil"/>
              <w:left w:val="nil"/>
              <w:bottom w:val="single" w:sz="8" w:space="0" w:color="auto"/>
              <w:right w:val="single" w:sz="8" w:space="0" w:color="auto"/>
            </w:tcBorders>
            <w:shd w:val="clear" w:color="auto" w:fill="auto"/>
            <w:noWrap/>
            <w:vAlign w:val="center"/>
            <w:hideMark/>
          </w:tcPr>
          <w:p w14:paraId="6BA1673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$38,903 </w:t>
            </w:r>
          </w:p>
        </w:tc>
      </w:tr>
      <w:tr w:rsidR="00B97529" w:rsidRPr="002608B2" w14:paraId="12C11D00"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E59B74C"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78</w:t>
            </w:r>
          </w:p>
        </w:tc>
        <w:tc>
          <w:tcPr>
            <w:tcW w:w="1328" w:type="pct"/>
            <w:tcBorders>
              <w:top w:val="nil"/>
              <w:left w:val="nil"/>
              <w:bottom w:val="single" w:sz="8" w:space="0" w:color="auto"/>
              <w:right w:val="single" w:sz="8" w:space="0" w:color="auto"/>
            </w:tcBorders>
            <w:shd w:val="clear" w:color="auto" w:fill="auto"/>
            <w:noWrap/>
            <w:vAlign w:val="center"/>
            <w:hideMark/>
          </w:tcPr>
          <w:p w14:paraId="42D9B66D"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BENICIA</w:t>
            </w:r>
          </w:p>
        </w:tc>
        <w:tc>
          <w:tcPr>
            <w:tcW w:w="705" w:type="pct"/>
            <w:tcBorders>
              <w:top w:val="nil"/>
              <w:left w:val="nil"/>
              <w:bottom w:val="single" w:sz="8" w:space="0" w:color="auto"/>
              <w:right w:val="single" w:sz="8" w:space="0" w:color="auto"/>
            </w:tcBorders>
            <w:shd w:val="clear" w:color="auto" w:fill="auto"/>
            <w:noWrap/>
            <w:vAlign w:val="center"/>
            <w:hideMark/>
          </w:tcPr>
          <w:p w14:paraId="353848F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$76,360 </w:t>
            </w:r>
          </w:p>
        </w:tc>
        <w:tc>
          <w:tcPr>
            <w:tcW w:w="832" w:type="pct"/>
            <w:tcBorders>
              <w:top w:val="nil"/>
              <w:left w:val="nil"/>
              <w:bottom w:val="single" w:sz="8" w:space="0" w:color="auto"/>
              <w:right w:val="single" w:sz="8" w:space="0" w:color="auto"/>
            </w:tcBorders>
            <w:shd w:val="clear" w:color="auto" w:fill="auto"/>
            <w:noWrap/>
            <w:vAlign w:val="center"/>
            <w:hideMark/>
          </w:tcPr>
          <w:p w14:paraId="4B531B1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$2,415,523 </w:t>
            </w:r>
          </w:p>
        </w:tc>
        <w:tc>
          <w:tcPr>
            <w:tcW w:w="703" w:type="pct"/>
            <w:tcBorders>
              <w:top w:val="nil"/>
              <w:left w:val="nil"/>
              <w:bottom w:val="single" w:sz="8" w:space="0" w:color="auto"/>
              <w:right w:val="single" w:sz="8" w:space="0" w:color="auto"/>
            </w:tcBorders>
            <w:shd w:val="clear" w:color="auto" w:fill="auto"/>
            <w:noWrap/>
            <w:vAlign w:val="center"/>
            <w:hideMark/>
          </w:tcPr>
          <w:p w14:paraId="4E44385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$12,298 </w:t>
            </w:r>
          </w:p>
        </w:tc>
        <w:tc>
          <w:tcPr>
            <w:tcW w:w="832" w:type="pct"/>
            <w:tcBorders>
              <w:top w:val="nil"/>
              <w:left w:val="nil"/>
              <w:bottom w:val="single" w:sz="8" w:space="0" w:color="auto"/>
              <w:right w:val="single" w:sz="8" w:space="0" w:color="auto"/>
            </w:tcBorders>
            <w:shd w:val="clear" w:color="auto" w:fill="auto"/>
            <w:noWrap/>
            <w:vAlign w:val="center"/>
            <w:hideMark/>
          </w:tcPr>
          <w:p w14:paraId="2A3372A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$2,403,225 </w:t>
            </w:r>
          </w:p>
        </w:tc>
      </w:tr>
      <w:tr w:rsidR="00B97529" w:rsidRPr="002608B2" w14:paraId="0D784581"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1582374F"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79</w:t>
            </w:r>
          </w:p>
        </w:tc>
        <w:tc>
          <w:tcPr>
            <w:tcW w:w="1328" w:type="pct"/>
            <w:tcBorders>
              <w:top w:val="nil"/>
              <w:left w:val="nil"/>
              <w:bottom w:val="single" w:sz="8" w:space="0" w:color="auto"/>
              <w:right w:val="single" w:sz="8" w:space="0" w:color="auto"/>
            </w:tcBorders>
            <w:shd w:val="clear" w:color="auto" w:fill="auto"/>
            <w:noWrap/>
            <w:vAlign w:val="center"/>
            <w:hideMark/>
          </w:tcPr>
          <w:p w14:paraId="3F908EEA"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DIXON</w:t>
            </w:r>
          </w:p>
        </w:tc>
        <w:tc>
          <w:tcPr>
            <w:tcW w:w="705" w:type="pct"/>
            <w:tcBorders>
              <w:top w:val="nil"/>
              <w:left w:val="nil"/>
              <w:bottom w:val="single" w:sz="8" w:space="0" w:color="auto"/>
              <w:right w:val="single" w:sz="8" w:space="0" w:color="auto"/>
            </w:tcBorders>
            <w:shd w:val="clear" w:color="auto" w:fill="auto"/>
            <w:noWrap/>
            <w:vAlign w:val="center"/>
            <w:hideMark/>
          </w:tcPr>
          <w:p w14:paraId="27C7903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$41,674 </w:t>
            </w:r>
          </w:p>
        </w:tc>
        <w:tc>
          <w:tcPr>
            <w:tcW w:w="832" w:type="pct"/>
            <w:tcBorders>
              <w:top w:val="nil"/>
              <w:left w:val="nil"/>
              <w:bottom w:val="single" w:sz="8" w:space="0" w:color="auto"/>
              <w:right w:val="single" w:sz="8" w:space="0" w:color="auto"/>
            </w:tcBorders>
            <w:shd w:val="clear" w:color="auto" w:fill="auto"/>
            <w:noWrap/>
            <w:vAlign w:val="center"/>
            <w:hideMark/>
          </w:tcPr>
          <w:p w14:paraId="2DF41BF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$741,279 </w:t>
            </w:r>
          </w:p>
        </w:tc>
        <w:tc>
          <w:tcPr>
            <w:tcW w:w="703" w:type="pct"/>
            <w:tcBorders>
              <w:top w:val="nil"/>
              <w:left w:val="nil"/>
              <w:bottom w:val="single" w:sz="8" w:space="0" w:color="auto"/>
              <w:right w:val="single" w:sz="8" w:space="0" w:color="auto"/>
            </w:tcBorders>
            <w:shd w:val="clear" w:color="auto" w:fill="auto"/>
            <w:noWrap/>
            <w:vAlign w:val="center"/>
            <w:hideMark/>
          </w:tcPr>
          <w:p w14:paraId="08E2B7D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$3,774 </w:t>
            </w:r>
          </w:p>
        </w:tc>
        <w:tc>
          <w:tcPr>
            <w:tcW w:w="832" w:type="pct"/>
            <w:tcBorders>
              <w:top w:val="nil"/>
              <w:left w:val="nil"/>
              <w:bottom w:val="single" w:sz="8" w:space="0" w:color="auto"/>
              <w:right w:val="single" w:sz="8" w:space="0" w:color="auto"/>
            </w:tcBorders>
            <w:shd w:val="clear" w:color="auto" w:fill="auto"/>
            <w:noWrap/>
            <w:vAlign w:val="center"/>
            <w:hideMark/>
          </w:tcPr>
          <w:p w14:paraId="7CB3816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$737,505 </w:t>
            </w:r>
          </w:p>
        </w:tc>
      </w:tr>
      <w:tr w:rsidR="00B97529" w:rsidRPr="002608B2" w14:paraId="00225BC2"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A0F2DB8"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80</w:t>
            </w:r>
          </w:p>
        </w:tc>
        <w:tc>
          <w:tcPr>
            <w:tcW w:w="1328" w:type="pct"/>
            <w:tcBorders>
              <w:top w:val="nil"/>
              <w:left w:val="nil"/>
              <w:bottom w:val="single" w:sz="8" w:space="0" w:color="auto"/>
              <w:right w:val="single" w:sz="8" w:space="0" w:color="auto"/>
            </w:tcBorders>
            <w:shd w:val="clear" w:color="auto" w:fill="auto"/>
            <w:noWrap/>
            <w:vAlign w:val="center"/>
            <w:hideMark/>
          </w:tcPr>
          <w:p w14:paraId="1359CD1B"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RIO VISTA</w:t>
            </w:r>
          </w:p>
        </w:tc>
        <w:tc>
          <w:tcPr>
            <w:tcW w:w="705" w:type="pct"/>
            <w:tcBorders>
              <w:top w:val="nil"/>
              <w:left w:val="nil"/>
              <w:bottom w:val="single" w:sz="8" w:space="0" w:color="auto"/>
              <w:right w:val="single" w:sz="8" w:space="0" w:color="auto"/>
            </w:tcBorders>
            <w:shd w:val="clear" w:color="auto" w:fill="auto"/>
            <w:noWrap/>
            <w:vAlign w:val="center"/>
            <w:hideMark/>
          </w:tcPr>
          <w:p w14:paraId="771E2F7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$31,423 </w:t>
            </w:r>
          </w:p>
        </w:tc>
        <w:tc>
          <w:tcPr>
            <w:tcW w:w="832" w:type="pct"/>
            <w:tcBorders>
              <w:top w:val="nil"/>
              <w:left w:val="nil"/>
              <w:bottom w:val="single" w:sz="8" w:space="0" w:color="auto"/>
              <w:right w:val="single" w:sz="8" w:space="0" w:color="auto"/>
            </w:tcBorders>
            <w:shd w:val="clear" w:color="auto" w:fill="auto"/>
            <w:noWrap/>
            <w:vAlign w:val="center"/>
            <w:hideMark/>
          </w:tcPr>
          <w:p w14:paraId="5C0EE97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$733,436 </w:t>
            </w:r>
          </w:p>
        </w:tc>
        <w:tc>
          <w:tcPr>
            <w:tcW w:w="703" w:type="pct"/>
            <w:tcBorders>
              <w:top w:val="nil"/>
              <w:left w:val="nil"/>
              <w:bottom w:val="single" w:sz="8" w:space="0" w:color="auto"/>
              <w:right w:val="single" w:sz="8" w:space="0" w:color="auto"/>
            </w:tcBorders>
            <w:shd w:val="clear" w:color="auto" w:fill="auto"/>
            <w:noWrap/>
            <w:vAlign w:val="center"/>
            <w:hideMark/>
          </w:tcPr>
          <w:p w14:paraId="431ED41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$3,734 </w:t>
            </w:r>
          </w:p>
        </w:tc>
        <w:tc>
          <w:tcPr>
            <w:tcW w:w="832" w:type="pct"/>
            <w:tcBorders>
              <w:top w:val="nil"/>
              <w:left w:val="nil"/>
              <w:bottom w:val="single" w:sz="8" w:space="0" w:color="auto"/>
              <w:right w:val="single" w:sz="8" w:space="0" w:color="auto"/>
            </w:tcBorders>
            <w:shd w:val="clear" w:color="auto" w:fill="auto"/>
            <w:noWrap/>
            <w:vAlign w:val="center"/>
            <w:hideMark/>
          </w:tcPr>
          <w:p w14:paraId="10BB651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$729,702 </w:t>
            </w:r>
          </w:p>
        </w:tc>
      </w:tr>
      <w:tr w:rsidR="00B97529" w:rsidRPr="002608B2" w14:paraId="74C45C4F"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126D5A0"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81</w:t>
            </w:r>
          </w:p>
        </w:tc>
        <w:tc>
          <w:tcPr>
            <w:tcW w:w="1328" w:type="pct"/>
            <w:tcBorders>
              <w:top w:val="nil"/>
              <w:left w:val="nil"/>
              <w:bottom w:val="single" w:sz="8" w:space="0" w:color="auto"/>
              <w:right w:val="single" w:sz="8" w:space="0" w:color="auto"/>
            </w:tcBorders>
            <w:shd w:val="clear" w:color="auto" w:fill="auto"/>
            <w:noWrap/>
            <w:vAlign w:val="center"/>
            <w:hideMark/>
          </w:tcPr>
          <w:p w14:paraId="09DE4527"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SOLANO COUNTY</w:t>
            </w:r>
          </w:p>
        </w:tc>
        <w:tc>
          <w:tcPr>
            <w:tcW w:w="705" w:type="pct"/>
            <w:tcBorders>
              <w:top w:val="nil"/>
              <w:left w:val="nil"/>
              <w:bottom w:val="single" w:sz="8" w:space="0" w:color="auto"/>
              <w:right w:val="single" w:sz="8" w:space="0" w:color="auto"/>
            </w:tcBorders>
            <w:shd w:val="clear" w:color="auto" w:fill="auto"/>
            <w:noWrap/>
            <w:vAlign w:val="center"/>
            <w:hideMark/>
          </w:tcPr>
          <w:p w14:paraId="2F0FABD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$116,186 </w:t>
            </w:r>
          </w:p>
        </w:tc>
        <w:tc>
          <w:tcPr>
            <w:tcW w:w="832" w:type="pct"/>
            <w:tcBorders>
              <w:top w:val="nil"/>
              <w:left w:val="nil"/>
              <w:bottom w:val="single" w:sz="8" w:space="0" w:color="auto"/>
              <w:right w:val="single" w:sz="8" w:space="0" w:color="auto"/>
            </w:tcBorders>
            <w:shd w:val="clear" w:color="auto" w:fill="auto"/>
            <w:noWrap/>
            <w:vAlign w:val="center"/>
            <w:hideMark/>
          </w:tcPr>
          <w:p w14:paraId="0740BD5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$4,001,688 </w:t>
            </w:r>
          </w:p>
        </w:tc>
        <w:tc>
          <w:tcPr>
            <w:tcW w:w="703" w:type="pct"/>
            <w:tcBorders>
              <w:top w:val="nil"/>
              <w:left w:val="nil"/>
              <w:bottom w:val="single" w:sz="8" w:space="0" w:color="auto"/>
              <w:right w:val="single" w:sz="8" w:space="0" w:color="auto"/>
            </w:tcBorders>
            <w:shd w:val="clear" w:color="auto" w:fill="auto"/>
            <w:noWrap/>
            <w:vAlign w:val="center"/>
            <w:hideMark/>
          </w:tcPr>
          <w:p w14:paraId="59AD533A"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$20,373 </w:t>
            </w:r>
          </w:p>
        </w:tc>
        <w:tc>
          <w:tcPr>
            <w:tcW w:w="832" w:type="pct"/>
            <w:tcBorders>
              <w:top w:val="nil"/>
              <w:left w:val="nil"/>
              <w:bottom w:val="single" w:sz="8" w:space="0" w:color="auto"/>
              <w:right w:val="single" w:sz="8" w:space="0" w:color="auto"/>
            </w:tcBorders>
            <w:shd w:val="clear" w:color="auto" w:fill="auto"/>
            <w:noWrap/>
            <w:vAlign w:val="center"/>
            <w:hideMark/>
          </w:tcPr>
          <w:p w14:paraId="695ECBF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$3,981,315 </w:t>
            </w:r>
          </w:p>
        </w:tc>
      </w:tr>
      <w:tr w:rsidR="00B97529" w:rsidRPr="002608B2" w14:paraId="1064E483"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2C1633C4"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82</w:t>
            </w:r>
          </w:p>
        </w:tc>
        <w:tc>
          <w:tcPr>
            <w:tcW w:w="1328" w:type="pct"/>
            <w:tcBorders>
              <w:top w:val="nil"/>
              <w:left w:val="nil"/>
              <w:bottom w:val="single" w:sz="8" w:space="0" w:color="auto"/>
              <w:right w:val="single" w:sz="8" w:space="0" w:color="auto"/>
            </w:tcBorders>
            <w:shd w:val="clear" w:color="auto" w:fill="auto"/>
            <w:noWrap/>
            <w:vAlign w:val="center"/>
            <w:hideMark/>
          </w:tcPr>
          <w:p w14:paraId="6ACCC3C9"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SUISUN CITY</w:t>
            </w:r>
          </w:p>
        </w:tc>
        <w:tc>
          <w:tcPr>
            <w:tcW w:w="705" w:type="pct"/>
            <w:tcBorders>
              <w:top w:val="nil"/>
              <w:left w:val="nil"/>
              <w:bottom w:val="single" w:sz="8" w:space="0" w:color="auto"/>
              <w:right w:val="single" w:sz="8" w:space="0" w:color="auto"/>
            </w:tcBorders>
            <w:shd w:val="clear" w:color="auto" w:fill="auto"/>
            <w:noWrap/>
            <w:vAlign w:val="center"/>
            <w:hideMark/>
          </w:tcPr>
          <w:p w14:paraId="4C7FF13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$43,066 </w:t>
            </w:r>
          </w:p>
        </w:tc>
        <w:tc>
          <w:tcPr>
            <w:tcW w:w="832" w:type="pct"/>
            <w:tcBorders>
              <w:top w:val="nil"/>
              <w:left w:val="nil"/>
              <w:bottom w:val="single" w:sz="8" w:space="0" w:color="auto"/>
              <w:right w:val="single" w:sz="8" w:space="0" w:color="auto"/>
            </w:tcBorders>
            <w:shd w:val="clear" w:color="auto" w:fill="auto"/>
            <w:noWrap/>
            <w:vAlign w:val="center"/>
            <w:hideMark/>
          </w:tcPr>
          <w:p w14:paraId="6355230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$1,111,822 </w:t>
            </w:r>
          </w:p>
        </w:tc>
        <w:tc>
          <w:tcPr>
            <w:tcW w:w="703" w:type="pct"/>
            <w:tcBorders>
              <w:top w:val="nil"/>
              <w:left w:val="nil"/>
              <w:bottom w:val="single" w:sz="8" w:space="0" w:color="auto"/>
              <w:right w:val="single" w:sz="8" w:space="0" w:color="auto"/>
            </w:tcBorders>
            <w:shd w:val="clear" w:color="auto" w:fill="auto"/>
            <w:noWrap/>
            <w:vAlign w:val="center"/>
            <w:hideMark/>
          </w:tcPr>
          <w:p w14:paraId="542E3DF4"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$5,660 </w:t>
            </w:r>
          </w:p>
        </w:tc>
        <w:tc>
          <w:tcPr>
            <w:tcW w:w="832" w:type="pct"/>
            <w:tcBorders>
              <w:top w:val="nil"/>
              <w:left w:val="nil"/>
              <w:bottom w:val="single" w:sz="8" w:space="0" w:color="auto"/>
              <w:right w:val="single" w:sz="8" w:space="0" w:color="auto"/>
            </w:tcBorders>
            <w:shd w:val="clear" w:color="auto" w:fill="auto"/>
            <w:noWrap/>
            <w:vAlign w:val="center"/>
            <w:hideMark/>
          </w:tcPr>
          <w:p w14:paraId="0D0B952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$1,106,162 </w:t>
            </w:r>
          </w:p>
        </w:tc>
      </w:tr>
      <w:tr w:rsidR="00B97529" w:rsidRPr="002608B2" w14:paraId="29810C55"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099F410C"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lastRenderedPageBreak/>
              <w:t>83</w:t>
            </w:r>
          </w:p>
        </w:tc>
        <w:tc>
          <w:tcPr>
            <w:tcW w:w="1328" w:type="pct"/>
            <w:tcBorders>
              <w:top w:val="nil"/>
              <w:left w:val="nil"/>
              <w:bottom w:val="single" w:sz="8" w:space="0" w:color="auto"/>
              <w:right w:val="single" w:sz="8" w:space="0" w:color="auto"/>
            </w:tcBorders>
            <w:shd w:val="clear" w:color="auto" w:fill="auto"/>
            <w:noWrap/>
            <w:vAlign w:val="center"/>
            <w:hideMark/>
          </w:tcPr>
          <w:p w14:paraId="3D8F1977"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CLOVERDALE</w:t>
            </w:r>
          </w:p>
        </w:tc>
        <w:tc>
          <w:tcPr>
            <w:tcW w:w="705" w:type="pct"/>
            <w:tcBorders>
              <w:top w:val="nil"/>
              <w:left w:val="nil"/>
              <w:bottom w:val="single" w:sz="8" w:space="0" w:color="auto"/>
              <w:right w:val="single" w:sz="8" w:space="0" w:color="auto"/>
            </w:tcBorders>
            <w:shd w:val="clear" w:color="auto" w:fill="auto"/>
            <w:noWrap/>
            <w:vAlign w:val="center"/>
            <w:hideMark/>
          </w:tcPr>
          <w:p w14:paraId="35D0B53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$24,903 </w:t>
            </w:r>
          </w:p>
        </w:tc>
        <w:tc>
          <w:tcPr>
            <w:tcW w:w="832" w:type="pct"/>
            <w:tcBorders>
              <w:top w:val="nil"/>
              <w:left w:val="nil"/>
              <w:bottom w:val="single" w:sz="8" w:space="0" w:color="auto"/>
              <w:right w:val="single" w:sz="8" w:space="0" w:color="auto"/>
            </w:tcBorders>
            <w:shd w:val="clear" w:color="auto" w:fill="auto"/>
            <w:noWrap/>
            <w:vAlign w:val="center"/>
            <w:hideMark/>
          </w:tcPr>
          <w:p w14:paraId="22C591D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$849,840 </w:t>
            </w:r>
          </w:p>
        </w:tc>
        <w:tc>
          <w:tcPr>
            <w:tcW w:w="703" w:type="pct"/>
            <w:tcBorders>
              <w:top w:val="nil"/>
              <w:left w:val="nil"/>
              <w:bottom w:val="single" w:sz="8" w:space="0" w:color="auto"/>
              <w:right w:val="single" w:sz="8" w:space="0" w:color="auto"/>
            </w:tcBorders>
            <w:shd w:val="clear" w:color="auto" w:fill="auto"/>
            <w:noWrap/>
            <w:vAlign w:val="center"/>
            <w:hideMark/>
          </w:tcPr>
          <w:p w14:paraId="1077E2A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$4,327 </w:t>
            </w:r>
          </w:p>
        </w:tc>
        <w:tc>
          <w:tcPr>
            <w:tcW w:w="832" w:type="pct"/>
            <w:tcBorders>
              <w:top w:val="nil"/>
              <w:left w:val="nil"/>
              <w:bottom w:val="single" w:sz="8" w:space="0" w:color="auto"/>
              <w:right w:val="single" w:sz="8" w:space="0" w:color="auto"/>
            </w:tcBorders>
            <w:shd w:val="clear" w:color="auto" w:fill="auto"/>
            <w:noWrap/>
            <w:vAlign w:val="center"/>
            <w:hideMark/>
          </w:tcPr>
          <w:p w14:paraId="623F17C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$845,513 </w:t>
            </w:r>
          </w:p>
        </w:tc>
      </w:tr>
      <w:tr w:rsidR="00B97529" w:rsidRPr="002608B2" w14:paraId="6618FB22"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6C2F231"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84</w:t>
            </w:r>
          </w:p>
        </w:tc>
        <w:tc>
          <w:tcPr>
            <w:tcW w:w="1328" w:type="pct"/>
            <w:tcBorders>
              <w:top w:val="nil"/>
              <w:left w:val="nil"/>
              <w:bottom w:val="single" w:sz="8" w:space="0" w:color="auto"/>
              <w:right w:val="single" w:sz="8" w:space="0" w:color="auto"/>
            </w:tcBorders>
            <w:shd w:val="clear" w:color="auto" w:fill="auto"/>
            <w:noWrap/>
            <w:vAlign w:val="center"/>
            <w:hideMark/>
          </w:tcPr>
          <w:p w14:paraId="0FD22F6D"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COTATI</w:t>
            </w:r>
          </w:p>
        </w:tc>
        <w:tc>
          <w:tcPr>
            <w:tcW w:w="705" w:type="pct"/>
            <w:tcBorders>
              <w:top w:val="nil"/>
              <w:left w:val="nil"/>
              <w:bottom w:val="single" w:sz="8" w:space="0" w:color="auto"/>
              <w:right w:val="single" w:sz="8" w:space="0" w:color="auto"/>
            </w:tcBorders>
            <w:shd w:val="clear" w:color="auto" w:fill="auto"/>
            <w:noWrap/>
            <w:vAlign w:val="center"/>
            <w:hideMark/>
          </w:tcPr>
          <w:p w14:paraId="0D72121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$20,727 </w:t>
            </w:r>
          </w:p>
        </w:tc>
        <w:tc>
          <w:tcPr>
            <w:tcW w:w="832" w:type="pct"/>
            <w:tcBorders>
              <w:top w:val="nil"/>
              <w:left w:val="nil"/>
              <w:bottom w:val="single" w:sz="8" w:space="0" w:color="auto"/>
              <w:right w:val="single" w:sz="8" w:space="0" w:color="auto"/>
            </w:tcBorders>
            <w:shd w:val="clear" w:color="auto" w:fill="auto"/>
            <w:noWrap/>
            <w:vAlign w:val="center"/>
            <w:hideMark/>
          </w:tcPr>
          <w:p w14:paraId="6C2D87C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$614,394 </w:t>
            </w:r>
          </w:p>
        </w:tc>
        <w:tc>
          <w:tcPr>
            <w:tcW w:w="703" w:type="pct"/>
            <w:tcBorders>
              <w:top w:val="nil"/>
              <w:left w:val="nil"/>
              <w:bottom w:val="single" w:sz="8" w:space="0" w:color="auto"/>
              <w:right w:val="single" w:sz="8" w:space="0" w:color="auto"/>
            </w:tcBorders>
            <w:shd w:val="clear" w:color="auto" w:fill="auto"/>
            <w:noWrap/>
            <w:vAlign w:val="center"/>
            <w:hideMark/>
          </w:tcPr>
          <w:p w14:paraId="29BE9B5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$3,128 </w:t>
            </w:r>
          </w:p>
        </w:tc>
        <w:tc>
          <w:tcPr>
            <w:tcW w:w="832" w:type="pct"/>
            <w:tcBorders>
              <w:top w:val="nil"/>
              <w:left w:val="nil"/>
              <w:bottom w:val="single" w:sz="8" w:space="0" w:color="auto"/>
              <w:right w:val="single" w:sz="8" w:space="0" w:color="auto"/>
            </w:tcBorders>
            <w:shd w:val="clear" w:color="auto" w:fill="auto"/>
            <w:noWrap/>
            <w:vAlign w:val="center"/>
            <w:hideMark/>
          </w:tcPr>
          <w:p w14:paraId="1059F502"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$611,266 </w:t>
            </w:r>
          </w:p>
        </w:tc>
      </w:tr>
      <w:tr w:rsidR="00B97529" w:rsidRPr="002608B2" w14:paraId="22B2EC1B"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767240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85</w:t>
            </w:r>
          </w:p>
        </w:tc>
        <w:tc>
          <w:tcPr>
            <w:tcW w:w="1328" w:type="pct"/>
            <w:tcBorders>
              <w:top w:val="nil"/>
              <w:left w:val="nil"/>
              <w:bottom w:val="single" w:sz="8" w:space="0" w:color="auto"/>
              <w:right w:val="single" w:sz="8" w:space="0" w:color="auto"/>
            </w:tcBorders>
            <w:shd w:val="clear" w:color="auto" w:fill="auto"/>
            <w:noWrap/>
            <w:vAlign w:val="center"/>
            <w:hideMark/>
          </w:tcPr>
          <w:p w14:paraId="7ADE618E"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SEBASTOPOL</w:t>
            </w:r>
          </w:p>
        </w:tc>
        <w:tc>
          <w:tcPr>
            <w:tcW w:w="705" w:type="pct"/>
            <w:tcBorders>
              <w:top w:val="nil"/>
              <w:left w:val="nil"/>
              <w:bottom w:val="single" w:sz="8" w:space="0" w:color="auto"/>
              <w:right w:val="single" w:sz="8" w:space="0" w:color="auto"/>
            </w:tcBorders>
            <w:shd w:val="clear" w:color="auto" w:fill="auto"/>
            <w:noWrap/>
            <w:vAlign w:val="center"/>
            <w:hideMark/>
          </w:tcPr>
          <w:p w14:paraId="4051813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$32,455 </w:t>
            </w:r>
          </w:p>
        </w:tc>
        <w:tc>
          <w:tcPr>
            <w:tcW w:w="832" w:type="pct"/>
            <w:tcBorders>
              <w:top w:val="nil"/>
              <w:left w:val="nil"/>
              <w:bottom w:val="single" w:sz="8" w:space="0" w:color="auto"/>
              <w:right w:val="single" w:sz="8" w:space="0" w:color="auto"/>
            </w:tcBorders>
            <w:shd w:val="clear" w:color="auto" w:fill="auto"/>
            <w:noWrap/>
            <w:vAlign w:val="center"/>
            <w:hideMark/>
          </w:tcPr>
          <w:p w14:paraId="11D61157"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$994,375 </w:t>
            </w:r>
          </w:p>
        </w:tc>
        <w:tc>
          <w:tcPr>
            <w:tcW w:w="703" w:type="pct"/>
            <w:tcBorders>
              <w:top w:val="nil"/>
              <w:left w:val="nil"/>
              <w:bottom w:val="single" w:sz="8" w:space="0" w:color="auto"/>
              <w:right w:val="single" w:sz="8" w:space="0" w:color="auto"/>
            </w:tcBorders>
            <w:shd w:val="clear" w:color="auto" w:fill="auto"/>
            <w:noWrap/>
            <w:vAlign w:val="center"/>
            <w:hideMark/>
          </w:tcPr>
          <w:p w14:paraId="5C63F698"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$5,063 </w:t>
            </w:r>
          </w:p>
        </w:tc>
        <w:tc>
          <w:tcPr>
            <w:tcW w:w="832" w:type="pct"/>
            <w:tcBorders>
              <w:top w:val="nil"/>
              <w:left w:val="nil"/>
              <w:bottom w:val="single" w:sz="8" w:space="0" w:color="auto"/>
              <w:right w:val="single" w:sz="8" w:space="0" w:color="auto"/>
            </w:tcBorders>
            <w:shd w:val="clear" w:color="auto" w:fill="auto"/>
            <w:noWrap/>
            <w:vAlign w:val="center"/>
            <w:hideMark/>
          </w:tcPr>
          <w:p w14:paraId="01F803B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$989,312 </w:t>
            </w:r>
          </w:p>
        </w:tc>
      </w:tr>
      <w:tr w:rsidR="00B97529" w:rsidRPr="002608B2" w14:paraId="0ED6227F"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51887E0"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86</w:t>
            </w:r>
          </w:p>
        </w:tc>
        <w:tc>
          <w:tcPr>
            <w:tcW w:w="1328" w:type="pct"/>
            <w:tcBorders>
              <w:top w:val="nil"/>
              <w:left w:val="nil"/>
              <w:bottom w:val="single" w:sz="8" w:space="0" w:color="auto"/>
              <w:right w:val="single" w:sz="8" w:space="0" w:color="auto"/>
            </w:tcBorders>
            <w:shd w:val="clear" w:color="auto" w:fill="auto"/>
            <w:noWrap/>
            <w:vAlign w:val="center"/>
            <w:hideMark/>
          </w:tcPr>
          <w:p w14:paraId="59217277"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CORNING</w:t>
            </w:r>
          </w:p>
        </w:tc>
        <w:tc>
          <w:tcPr>
            <w:tcW w:w="705" w:type="pct"/>
            <w:tcBorders>
              <w:top w:val="nil"/>
              <w:left w:val="nil"/>
              <w:bottom w:val="single" w:sz="8" w:space="0" w:color="auto"/>
              <w:right w:val="single" w:sz="8" w:space="0" w:color="auto"/>
            </w:tcBorders>
            <w:shd w:val="clear" w:color="auto" w:fill="auto"/>
            <w:noWrap/>
            <w:vAlign w:val="center"/>
            <w:hideMark/>
          </w:tcPr>
          <w:p w14:paraId="7331341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$29,311 </w:t>
            </w:r>
          </w:p>
        </w:tc>
        <w:tc>
          <w:tcPr>
            <w:tcW w:w="832" w:type="pct"/>
            <w:tcBorders>
              <w:top w:val="nil"/>
              <w:left w:val="nil"/>
              <w:bottom w:val="single" w:sz="8" w:space="0" w:color="auto"/>
              <w:right w:val="single" w:sz="8" w:space="0" w:color="auto"/>
            </w:tcBorders>
            <w:shd w:val="clear" w:color="auto" w:fill="auto"/>
            <w:noWrap/>
            <w:vAlign w:val="center"/>
            <w:hideMark/>
          </w:tcPr>
          <w:p w14:paraId="41A94A8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$411,973 </w:t>
            </w:r>
          </w:p>
        </w:tc>
        <w:tc>
          <w:tcPr>
            <w:tcW w:w="703" w:type="pct"/>
            <w:tcBorders>
              <w:top w:val="nil"/>
              <w:left w:val="nil"/>
              <w:bottom w:val="single" w:sz="8" w:space="0" w:color="auto"/>
              <w:right w:val="single" w:sz="8" w:space="0" w:color="auto"/>
            </w:tcBorders>
            <w:shd w:val="clear" w:color="auto" w:fill="auto"/>
            <w:noWrap/>
            <w:vAlign w:val="center"/>
            <w:hideMark/>
          </w:tcPr>
          <w:p w14:paraId="169CD89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$2,097 </w:t>
            </w:r>
          </w:p>
        </w:tc>
        <w:tc>
          <w:tcPr>
            <w:tcW w:w="832" w:type="pct"/>
            <w:tcBorders>
              <w:top w:val="nil"/>
              <w:left w:val="nil"/>
              <w:bottom w:val="single" w:sz="8" w:space="0" w:color="auto"/>
              <w:right w:val="single" w:sz="8" w:space="0" w:color="auto"/>
            </w:tcBorders>
            <w:shd w:val="clear" w:color="auto" w:fill="auto"/>
            <w:noWrap/>
            <w:vAlign w:val="center"/>
            <w:hideMark/>
          </w:tcPr>
          <w:p w14:paraId="1A2EC206"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$409,876 </w:t>
            </w:r>
          </w:p>
        </w:tc>
      </w:tr>
      <w:tr w:rsidR="00B97529" w:rsidRPr="002608B2" w14:paraId="6DD7EC1E"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47F60C19"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87</w:t>
            </w:r>
          </w:p>
        </w:tc>
        <w:tc>
          <w:tcPr>
            <w:tcW w:w="1328" w:type="pct"/>
            <w:tcBorders>
              <w:top w:val="nil"/>
              <w:left w:val="nil"/>
              <w:bottom w:val="single" w:sz="8" w:space="0" w:color="auto"/>
              <w:right w:val="single" w:sz="8" w:space="0" w:color="auto"/>
            </w:tcBorders>
            <w:shd w:val="clear" w:color="auto" w:fill="auto"/>
            <w:noWrap/>
            <w:vAlign w:val="center"/>
            <w:hideMark/>
          </w:tcPr>
          <w:p w14:paraId="453AEA22"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RED BLUFF</w:t>
            </w:r>
          </w:p>
        </w:tc>
        <w:tc>
          <w:tcPr>
            <w:tcW w:w="705" w:type="pct"/>
            <w:tcBorders>
              <w:top w:val="nil"/>
              <w:left w:val="nil"/>
              <w:bottom w:val="single" w:sz="8" w:space="0" w:color="auto"/>
              <w:right w:val="single" w:sz="8" w:space="0" w:color="auto"/>
            </w:tcBorders>
            <w:shd w:val="clear" w:color="auto" w:fill="auto"/>
            <w:noWrap/>
            <w:vAlign w:val="center"/>
            <w:hideMark/>
          </w:tcPr>
          <w:p w14:paraId="0034E60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$56,101 </w:t>
            </w:r>
          </w:p>
        </w:tc>
        <w:tc>
          <w:tcPr>
            <w:tcW w:w="832" w:type="pct"/>
            <w:tcBorders>
              <w:top w:val="nil"/>
              <w:left w:val="nil"/>
              <w:bottom w:val="single" w:sz="8" w:space="0" w:color="auto"/>
              <w:right w:val="single" w:sz="8" w:space="0" w:color="auto"/>
            </w:tcBorders>
            <w:shd w:val="clear" w:color="auto" w:fill="auto"/>
            <w:noWrap/>
            <w:vAlign w:val="center"/>
            <w:hideMark/>
          </w:tcPr>
          <w:p w14:paraId="086985E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$1,545,260 </w:t>
            </w:r>
          </w:p>
        </w:tc>
        <w:tc>
          <w:tcPr>
            <w:tcW w:w="703" w:type="pct"/>
            <w:tcBorders>
              <w:top w:val="nil"/>
              <w:left w:val="nil"/>
              <w:bottom w:val="single" w:sz="8" w:space="0" w:color="auto"/>
              <w:right w:val="single" w:sz="8" w:space="0" w:color="auto"/>
            </w:tcBorders>
            <w:shd w:val="clear" w:color="auto" w:fill="auto"/>
            <w:noWrap/>
            <w:vAlign w:val="center"/>
            <w:hideMark/>
          </w:tcPr>
          <w:p w14:paraId="53434703"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$7,867 </w:t>
            </w:r>
          </w:p>
        </w:tc>
        <w:tc>
          <w:tcPr>
            <w:tcW w:w="832" w:type="pct"/>
            <w:tcBorders>
              <w:top w:val="nil"/>
              <w:left w:val="nil"/>
              <w:bottom w:val="single" w:sz="8" w:space="0" w:color="auto"/>
              <w:right w:val="single" w:sz="8" w:space="0" w:color="auto"/>
            </w:tcBorders>
            <w:shd w:val="clear" w:color="auto" w:fill="auto"/>
            <w:noWrap/>
            <w:vAlign w:val="center"/>
            <w:hideMark/>
          </w:tcPr>
          <w:p w14:paraId="5708209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$1,537,393 </w:t>
            </w:r>
          </w:p>
        </w:tc>
      </w:tr>
      <w:tr w:rsidR="00B97529" w:rsidRPr="002608B2" w14:paraId="655D86FC"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0F8A26E0"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88</w:t>
            </w:r>
          </w:p>
        </w:tc>
        <w:tc>
          <w:tcPr>
            <w:tcW w:w="1328" w:type="pct"/>
            <w:tcBorders>
              <w:top w:val="nil"/>
              <w:left w:val="nil"/>
              <w:bottom w:val="single" w:sz="8" w:space="0" w:color="auto"/>
              <w:right w:val="single" w:sz="8" w:space="0" w:color="auto"/>
            </w:tcBorders>
            <w:shd w:val="clear" w:color="auto" w:fill="auto"/>
            <w:noWrap/>
            <w:vAlign w:val="center"/>
            <w:hideMark/>
          </w:tcPr>
          <w:p w14:paraId="4202091C"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TEHAMA</w:t>
            </w:r>
          </w:p>
        </w:tc>
        <w:tc>
          <w:tcPr>
            <w:tcW w:w="705" w:type="pct"/>
            <w:tcBorders>
              <w:top w:val="nil"/>
              <w:left w:val="nil"/>
              <w:bottom w:val="single" w:sz="8" w:space="0" w:color="auto"/>
              <w:right w:val="single" w:sz="8" w:space="0" w:color="auto"/>
            </w:tcBorders>
            <w:shd w:val="clear" w:color="auto" w:fill="auto"/>
            <w:noWrap/>
            <w:vAlign w:val="center"/>
            <w:hideMark/>
          </w:tcPr>
          <w:p w14:paraId="632457A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$2,361 </w:t>
            </w:r>
          </w:p>
        </w:tc>
        <w:tc>
          <w:tcPr>
            <w:tcW w:w="832" w:type="pct"/>
            <w:tcBorders>
              <w:top w:val="nil"/>
              <w:left w:val="nil"/>
              <w:bottom w:val="single" w:sz="8" w:space="0" w:color="auto"/>
              <w:right w:val="single" w:sz="8" w:space="0" w:color="auto"/>
            </w:tcBorders>
            <w:shd w:val="clear" w:color="auto" w:fill="auto"/>
            <w:noWrap/>
            <w:vAlign w:val="center"/>
            <w:hideMark/>
          </w:tcPr>
          <w:p w14:paraId="0444864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$68,698 </w:t>
            </w:r>
          </w:p>
        </w:tc>
        <w:tc>
          <w:tcPr>
            <w:tcW w:w="703" w:type="pct"/>
            <w:tcBorders>
              <w:top w:val="nil"/>
              <w:left w:val="nil"/>
              <w:bottom w:val="single" w:sz="8" w:space="0" w:color="auto"/>
              <w:right w:val="single" w:sz="8" w:space="0" w:color="auto"/>
            </w:tcBorders>
            <w:shd w:val="clear" w:color="auto" w:fill="auto"/>
            <w:noWrap/>
            <w:vAlign w:val="center"/>
            <w:hideMark/>
          </w:tcPr>
          <w:p w14:paraId="53DF2F7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$350 </w:t>
            </w:r>
          </w:p>
        </w:tc>
        <w:tc>
          <w:tcPr>
            <w:tcW w:w="832" w:type="pct"/>
            <w:tcBorders>
              <w:top w:val="nil"/>
              <w:left w:val="nil"/>
              <w:bottom w:val="single" w:sz="8" w:space="0" w:color="auto"/>
              <w:right w:val="single" w:sz="8" w:space="0" w:color="auto"/>
            </w:tcBorders>
            <w:shd w:val="clear" w:color="auto" w:fill="auto"/>
            <w:noWrap/>
            <w:vAlign w:val="center"/>
            <w:hideMark/>
          </w:tcPr>
          <w:p w14:paraId="342E0AB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$68,348 </w:t>
            </w:r>
          </w:p>
        </w:tc>
      </w:tr>
      <w:tr w:rsidR="00B97529" w:rsidRPr="002608B2" w14:paraId="0FCDF6E5"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50106B74"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89</w:t>
            </w:r>
          </w:p>
        </w:tc>
        <w:tc>
          <w:tcPr>
            <w:tcW w:w="1328" w:type="pct"/>
            <w:tcBorders>
              <w:top w:val="nil"/>
              <w:left w:val="nil"/>
              <w:bottom w:val="single" w:sz="8" w:space="0" w:color="auto"/>
              <w:right w:val="single" w:sz="8" w:space="0" w:color="auto"/>
            </w:tcBorders>
            <w:shd w:val="clear" w:color="auto" w:fill="auto"/>
            <w:noWrap/>
            <w:vAlign w:val="center"/>
            <w:hideMark/>
          </w:tcPr>
          <w:p w14:paraId="20F72F4A"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TRINITY COUNTY</w:t>
            </w:r>
          </w:p>
        </w:tc>
        <w:tc>
          <w:tcPr>
            <w:tcW w:w="705" w:type="pct"/>
            <w:tcBorders>
              <w:top w:val="nil"/>
              <w:left w:val="nil"/>
              <w:bottom w:val="single" w:sz="8" w:space="0" w:color="auto"/>
              <w:right w:val="single" w:sz="8" w:space="0" w:color="auto"/>
            </w:tcBorders>
            <w:shd w:val="clear" w:color="auto" w:fill="auto"/>
            <w:noWrap/>
            <w:vAlign w:val="center"/>
            <w:hideMark/>
          </w:tcPr>
          <w:p w14:paraId="45DDDDC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$19,530 </w:t>
            </w:r>
          </w:p>
        </w:tc>
        <w:tc>
          <w:tcPr>
            <w:tcW w:w="832" w:type="pct"/>
            <w:tcBorders>
              <w:top w:val="nil"/>
              <w:left w:val="nil"/>
              <w:bottom w:val="single" w:sz="8" w:space="0" w:color="auto"/>
              <w:right w:val="single" w:sz="8" w:space="0" w:color="auto"/>
            </w:tcBorders>
            <w:shd w:val="clear" w:color="auto" w:fill="auto"/>
            <w:noWrap/>
            <w:vAlign w:val="center"/>
            <w:hideMark/>
          </w:tcPr>
          <w:p w14:paraId="6B93235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$1,066,077 </w:t>
            </w:r>
          </w:p>
        </w:tc>
        <w:tc>
          <w:tcPr>
            <w:tcW w:w="703" w:type="pct"/>
            <w:tcBorders>
              <w:top w:val="nil"/>
              <w:left w:val="nil"/>
              <w:bottom w:val="single" w:sz="8" w:space="0" w:color="auto"/>
              <w:right w:val="single" w:sz="8" w:space="0" w:color="auto"/>
            </w:tcBorders>
            <w:shd w:val="clear" w:color="auto" w:fill="auto"/>
            <w:noWrap/>
            <w:vAlign w:val="center"/>
            <w:hideMark/>
          </w:tcPr>
          <w:p w14:paraId="06BEC175"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$5,428 </w:t>
            </w:r>
          </w:p>
        </w:tc>
        <w:tc>
          <w:tcPr>
            <w:tcW w:w="832" w:type="pct"/>
            <w:tcBorders>
              <w:top w:val="nil"/>
              <w:left w:val="nil"/>
              <w:bottom w:val="single" w:sz="8" w:space="0" w:color="auto"/>
              <w:right w:val="single" w:sz="8" w:space="0" w:color="auto"/>
            </w:tcBorders>
            <w:shd w:val="clear" w:color="auto" w:fill="auto"/>
            <w:noWrap/>
            <w:vAlign w:val="center"/>
            <w:hideMark/>
          </w:tcPr>
          <w:p w14:paraId="5F104FB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$1,060,649 </w:t>
            </w:r>
          </w:p>
        </w:tc>
      </w:tr>
      <w:tr w:rsidR="00B97529" w:rsidRPr="002608B2" w14:paraId="0CF6838E"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B856E81"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90</w:t>
            </w:r>
          </w:p>
        </w:tc>
        <w:tc>
          <w:tcPr>
            <w:tcW w:w="1328" w:type="pct"/>
            <w:tcBorders>
              <w:top w:val="nil"/>
              <w:left w:val="nil"/>
              <w:bottom w:val="single" w:sz="8" w:space="0" w:color="auto"/>
              <w:right w:val="single" w:sz="8" w:space="0" w:color="auto"/>
            </w:tcBorders>
            <w:shd w:val="clear" w:color="auto" w:fill="auto"/>
            <w:noWrap/>
            <w:vAlign w:val="center"/>
            <w:hideMark/>
          </w:tcPr>
          <w:p w14:paraId="78ED375B"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SONORA</w:t>
            </w:r>
          </w:p>
        </w:tc>
        <w:tc>
          <w:tcPr>
            <w:tcW w:w="705" w:type="pct"/>
            <w:tcBorders>
              <w:top w:val="nil"/>
              <w:left w:val="nil"/>
              <w:bottom w:val="single" w:sz="8" w:space="0" w:color="auto"/>
              <w:right w:val="single" w:sz="8" w:space="0" w:color="auto"/>
            </w:tcBorders>
            <w:shd w:val="clear" w:color="auto" w:fill="auto"/>
            <w:noWrap/>
            <w:vAlign w:val="center"/>
            <w:hideMark/>
          </w:tcPr>
          <w:p w14:paraId="3F719EDC"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$30,059 </w:t>
            </w:r>
          </w:p>
        </w:tc>
        <w:tc>
          <w:tcPr>
            <w:tcW w:w="832" w:type="pct"/>
            <w:tcBorders>
              <w:top w:val="nil"/>
              <w:left w:val="nil"/>
              <w:bottom w:val="single" w:sz="8" w:space="0" w:color="auto"/>
              <w:right w:val="single" w:sz="8" w:space="0" w:color="auto"/>
            </w:tcBorders>
            <w:shd w:val="clear" w:color="auto" w:fill="auto"/>
            <w:noWrap/>
            <w:vAlign w:val="center"/>
            <w:hideMark/>
          </w:tcPr>
          <w:p w14:paraId="04E8410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$886,297 </w:t>
            </w:r>
          </w:p>
        </w:tc>
        <w:tc>
          <w:tcPr>
            <w:tcW w:w="703" w:type="pct"/>
            <w:tcBorders>
              <w:top w:val="nil"/>
              <w:left w:val="nil"/>
              <w:bottom w:val="single" w:sz="8" w:space="0" w:color="auto"/>
              <w:right w:val="single" w:sz="8" w:space="0" w:color="auto"/>
            </w:tcBorders>
            <w:shd w:val="clear" w:color="auto" w:fill="auto"/>
            <w:noWrap/>
            <w:vAlign w:val="center"/>
            <w:hideMark/>
          </w:tcPr>
          <w:p w14:paraId="5D147579"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$4,512 </w:t>
            </w:r>
          </w:p>
        </w:tc>
        <w:tc>
          <w:tcPr>
            <w:tcW w:w="832" w:type="pct"/>
            <w:tcBorders>
              <w:top w:val="nil"/>
              <w:left w:val="nil"/>
              <w:bottom w:val="single" w:sz="8" w:space="0" w:color="auto"/>
              <w:right w:val="single" w:sz="8" w:space="0" w:color="auto"/>
            </w:tcBorders>
            <w:shd w:val="clear" w:color="auto" w:fill="auto"/>
            <w:noWrap/>
            <w:vAlign w:val="center"/>
            <w:hideMark/>
          </w:tcPr>
          <w:p w14:paraId="74EB966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$881,785 </w:t>
            </w:r>
          </w:p>
        </w:tc>
      </w:tr>
      <w:tr w:rsidR="00B97529" w:rsidRPr="002608B2" w14:paraId="4DC3AFC8"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8219BA6"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91</w:t>
            </w:r>
          </w:p>
        </w:tc>
        <w:tc>
          <w:tcPr>
            <w:tcW w:w="1328" w:type="pct"/>
            <w:tcBorders>
              <w:top w:val="nil"/>
              <w:left w:val="nil"/>
              <w:bottom w:val="single" w:sz="8" w:space="0" w:color="auto"/>
              <w:right w:val="single" w:sz="8" w:space="0" w:color="auto"/>
            </w:tcBorders>
            <w:shd w:val="clear" w:color="auto" w:fill="auto"/>
            <w:noWrap/>
            <w:vAlign w:val="center"/>
            <w:hideMark/>
          </w:tcPr>
          <w:p w14:paraId="6C5D30EE"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MARYSVILLE</w:t>
            </w:r>
          </w:p>
        </w:tc>
        <w:tc>
          <w:tcPr>
            <w:tcW w:w="705" w:type="pct"/>
            <w:tcBorders>
              <w:top w:val="nil"/>
              <w:left w:val="nil"/>
              <w:bottom w:val="single" w:sz="8" w:space="0" w:color="auto"/>
              <w:right w:val="single" w:sz="8" w:space="0" w:color="auto"/>
            </w:tcBorders>
            <w:shd w:val="clear" w:color="auto" w:fill="auto"/>
            <w:noWrap/>
            <w:vAlign w:val="center"/>
            <w:hideMark/>
          </w:tcPr>
          <w:p w14:paraId="4E2AFD7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$53,191 </w:t>
            </w:r>
          </w:p>
        </w:tc>
        <w:tc>
          <w:tcPr>
            <w:tcW w:w="832" w:type="pct"/>
            <w:tcBorders>
              <w:top w:val="nil"/>
              <w:left w:val="nil"/>
              <w:bottom w:val="single" w:sz="8" w:space="0" w:color="auto"/>
              <w:right w:val="single" w:sz="8" w:space="0" w:color="auto"/>
            </w:tcBorders>
            <w:shd w:val="clear" w:color="auto" w:fill="auto"/>
            <w:noWrap/>
            <w:vAlign w:val="center"/>
            <w:hideMark/>
          </w:tcPr>
          <w:p w14:paraId="6249AFF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$2,596,318 </w:t>
            </w:r>
          </w:p>
        </w:tc>
        <w:tc>
          <w:tcPr>
            <w:tcW w:w="703" w:type="pct"/>
            <w:tcBorders>
              <w:top w:val="nil"/>
              <w:left w:val="nil"/>
              <w:bottom w:val="single" w:sz="8" w:space="0" w:color="auto"/>
              <w:right w:val="single" w:sz="8" w:space="0" w:color="auto"/>
            </w:tcBorders>
            <w:shd w:val="clear" w:color="auto" w:fill="auto"/>
            <w:noWrap/>
            <w:vAlign w:val="center"/>
            <w:hideMark/>
          </w:tcPr>
          <w:p w14:paraId="3FEF8CDD"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$13,218 </w:t>
            </w:r>
          </w:p>
        </w:tc>
        <w:tc>
          <w:tcPr>
            <w:tcW w:w="832" w:type="pct"/>
            <w:tcBorders>
              <w:top w:val="nil"/>
              <w:left w:val="nil"/>
              <w:bottom w:val="single" w:sz="8" w:space="0" w:color="auto"/>
              <w:right w:val="single" w:sz="8" w:space="0" w:color="auto"/>
            </w:tcBorders>
            <w:shd w:val="clear" w:color="auto" w:fill="auto"/>
            <w:noWrap/>
            <w:vAlign w:val="center"/>
            <w:hideMark/>
          </w:tcPr>
          <w:p w14:paraId="63FBCBBB"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$2,583,100 </w:t>
            </w:r>
          </w:p>
        </w:tc>
      </w:tr>
      <w:tr w:rsidR="00B97529" w:rsidRPr="002608B2" w14:paraId="4433B323" w14:textId="77777777" w:rsidTr="0046730A">
        <w:trPr>
          <w:trHeight w:val="315"/>
        </w:trPr>
        <w:tc>
          <w:tcPr>
            <w:tcW w:w="600" w:type="pct"/>
            <w:tcBorders>
              <w:top w:val="nil"/>
              <w:left w:val="single" w:sz="8" w:space="0" w:color="auto"/>
              <w:bottom w:val="single" w:sz="8" w:space="0" w:color="auto"/>
              <w:right w:val="single" w:sz="8" w:space="0" w:color="auto"/>
            </w:tcBorders>
            <w:shd w:val="clear" w:color="auto" w:fill="auto"/>
            <w:noWrap/>
            <w:vAlign w:val="center"/>
            <w:hideMark/>
          </w:tcPr>
          <w:p w14:paraId="673B663E" w14:textId="77777777" w:rsidR="00B97529" w:rsidRPr="002608B2" w:rsidRDefault="00B97529" w:rsidP="0046730A">
            <w:pPr>
              <w:jc w:val="right"/>
              <w:rPr>
                <w:rFonts w:ascii="Calibri" w:hAnsi="Calibri"/>
                <w:color w:val="000000"/>
                <w:sz w:val="22"/>
                <w:szCs w:val="22"/>
              </w:rPr>
            </w:pPr>
            <w:r w:rsidRPr="002608B2">
              <w:rPr>
                <w:rFonts w:ascii="Calibri" w:hAnsi="Calibri"/>
                <w:color w:val="000000"/>
                <w:sz w:val="22"/>
                <w:szCs w:val="22"/>
              </w:rPr>
              <w:t>92</w:t>
            </w:r>
          </w:p>
        </w:tc>
        <w:tc>
          <w:tcPr>
            <w:tcW w:w="1328" w:type="pct"/>
            <w:tcBorders>
              <w:top w:val="nil"/>
              <w:left w:val="nil"/>
              <w:bottom w:val="single" w:sz="8" w:space="0" w:color="auto"/>
              <w:right w:val="single" w:sz="8" w:space="0" w:color="auto"/>
            </w:tcBorders>
            <w:shd w:val="clear" w:color="auto" w:fill="auto"/>
            <w:noWrap/>
            <w:vAlign w:val="center"/>
            <w:hideMark/>
          </w:tcPr>
          <w:p w14:paraId="6CCE4983" w14:textId="77777777" w:rsidR="00B97529" w:rsidRPr="002608B2" w:rsidRDefault="00B97529" w:rsidP="0046730A">
            <w:pPr>
              <w:rPr>
                <w:rFonts w:ascii="Calibri" w:hAnsi="Calibri"/>
                <w:color w:val="000000"/>
                <w:sz w:val="22"/>
                <w:szCs w:val="22"/>
              </w:rPr>
            </w:pPr>
            <w:r w:rsidRPr="002608B2">
              <w:rPr>
                <w:rFonts w:ascii="Calibri" w:hAnsi="Calibri"/>
                <w:color w:val="000000"/>
                <w:sz w:val="22"/>
                <w:szCs w:val="22"/>
              </w:rPr>
              <w:t>WHEATLAND</w:t>
            </w:r>
          </w:p>
        </w:tc>
        <w:tc>
          <w:tcPr>
            <w:tcW w:w="705" w:type="pct"/>
            <w:tcBorders>
              <w:top w:val="nil"/>
              <w:left w:val="nil"/>
              <w:bottom w:val="single" w:sz="8" w:space="0" w:color="auto"/>
              <w:right w:val="single" w:sz="8" w:space="0" w:color="auto"/>
            </w:tcBorders>
            <w:shd w:val="clear" w:color="auto" w:fill="auto"/>
            <w:noWrap/>
            <w:vAlign w:val="center"/>
            <w:hideMark/>
          </w:tcPr>
          <w:p w14:paraId="40E7237F"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$10,504 </w:t>
            </w:r>
          </w:p>
        </w:tc>
        <w:tc>
          <w:tcPr>
            <w:tcW w:w="832" w:type="pct"/>
            <w:tcBorders>
              <w:top w:val="nil"/>
              <w:left w:val="nil"/>
              <w:bottom w:val="single" w:sz="8" w:space="0" w:color="auto"/>
              <w:right w:val="single" w:sz="8" w:space="0" w:color="auto"/>
            </w:tcBorders>
            <w:shd w:val="clear" w:color="auto" w:fill="auto"/>
            <w:noWrap/>
            <w:vAlign w:val="center"/>
            <w:hideMark/>
          </w:tcPr>
          <w:p w14:paraId="7E49912E"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$386,581 </w:t>
            </w:r>
          </w:p>
        </w:tc>
        <w:tc>
          <w:tcPr>
            <w:tcW w:w="703" w:type="pct"/>
            <w:tcBorders>
              <w:top w:val="nil"/>
              <w:left w:val="nil"/>
              <w:bottom w:val="single" w:sz="8" w:space="0" w:color="auto"/>
              <w:right w:val="single" w:sz="8" w:space="0" w:color="auto"/>
            </w:tcBorders>
            <w:shd w:val="clear" w:color="auto" w:fill="auto"/>
            <w:noWrap/>
            <w:vAlign w:val="center"/>
            <w:hideMark/>
          </w:tcPr>
          <w:p w14:paraId="67538DF1"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$1,968 </w:t>
            </w:r>
          </w:p>
        </w:tc>
        <w:tc>
          <w:tcPr>
            <w:tcW w:w="832" w:type="pct"/>
            <w:tcBorders>
              <w:top w:val="nil"/>
              <w:left w:val="nil"/>
              <w:bottom w:val="single" w:sz="8" w:space="0" w:color="auto"/>
              <w:right w:val="single" w:sz="8" w:space="0" w:color="auto"/>
            </w:tcBorders>
            <w:shd w:val="clear" w:color="auto" w:fill="auto"/>
            <w:noWrap/>
            <w:vAlign w:val="center"/>
            <w:hideMark/>
          </w:tcPr>
          <w:p w14:paraId="0B7936B0" w14:textId="77777777" w:rsidR="00B97529" w:rsidRPr="002608B2" w:rsidRDefault="00B97529" w:rsidP="0046730A">
            <w:pPr>
              <w:jc w:val="right"/>
              <w:rPr>
                <w:rFonts w:ascii="Calibri" w:hAnsi="Calibri"/>
                <w:color w:val="000000"/>
                <w:sz w:val="20"/>
              </w:rPr>
            </w:pPr>
            <w:r w:rsidRPr="002608B2">
              <w:rPr>
                <w:rFonts w:ascii="Calibri" w:hAnsi="Calibri"/>
                <w:color w:val="000000"/>
                <w:sz w:val="20"/>
              </w:rPr>
              <w:t xml:space="preserve">$384,613 </w:t>
            </w:r>
          </w:p>
        </w:tc>
      </w:tr>
    </w:tbl>
    <w:p w14:paraId="11F3B5A9" w14:textId="77777777" w:rsidR="00A23AF8" w:rsidRPr="00405C54" w:rsidRDefault="00A23AF8" w:rsidP="007170F1">
      <w:pPr>
        <w:autoSpaceDE w:val="0"/>
        <w:autoSpaceDN w:val="0"/>
        <w:adjustRightInd w:val="0"/>
        <w:rPr>
          <w:rFonts w:ascii="Palatino Linotype" w:hAnsi="Palatino Linotype"/>
        </w:rPr>
      </w:pPr>
    </w:p>
    <w:sectPr w:rsidR="00A23AF8" w:rsidRPr="00405C54">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76201" w14:textId="77777777" w:rsidR="00217618" w:rsidRDefault="00217618">
      <w:r>
        <w:separator/>
      </w:r>
    </w:p>
  </w:endnote>
  <w:endnote w:type="continuationSeparator" w:id="0">
    <w:p w14:paraId="338F79F2" w14:textId="77777777" w:rsidR="00217618" w:rsidRDefault="00217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Palatino">
    <w:altName w:val="Book Antiqua"/>
    <w:charset w:val="00"/>
    <w:family w:val="auto"/>
    <w:pitch w:val="variable"/>
    <w:sig w:usb0="A00002FF" w:usb1="7800205A" w:usb2="14600000" w:usb3="00000000" w:csb0="00000197"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Antiqua,Bold">
    <w:altName w:val="Cambria"/>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5D34D" w14:textId="373E9B93" w:rsidR="00082728" w:rsidRDefault="00082728">
    <w:pPr>
      <w:pStyle w:val="Footer"/>
    </w:pPr>
    <w:r>
      <w:rPr>
        <w:rStyle w:val="PageNumber"/>
      </w:rPr>
      <w:fldChar w:fldCharType="begin"/>
    </w:r>
    <w:r>
      <w:rPr>
        <w:rStyle w:val="PageNumber"/>
      </w:rPr>
      <w:instrText xml:space="preserve"> PAGE </w:instrText>
    </w:r>
    <w:r>
      <w:rPr>
        <w:rStyle w:val="PageNumber"/>
      </w:rPr>
      <w:fldChar w:fldCharType="separate"/>
    </w:r>
    <w:r w:rsidR="00B97529">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344B9" w14:textId="7EF866F3" w:rsidR="00082728" w:rsidRDefault="00E72DEF" w:rsidP="00E72DEF">
    <w:pPr>
      <w:pStyle w:val="Footer"/>
      <w:tabs>
        <w:tab w:val="clear" w:pos="4320"/>
        <w:tab w:val="center" w:pos="4680"/>
      </w:tabs>
      <w:jc w:val="left"/>
    </w:pPr>
    <w:r w:rsidRPr="006019C8">
      <w:rPr>
        <w:rFonts w:ascii="Palatino Linotype" w:hAnsi="Palatino Linotype" w:cs="Tahoma"/>
        <w:sz w:val="24"/>
        <w:szCs w:val="24"/>
      </w:rPr>
      <w:t>275318522</w:t>
    </w:r>
    <w:r>
      <w:rPr>
        <w:rFonts w:ascii="Palatino Linotype" w:hAnsi="Palatino Linotype" w:cs="Tahoma"/>
        <w:sz w:val="24"/>
        <w:szCs w:val="24"/>
      </w:rPr>
      <w:tab/>
    </w:r>
    <w:r w:rsidR="00082728">
      <w:rPr>
        <w:rStyle w:val="PageNumber"/>
      </w:rPr>
      <w:fldChar w:fldCharType="begin"/>
    </w:r>
    <w:r w:rsidR="00082728">
      <w:rPr>
        <w:rStyle w:val="PageNumber"/>
      </w:rPr>
      <w:instrText xml:space="preserve"> PAGE </w:instrText>
    </w:r>
    <w:r w:rsidR="00082728">
      <w:rPr>
        <w:rStyle w:val="PageNumber"/>
      </w:rPr>
      <w:fldChar w:fldCharType="separate"/>
    </w:r>
    <w:r w:rsidR="00B97529">
      <w:rPr>
        <w:rStyle w:val="PageNumber"/>
        <w:noProof/>
      </w:rPr>
      <w:t>1</w:t>
    </w:r>
    <w:r w:rsidR="0008272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E7D3E" w14:textId="77777777" w:rsidR="00217618" w:rsidRDefault="00217618">
      <w:r>
        <w:separator/>
      </w:r>
    </w:p>
  </w:footnote>
  <w:footnote w:type="continuationSeparator" w:id="0">
    <w:p w14:paraId="54D67E14" w14:textId="77777777" w:rsidR="00217618" w:rsidRDefault="00217618">
      <w:r>
        <w:continuationSeparator/>
      </w:r>
    </w:p>
  </w:footnote>
  <w:footnote w:type="continuationNotice" w:id="1">
    <w:p w14:paraId="4371E0BD" w14:textId="77777777" w:rsidR="00217618" w:rsidRDefault="00217618">
      <w:pPr>
        <w:rPr>
          <w:sz w:val="22"/>
        </w:rPr>
      </w:pPr>
    </w:p>
    <w:p w14:paraId="02C7944C" w14:textId="77777777" w:rsidR="00217618" w:rsidRDefault="00217618">
      <w:pPr>
        <w:jc w:val="right"/>
        <w:rPr>
          <w:sz w:val="22"/>
        </w:rPr>
      </w:pPr>
      <w:r>
        <w:rPr>
          <w:i/>
          <w:sz w:val="22"/>
        </w:rPr>
        <w:t>Footnote continued on next page</w:t>
      </w:r>
    </w:p>
  </w:footnote>
  <w:footnote w:id="2">
    <w:p w14:paraId="65F6293C" w14:textId="28432725" w:rsidR="00082728" w:rsidRPr="002D51C5" w:rsidRDefault="00082728" w:rsidP="00AE28A4">
      <w:pPr>
        <w:pStyle w:val="FootnoteText"/>
        <w:numPr>
          <w:ilvl w:val="0"/>
          <w:numId w:val="0"/>
        </w:numPr>
        <w:spacing w:after="0"/>
        <w:ind w:left="180" w:hanging="180"/>
      </w:pPr>
      <w:r w:rsidRPr="002D51C5">
        <w:rPr>
          <w:rStyle w:val="FootnoteReference"/>
        </w:rPr>
        <w:footnoteRef/>
      </w:r>
      <w:r w:rsidRPr="002D51C5">
        <w:t xml:space="preserve"> CPUC General Order 96-B, Rule 9.2.3 (</w:t>
      </w:r>
      <w:r w:rsidRPr="002D51C5">
        <w:rPr>
          <w:rFonts w:hint="eastAsia"/>
        </w:rPr>
        <w:t>“</w:t>
      </w:r>
      <w:r w:rsidRPr="002D51C5">
        <w:t>At all times, a utility other than a telephone corporation may provide service (other than resale service) to a government agency for free, or at reduced rates and charges, or under terms and conditions otherwise deviating from its tariffs then in effect. The utility may begin such service without prior Commission approval, but the utility shall promptly submit an advice letter to the appropriate Industry Division to notify the Commission of the utility</w:t>
      </w:r>
      <w:r w:rsidRPr="002D51C5">
        <w:rPr>
          <w:rFonts w:hint="eastAsia"/>
        </w:rPr>
        <w:t>’</w:t>
      </w:r>
      <w:r w:rsidRPr="002D51C5">
        <w:t>s provision of such service and of the rates, charges, terms and conditions under which the service is provided. Although the advice letter may be effective pending disposition under General Rule 7.5.3, the Commission may determine, in an appropriate proceeding, the reasonableness of such service.</w:t>
      </w:r>
      <w:r w:rsidRPr="002D51C5">
        <w:rPr>
          <w:rFonts w:hint="eastAsia"/>
        </w:rPr>
        <w:t>”</w:t>
      </w:r>
      <w:r w:rsidRPr="002D51C5">
        <w:t>)</w:t>
      </w:r>
    </w:p>
  </w:footnote>
  <w:footnote w:id="3">
    <w:p w14:paraId="2048AC1B" w14:textId="79F454F0" w:rsidR="00082728" w:rsidRDefault="00082728" w:rsidP="00A44927">
      <w:pPr>
        <w:pStyle w:val="FootnoteText"/>
        <w:numPr>
          <w:ilvl w:val="0"/>
          <w:numId w:val="0"/>
        </w:numPr>
        <w:spacing w:after="0"/>
        <w:ind w:left="180" w:hanging="180"/>
      </w:pPr>
      <w:r>
        <w:rPr>
          <w:rStyle w:val="FootnoteReference"/>
        </w:rPr>
        <w:footnoteRef/>
      </w:r>
      <w:r>
        <w:t xml:space="preserve"> PG&amp;E allocates $19,000 in Rule 20A work credits annually to the City of Live Oak.</w:t>
      </w:r>
    </w:p>
  </w:footnote>
  <w:footnote w:id="4">
    <w:p w14:paraId="5315C5DA" w14:textId="0740C45E" w:rsidR="00082728" w:rsidRPr="002D51C5" w:rsidRDefault="00082728" w:rsidP="00646462">
      <w:pPr>
        <w:pStyle w:val="FootnoteText"/>
        <w:numPr>
          <w:ilvl w:val="0"/>
          <w:numId w:val="0"/>
        </w:numPr>
        <w:spacing w:after="0"/>
        <w:ind w:left="180" w:hanging="180"/>
      </w:pPr>
      <w:r w:rsidRPr="002D51C5">
        <w:rPr>
          <w:rStyle w:val="FootnoteReference"/>
        </w:rPr>
        <w:footnoteRef/>
      </w:r>
      <w:r w:rsidRPr="002D51C5">
        <w:t xml:space="preserve"> Because ratepayers contribute the bulk of the costs of Rule 20A programs through utility</w:t>
      </w:r>
      <w:r>
        <w:t xml:space="preserve"> </w:t>
      </w:r>
      <w:r w:rsidRPr="002D51C5">
        <w:t>rates, the projects must be in the public interest by meeting one or more of the following</w:t>
      </w:r>
      <w:r>
        <w:t xml:space="preserve"> </w:t>
      </w:r>
      <w:r w:rsidRPr="002D51C5">
        <w:t>criteria listed in the Rule 20A Tariff:</w:t>
      </w:r>
    </w:p>
    <w:p w14:paraId="0554160A" w14:textId="77777777" w:rsidR="00082728" w:rsidRPr="002D51C5" w:rsidRDefault="00082728" w:rsidP="002D51C5">
      <w:pPr>
        <w:pStyle w:val="FootnoteText"/>
        <w:tabs>
          <w:tab w:val="clear" w:pos="360"/>
        </w:tabs>
        <w:spacing w:after="0"/>
        <w:ind w:left="540" w:hanging="180"/>
      </w:pPr>
      <w:r w:rsidRPr="002D51C5">
        <w:t xml:space="preserve"> Eliminate an unusually heavy concentration of overhead lines;</w:t>
      </w:r>
    </w:p>
    <w:p w14:paraId="05DE28F2" w14:textId="77777777" w:rsidR="00082728" w:rsidRPr="002D51C5" w:rsidRDefault="00082728" w:rsidP="002D51C5">
      <w:pPr>
        <w:pStyle w:val="FootnoteText"/>
        <w:tabs>
          <w:tab w:val="clear" w:pos="360"/>
        </w:tabs>
        <w:spacing w:after="0"/>
        <w:ind w:left="540" w:hanging="180"/>
      </w:pPr>
      <w:r w:rsidRPr="002D51C5">
        <w:t xml:space="preserve"> Involve a street or road with a high volume of public traffic; </w:t>
      </w:r>
    </w:p>
    <w:p w14:paraId="36D57EF1" w14:textId="77777777" w:rsidR="00082728" w:rsidRPr="002D51C5" w:rsidRDefault="00082728" w:rsidP="002D51C5">
      <w:pPr>
        <w:pStyle w:val="FootnoteText"/>
        <w:tabs>
          <w:tab w:val="clear" w:pos="360"/>
        </w:tabs>
        <w:spacing w:after="0"/>
        <w:ind w:left="540" w:hanging="180"/>
      </w:pPr>
      <w:r w:rsidRPr="002D51C5">
        <w:t xml:space="preserve"> Benefit a civic or public recreation area or area of unusual scenic interest;</w:t>
      </w:r>
    </w:p>
    <w:p w14:paraId="6C77EB0B" w14:textId="5AB9FB9A" w:rsidR="00082728" w:rsidRPr="002D51C5" w:rsidRDefault="00082728" w:rsidP="002D51C5">
      <w:pPr>
        <w:pStyle w:val="FootnoteText"/>
        <w:numPr>
          <w:ilvl w:val="0"/>
          <w:numId w:val="0"/>
        </w:numPr>
        <w:spacing w:after="0"/>
        <w:ind w:left="540" w:hanging="180"/>
      </w:pPr>
      <w:r>
        <w:t>4.</w:t>
      </w:r>
      <w:r w:rsidRPr="002D51C5">
        <w:t xml:space="preserve"> Be listed as an arterial street or major collector as defined in the Governor’s Office of</w:t>
      </w:r>
      <w:r>
        <w:t xml:space="preserve"> </w:t>
      </w:r>
      <w:r w:rsidRPr="002D51C5">
        <w:t>Planning and Research Guidelines.</w:t>
      </w:r>
    </w:p>
  </w:footnote>
  <w:footnote w:id="5">
    <w:p w14:paraId="1B7D4932" w14:textId="2BF6184A" w:rsidR="00082728" w:rsidRPr="002D51C5" w:rsidRDefault="00082728" w:rsidP="0064646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 w:val="left" w:pos="8700"/>
          <w:tab w:val="left" w:pos="9000"/>
          <w:tab w:val="left" w:pos="9300"/>
          <w:tab w:val="left" w:pos="9600"/>
        </w:tabs>
        <w:autoSpaceDE w:val="0"/>
        <w:autoSpaceDN w:val="0"/>
        <w:adjustRightInd w:val="0"/>
        <w:ind w:left="180" w:hanging="180"/>
        <w:rPr>
          <w:rFonts w:ascii="Segoe Print" w:hAnsi="Segoe Print" w:cs="Segoe Print"/>
          <w:sz w:val="24"/>
          <w:lang w:val="en"/>
        </w:rPr>
      </w:pPr>
      <w:r w:rsidRPr="002D51C5">
        <w:rPr>
          <w:rStyle w:val="FootnoteReference"/>
          <w:sz w:val="24"/>
        </w:rPr>
        <w:footnoteRef/>
      </w:r>
      <w:r w:rsidRPr="002D51C5">
        <w:rPr>
          <w:sz w:val="24"/>
        </w:rPr>
        <w:t xml:space="preserve"> PG&amp;E’s allocation of Rule 20A work credits is based on a formula that allows it to distribute </w:t>
      </w:r>
      <w:r>
        <w:rPr>
          <w:sz w:val="24"/>
        </w:rPr>
        <w:t>work credits</w:t>
      </w:r>
      <w:r w:rsidRPr="002D51C5">
        <w:rPr>
          <w:sz w:val="24"/>
        </w:rPr>
        <w:t xml:space="preserve"> proportionally based on the number of customer accounts (meters) in a community. </w:t>
      </w:r>
      <w:r w:rsidRPr="002D51C5">
        <w:rPr>
          <w:rFonts w:cs="Palatino"/>
          <w:sz w:val="24"/>
        </w:rPr>
        <w:t>See PG&amp;E’s Rule 20A §2.a and b for more details.</w:t>
      </w:r>
    </w:p>
  </w:footnote>
  <w:footnote w:id="6">
    <w:p w14:paraId="15FFD09D" w14:textId="6EA18A38" w:rsidR="00082728" w:rsidRPr="002D51C5" w:rsidRDefault="00082728" w:rsidP="00646462">
      <w:pPr>
        <w:pStyle w:val="FootnoteText"/>
        <w:numPr>
          <w:ilvl w:val="0"/>
          <w:numId w:val="0"/>
        </w:numPr>
        <w:spacing w:after="0"/>
        <w:ind w:left="180" w:hanging="180"/>
      </w:pPr>
      <w:r w:rsidRPr="002D51C5">
        <w:rPr>
          <w:rStyle w:val="FootnoteReference"/>
        </w:rPr>
        <w:footnoteRef/>
      </w:r>
      <w:r w:rsidRPr="002D51C5">
        <w:t xml:space="preserve"> The Undergrounding Staff Report is available online at: </w:t>
      </w:r>
      <w:hyperlink r:id="rId1" w:history="1">
        <w:r w:rsidRPr="002D51C5">
          <w:rPr>
            <w:rStyle w:val="Hyperlink"/>
          </w:rPr>
          <w:t>http://www.cpuc.ca.gov/uploadedFiles/CPUC_Public_Website/Content/About_Us/Organization/Divisions/Policy_and_Planning/PPD_Work_Products_(2014_forward)(1)/PPD_Rule_20-A.pdf</w:t>
        </w:r>
      </w:hyperlink>
      <w:r w:rsidRPr="002D51C5">
        <w:t xml:space="preserve">. </w:t>
      </w:r>
    </w:p>
  </w:footnote>
  <w:footnote w:id="7">
    <w:p w14:paraId="36447D76" w14:textId="47E1BD82" w:rsidR="00082728" w:rsidRPr="00D87DE6" w:rsidRDefault="00082728" w:rsidP="002D51C5">
      <w:pPr>
        <w:pStyle w:val="FootnoteText"/>
        <w:numPr>
          <w:ilvl w:val="0"/>
          <w:numId w:val="0"/>
        </w:numPr>
        <w:spacing w:after="0"/>
        <w:ind w:left="180" w:hanging="180"/>
      </w:pPr>
      <w:r w:rsidRPr="00D87DE6">
        <w:rPr>
          <w:rStyle w:val="FootnoteReference"/>
        </w:rPr>
        <w:footnoteRef/>
      </w:r>
      <w:r w:rsidRPr="00D87DE6">
        <w:t xml:space="preserve"> </w:t>
      </w:r>
      <w:r w:rsidRPr="002D51C5">
        <w:t xml:space="preserve">According to PG&amp;E’s most recent “Report of Rule 20A Conversions” filed in March 2018, the total unused municipal work credit balance across PG&amp;E’s service territory is equal to $620,201,961. </w:t>
      </w:r>
    </w:p>
  </w:footnote>
  <w:footnote w:id="8">
    <w:p w14:paraId="54400EB5" w14:textId="61CEB959" w:rsidR="00082728" w:rsidRPr="002D51C5" w:rsidRDefault="00082728" w:rsidP="00646462">
      <w:pPr>
        <w:pStyle w:val="FootnoteText"/>
        <w:numPr>
          <w:ilvl w:val="0"/>
          <w:numId w:val="0"/>
        </w:numPr>
        <w:spacing w:after="0"/>
        <w:ind w:left="180" w:hanging="180"/>
      </w:pPr>
      <w:r w:rsidRPr="002D51C5">
        <w:rPr>
          <w:rStyle w:val="FootnoteReference"/>
        </w:rPr>
        <w:footnoteRef/>
      </w:r>
      <w:r w:rsidRPr="002D51C5">
        <w:t xml:space="preserve"> See City of Live Oak Municipal Resolution #45-2017.</w:t>
      </w:r>
    </w:p>
  </w:footnote>
  <w:footnote w:id="9">
    <w:p w14:paraId="687CA023" w14:textId="09A42581" w:rsidR="00082728" w:rsidRPr="002D51C5" w:rsidRDefault="00082728" w:rsidP="00646462">
      <w:pPr>
        <w:pStyle w:val="FootnoteText"/>
        <w:numPr>
          <w:ilvl w:val="0"/>
          <w:numId w:val="0"/>
        </w:numPr>
        <w:spacing w:after="0"/>
        <w:ind w:left="180" w:hanging="180"/>
      </w:pPr>
      <w:r w:rsidRPr="002D51C5">
        <w:rPr>
          <w:rStyle w:val="FootnoteReference"/>
        </w:rPr>
        <w:footnoteRef/>
      </w:r>
      <w:r w:rsidRPr="002D51C5">
        <w:t xml:space="preserve"> For more information see </w:t>
      </w:r>
      <w:hyperlink r:id="rId2" w:history="1">
        <w:r w:rsidRPr="002D51C5">
          <w:rPr>
            <w:rStyle w:val="Hyperlink"/>
          </w:rPr>
          <w:t>http://www.caltrans.ca.gov/d3/projects/subprojects/1H150/index.html</w:t>
        </w:r>
      </w:hyperlink>
      <w:r w:rsidRPr="002D51C5">
        <w:t>.</w:t>
      </w:r>
    </w:p>
  </w:footnote>
  <w:footnote w:id="10">
    <w:p w14:paraId="705CF894" w14:textId="77777777" w:rsidR="00082728" w:rsidRPr="002D51C5" w:rsidRDefault="00082728" w:rsidP="00646462">
      <w:pPr>
        <w:pStyle w:val="FootnoteText"/>
        <w:numPr>
          <w:ilvl w:val="0"/>
          <w:numId w:val="0"/>
        </w:numPr>
        <w:spacing w:after="0"/>
        <w:ind w:left="180" w:hanging="180"/>
      </w:pPr>
      <w:r w:rsidRPr="002D51C5">
        <w:rPr>
          <w:rStyle w:val="FootnoteReference"/>
        </w:rPr>
        <w:footnoteRef/>
      </w:r>
      <w:r w:rsidRPr="002D51C5">
        <w:t xml:space="preserve"> The Colusa County project is about 3,200 feet and has an estimated cost of $4,444,319 ($1,400 per foot).</w:t>
      </w:r>
    </w:p>
  </w:footnote>
  <w:footnote w:id="11">
    <w:p w14:paraId="4E127FBA" w14:textId="4E8C6793" w:rsidR="00082728" w:rsidRPr="002D51C5" w:rsidRDefault="00082728" w:rsidP="00646462">
      <w:pPr>
        <w:pStyle w:val="FootnoteText"/>
        <w:numPr>
          <w:ilvl w:val="0"/>
          <w:numId w:val="0"/>
        </w:numPr>
        <w:spacing w:after="0"/>
        <w:ind w:left="180" w:hanging="180"/>
      </w:pPr>
      <w:r w:rsidRPr="002D51C5">
        <w:rPr>
          <w:rStyle w:val="FootnoteReference"/>
        </w:rPr>
        <w:footnoteRef/>
      </w:r>
      <w:r w:rsidRPr="002D51C5">
        <w:t xml:space="preserve"> According to Caltrans, Ready to List Certification ensures that all applicable design, right of way, environmental, regulatory, and statutory conditions have been addressed in the plans, specifications, and estimate.</w:t>
      </w:r>
    </w:p>
  </w:footnote>
  <w:footnote w:id="12">
    <w:p w14:paraId="39B92E24" w14:textId="4FAA9052" w:rsidR="00082728" w:rsidRPr="002D51C5" w:rsidRDefault="00082728" w:rsidP="00646462">
      <w:pPr>
        <w:pStyle w:val="FootnoteText"/>
        <w:numPr>
          <w:ilvl w:val="0"/>
          <w:numId w:val="0"/>
        </w:numPr>
        <w:spacing w:after="0"/>
        <w:ind w:left="180" w:hanging="180"/>
      </w:pPr>
      <w:r w:rsidRPr="002D51C5">
        <w:rPr>
          <w:rStyle w:val="FootnoteReference"/>
        </w:rPr>
        <w:footnoteRef/>
      </w:r>
      <w:r w:rsidRPr="002D51C5">
        <w:t xml:space="preserve"> The City of Live Oak received a $10 million federal grant award from the U.S. Department of Transportation (USDOT) for the State Route 99 Live Oak Rehabilitation Project. The City of Live Oak received this grant through the USDOT’s Transportation Improvements Generating Economic Recovery (TIGER) Discretionary Grant Program (part of President Obama’s 2009 American Recovery and Reinvestment Act). Out of 585 applicants for the 2016 funding round, the City of Live Oak was one of 40 applicants nation-wide to be awarded TIGER grant funding. In addition to federal grant funds, the State of California has committed approximately $26.5 million to completing the Live Oak Streetscape Project.</w:t>
      </w:r>
    </w:p>
  </w:footnote>
  <w:footnote w:id="13">
    <w:p w14:paraId="75AF6E70" w14:textId="1BC7BA41" w:rsidR="00082728" w:rsidRPr="002D51C5" w:rsidRDefault="00082728" w:rsidP="00646462">
      <w:pPr>
        <w:pStyle w:val="FootnoteText"/>
        <w:numPr>
          <w:ilvl w:val="0"/>
          <w:numId w:val="0"/>
        </w:numPr>
        <w:spacing w:after="0"/>
        <w:ind w:left="180" w:hanging="180"/>
      </w:pPr>
      <w:r w:rsidRPr="002D51C5">
        <w:rPr>
          <w:rStyle w:val="FootnoteReference"/>
        </w:rPr>
        <w:footnoteRef/>
      </w:r>
      <w:r w:rsidRPr="002D51C5">
        <w:t xml:space="preserve"> PG&amp;E also explains in AL 5403-E-A that the final cost of the project was unclear at the time of filing and “proposes that the final amount borrowed is determined when the project is completed and closed.</w:t>
      </w:r>
      <w:r>
        <w:t>”</w:t>
      </w:r>
    </w:p>
  </w:footnote>
  <w:footnote w:id="14">
    <w:p w14:paraId="59741E89" w14:textId="413F4899" w:rsidR="00082728" w:rsidRPr="002D51C5" w:rsidRDefault="00082728" w:rsidP="00646462">
      <w:pPr>
        <w:pStyle w:val="FootnoteText"/>
        <w:numPr>
          <w:ilvl w:val="0"/>
          <w:numId w:val="0"/>
        </w:numPr>
        <w:spacing w:after="0"/>
        <w:ind w:left="180" w:hanging="180"/>
      </w:pPr>
      <w:r w:rsidRPr="002D51C5">
        <w:rPr>
          <w:rStyle w:val="FootnoteReference"/>
        </w:rPr>
        <w:footnoteRef/>
      </w:r>
      <w:r w:rsidRPr="002D51C5">
        <w:t xml:space="preserve"> TURN’s Protest of AL 5403-E-A, page 1. </w:t>
      </w:r>
    </w:p>
  </w:footnote>
  <w:footnote w:id="15">
    <w:p w14:paraId="7742CFD6" w14:textId="3A5F94AF" w:rsidR="00082728" w:rsidRPr="00D87DE6" w:rsidRDefault="00082728" w:rsidP="002D51C5">
      <w:pPr>
        <w:pStyle w:val="FootnoteText"/>
        <w:numPr>
          <w:ilvl w:val="0"/>
          <w:numId w:val="0"/>
        </w:numPr>
        <w:spacing w:after="0"/>
      </w:pPr>
      <w:r w:rsidRPr="00D87DE6">
        <w:rPr>
          <w:rStyle w:val="FootnoteReference"/>
        </w:rPr>
        <w:footnoteRef/>
      </w:r>
      <w:r w:rsidRPr="00D87DE6">
        <w:t xml:space="preserve"> See the following link for Resolution E-4146: </w:t>
      </w:r>
      <w:hyperlink r:id="rId3" w:history="1">
        <w:r w:rsidRPr="00D87DE6">
          <w:rPr>
            <w:rStyle w:val="Hyperlink"/>
          </w:rPr>
          <w:t>http://docs.cpuc.ca.gov/PublishedDocs/WORD_PDF/FINAL_RESOLUTION/78925.PDF</w:t>
        </w:r>
      </w:hyperlink>
      <w:r w:rsidRPr="00D87DE6">
        <w:t xml:space="preserve">. </w:t>
      </w:r>
    </w:p>
  </w:footnote>
  <w:footnote w:id="16">
    <w:p w14:paraId="4B0CD47D" w14:textId="5841075C" w:rsidR="00082728" w:rsidRPr="00D87DE6" w:rsidRDefault="00082728" w:rsidP="002D51C5">
      <w:pPr>
        <w:pStyle w:val="FootnoteText"/>
        <w:numPr>
          <w:ilvl w:val="0"/>
          <w:numId w:val="0"/>
        </w:numPr>
        <w:spacing w:after="0"/>
      </w:pPr>
      <w:r w:rsidRPr="00D87DE6">
        <w:rPr>
          <w:rStyle w:val="FootnoteReference"/>
        </w:rPr>
        <w:footnoteRef/>
      </w:r>
      <w:r w:rsidRPr="00D87DE6">
        <w:t xml:space="preserve"> See the following link for Resolution E-3968: </w:t>
      </w:r>
      <w:hyperlink r:id="rId4" w:history="1">
        <w:r w:rsidRPr="00D87DE6">
          <w:rPr>
            <w:rStyle w:val="Hyperlink"/>
          </w:rPr>
          <w:t>http://docs.cpuc.ca.gov/PublishedDocs/WORD_PDF/FINAL_RESOLUTION/55474.PDF</w:t>
        </w:r>
      </w:hyperlink>
      <w:r w:rsidRPr="00D87DE6">
        <w:t xml:space="preserve">. </w:t>
      </w:r>
    </w:p>
  </w:footnote>
  <w:footnote w:id="17">
    <w:p w14:paraId="62EE3FC7" w14:textId="51C433A8" w:rsidR="00082728" w:rsidRPr="00D87DE6" w:rsidRDefault="00082728" w:rsidP="00B8212F">
      <w:pPr>
        <w:pStyle w:val="FootnoteText"/>
        <w:numPr>
          <w:ilvl w:val="0"/>
          <w:numId w:val="0"/>
        </w:numPr>
        <w:spacing w:after="0"/>
      </w:pPr>
      <w:r w:rsidRPr="00D87DE6">
        <w:rPr>
          <w:rStyle w:val="FootnoteReference"/>
        </w:rPr>
        <w:footnoteRef/>
      </w:r>
      <w:r w:rsidRPr="00D87DE6">
        <w:t xml:space="preserve"> See the following link for Resolution E-4001: </w:t>
      </w:r>
      <w:hyperlink r:id="rId5" w:history="1">
        <w:r w:rsidRPr="00D87DE6">
          <w:rPr>
            <w:rStyle w:val="Hyperlink"/>
          </w:rPr>
          <w:t>http://docs.cpuc.ca.gov/PublishedDocs/WORD_PDF/FINAL_RESOLUTION/59265.PDF</w:t>
        </w:r>
      </w:hyperlink>
      <w:r w:rsidRPr="00D87DE6">
        <w:t xml:space="preserve">. </w:t>
      </w:r>
    </w:p>
  </w:footnote>
  <w:footnote w:id="18">
    <w:p w14:paraId="7D97B139" w14:textId="6EFE88B3" w:rsidR="00082728" w:rsidRPr="00D87DE6" w:rsidRDefault="00082728" w:rsidP="002D51C5">
      <w:pPr>
        <w:pStyle w:val="FootnoteText"/>
        <w:numPr>
          <w:ilvl w:val="0"/>
          <w:numId w:val="0"/>
        </w:numPr>
        <w:spacing w:after="0"/>
      </w:pPr>
      <w:r w:rsidRPr="00D87DE6">
        <w:rPr>
          <w:rStyle w:val="FootnoteReference"/>
        </w:rPr>
        <w:footnoteRef/>
      </w:r>
      <w:r w:rsidRPr="00D87DE6">
        <w:t xml:space="preserve"> Appendix </w:t>
      </w:r>
      <w:r>
        <w:t>A</w:t>
      </w:r>
      <w:r w:rsidRPr="00D87DE6">
        <w:t xml:space="preserve"> is sourced from the Rule 20A Program data that PG&amp;E submitted in 2018 to the Commission’s Energy Division as part of the discovery required by R.17-05-010.</w:t>
      </w:r>
    </w:p>
  </w:footnote>
  <w:footnote w:id="19">
    <w:p w14:paraId="41F471A8" w14:textId="77777777" w:rsidR="00082728" w:rsidRPr="00D87DE6" w:rsidRDefault="00082728" w:rsidP="00131201">
      <w:pPr>
        <w:pStyle w:val="FootnoteText"/>
        <w:numPr>
          <w:ilvl w:val="0"/>
          <w:numId w:val="0"/>
        </w:numPr>
        <w:spacing w:after="0"/>
      </w:pPr>
      <w:r w:rsidRPr="002D51C5">
        <w:rPr>
          <w:rStyle w:val="FootnoteReference"/>
        </w:rPr>
        <w:footnoteRef/>
      </w:r>
      <w:r w:rsidRPr="002D51C5">
        <w:t xml:space="preserve"> See page 24 of Resolution E-4146.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E5E1" w14:textId="7B9C4043" w:rsidR="00082728" w:rsidRDefault="00082728">
    <w:pPr>
      <w:pStyle w:val="Header"/>
      <w:tabs>
        <w:tab w:val="clear" w:pos="4320"/>
        <w:tab w:val="clear" w:pos="8640"/>
        <w:tab w:val="center" w:pos="4680"/>
        <w:tab w:val="right" w:pos="9180"/>
      </w:tabs>
    </w:pPr>
    <w:r>
      <w:t>Resolution E-4971</w:t>
    </w:r>
    <w:r>
      <w:tab/>
      <w:t>DRAFT</w:t>
    </w:r>
    <w:r>
      <w:tab/>
      <w:t>April 25, 2019</w:t>
    </w:r>
  </w:p>
  <w:p w14:paraId="650DE664" w14:textId="459C2A32" w:rsidR="00082728" w:rsidRDefault="00082728">
    <w:pPr>
      <w:pStyle w:val="Header"/>
      <w:tabs>
        <w:tab w:val="clear" w:pos="4320"/>
        <w:tab w:val="clear" w:pos="8640"/>
        <w:tab w:val="center" w:pos="4680"/>
        <w:tab w:val="right" w:pos="9180"/>
      </w:tabs>
    </w:pPr>
    <w:r>
      <w:t>Pacific Gas and Electric AL 5403-E-A/jtf</w:t>
    </w:r>
  </w:p>
  <w:p w14:paraId="614C7BB1" w14:textId="77777777" w:rsidR="00082728" w:rsidRDefault="00082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78CD2" w14:textId="77777777" w:rsidR="00082728" w:rsidRPr="008E6797" w:rsidRDefault="00082728"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8DA"/>
    <w:multiLevelType w:val="hybridMultilevel"/>
    <w:tmpl w:val="E0E417F4"/>
    <w:lvl w:ilvl="0" w:tplc="EF9E40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E2554"/>
    <w:multiLevelType w:val="hybridMultilevel"/>
    <w:tmpl w:val="2048B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95F77"/>
    <w:multiLevelType w:val="hybridMultilevel"/>
    <w:tmpl w:val="BF7CA71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4" w15:restartNumberingAfterBreak="0">
    <w:nsid w:val="0B3A6216"/>
    <w:multiLevelType w:val="hybridMultilevel"/>
    <w:tmpl w:val="2438EB1A"/>
    <w:lvl w:ilvl="0" w:tplc="0409000F">
      <w:start w:val="1"/>
      <w:numFmt w:val="decimal"/>
      <w:lvlText w:val="%1."/>
      <w:lvlJc w:val="left"/>
      <w:pPr>
        <w:ind w:left="720" w:hanging="360"/>
      </w:pPr>
    </w:lvl>
    <w:lvl w:ilvl="1" w:tplc="370C58FE">
      <w:start w:val="2"/>
      <w:numFmt w:val="bullet"/>
      <w:lvlText w:val="•"/>
      <w:lvlJc w:val="left"/>
      <w:pPr>
        <w:ind w:left="1440" w:hanging="360"/>
      </w:pPr>
      <w:rPr>
        <w:rFonts w:ascii="Palatino" w:eastAsia="Times New Roman" w:hAnsi="Palatino" w:cs="Times New Roman" w:hint="default"/>
      </w:rPr>
    </w:lvl>
    <w:lvl w:ilvl="2" w:tplc="F136493E">
      <w:start w:val="3"/>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A40FB"/>
    <w:multiLevelType w:val="hybridMultilevel"/>
    <w:tmpl w:val="E59C4082"/>
    <w:lvl w:ilvl="0" w:tplc="B414E8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B7819"/>
    <w:multiLevelType w:val="multilevel"/>
    <w:tmpl w:val="2A9ABFCC"/>
    <w:lvl w:ilvl="0">
      <w:start w:val="1"/>
      <w:numFmt w:val="decimal"/>
      <w:lvlText w:val="%1."/>
      <w:lvlJc w:val="left"/>
      <w:pPr>
        <w:tabs>
          <w:tab w:val="num" w:pos="360"/>
        </w:tabs>
        <w:ind w:left="360" w:hanging="360"/>
      </w:pPr>
    </w:lvl>
    <w:lvl w:ilvl="1">
      <w:start w:val="1"/>
      <w:numFmt w:val="bullet"/>
      <w:lvlText w:val="o"/>
      <w:lvlJc w:val="left"/>
      <w:pPr>
        <w:ind w:left="1800" w:hanging="360"/>
      </w:pPr>
      <w:rPr>
        <w:rFonts w:ascii="Courier New" w:hAnsi="Courier New" w:cs="Courier New" w:hint="default"/>
      </w:rPr>
    </w:lvl>
    <w:lvl w:ilvl="2">
      <w:start w:val="4"/>
      <w:numFmt w:val="decimal"/>
      <w:lvlText w:val="%3"/>
      <w:lvlJc w:val="left"/>
      <w:pPr>
        <w:ind w:left="2520" w:hanging="360"/>
      </w:pPr>
      <w:rPr>
        <w:rFonts w:ascii="Palatino Linotype" w:hAnsi="Palatino Linotype"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15:restartNumberingAfterBreak="0">
    <w:nsid w:val="15545BDC"/>
    <w:multiLevelType w:val="hybridMultilevel"/>
    <w:tmpl w:val="ADDA2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15:restartNumberingAfterBreak="0">
    <w:nsid w:val="26F8414F"/>
    <w:multiLevelType w:val="hybridMultilevel"/>
    <w:tmpl w:val="1EE20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6425EC"/>
    <w:multiLevelType w:val="hybridMultilevel"/>
    <w:tmpl w:val="617E8F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72123"/>
    <w:multiLevelType w:val="hybridMultilevel"/>
    <w:tmpl w:val="E272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6F39B8"/>
    <w:multiLevelType w:val="hybridMultilevel"/>
    <w:tmpl w:val="BF7CA712"/>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721EE4"/>
    <w:multiLevelType w:val="hybridMultilevel"/>
    <w:tmpl w:val="4B6C0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6056CBD"/>
    <w:multiLevelType w:val="hybridMultilevel"/>
    <w:tmpl w:val="C09CDA7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172280"/>
    <w:multiLevelType w:val="hybridMultilevel"/>
    <w:tmpl w:val="5CA6B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60905"/>
    <w:multiLevelType w:val="multilevel"/>
    <w:tmpl w:val="71CE7B16"/>
    <w:lvl w:ilvl="0">
      <w:start w:val="1"/>
      <w:numFmt w:val="lowerLetter"/>
      <w:lvlText w:val="%1)"/>
      <w:lvlJc w:val="left"/>
      <w:pPr>
        <w:tabs>
          <w:tab w:val="num" w:pos="720"/>
        </w:tabs>
        <w:ind w:left="720" w:hanging="360"/>
      </w:pPr>
    </w:lvl>
    <w:lvl w:ilvl="1">
      <w:start w:val="1"/>
      <w:numFmt w:val="lowerLetter"/>
      <w:lvlText w:val="%2)"/>
      <w:lvlJc w:val="left"/>
      <w:pPr>
        <w:ind w:left="2160" w:hanging="360"/>
      </w:pPr>
      <w:rPr>
        <w:rFonts w:hint="default"/>
      </w:rPr>
    </w:lvl>
    <w:lvl w:ilvl="2">
      <w:start w:val="4"/>
      <w:numFmt w:val="decimal"/>
      <w:lvlText w:val="%3"/>
      <w:lvlJc w:val="left"/>
      <w:pPr>
        <w:ind w:left="2880" w:hanging="360"/>
      </w:pPr>
      <w:rPr>
        <w:rFonts w:ascii="Palatino Linotype" w:hAnsi="Palatino Linotype"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15:restartNumberingAfterBreak="0">
    <w:nsid w:val="572565C7"/>
    <w:multiLevelType w:val="singleLevel"/>
    <w:tmpl w:val="3B98A69A"/>
    <w:lvl w:ilvl="0">
      <w:start w:val="1"/>
      <w:numFmt w:val="decimal"/>
      <w:lvlText w:val="%1."/>
      <w:lvlJc w:val="left"/>
      <w:pPr>
        <w:tabs>
          <w:tab w:val="num" w:pos="420"/>
        </w:tabs>
        <w:ind w:left="420" w:hanging="420"/>
      </w:pPr>
      <w:rPr>
        <w:rFonts w:hint="default"/>
        <w:b w:val="0"/>
      </w:rPr>
    </w:lvl>
  </w:abstractNum>
  <w:abstractNum w:abstractNumId="20" w15:restartNumberingAfterBreak="0">
    <w:nsid w:val="59DD359C"/>
    <w:multiLevelType w:val="hybridMultilevel"/>
    <w:tmpl w:val="3A8A0D5A"/>
    <w:lvl w:ilvl="0" w:tplc="91B8A5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46D7E"/>
    <w:multiLevelType w:val="hybridMultilevel"/>
    <w:tmpl w:val="262E358A"/>
    <w:lvl w:ilvl="0" w:tplc="F202E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A21EDA"/>
    <w:multiLevelType w:val="hybridMultilevel"/>
    <w:tmpl w:val="CDFCF3D8"/>
    <w:lvl w:ilvl="0" w:tplc="DB9C6CC8">
      <w:start w:val="2"/>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A3F03"/>
    <w:multiLevelType w:val="multilevel"/>
    <w:tmpl w:val="366ACEBA"/>
    <w:lvl w:ilvl="0">
      <w:start w:val="1"/>
      <w:numFmt w:val="decimal"/>
      <w:lvlText w:val="%1."/>
      <w:lvlJc w:val="left"/>
      <w:pPr>
        <w:tabs>
          <w:tab w:val="num" w:pos="360"/>
        </w:tabs>
        <w:ind w:left="360" w:hanging="360"/>
      </w:pPr>
    </w:lvl>
    <w:lvl w:ilvl="1">
      <w:start w:val="1"/>
      <w:numFmt w:val="lowerLetter"/>
      <w:lvlText w:val="%2)"/>
      <w:lvlJc w:val="left"/>
      <w:pPr>
        <w:ind w:left="1800" w:hanging="360"/>
      </w:pPr>
      <w:rPr>
        <w:rFonts w:hint="default"/>
      </w:rPr>
    </w:lvl>
    <w:lvl w:ilvl="2">
      <w:start w:val="4"/>
      <w:numFmt w:val="decimal"/>
      <w:lvlText w:val="%3"/>
      <w:lvlJc w:val="left"/>
      <w:pPr>
        <w:ind w:left="2520" w:hanging="360"/>
      </w:pPr>
      <w:rPr>
        <w:rFonts w:ascii="Palatino Linotype" w:hAnsi="Palatino Linotype"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EB1ABF"/>
    <w:multiLevelType w:val="hybridMultilevel"/>
    <w:tmpl w:val="E0E417F4"/>
    <w:lvl w:ilvl="0" w:tplc="EF9E40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806A4"/>
    <w:multiLevelType w:val="hybridMultilevel"/>
    <w:tmpl w:val="262E358A"/>
    <w:lvl w:ilvl="0" w:tplc="F202E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0B2ADA"/>
    <w:multiLevelType w:val="hybridMultilevel"/>
    <w:tmpl w:val="6CF4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9"/>
  </w:num>
  <w:num w:numId="4">
    <w:abstractNumId w:val="19"/>
  </w:num>
  <w:num w:numId="5">
    <w:abstractNumId w:val="6"/>
  </w:num>
  <w:num w:numId="6">
    <w:abstractNumId w:val="10"/>
  </w:num>
  <w:num w:numId="7">
    <w:abstractNumId w:val="24"/>
  </w:num>
  <w:num w:numId="8">
    <w:abstractNumId w:val="27"/>
  </w:num>
  <w:num w:numId="9">
    <w:abstractNumId w:val="8"/>
  </w:num>
  <w:num w:numId="10">
    <w:abstractNumId w:val="4"/>
  </w:num>
  <w:num w:numId="11">
    <w:abstractNumId w:val="28"/>
  </w:num>
  <w:num w:numId="12">
    <w:abstractNumId w:val="5"/>
  </w:num>
  <w:num w:numId="13">
    <w:abstractNumId w:val="12"/>
  </w:num>
  <w:num w:numId="14">
    <w:abstractNumId w:val="26"/>
  </w:num>
  <w:num w:numId="15">
    <w:abstractNumId w:val="0"/>
  </w:num>
  <w:num w:numId="16">
    <w:abstractNumId w:val="7"/>
  </w:num>
  <w:num w:numId="17">
    <w:abstractNumId w:val="22"/>
  </w:num>
  <w:num w:numId="18">
    <w:abstractNumId w:val="20"/>
  </w:num>
  <w:num w:numId="19">
    <w:abstractNumId w:val="11"/>
  </w:num>
  <w:num w:numId="20">
    <w:abstractNumId w:val="1"/>
  </w:num>
  <w:num w:numId="21">
    <w:abstractNumId w:val="14"/>
  </w:num>
  <w:num w:numId="22">
    <w:abstractNumId w:val="13"/>
  </w:num>
  <w:num w:numId="23">
    <w:abstractNumId w:val="21"/>
  </w:num>
  <w:num w:numId="24">
    <w:abstractNumId w:val="25"/>
  </w:num>
  <w:num w:numId="25">
    <w:abstractNumId w:val="17"/>
  </w:num>
  <w:num w:numId="26">
    <w:abstractNumId w:val="16"/>
  </w:num>
  <w:num w:numId="27">
    <w:abstractNumId w:val="23"/>
  </w:num>
  <w:num w:numId="28">
    <w:abstractNumId w:val="18"/>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70"/>
    <w:rsid w:val="000007E1"/>
    <w:rsid w:val="000010C5"/>
    <w:rsid w:val="00005282"/>
    <w:rsid w:val="00006F39"/>
    <w:rsid w:val="00010EC3"/>
    <w:rsid w:val="000115E2"/>
    <w:rsid w:val="00017DD4"/>
    <w:rsid w:val="00020D33"/>
    <w:rsid w:val="0002180C"/>
    <w:rsid w:val="00022BD5"/>
    <w:rsid w:val="00025747"/>
    <w:rsid w:val="00025975"/>
    <w:rsid w:val="00026157"/>
    <w:rsid w:val="00031A1B"/>
    <w:rsid w:val="00031B27"/>
    <w:rsid w:val="00041B72"/>
    <w:rsid w:val="00043513"/>
    <w:rsid w:val="0004457D"/>
    <w:rsid w:val="00045E15"/>
    <w:rsid w:val="00046511"/>
    <w:rsid w:val="00047D09"/>
    <w:rsid w:val="00050650"/>
    <w:rsid w:val="00053585"/>
    <w:rsid w:val="00054362"/>
    <w:rsid w:val="00054DA2"/>
    <w:rsid w:val="000554BF"/>
    <w:rsid w:val="0005792D"/>
    <w:rsid w:val="00057BDF"/>
    <w:rsid w:val="00057F85"/>
    <w:rsid w:val="00060576"/>
    <w:rsid w:val="00065CC1"/>
    <w:rsid w:val="000676A5"/>
    <w:rsid w:val="000737B2"/>
    <w:rsid w:val="00073CBF"/>
    <w:rsid w:val="00076D84"/>
    <w:rsid w:val="000812CD"/>
    <w:rsid w:val="00082728"/>
    <w:rsid w:val="00082E3E"/>
    <w:rsid w:val="00083140"/>
    <w:rsid w:val="00087815"/>
    <w:rsid w:val="00090EBF"/>
    <w:rsid w:val="000932F8"/>
    <w:rsid w:val="00095335"/>
    <w:rsid w:val="000A1BCF"/>
    <w:rsid w:val="000A2AE7"/>
    <w:rsid w:val="000A5E6D"/>
    <w:rsid w:val="000A6D41"/>
    <w:rsid w:val="000B2E60"/>
    <w:rsid w:val="000B417E"/>
    <w:rsid w:val="000B425E"/>
    <w:rsid w:val="000B5D11"/>
    <w:rsid w:val="000C75C1"/>
    <w:rsid w:val="000D22DD"/>
    <w:rsid w:val="000D3A75"/>
    <w:rsid w:val="000D3C0F"/>
    <w:rsid w:val="000D482B"/>
    <w:rsid w:val="000D6CE9"/>
    <w:rsid w:val="000D724E"/>
    <w:rsid w:val="000E101E"/>
    <w:rsid w:val="000E1C4C"/>
    <w:rsid w:val="000E22FB"/>
    <w:rsid w:val="000E25B2"/>
    <w:rsid w:val="000F6E56"/>
    <w:rsid w:val="00100C48"/>
    <w:rsid w:val="00100C58"/>
    <w:rsid w:val="001010F6"/>
    <w:rsid w:val="00101AFD"/>
    <w:rsid w:val="0010769D"/>
    <w:rsid w:val="00111D9A"/>
    <w:rsid w:val="0011391B"/>
    <w:rsid w:val="00113D2E"/>
    <w:rsid w:val="00113E44"/>
    <w:rsid w:val="001142B5"/>
    <w:rsid w:val="00115001"/>
    <w:rsid w:val="001152E1"/>
    <w:rsid w:val="0012203C"/>
    <w:rsid w:val="00131201"/>
    <w:rsid w:val="00136BF7"/>
    <w:rsid w:val="00137295"/>
    <w:rsid w:val="00140001"/>
    <w:rsid w:val="00142FB8"/>
    <w:rsid w:val="001438FD"/>
    <w:rsid w:val="00144494"/>
    <w:rsid w:val="001444E2"/>
    <w:rsid w:val="00150E15"/>
    <w:rsid w:val="00152310"/>
    <w:rsid w:val="00155E3E"/>
    <w:rsid w:val="00157362"/>
    <w:rsid w:val="00157BF2"/>
    <w:rsid w:val="00163409"/>
    <w:rsid w:val="00165280"/>
    <w:rsid w:val="00165514"/>
    <w:rsid w:val="00167805"/>
    <w:rsid w:val="00171E19"/>
    <w:rsid w:val="0017526F"/>
    <w:rsid w:val="0017535B"/>
    <w:rsid w:val="00175A13"/>
    <w:rsid w:val="001837F8"/>
    <w:rsid w:val="00185BE3"/>
    <w:rsid w:val="00186BC3"/>
    <w:rsid w:val="00187755"/>
    <w:rsid w:val="00191C9E"/>
    <w:rsid w:val="00193F07"/>
    <w:rsid w:val="00195247"/>
    <w:rsid w:val="001973C6"/>
    <w:rsid w:val="00197A9E"/>
    <w:rsid w:val="001A0642"/>
    <w:rsid w:val="001A6AD8"/>
    <w:rsid w:val="001A71AC"/>
    <w:rsid w:val="001B239F"/>
    <w:rsid w:val="001B35C5"/>
    <w:rsid w:val="001B644F"/>
    <w:rsid w:val="001B6EE1"/>
    <w:rsid w:val="001C09C4"/>
    <w:rsid w:val="001C1E22"/>
    <w:rsid w:val="001C24D3"/>
    <w:rsid w:val="001C3365"/>
    <w:rsid w:val="001C51F9"/>
    <w:rsid w:val="001C644E"/>
    <w:rsid w:val="001D1543"/>
    <w:rsid w:val="001D1D54"/>
    <w:rsid w:val="001D464A"/>
    <w:rsid w:val="001D4E24"/>
    <w:rsid w:val="001E14AE"/>
    <w:rsid w:val="001E3B44"/>
    <w:rsid w:val="001E618A"/>
    <w:rsid w:val="001F1E8B"/>
    <w:rsid w:val="001F303D"/>
    <w:rsid w:val="00207035"/>
    <w:rsid w:val="00213530"/>
    <w:rsid w:val="00217618"/>
    <w:rsid w:val="00223441"/>
    <w:rsid w:val="00224DAB"/>
    <w:rsid w:val="00230612"/>
    <w:rsid w:val="002318E7"/>
    <w:rsid w:val="00232D5C"/>
    <w:rsid w:val="00233FFA"/>
    <w:rsid w:val="00234ED8"/>
    <w:rsid w:val="00234FC6"/>
    <w:rsid w:val="002351E6"/>
    <w:rsid w:val="0024686A"/>
    <w:rsid w:val="00251411"/>
    <w:rsid w:val="00252D0E"/>
    <w:rsid w:val="00254281"/>
    <w:rsid w:val="00257494"/>
    <w:rsid w:val="00261F07"/>
    <w:rsid w:val="00262F29"/>
    <w:rsid w:val="00265BDD"/>
    <w:rsid w:val="00267BCF"/>
    <w:rsid w:val="002712A2"/>
    <w:rsid w:val="00272BF0"/>
    <w:rsid w:val="00277C29"/>
    <w:rsid w:val="00282D87"/>
    <w:rsid w:val="00286685"/>
    <w:rsid w:val="00287C20"/>
    <w:rsid w:val="00292CD3"/>
    <w:rsid w:val="00293646"/>
    <w:rsid w:val="00296FFA"/>
    <w:rsid w:val="002A1B9F"/>
    <w:rsid w:val="002A599D"/>
    <w:rsid w:val="002B05B0"/>
    <w:rsid w:val="002B0924"/>
    <w:rsid w:val="002B44DC"/>
    <w:rsid w:val="002B4C04"/>
    <w:rsid w:val="002C12A5"/>
    <w:rsid w:val="002C7359"/>
    <w:rsid w:val="002D17B9"/>
    <w:rsid w:val="002D1EBA"/>
    <w:rsid w:val="002D51C5"/>
    <w:rsid w:val="002E3154"/>
    <w:rsid w:val="002E64DF"/>
    <w:rsid w:val="002F2277"/>
    <w:rsid w:val="002F6E58"/>
    <w:rsid w:val="002F6EB6"/>
    <w:rsid w:val="002F6F5A"/>
    <w:rsid w:val="0030040A"/>
    <w:rsid w:val="0030382A"/>
    <w:rsid w:val="00306FB7"/>
    <w:rsid w:val="00310C69"/>
    <w:rsid w:val="00315639"/>
    <w:rsid w:val="003170E6"/>
    <w:rsid w:val="00320F25"/>
    <w:rsid w:val="003238DA"/>
    <w:rsid w:val="00325A09"/>
    <w:rsid w:val="00326B0A"/>
    <w:rsid w:val="00327C71"/>
    <w:rsid w:val="003327D1"/>
    <w:rsid w:val="0034283E"/>
    <w:rsid w:val="00342F9E"/>
    <w:rsid w:val="003437D5"/>
    <w:rsid w:val="00345D66"/>
    <w:rsid w:val="003466BC"/>
    <w:rsid w:val="00351CE8"/>
    <w:rsid w:val="00351CED"/>
    <w:rsid w:val="00355B76"/>
    <w:rsid w:val="0035672E"/>
    <w:rsid w:val="003576A7"/>
    <w:rsid w:val="003578E0"/>
    <w:rsid w:val="00361591"/>
    <w:rsid w:val="003630F0"/>
    <w:rsid w:val="00364510"/>
    <w:rsid w:val="00366E8A"/>
    <w:rsid w:val="00367AC8"/>
    <w:rsid w:val="00371FCB"/>
    <w:rsid w:val="00374AEE"/>
    <w:rsid w:val="00375E73"/>
    <w:rsid w:val="00375ED2"/>
    <w:rsid w:val="0037682D"/>
    <w:rsid w:val="00377A82"/>
    <w:rsid w:val="003808B0"/>
    <w:rsid w:val="00380ADF"/>
    <w:rsid w:val="0038373E"/>
    <w:rsid w:val="00383E2D"/>
    <w:rsid w:val="00391541"/>
    <w:rsid w:val="00393579"/>
    <w:rsid w:val="00394268"/>
    <w:rsid w:val="00394B3A"/>
    <w:rsid w:val="00394C33"/>
    <w:rsid w:val="00395DCD"/>
    <w:rsid w:val="003A3208"/>
    <w:rsid w:val="003A72B6"/>
    <w:rsid w:val="003A7C80"/>
    <w:rsid w:val="003B05DB"/>
    <w:rsid w:val="003B1839"/>
    <w:rsid w:val="003B4DED"/>
    <w:rsid w:val="003B50AC"/>
    <w:rsid w:val="003B67CF"/>
    <w:rsid w:val="003C0BAE"/>
    <w:rsid w:val="003C4D40"/>
    <w:rsid w:val="003C7579"/>
    <w:rsid w:val="003D0E53"/>
    <w:rsid w:val="003D55C9"/>
    <w:rsid w:val="003D6E3F"/>
    <w:rsid w:val="003D7160"/>
    <w:rsid w:val="003D72DC"/>
    <w:rsid w:val="003E1490"/>
    <w:rsid w:val="003E1AEC"/>
    <w:rsid w:val="003E5897"/>
    <w:rsid w:val="003E5AE5"/>
    <w:rsid w:val="003E7A4E"/>
    <w:rsid w:val="003F3AB5"/>
    <w:rsid w:val="003F3B4C"/>
    <w:rsid w:val="003F3E78"/>
    <w:rsid w:val="003F55B6"/>
    <w:rsid w:val="003F6E5A"/>
    <w:rsid w:val="003F786D"/>
    <w:rsid w:val="0040052D"/>
    <w:rsid w:val="00400F6B"/>
    <w:rsid w:val="004028A2"/>
    <w:rsid w:val="00402E64"/>
    <w:rsid w:val="00403387"/>
    <w:rsid w:val="00405C54"/>
    <w:rsid w:val="00414E27"/>
    <w:rsid w:val="0041650F"/>
    <w:rsid w:val="00416DC7"/>
    <w:rsid w:val="00422948"/>
    <w:rsid w:val="0042469C"/>
    <w:rsid w:val="0042551D"/>
    <w:rsid w:val="00425694"/>
    <w:rsid w:val="00425A4F"/>
    <w:rsid w:val="00430E90"/>
    <w:rsid w:val="00432B48"/>
    <w:rsid w:val="00434E47"/>
    <w:rsid w:val="00436F50"/>
    <w:rsid w:val="00437258"/>
    <w:rsid w:val="00437AD5"/>
    <w:rsid w:val="00440AB7"/>
    <w:rsid w:val="004451AE"/>
    <w:rsid w:val="0044587A"/>
    <w:rsid w:val="00446D70"/>
    <w:rsid w:val="00452547"/>
    <w:rsid w:val="00452AC8"/>
    <w:rsid w:val="00454A83"/>
    <w:rsid w:val="00455FA2"/>
    <w:rsid w:val="0045741F"/>
    <w:rsid w:val="00462FB7"/>
    <w:rsid w:val="00467956"/>
    <w:rsid w:val="00470B9B"/>
    <w:rsid w:val="00471307"/>
    <w:rsid w:val="00480315"/>
    <w:rsid w:val="00480D93"/>
    <w:rsid w:val="00482823"/>
    <w:rsid w:val="004828FF"/>
    <w:rsid w:val="004840EE"/>
    <w:rsid w:val="00484FEB"/>
    <w:rsid w:val="0048530E"/>
    <w:rsid w:val="004873A3"/>
    <w:rsid w:val="004905D3"/>
    <w:rsid w:val="00497AA5"/>
    <w:rsid w:val="004A0352"/>
    <w:rsid w:val="004A17B4"/>
    <w:rsid w:val="004A2123"/>
    <w:rsid w:val="004A394F"/>
    <w:rsid w:val="004A536B"/>
    <w:rsid w:val="004A6F6D"/>
    <w:rsid w:val="004B0900"/>
    <w:rsid w:val="004B1182"/>
    <w:rsid w:val="004B121B"/>
    <w:rsid w:val="004B428A"/>
    <w:rsid w:val="004B6B07"/>
    <w:rsid w:val="004B6CF1"/>
    <w:rsid w:val="004B7742"/>
    <w:rsid w:val="004C208E"/>
    <w:rsid w:val="004C2AB0"/>
    <w:rsid w:val="004C2E6E"/>
    <w:rsid w:val="004C4DCA"/>
    <w:rsid w:val="004C5D29"/>
    <w:rsid w:val="004D129D"/>
    <w:rsid w:val="004D3212"/>
    <w:rsid w:val="004D3AAB"/>
    <w:rsid w:val="004E1506"/>
    <w:rsid w:val="004E5CB6"/>
    <w:rsid w:val="004F2868"/>
    <w:rsid w:val="004F65C3"/>
    <w:rsid w:val="00503C67"/>
    <w:rsid w:val="005059F4"/>
    <w:rsid w:val="00505FE8"/>
    <w:rsid w:val="00506047"/>
    <w:rsid w:val="0050795C"/>
    <w:rsid w:val="00512A3C"/>
    <w:rsid w:val="00521219"/>
    <w:rsid w:val="005226B9"/>
    <w:rsid w:val="00525294"/>
    <w:rsid w:val="00525AD5"/>
    <w:rsid w:val="00526166"/>
    <w:rsid w:val="005320B6"/>
    <w:rsid w:val="00532F96"/>
    <w:rsid w:val="00533D00"/>
    <w:rsid w:val="005353B1"/>
    <w:rsid w:val="005367C0"/>
    <w:rsid w:val="005411F2"/>
    <w:rsid w:val="00543BB0"/>
    <w:rsid w:val="0054525C"/>
    <w:rsid w:val="00547A34"/>
    <w:rsid w:val="00547B0F"/>
    <w:rsid w:val="00553FDF"/>
    <w:rsid w:val="0055542A"/>
    <w:rsid w:val="00561E0C"/>
    <w:rsid w:val="0057263D"/>
    <w:rsid w:val="005769FD"/>
    <w:rsid w:val="005777B2"/>
    <w:rsid w:val="00580B99"/>
    <w:rsid w:val="00582A29"/>
    <w:rsid w:val="0058545F"/>
    <w:rsid w:val="005901B3"/>
    <w:rsid w:val="00590BE7"/>
    <w:rsid w:val="00591BC6"/>
    <w:rsid w:val="00593807"/>
    <w:rsid w:val="00594A7C"/>
    <w:rsid w:val="005956CF"/>
    <w:rsid w:val="00596B02"/>
    <w:rsid w:val="00597362"/>
    <w:rsid w:val="005A187E"/>
    <w:rsid w:val="005A1C00"/>
    <w:rsid w:val="005A4B0B"/>
    <w:rsid w:val="005A5290"/>
    <w:rsid w:val="005B1512"/>
    <w:rsid w:val="005B42DF"/>
    <w:rsid w:val="005B4C88"/>
    <w:rsid w:val="005B5A52"/>
    <w:rsid w:val="005B7B96"/>
    <w:rsid w:val="005C145B"/>
    <w:rsid w:val="005C3F88"/>
    <w:rsid w:val="005C456B"/>
    <w:rsid w:val="005C54FA"/>
    <w:rsid w:val="005C5C1B"/>
    <w:rsid w:val="005C6433"/>
    <w:rsid w:val="005D0325"/>
    <w:rsid w:val="005D09C5"/>
    <w:rsid w:val="005D0FEF"/>
    <w:rsid w:val="005D2B1E"/>
    <w:rsid w:val="005D3F05"/>
    <w:rsid w:val="005D4D28"/>
    <w:rsid w:val="005D6A0A"/>
    <w:rsid w:val="005E413F"/>
    <w:rsid w:val="005E6841"/>
    <w:rsid w:val="005F0C69"/>
    <w:rsid w:val="005F1942"/>
    <w:rsid w:val="005F28AF"/>
    <w:rsid w:val="005F3080"/>
    <w:rsid w:val="005F5421"/>
    <w:rsid w:val="005F5485"/>
    <w:rsid w:val="00601E8C"/>
    <w:rsid w:val="00610634"/>
    <w:rsid w:val="00610CDC"/>
    <w:rsid w:val="00617C8B"/>
    <w:rsid w:val="006208BB"/>
    <w:rsid w:val="0062289A"/>
    <w:rsid w:val="006247DA"/>
    <w:rsid w:val="00624CDD"/>
    <w:rsid w:val="00625201"/>
    <w:rsid w:val="00625B40"/>
    <w:rsid w:val="00630ACD"/>
    <w:rsid w:val="00630B94"/>
    <w:rsid w:val="00630FBE"/>
    <w:rsid w:val="00633A51"/>
    <w:rsid w:val="00634CDD"/>
    <w:rsid w:val="00635E21"/>
    <w:rsid w:val="006361C7"/>
    <w:rsid w:val="006437F8"/>
    <w:rsid w:val="00644C8A"/>
    <w:rsid w:val="00644CA0"/>
    <w:rsid w:val="00646462"/>
    <w:rsid w:val="00652E60"/>
    <w:rsid w:val="00657F23"/>
    <w:rsid w:val="00660428"/>
    <w:rsid w:val="00660474"/>
    <w:rsid w:val="006660FB"/>
    <w:rsid w:val="006674AD"/>
    <w:rsid w:val="00667B2E"/>
    <w:rsid w:val="0067557F"/>
    <w:rsid w:val="00676B35"/>
    <w:rsid w:val="00677FAE"/>
    <w:rsid w:val="00680517"/>
    <w:rsid w:val="0068100D"/>
    <w:rsid w:val="00684746"/>
    <w:rsid w:val="00685E86"/>
    <w:rsid w:val="006863F1"/>
    <w:rsid w:val="00686904"/>
    <w:rsid w:val="006909FE"/>
    <w:rsid w:val="006937E1"/>
    <w:rsid w:val="00693A3F"/>
    <w:rsid w:val="0069631C"/>
    <w:rsid w:val="00697AD7"/>
    <w:rsid w:val="006A0B01"/>
    <w:rsid w:val="006A2A37"/>
    <w:rsid w:val="006A6D28"/>
    <w:rsid w:val="006B05EE"/>
    <w:rsid w:val="006B10E1"/>
    <w:rsid w:val="006B1BBE"/>
    <w:rsid w:val="006B736A"/>
    <w:rsid w:val="006C0E69"/>
    <w:rsid w:val="006C11E5"/>
    <w:rsid w:val="006C2A28"/>
    <w:rsid w:val="006C5756"/>
    <w:rsid w:val="006C7020"/>
    <w:rsid w:val="006C7B96"/>
    <w:rsid w:val="006D0218"/>
    <w:rsid w:val="006D029C"/>
    <w:rsid w:val="006D182A"/>
    <w:rsid w:val="006D1D0A"/>
    <w:rsid w:val="006D34EA"/>
    <w:rsid w:val="006D79AF"/>
    <w:rsid w:val="006E2688"/>
    <w:rsid w:val="006E27FF"/>
    <w:rsid w:val="006F29DE"/>
    <w:rsid w:val="006F38C3"/>
    <w:rsid w:val="006F5829"/>
    <w:rsid w:val="00700038"/>
    <w:rsid w:val="00700303"/>
    <w:rsid w:val="00701659"/>
    <w:rsid w:val="007043BD"/>
    <w:rsid w:val="00710BD1"/>
    <w:rsid w:val="00713EFF"/>
    <w:rsid w:val="00714E02"/>
    <w:rsid w:val="007158DD"/>
    <w:rsid w:val="007170F1"/>
    <w:rsid w:val="00721418"/>
    <w:rsid w:val="007236C0"/>
    <w:rsid w:val="00723894"/>
    <w:rsid w:val="00724F96"/>
    <w:rsid w:val="007308FF"/>
    <w:rsid w:val="00733BE3"/>
    <w:rsid w:val="007342FC"/>
    <w:rsid w:val="00734C31"/>
    <w:rsid w:val="00735D7A"/>
    <w:rsid w:val="00736C28"/>
    <w:rsid w:val="00746E84"/>
    <w:rsid w:val="0075072A"/>
    <w:rsid w:val="00754C56"/>
    <w:rsid w:val="00754E3A"/>
    <w:rsid w:val="00763B1C"/>
    <w:rsid w:val="00763E1F"/>
    <w:rsid w:val="007647DB"/>
    <w:rsid w:val="00766C93"/>
    <w:rsid w:val="007713AD"/>
    <w:rsid w:val="00777A2F"/>
    <w:rsid w:val="007815E3"/>
    <w:rsid w:val="00781A6F"/>
    <w:rsid w:val="0078412D"/>
    <w:rsid w:val="0078640C"/>
    <w:rsid w:val="0078718B"/>
    <w:rsid w:val="00792C55"/>
    <w:rsid w:val="0079305D"/>
    <w:rsid w:val="00795834"/>
    <w:rsid w:val="00795E42"/>
    <w:rsid w:val="00796BAA"/>
    <w:rsid w:val="007A281A"/>
    <w:rsid w:val="007A3170"/>
    <w:rsid w:val="007A46F9"/>
    <w:rsid w:val="007A5E20"/>
    <w:rsid w:val="007B014D"/>
    <w:rsid w:val="007B1581"/>
    <w:rsid w:val="007B285F"/>
    <w:rsid w:val="007B5DBC"/>
    <w:rsid w:val="007B6A36"/>
    <w:rsid w:val="007B70E0"/>
    <w:rsid w:val="007B7229"/>
    <w:rsid w:val="007C13E4"/>
    <w:rsid w:val="007C4F09"/>
    <w:rsid w:val="007D2FD2"/>
    <w:rsid w:val="007D4952"/>
    <w:rsid w:val="007D578F"/>
    <w:rsid w:val="007D5F9E"/>
    <w:rsid w:val="007D67CA"/>
    <w:rsid w:val="007D7371"/>
    <w:rsid w:val="007E1E7E"/>
    <w:rsid w:val="007F0FD1"/>
    <w:rsid w:val="007F422E"/>
    <w:rsid w:val="00801D70"/>
    <w:rsid w:val="00805044"/>
    <w:rsid w:val="0080544D"/>
    <w:rsid w:val="00805A24"/>
    <w:rsid w:val="00807731"/>
    <w:rsid w:val="00810EE7"/>
    <w:rsid w:val="0081109F"/>
    <w:rsid w:val="00811D7B"/>
    <w:rsid w:val="00813215"/>
    <w:rsid w:val="00816D62"/>
    <w:rsid w:val="00824E06"/>
    <w:rsid w:val="008252F3"/>
    <w:rsid w:val="0082633F"/>
    <w:rsid w:val="00840009"/>
    <w:rsid w:val="008406D0"/>
    <w:rsid w:val="00840B88"/>
    <w:rsid w:val="00841642"/>
    <w:rsid w:val="00850040"/>
    <w:rsid w:val="008515C6"/>
    <w:rsid w:val="00854831"/>
    <w:rsid w:val="0086091C"/>
    <w:rsid w:val="00863078"/>
    <w:rsid w:val="00863A27"/>
    <w:rsid w:val="00865627"/>
    <w:rsid w:val="00873052"/>
    <w:rsid w:val="0087508A"/>
    <w:rsid w:val="008773BD"/>
    <w:rsid w:val="00877BAF"/>
    <w:rsid w:val="00881CD3"/>
    <w:rsid w:val="00882695"/>
    <w:rsid w:val="0088534F"/>
    <w:rsid w:val="00892EE6"/>
    <w:rsid w:val="008940C8"/>
    <w:rsid w:val="00897400"/>
    <w:rsid w:val="008A1E91"/>
    <w:rsid w:val="008B4896"/>
    <w:rsid w:val="008B6627"/>
    <w:rsid w:val="008B66E5"/>
    <w:rsid w:val="008C3AC1"/>
    <w:rsid w:val="008C734B"/>
    <w:rsid w:val="008C7BE7"/>
    <w:rsid w:val="008C7EF5"/>
    <w:rsid w:val="008D1842"/>
    <w:rsid w:val="008E1A32"/>
    <w:rsid w:val="008E363C"/>
    <w:rsid w:val="008E57CC"/>
    <w:rsid w:val="008E6797"/>
    <w:rsid w:val="008F0FD9"/>
    <w:rsid w:val="008F3273"/>
    <w:rsid w:val="009106BF"/>
    <w:rsid w:val="00910E6D"/>
    <w:rsid w:val="00913A62"/>
    <w:rsid w:val="00913DA8"/>
    <w:rsid w:val="00913DF7"/>
    <w:rsid w:val="00917581"/>
    <w:rsid w:val="009207B2"/>
    <w:rsid w:val="00921B56"/>
    <w:rsid w:val="0092234D"/>
    <w:rsid w:val="00923974"/>
    <w:rsid w:val="00926B50"/>
    <w:rsid w:val="00930837"/>
    <w:rsid w:val="00934A06"/>
    <w:rsid w:val="00935142"/>
    <w:rsid w:val="0093577A"/>
    <w:rsid w:val="00940D7F"/>
    <w:rsid w:val="00942DE9"/>
    <w:rsid w:val="009433F7"/>
    <w:rsid w:val="0094653E"/>
    <w:rsid w:val="009469DF"/>
    <w:rsid w:val="00946FF4"/>
    <w:rsid w:val="00947A9A"/>
    <w:rsid w:val="00950C49"/>
    <w:rsid w:val="00955566"/>
    <w:rsid w:val="0096033B"/>
    <w:rsid w:val="00961BE3"/>
    <w:rsid w:val="00963BC3"/>
    <w:rsid w:val="00964462"/>
    <w:rsid w:val="00966334"/>
    <w:rsid w:val="00966821"/>
    <w:rsid w:val="0097315C"/>
    <w:rsid w:val="00975B9E"/>
    <w:rsid w:val="00976C80"/>
    <w:rsid w:val="009809B1"/>
    <w:rsid w:val="009824A9"/>
    <w:rsid w:val="00986961"/>
    <w:rsid w:val="00993DBA"/>
    <w:rsid w:val="009A0136"/>
    <w:rsid w:val="009A0612"/>
    <w:rsid w:val="009A24A8"/>
    <w:rsid w:val="009A28FA"/>
    <w:rsid w:val="009A50E0"/>
    <w:rsid w:val="009B0C2A"/>
    <w:rsid w:val="009B3BA7"/>
    <w:rsid w:val="009B5CA7"/>
    <w:rsid w:val="009C40EB"/>
    <w:rsid w:val="009C4810"/>
    <w:rsid w:val="009C69E6"/>
    <w:rsid w:val="009D7160"/>
    <w:rsid w:val="009E3B4C"/>
    <w:rsid w:val="009E57C0"/>
    <w:rsid w:val="009E6811"/>
    <w:rsid w:val="009F188C"/>
    <w:rsid w:val="009F246A"/>
    <w:rsid w:val="009F45F5"/>
    <w:rsid w:val="009F53A3"/>
    <w:rsid w:val="009F5FD6"/>
    <w:rsid w:val="00A10848"/>
    <w:rsid w:val="00A11259"/>
    <w:rsid w:val="00A11DB0"/>
    <w:rsid w:val="00A11F48"/>
    <w:rsid w:val="00A120FF"/>
    <w:rsid w:val="00A1526C"/>
    <w:rsid w:val="00A16943"/>
    <w:rsid w:val="00A17D8C"/>
    <w:rsid w:val="00A2141C"/>
    <w:rsid w:val="00A218B6"/>
    <w:rsid w:val="00A23AF8"/>
    <w:rsid w:val="00A247A9"/>
    <w:rsid w:val="00A24EFD"/>
    <w:rsid w:val="00A25C9D"/>
    <w:rsid w:val="00A26D27"/>
    <w:rsid w:val="00A27DDE"/>
    <w:rsid w:val="00A32C78"/>
    <w:rsid w:val="00A33279"/>
    <w:rsid w:val="00A432CF"/>
    <w:rsid w:val="00A44927"/>
    <w:rsid w:val="00A52E19"/>
    <w:rsid w:val="00A551BD"/>
    <w:rsid w:val="00A60201"/>
    <w:rsid w:val="00A64CCA"/>
    <w:rsid w:val="00A67963"/>
    <w:rsid w:val="00A756E9"/>
    <w:rsid w:val="00A76686"/>
    <w:rsid w:val="00A82043"/>
    <w:rsid w:val="00A835A4"/>
    <w:rsid w:val="00A868B5"/>
    <w:rsid w:val="00AA5DB9"/>
    <w:rsid w:val="00AB225D"/>
    <w:rsid w:val="00AB3412"/>
    <w:rsid w:val="00AC496B"/>
    <w:rsid w:val="00AC4FFD"/>
    <w:rsid w:val="00AC68A2"/>
    <w:rsid w:val="00AC7BEF"/>
    <w:rsid w:val="00AD0BDA"/>
    <w:rsid w:val="00AD1B20"/>
    <w:rsid w:val="00AD2A8B"/>
    <w:rsid w:val="00AD3A01"/>
    <w:rsid w:val="00AD46EC"/>
    <w:rsid w:val="00AD497C"/>
    <w:rsid w:val="00AD5862"/>
    <w:rsid w:val="00AD5BD1"/>
    <w:rsid w:val="00AE0709"/>
    <w:rsid w:val="00AE28A4"/>
    <w:rsid w:val="00AE664C"/>
    <w:rsid w:val="00AF1DF6"/>
    <w:rsid w:val="00AF3C2E"/>
    <w:rsid w:val="00AF4FA0"/>
    <w:rsid w:val="00AF62D7"/>
    <w:rsid w:val="00B02097"/>
    <w:rsid w:val="00B0212D"/>
    <w:rsid w:val="00B02388"/>
    <w:rsid w:val="00B023C2"/>
    <w:rsid w:val="00B02D14"/>
    <w:rsid w:val="00B1014C"/>
    <w:rsid w:val="00B10B6F"/>
    <w:rsid w:val="00B155C1"/>
    <w:rsid w:val="00B16800"/>
    <w:rsid w:val="00B173B5"/>
    <w:rsid w:val="00B20AB3"/>
    <w:rsid w:val="00B20DD9"/>
    <w:rsid w:val="00B2367B"/>
    <w:rsid w:val="00B25C7D"/>
    <w:rsid w:val="00B264C2"/>
    <w:rsid w:val="00B27C3D"/>
    <w:rsid w:val="00B3121E"/>
    <w:rsid w:val="00B36A74"/>
    <w:rsid w:val="00B46D3E"/>
    <w:rsid w:val="00B50F4C"/>
    <w:rsid w:val="00B52647"/>
    <w:rsid w:val="00B563D8"/>
    <w:rsid w:val="00B6018C"/>
    <w:rsid w:val="00B61585"/>
    <w:rsid w:val="00B62093"/>
    <w:rsid w:val="00B66802"/>
    <w:rsid w:val="00B671B5"/>
    <w:rsid w:val="00B67306"/>
    <w:rsid w:val="00B6754B"/>
    <w:rsid w:val="00B7017B"/>
    <w:rsid w:val="00B70EC0"/>
    <w:rsid w:val="00B80904"/>
    <w:rsid w:val="00B8212F"/>
    <w:rsid w:val="00B82162"/>
    <w:rsid w:val="00B8230D"/>
    <w:rsid w:val="00B8255F"/>
    <w:rsid w:val="00B826AB"/>
    <w:rsid w:val="00B82DFA"/>
    <w:rsid w:val="00B83364"/>
    <w:rsid w:val="00B85413"/>
    <w:rsid w:val="00B91C32"/>
    <w:rsid w:val="00B92102"/>
    <w:rsid w:val="00B927B5"/>
    <w:rsid w:val="00B92847"/>
    <w:rsid w:val="00B94E34"/>
    <w:rsid w:val="00B97529"/>
    <w:rsid w:val="00BA4BC0"/>
    <w:rsid w:val="00BB49B9"/>
    <w:rsid w:val="00BB589C"/>
    <w:rsid w:val="00BC13BB"/>
    <w:rsid w:val="00BC3AB4"/>
    <w:rsid w:val="00BD14EA"/>
    <w:rsid w:val="00BD6EA8"/>
    <w:rsid w:val="00BE3064"/>
    <w:rsid w:val="00BE689B"/>
    <w:rsid w:val="00BE73B0"/>
    <w:rsid w:val="00BF034E"/>
    <w:rsid w:val="00BF0675"/>
    <w:rsid w:val="00BF2946"/>
    <w:rsid w:val="00BF51B4"/>
    <w:rsid w:val="00C02327"/>
    <w:rsid w:val="00C034B7"/>
    <w:rsid w:val="00C03DBE"/>
    <w:rsid w:val="00C074C5"/>
    <w:rsid w:val="00C14106"/>
    <w:rsid w:val="00C14E49"/>
    <w:rsid w:val="00C15540"/>
    <w:rsid w:val="00C155F7"/>
    <w:rsid w:val="00C163F7"/>
    <w:rsid w:val="00C17F9B"/>
    <w:rsid w:val="00C22AA8"/>
    <w:rsid w:val="00C241E2"/>
    <w:rsid w:val="00C24F07"/>
    <w:rsid w:val="00C25333"/>
    <w:rsid w:val="00C2651A"/>
    <w:rsid w:val="00C274FA"/>
    <w:rsid w:val="00C32014"/>
    <w:rsid w:val="00C328EC"/>
    <w:rsid w:val="00C3458B"/>
    <w:rsid w:val="00C34DC7"/>
    <w:rsid w:val="00C37A54"/>
    <w:rsid w:val="00C37B89"/>
    <w:rsid w:val="00C4112D"/>
    <w:rsid w:val="00C42CEF"/>
    <w:rsid w:val="00C44221"/>
    <w:rsid w:val="00C54675"/>
    <w:rsid w:val="00C60C9F"/>
    <w:rsid w:val="00C628E7"/>
    <w:rsid w:val="00C63014"/>
    <w:rsid w:val="00C67D42"/>
    <w:rsid w:val="00C74BC3"/>
    <w:rsid w:val="00C8191E"/>
    <w:rsid w:val="00C81F0D"/>
    <w:rsid w:val="00C84E6B"/>
    <w:rsid w:val="00C86B3B"/>
    <w:rsid w:val="00C87416"/>
    <w:rsid w:val="00C87836"/>
    <w:rsid w:val="00C91113"/>
    <w:rsid w:val="00C93ACD"/>
    <w:rsid w:val="00C93E03"/>
    <w:rsid w:val="00C95470"/>
    <w:rsid w:val="00CA08D6"/>
    <w:rsid w:val="00CA182B"/>
    <w:rsid w:val="00CA4954"/>
    <w:rsid w:val="00CA5955"/>
    <w:rsid w:val="00CB08B5"/>
    <w:rsid w:val="00CB42C3"/>
    <w:rsid w:val="00CB6600"/>
    <w:rsid w:val="00CB78B1"/>
    <w:rsid w:val="00CC09E0"/>
    <w:rsid w:val="00CC1B89"/>
    <w:rsid w:val="00CE08E4"/>
    <w:rsid w:val="00CE45C7"/>
    <w:rsid w:val="00CE4F8D"/>
    <w:rsid w:val="00CE5D8C"/>
    <w:rsid w:val="00CF04F4"/>
    <w:rsid w:val="00CF17DE"/>
    <w:rsid w:val="00CF2E32"/>
    <w:rsid w:val="00CF3623"/>
    <w:rsid w:val="00D01EA3"/>
    <w:rsid w:val="00D02A1F"/>
    <w:rsid w:val="00D03BE7"/>
    <w:rsid w:val="00D046C5"/>
    <w:rsid w:val="00D0484A"/>
    <w:rsid w:val="00D04FD3"/>
    <w:rsid w:val="00D05656"/>
    <w:rsid w:val="00D05BBF"/>
    <w:rsid w:val="00D05F7C"/>
    <w:rsid w:val="00D07025"/>
    <w:rsid w:val="00D10534"/>
    <w:rsid w:val="00D106E4"/>
    <w:rsid w:val="00D137B9"/>
    <w:rsid w:val="00D1670E"/>
    <w:rsid w:val="00D16F05"/>
    <w:rsid w:val="00D17FDE"/>
    <w:rsid w:val="00D20F6C"/>
    <w:rsid w:val="00D23597"/>
    <w:rsid w:val="00D255FF"/>
    <w:rsid w:val="00D32968"/>
    <w:rsid w:val="00D33C26"/>
    <w:rsid w:val="00D35F42"/>
    <w:rsid w:val="00D36DD2"/>
    <w:rsid w:val="00D41009"/>
    <w:rsid w:val="00D422C2"/>
    <w:rsid w:val="00D46EB1"/>
    <w:rsid w:val="00D52F2C"/>
    <w:rsid w:val="00D579CC"/>
    <w:rsid w:val="00D6022E"/>
    <w:rsid w:val="00D6033C"/>
    <w:rsid w:val="00D66FCA"/>
    <w:rsid w:val="00D72EAF"/>
    <w:rsid w:val="00D73749"/>
    <w:rsid w:val="00D74210"/>
    <w:rsid w:val="00D80084"/>
    <w:rsid w:val="00D86417"/>
    <w:rsid w:val="00D87DE6"/>
    <w:rsid w:val="00D90661"/>
    <w:rsid w:val="00D91EF1"/>
    <w:rsid w:val="00D9251C"/>
    <w:rsid w:val="00D92BCA"/>
    <w:rsid w:val="00D93BD2"/>
    <w:rsid w:val="00D96085"/>
    <w:rsid w:val="00DA193E"/>
    <w:rsid w:val="00DA275A"/>
    <w:rsid w:val="00DA5255"/>
    <w:rsid w:val="00DA733C"/>
    <w:rsid w:val="00DA7B33"/>
    <w:rsid w:val="00DB08CE"/>
    <w:rsid w:val="00DB21FB"/>
    <w:rsid w:val="00DB6F2C"/>
    <w:rsid w:val="00DB7147"/>
    <w:rsid w:val="00DD2DA4"/>
    <w:rsid w:val="00DD55AB"/>
    <w:rsid w:val="00DD6392"/>
    <w:rsid w:val="00DD7767"/>
    <w:rsid w:val="00DE269D"/>
    <w:rsid w:val="00DE271E"/>
    <w:rsid w:val="00DE3030"/>
    <w:rsid w:val="00DE3493"/>
    <w:rsid w:val="00DF35CC"/>
    <w:rsid w:val="00DF69D0"/>
    <w:rsid w:val="00DF79D8"/>
    <w:rsid w:val="00E02127"/>
    <w:rsid w:val="00E03D3A"/>
    <w:rsid w:val="00E070FA"/>
    <w:rsid w:val="00E106E5"/>
    <w:rsid w:val="00E129AE"/>
    <w:rsid w:val="00E200B1"/>
    <w:rsid w:val="00E219FF"/>
    <w:rsid w:val="00E24CB0"/>
    <w:rsid w:val="00E26B85"/>
    <w:rsid w:val="00E27077"/>
    <w:rsid w:val="00E275B1"/>
    <w:rsid w:val="00E31FCD"/>
    <w:rsid w:val="00E34937"/>
    <w:rsid w:val="00E46BFD"/>
    <w:rsid w:val="00E50CC5"/>
    <w:rsid w:val="00E542D3"/>
    <w:rsid w:val="00E5640B"/>
    <w:rsid w:val="00E56EE2"/>
    <w:rsid w:val="00E61B82"/>
    <w:rsid w:val="00E61BB5"/>
    <w:rsid w:val="00E65A4F"/>
    <w:rsid w:val="00E72DEF"/>
    <w:rsid w:val="00E72F7F"/>
    <w:rsid w:val="00E7457D"/>
    <w:rsid w:val="00E87317"/>
    <w:rsid w:val="00E8762F"/>
    <w:rsid w:val="00E928CF"/>
    <w:rsid w:val="00E9422F"/>
    <w:rsid w:val="00E94F7F"/>
    <w:rsid w:val="00E96632"/>
    <w:rsid w:val="00EA15D7"/>
    <w:rsid w:val="00EA2099"/>
    <w:rsid w:val="00EA30CC"/>
    <w:rsid w:val="00EA4AFE"/>
    <w:rsid w:val="00EA52C2"/>
    <w:rsid w:val="00EA6F0E"/>
    <w:rsid w:val="00EB1CF9"/>
    <w:rsid w:val="00EB41C8"/>
    <w:rsid w:val="00EB535A"/>
    <w:rsid w:val="00EB5E5F"/>
    <w:rsid w:val="00EB609E"/>
    <w:rsid w:val="00EC29BC"/>
    <w:rsid w:val="00EC2DA8"/>
    <w:rsid w:val="00EC6445"/>
    <w:rsid w:val="00ED386C"/>
    <w:rsid w:val="00ED47B1"/>
    <w:rsid w:val="00ED73FE"/>
    <w:rsid w:val="00EE0699"/>
    <w:rsid w:val="00EE1067"/>
    <w:rsid w:val="00EE20E6"/>
    <w:rsid w:val="00EE3058"/>
    <w:rsid w:val="00EE4FFA"/>
    <w:rsid w:val="00EF08BB"/>
    <w:rsid w:val="00EF7DC2"/>
    <w:rsid w:val="00F00D7C"/>
    <w:rsid w:val="00F00E1D"/>
    <w:rsid w:val="00F01A08"/>
    <w:rsid w:val="00F02B1E"/>
    <w:rsid w:val="00F04FD9"/>
    <w:rsid w:val="00F06318"/>
    <w:rsid w:val="00F06CDE"/>
    <w:rsid w:val="00F139FF"/>
    <w:rsid w:val="00F13A10"/>
    <w:rsid w:val="00F20749"/>
    <w:rsid w:val="00F24A79"/>
    <w:rsid w:val="00F252B4"/>
    <w:rsid w:val="00F27551"/>
    <w:rsid w:val="00F30AA1"/>
    <w:rsid w:val="00F35D82"/>
    <w:rsid w:val="00F41757"/>
    <w:rsid w:val="00F47797"/>
    <w:rsid w:val="00F4792F"/>
    <w:rsid w:val="00F51F8B"/>
    <w:rsid w:val="00F66C58"/>
    <w:rsid w:val="00F73168"/>
    <w:rsid w:val="00F76865"/>
    <w:rsid w:val="00F81414"/>
    <w:rsid w:val="00F838B3"/>
    <w:rsid w:val="00F877FA"/>
    <w:rsid w:val="00F907A8"/>
    <w:rsid w:val="00F92D69"/>
    <w:rsid w:val="00F92EE0"/>
    <w:rsid w:val="00F94003"/>
    <w:rsid w:val="00F96B02"/>
    <w:rsid w:val="00F9773C"/>
    <w:rsid w:val="00FA5BC8"/>
    <w:rsid w:val="00FB1012"/>
    <w:rsid w:val="00FB21B5"/>
    <w:rsid w:val="00FB6DA6"/>
    <w:rsid w:val="00FC088E"/>
    <w:rsid w:val="00FC2D0A"/>
    <w:rsid w:val="00FC3333"/>
    <w:rsid w:val="00FC6023"/>
    <w:rsid w:val="00FC7526"/>
    <w:rsid w:val="00FD3FBB"/>
    <w:rsid w:val="00FD436F"/>
    <w:rsid w:val="00FE0376"/>
    <w:rsid w:val="00FE0F57"/>
    <w:rsid w:val="00FE3EF2"/>
    <w:rsid w:val="00FE5FF2"/>
    <w:rsid w:val="00FE68C5"/>
    <w:rsid w:val="00FE6CAC"/>
    <w:rsid w:val="00FE7355"/>
    <w:rsid w:val="00FF4AFC"/>
    <w:rsid w:val="00FF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285EC"/>
  <w15:docId w15:val="{528C5CB8-FCBD-491D-BF01-3145F0DF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 w:type="character" w:styleId="CommentReference">
    <w:name w:val="annotation reference"/>
    <w:basedOn w:val="DefaultParagraphFont"/>
    <w:semiHidden/>
    <w:unhideWhenUsed/>
    <w:rsid w:val="00B80904"/>
    <w:rPr>
      <w:sz w:val="16"/>
      <w:szCs w:val="16"/>
    </w:rPr>
  </w:style>
  <w:style w:type="paragraph" w:styleId="CommentText">
    <w:name w:val="annotation text"/>
    <w:basedOn w:val="Normal"/>
    <w:link w:val="CommentTextChar"/>
    <w:unhideWhenUsed/>
    <w:rsid w:val="00B80904"/>
    <w:rPr>
      <w:sz w:val="20"/>
    </w:rPr>
  </w:style>
  <w:style w:type="character" w:customStyle="1" w:styleId="CommentTextChar">
    <w:name w:val="Comment Text Char"/>
    <w:basedOn w:val="DefaultParagraphFont"/>
    <w:link w:val="CommentText"/>
    <w:rsid w:val="00B80904"/>
    <w:rPr>
      <w:rFonts w:ascii="Palatino" w:hAnsi="Palatino"/>
    </w:rPr>
  </w:style>
  <w:style w:type="paragraph" w:styleId="CommentSubject">
    <w:name w:val="annotation subject"/>
    <w:basedOn w:val="CommentText"/>
    <w:next w:val="CommentText"/>
    <w:link w:val="CommentSubjectChar"/>
    <w:semiHidden/>
    <w:unhideWhenUsed/>
    <w:rsid w:val="00B80904"/>
    <w:rPr>
      <w:b/>
      <w:bCs/>
    </w:rPr>
  </w:style>
  <w:style w:type="character" w:customStyle="1" w:styleId="CommentSubjectChar">
    <w:name w:val="Comment Subject Char"/>
    <w:basedOn w:val="CommentTextChar"/>
    <w:link w:val="CommentSubject"/>
    <w:semiHidden/>
    <w:rsid w:val="00B80904"/>
    <w:rPr>
      <w:rFonts w:ascii="Palatino" w:hAnsi="Palatino"/>
      <w:b/>
      <w:bCs/>
    </w:rPr>
  </w:style>
  <w:style w:type="paragraph" w:styleId="BalloonText">
    <w:name w:val="Balloon Text"/>
    <w:basedOn w:val="Normal"/>
    <w:link w:val="BalloonTextChar"/>
    <w:rsid w:val="00B80904"/>
    <w:rPr>
      <w:rFonts w:ascii="Segoe UI" w:hAnsi="Segoe UI" w:cs="Segoe UI"/>
      <w:sz w:val="18"/>
      <w:szCs w:val="18"/>
    </w:rPr>
  </w:style>
  <w:style w:type="character" w:customStyle="1" w:styleId="BalloonTextChar">
    <w:name w:val="Balloon Text Char"/>
    <w:basedOn w:val="DefaultParagraphFont"/>
    <w:link w:val="BalloonText"/>
    <w:rsid w:val="00B80904"/>
    <w:rPr>
      <w:rFonts w:ascii="Segoe UI" w:hAnsi="Segoe UI" w:cs="Segoe UI"/>
      <w:sz w:val="18"/>
      <w:szCs w:val="18"/>
    </w:rPr>
  </w:style>
  <w:style w:type="character" w:styleId="Hyperlink">
    <w:name w:val="Hyperlink"/>
    <w:basedOn w:val="DefaultParagraphFont"/>
    <w:unhideWhenUsed/>
    <w:rsid w:val="00351CE8"/>
    <w:rPr>
      <w:color w:val="0000FF" w:themeColor="hyperlink"/>
      <w:u w:val="single"/>
    </w:rPr>
  </w:style>
  <w:style w:type="character" w:customStyle="1" w:styleId="FootnoteTextChar">
    <w:name w:val="Footnote Text Char"/>
    <w:basedOn w:val="DefaultParagraphFont"/>
    <w:link w:val="FootnoteText"/>
    <w:semiHidden/>
    <w:rsid w:val="0037682D"/>
    <w:rPr>
      <w:rFonts w:ascii="Palatino" w:hAnsi="Palatino"/>
      <w:sz w:val="24"/>
    </w:rPr>
  </w:style>
  <w:style w:type="character" w:customStyle="1" w:styleId="UnresolvedMention1">
    <w:name w:val="Unresolved Mention1"/>
    <w:basedOn w:val="DefaultParagraphFont"/>
    <w:uiPriority w:val="99"/>
    <w:semiHidden/>
    <w:unhideWhenUsed/>
    <w:rsid w:val="00AE28A4"/>
    <w:rPr>
      <w:color w:val="605E5C"/>
      <w:shd w:val="clear" w:color="auto" w:fill="E1DFDD"/>
    </w:rPr>
  </w:style>
  <w:style w:type="character" w:styleId="FollowedHyperlink">
    <w:name w:val="FollowedHyperlink"/>
    <w:basedOn w:val="DefaultParagraphFont"/>
    <w:semiHidden/>
    <w:unhideWhenUsed/>
    <w:rsid w:val="00986961"/>
    <w:rPr>
      <w:color w:val="800080" w:themeColor="followedHyperlink"/>
      <w:u w:val="single"/>
    </w:rPr>
  </w:style>
  <w:style w:type="paragraph" w:styleId="Revision">
    <w:name w:val="Revision"/>
    <w:hidden/>
    <w:uiPriority w:val="99"/>
    <w:semiHidden/>
    <w:rsid w:val="00F92EE0"/>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740713715">
      <w:bodyDiv w:val="1"/>
      <w:marLeft w:val="0"/>
      <w:marRight w:val="0"/>
      <w:marTop w:val="0"/>
      <w:marBottom w:val="0"/>
      <w:divBdr>
        <w:top w:val="none" w:sz="0" w:space="0" w:color="auto"/>
        <w:left w:val="none" w:sz="0" w:space="0" w:color="auto"/>
        <w:bottom w:val="none" w:sz="0" w:space="0" w:color="auto"/>
        <w:right w:val="none" w:sz="0" w:space="0" w:color="auto"/>
      </w:divBdr>
    </w:div>
    <w:div w:id="860826667">
      <w:bodyDiv w:val="1"/>
      <w:marLeft w:val="0"/>
      <w:marRight w:val="0"/>
      <w:marTop w:val="0"/>
      <w:marBottom w:val="0"/>
      <w:divBdr>
        <w:top w:val="none" w:sz="0" w:space="0" w:color="auto"/>
        <w:left w:val="none" w:sz="0" w:space="0" w:color="auto"/>
        <w:bottom w:val="none" w:sz="0" w:space="0" w:color="auto"/>
        <w:right w:val="none" w:sz="0" w:space="0" w:color="auto"/>
      </w:divBdr>
    </w:div>
    <w:div w:id="884561998">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 w:id="1093434202">
      <w:bodyDiv w:val="1"/>
      <w:marLeft w:val="0"/>
      <w:marRight w:val="0"/>
      <w:marTop w:val="0"/>
      <w:marBottom w:val="0"/>
      <w:divBdr>
        <w:top w:val="none" w:sz="0" w:space="0" w:color="auto"/>
        <w:left w:val="none" w:sz="0" w:space="0" w:color="auto"/>
        <w:bottom w:val="none" w:sz="0" w:space="0" w:color="auto"/>
        <w:right w:val="none" w:sz="0" w:space="0" w:color="auto"/>
      </w:divBdr>
    </w:div>
    <w:div w:id="1093472811">
      <w:bodyDiv w:val="1"/>
      <w:marLeft w:val="0"/>
      <w:marRight w:val="0"/>
      <w:marTop w:val="0"/>
      <w:marBottom w:val="0"/>
      <w:divBdr>
        <w:top w:val="none" w:sz="0" w:space="0" w:color="auto"/>
        <w:left w:val="none" w:sz="0" w:space="0" w:color="auto"/>
        <w:bottom w:val="none" w:sz="0" w:space="0" w:color="auto"/>
        <w:right w:val="none" w:sz="0" w:space="0" w:color="auto"/>
      </w:divBdr>
    </w:div>
    <w:div w:id="1520268718">
      <w:bodyDiv w:val="1"/>
      <w:marLeft w:val="0"/>
      <w:marRight w:val="0"/>
      <w:marTop w:val="0"/>
      <w:marBottom w:val="0"/>
      <w:divBdr>
        <w:top w:val="none" w:sz="0" w:space="0" w:color="auto"/>
        <w:left w:val="none" w:sz="0" w:space="0" w:color="auto"/>
        <w:bottom w:val="none" w:sz="0" w:space="0" w:color="auto"/>
        <w:right w:val="none" w:sz="0" w:space="0" w:color="auto"/>
      </w:divBdr>
    </w:div>
    <w:div w:id="1567378335">
      <w:bodyDiv w:val="1"/>
      <w:marLeft w:val="0"/>
      <w:marRight w:val="0"/>
      <w:marTop w:val="0"/>
      <w:marBottom w:val="0"/>
      <w:divBdr>
        <w:top w:val="none" w:sz="0" w:space="0" w:color="auto"/>
        <w:left w:val="none" w:sz="0" w:space="0" w:color="auto"/>
        <w:bottom w:val="none" w:sz="0" w:space="0" w:color="auto"/>
        <w:right w:val="none" w:sz="0" w:space="0" w:color="auto"/>
      </w:divBdr>
    </w:div>
    <w:div w:id="1897936147">
      <w:bodyDiv w:val="1"/>
      <w:marLeft w:val="0"/>
      <w:marRight w:val="0"/>
      <w:marTop w:val="0"/>
      <w:marBottom w:val="0"/>
      <w:divBdr>
        <w:top w:val="none" w:sz="0" w:space="0" w:color="auto"/>
        <w:left w:val="none" w:sz="0" w:space="0" w:color="auto"/>
        <w:bottom w:val="none" w:sz="0" w:space="0" w:color="auto"/>
        <w:right w:val="none" w:sz="0" w:space="0" w:color="auto"/>
      </w:divBdr>
    </w:div>
    <w:div w:id="1975134978">
      <w:bodyDiv w:val="1"/>
      <w:marLeft w:val="0"/>
      <w:marRight w:val="0"/>
      <w:marTop w:val="0"/>
      <w:marBottom w:val="0"/>
      <w:divBdr>
        <w:top w:val="none" w:sz="0" w:space="0" w:color="auto"/>
        <w:left w:val="none" w:sz="0" w:space="0" w:color="auto"/>
        <w:bottom w:val="none" w:sz="0" w:space="0" w:color="auto"/>
        <w:right w:val="none" w:sz="0" w:space="0" w:color="auto"/>
      </w:divBdr>
    </w:div>
    <w:div w:id="19867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ocs.cpuc.ca.gov/PublishedDocs/WORD_PDF/FINAL_RESOLUTION/78925.PDF" TargetMode="External"/><Relationship Id="rId2" Type="http://schemas.openxmlformats.org/officeDocument/2006/relationships/hyperlink" Target="http://www.caltrans.ca.gov/d3/projects/subprojects/1H150/index.html" TargetMode="External"/><Relationship Id="rId1" Type="http://schemas.openxmlformats.org/officeDocument/2006/relationships/hyperlink" Target="http://www.cpuc.ca.gov/uploadedFiles/CPUC_Public_Website/Content/About_Us/Organization/Divisions/Policy_and_Planning/PPD_Work_Products_(2014_forward)(1)/PPD_Rule_20-A.pdf" TargetMode="External"/><Relationship Id="rId5" Type="http://schemas.openxmlformats.org/officeDocument/2006/relationships/hyperlink" Target="http://docs.cpuc.ca.gov/PublishedDocs/WORD_PDF/FINAL_RESOLUTION/59265.PDF" TargetMode="External"/><Relationship Id="rId4" Type="http://schemas.openxmlformats.org/officeDocument/2006/relationships/hyperlink" Target="http://docs.cpuc.ca.gov/PublishedDocs/WORD_PDF/FINAL_RESOLUTION/5547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jjr\Application%20Data\Microsoft\Templates\Resol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27ED4-5863-4571-8739-DCA5F04B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Template.dot</Template>
  <TotalTime>5</TotalTime>
  <Pages>21</Pages>
  <Words>5575</Words>
  <Characters>30304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Resolution Template</vt:lpstr>
    </vt:vector>
  </TitlesOfParts>
  <Company>Microsoft</Company>
  <LinksUpToDate>false</LinksUpToDate>
  <CharactersWithSpaces>35808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Template</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Jennie Lee</dc:creator>
  <dc:description>&amp;lt;p&amp;gt;PUBLIC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description>
  <cp:lastModifiedBy>Frost, Jonathan</cp:lastModifiedBy>
  <cp:revision>6</cp:revision>
  <cp:lastPrinted>2019-03-20T17:50:00Z</cp:lastPrinted>
  <dcterms:created xsi:type="dcterms:W3CDTF">2019-03-20T17:36:00Z</dcterms:created>
  <dcterms:modified xsi:type="dcterms:W3CDTF">2019-03-20T23:16:00Z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DownloadAsset.aspx?id=3745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&amp;lt;p&amp;gt;PUBLIC UTILITIES COMMISSION OF THE STATE OF CALIFORNIA ENERGY DIVISION RESOLUTION &amp;amp;lt;E/G/O-0000&amp;amp;gt; &amp;amp;lt;DATE&amp;amp;gt; RESOLUTION Resolution &amp;amp;lt;EG-0000&amp;amp;gt;. &amp;amp;lt;utility name&amp;amp;gt; PROPOSED OUTCOME: ESTIMATED COST: By Adv</vt:lpwstr>
  </property>
  <property fmtid="{D5CDD505-2E9C-101B-9397-08002B2CF9AE}" pid="8" name="EktExpiryType">
    <vt:i4>1</vt:i4>
  </property>
  <property fmtid="{D5CDD505-2E9C-101B-9397-08002B2CF9AE}" pid="9" name="EktDateCreated">
    <vt:filetime>2012-06-18T22:00:18Z</vt:filetime>
  </property>
  <property fmtid="{D5CDD505-2E9C-101B-9397-08002B2CF9AE}" pid="10" name="EktDateModified">
    <vt:filetime>2012-07-26T18:45:37Z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39936</vt:i4>
  </property>
  <property fmtid="{D5CDD505-2E9C-101B-9397-08002B2CF9AE}" pid="14" name="EktSearchable">
    <vt:i4>1</vt:i4>
  </property>
  <property fmtid="{D5CDD505-2E9C-101B-9397-08002B2CF9AE}" pid="15" name="EktEDescription">
    <vt:lpwstr>Summary &amp;lt;p&amp;gt;PUBLIC UTILITIES COMMISSION OF THE STATE OF CALIFORNIA ENERGY DIVISION RESOLUTION &amp;amp;lt;E/G/O-0000&amp;amp;gt; &amp;amp;lt;DATE&amp;amp;gt; RESOLUTION Resolution &amp;amp;lt;EG-0000&amp;amp;gt;. &amp;amp;lt;utility name&amp;amp;gt; PROPOSED OUTCOME: ESTIMATED COST</vt:lpwstr>
  </property>
  <property fmtid="{D5CDD505-2E9C-101B-9397-08002B2CF9AE}" pid="16" name="EktEnergy_Advice_Letter/Resolutions_Procedures">
    <vt:lpwstr>Forms and Templates</vt:lpwstr>
  </property>
  <property fmtid="{D5CDD505-2E9C-101B-9397-08002B2CF9AE}" pid="17" name="MAIL_MSG_ID1">
    <vt:lpwstr>GEAAO+/T9t20xwkYSaES7lALrVKF17OU9w5mUeuhTpJ/t2KUQcgQIdvErCA2w2d8api/hXECEKeSZcL8
Cdy//mxMeit9boJmk2FmPwqNGYMLVEkr2zInZ0KLVg3r8iBmXZoiseAURbsZ00KWhUsgHHwKmJku
MoOpnbYGf1GDzMDzq7adPOh4XIU92yhd5PDyfsvYquTNvrkE6wfyVOFqgJGWTxW7r9iiSTeyPUUf
fmZuCaNjsn4dopOp3</vt:lpwstr>
  </property>
  <property fmtid="{D5CDD505-2E9C-101B-9397-08002B2CF9AE}" pid="18" name="MAIL_MSG_ID2">
    <vt:lpwstr>tOanoKDvbps</vt:lpwstr>
  </property>
  <property fmtid="{D5CDD505-2E9C-101B-9397-08002B2CF9AE}" pid="19" name="RESPONSE_SENDER_NAME">
    <vt:lpwstr>gAAAdya76B99d4hLGUR1rQ+8TxTv0GGEPdix</vt:lpwstr>
  </property>
  <property fmtid="{D5CDD505-2E9C-101B-9397-08002B2CF9AE}" pid="20" name="EMAIL_OWNER_ADDRESS">
    <vt:lpwstr>ABAAmJ+7jnJ2eOU4R1dwxKsgPdLPL5Ce0HQW+cfUXZjgj04Df7uuaEe8k/WmjSwERZX+</vt:lpwstr>
  </property>
</Properties>
</file>