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E5489" w14:textId="58A42BA1" w:rsidR="00AE71A8" w:rsidRPr="00D149D6" w:rsidRDefault="006C34C0" w:rsidP="005261E2">
      <w:pPr>
        <w:pStyle w:val="Header"/>
        <w:tabs>
          <w:tab w:val="clear" w:pos="4320"/>
          <w:tab w:val="clear" w:pos="8640"/>
          <w:tab w:val="center" w:pos="3870"/>
          <w:tab w:val="right" w:pos="9360"/>
        </w:tabs>
        <w:rPr>
          <w:rFonts w:ascii="Book Antiqua" w:hAnsi="Book Antiqua"/>
        </w:rPr>
      </w:pPr>
      <w:bookmarkStart w:id="0" w:name="_GoBack"/>
      <w:bookmarkEnd w:id="0"/>
      <w:r>
        <w:rPr>
          <w:rFonts w:ascii="Book Antiqua" w:hAnsi="Book Antiqua"/>
        </w:rPr>
        <w:t>ALJ</w:t>
      </w:r>
      <w:r w:rsidR="00FE1522" w:rsidRPr="00D149D6">
        <w:rPr>
          <w:rFonts w:ascii="Book Antiqua" w:hAnsi="Book Antiqua"/>
        </w:rPr>
        <w:t>/</w:t>
      </w:r>
      <w:r w:rsidR="00AE71A8" w:rsidRPr="00D149D6">
        <w:rPr>
          <w:rFonts w:ascii="Book Antiqua" w:hAnsi="Book Antiqua"/>
        </w:rPr>
        <w:t>JF2</w:t>
      </w:r>
      <w:r w:rsidR="008F7217" w:rsidRPr="00D149D6">
        <w:rPr>
          <w:rFonts w:ascii="Book Antiqua" w:hAnsi="Book Antiqua"/>
        </w:rPr>
        <w:t>/</w:t>
      </w:r>
      <w:r w:rsidR="00D90591" w:rsidRPr="00D149D6">
        <w:rPr>
          <w:rFonts w:ascii="Book Antiqua" w:hAnsi="Book Antiqua"/>
        </w:rPr>
        <w:t>jt2</w:t>
      </w:r>
      <w:r w:rsidR="0089071A" w:rsidRPr="00D149D6">
        <w:rPr>
          <w:rFonts w:ascii="Book Antiqua" w:hAnsi="Book Antiqua"/>
        </w:rPr>
        <w:tab/>
      </w:r>
      <w:r w:rsidR="00AE71A8">
        <w:rPr>
          <w:rFonts w:ascii="Helvetica" w:hAnsi="Helvetica"/>
          <w:b/>
          <w:sz w:val="32"/>
          <w:szCs w:val="32"/>
        </w:rPr>
        <w:t>PROPOSED DECISION</w:t>
      </w:r>
      <w:r w:rsidR="00AE71A8" w:rsidRPr="00D149D6">
        <w:rPr>
          <w:rFonts w:ascii="Book Antiqua" w:hAnsi="Book Antiqua"/>
        </w:rPr>
        <w:tab/>
        <w:t>Agenda ID#</w:t>
      </w:r>
      <w:r w:rsidR="005E1D2E">
        <w:rPr>
          <w:rFonts w:ascii="Book Antiqua" w:hAnsi="Book Antiqua"/>
        </w:rPr>
        <w:t>17300</w:t>
      </w:r>
      <w:r w:rsidR="005261E2">
        <w:rPr>
          <w:rFonts w:ascii="Book Antiqua" w:hAnsi="Book Antiqua"/>
        </w:rPr>
        <w:t xml:space="preserve">  (Rev. 1)</w:t>
      </w:r>
    </w:p>
    <w:p w14:paraId="7BCDF318" w14:textId="77777777" w:rsidR="009337D2" w:rsidRPr="00D149D6" w:rsidRDefault="00AE71A8" w:rsidP="00AE71A8">
      <w:pPr>
        <w:tabs>
          <w:tab w:val="center" w:pos="4140"/>
          <w:tab w:val="right" w:pos="9360"/>
        </w:tabs>
        <w:rPr>
          <w:rFonts w:ascii="Book Antiqua" w:hAnsi="Book Antiqua"/>
          <w:sz w:val="20"/>
        </w:rPr>
      </w:pPr>
      <w:r w:rsidRPr="00D149D6">
        <w:rPr>
          <w:rFonts w:ascii="Book Antiqua" w:hAnsi="Book Antiqua"/>
        </w:rPr>
        <w:tab/>
      </w:r>
      <w:r w:rsidRPr="00D149D6">
        <w:rPr>
          <w:rFonts w:ascii="Book Antiqua" w:hAnsi="Book Antiqua"/>
        </w:rPr>
        <w:tab/>
        <w:t>Ratesetting</w:t>
      </w:r>
    </w:p>
    <w:p w14:paraId="26F3CC24" w14:textId="2C8F8F28" w:rsidR="00CC6683" w:rsidRPr="00D149D6" w:rsidRDefault="002A2C71" w:rsidP="002A2C71">
      <w:pPr>
        <w:tabs>
          <w:tab w:val="center" w:pos="4140"/>
          <w:tab w:val="right" w:pos="9360"/>
        </w:tabs>
        <w:rPr>
          <w:rFonts w:ascii="Book Antiqua" w:hAnsi="Book Antiqua"/>
        </w:rPr>
      </w:pPr>
      <w:r>
        <w:rPr>
          <w:rFonts w:ascii="Book Antiqua" w:hAnsi="Book Antiqua"/>
        </w:rPr>
        <w:tab/>
      </w:r>
      <w:r>
        <w:rPr>
          <w:rFonts w:ascii="Book Antiqua" w:hAnsi="Book Antiqua"/>
        </w:rPr>
        <w:tab/>
        <w:t>4/25/2019  Item #</w:t>
      </w:r>
      <w:r w:rsidR="001F1CFE">
        <w:rPr>
          <w:rFonts w:ascii="Book Antiqua" w:hAnsi="Book Antiqua"/>
        </w:rPr>
        <w:t>51</w:t>
      </w:r>
    </w:p>
    <w:p w14:paraId="71EB549F" w14:textId="77777777" w:rsidR="00CC6683" w:rsidRPr="00D149D6" w:rsidRDefault="00CC6683" w:rsidP="002551AF">
      <w:pPr>
        <w:suppressAutoHyphens/>
        <w:ind w:left="990" w:hanging="990"/>
        <w:rPr>
          <w:rFonts w:ascii="Book Antiqua" w:hAnsi="Book Antiqua"/>
        </w:rPr>
      </w:pPr>
    </w:p>
    <w:p w14:paraId="6C1A45E7" w14:textId="77777777" w:rsidR="009337D2" w:rsidRPr="005E1D2E" w:rsidRDefault="009337D2" w:rsidP="002551AF">
      <w:pPr>
        <w:suppressAutoHyphens/>
        <w:ind w:left="990" w:hanging="990"/>
        <w:rPr>
          <w:rFonts w:ascii="Book Antiqua" w:hAnsi="Book Antiqua"/>
          <w:b/>
          <w:sz w:val="20"/>
        </w:rPr>
      </w:pPr>
      <w:r w:rsidRPr="00D149D6">
        <w:rPr>
          <w:rFonts w:ascii="Book Antiqua" w:hAnsi="Book Antiqua"/>
        </w:rPr>
        <w:t>Decision</w:t>
      </w:r>
      <w:r w:rsidR="005E1D2E">
        <w:rPr>
          <w:rFonts w:ascii="Book Antiqua" w:hAnsi="Book Antiqua"/>
        </w:rPr>
        <w:t xml:space="preserve"> </w:t>
      </w:r>
      <w:r w:rsidR="005E1D2E">
        <w:rPr>
          <w:rFonts w:ascii="Book Antiqua" w:hAnsi="Book Antiqua"/>
          <w:b/>
          <w:u w:val="single"/>
        </w:rPr>
        <w:t>PROPOSED DECISION OF ALJ FITCH</w:t>
      </w:r>
      <w:r w:rsidR="005E1D2E">
        <w:rPr>
          <w:rFonts w:ascii="Book Antiqua" w:hAnsi="Book Antiqua"/>
          <w:b/>
        </w:rPr>
        <w:t xml:space="preserve"> (Mailed 3/18/2019)</w:t>
      </w:r>
    </w:p>
    <w:p w14:paraId="46F8AFB8" w14:textId="77777777" w:rsidR="009337D2" w:rsidRDefault="009337D2"/>
    <w:p w14:paraId="4D7A08F9" w14:textId="77777777" w:rsidR="009337D2" w:rsidRDefault="009337D2">
      <w:pPr>
        <w:rPr>
          <w:rFonts w:ascii="Helvetica" w:hAnsi="Helvetica"/>
          <w:b/>
          <w:bCs/>
          <w:sz w:val="24"/>
        </w:rPr>
      </w:pPr>
      <w:r>
        <w:rPr>
          <w:rFonts w:ascii="Helvetica" w:hAnsi="Helvetica"/>
          <w:b/>
          <w:bCs/>
          <w:sz w:val="24"/>
        </w:rPr>
        <w:t>BEFORE THE PUBLIC UTILITIES COMMISSION OF THE STATE OF CALIFORNIA</w:t>
      </w:r>
    </w:p>
    <w:p w14:paraId="5DB71E35" w14:textId="77777777" w:rsidR="009337D2" w:rsidRDefault="009337D2">
      <w:pPr>
        <w:suppressAutoHyphens/>
      </w:pPr>
    </w:p>
    <w:tbl>
      <w:tblPr>
        <w:tblW w:w="0" w:type="auto"/>
        <w:tblLayout w:type="fixed"/>
        <w:tblLook w:val="0000" w:firstRow="0" w:lastRow="0" w:firstColumn="0" w:lastColumn="0" w:noHBand="0" w:noVBand="0"/>
      </w:tblPr>
      <w:tblGrid>
        <w:gridCol w:w="5148"/>
        <w:gridCol w:w="4320"/>
      </w:tblGrid>
      <w:tr w:rsidR="00903B6B" w:rsidRPr="00D149D6" w14:paraId="79596848" w14:textId="77777777" w:rsidTr="00936FF1">
        <w:tc>
          <w:tcPr>
            <w:tcW w:w="5148" w:type="dxa"/>
            <w:tcBorders>
              <w:bottom w:val="single" w:sz="4" w:space="0" w:color="auto"/>
              <w:right w:val="single" w:sz="6" w:space="0" w:color="auto"/>
            </w:tcBorders>
          </w:tcPr>
          <w:p w14:paraId="550ECAB8" w14:textId="77777777" w:rsidR="00903B6B" w:rsidRPr="00D149D6" w:rsidRDefault="00903B6B" w:rsidP="00031E75">
            <w:pPr>
              <w:tabs>
                <w:tab w:val="left" w:pos="4575"/>
              </w:tabs>
              <w:rPr>
                <w:rFonts w:ascii="Book Antiqua" w:hAnsi="Book Antiqua"/>
              </w:rPr>
            </w:pPr>
            <w:r w:rsidRPr="00D149D6">
              <w:rPr>
                <w:rFonts w:ascii="Book Antiqua" w:hAnsi="Book Antiqua"/>
              </w:rPr>
              <w:t>Order Instituting Rulemaking to Develop an Electricity Integrated Resource Planning Framework and to Coordinate and Refine Long</w:t>
            </w:r>
            <w:r w:rsidR="00D84A09" w:rsidRPr="00D149D6">
              <w:rPr>
                <w:rFonts w:ascii="Book Antiqua" w:hAnsi="Book Antiqua"/>
              </w:rPr>
              <w:noBreakHyphen/>
            </w:r>
            <w:r w:rsidRPr="00D149D6">
              <w:rPr>
                <w:rFonts w:ascii="Book Antiqua" w:hAnsi="Book Antiqua"/>
              </w:rPr>
              <w:t>Term Procurement Planning Requirements.</w:t>
            </w:r>
          </w:p>
          <w:p w14:paraId="3383CB2A" w14:textId="77777777" w:rsidR="00903B6B" w:rsidRPr="00D149D6" w:rsidRDefault="00903B6B" w:rsidP="00031E75">
            <w:pPr>
              <w:tabs>
                <w:tab w:val="left" w:pos="4575"/>
              </w:tabs>
              <w:rPr>
                <w:rFonts w:ascii="Book Antiqua" w:hAnsi="Book Antiqua"/>
              </w:rPr>
            </w:pPr>
          </w:p>
        </w:tc>
        <w:tc>
          <w:tcPr>
            <w:tcW w:w="4320" w:type="dxa"/>
            <w:tcBorders>
              <w:left w:val="nil"/>
            </w:tcBorders>
          </w:tcPr>
          <w:p w14:paraId="6215C753" w14:textId="77777777" w:rsidR="00903B6B" w:rsidRPr="00D149D6" w:rsidRDefault="00903B6B" w:rsidP="00031E75">
            <w:pPr>
              <w:jc w:val="center"/>
              <w:rPr>
                <w:rFonts w:ascii="Book Antiqua" w:hAnsi="Book Antiqua"/>
              </w:rPr>
            </w:pPr>
          </w:p>
          <w:p w14:paraId="788C9669" w14:textId="77777777" w:rsidR="00903B6B" w:rsidRPr="00D149D6" w:rsidRDefault="00903B6B" w:rsidP="00031E75">
            <w:pPr>
              <w:jc w:val="center"/>
              <w:rPr>
                <w:rFonts w:ascii="Book Antiqua" w:hAnsi="Book Antiqua"/>
              </w:rPr>
            </w:pPr>
          </w:p>
          <w:p w14:paraId="4473437D" w14:textId="77777777" w:rsidR="00903B6B" w:rsidRPr="00D149D6" w:rsidRDefault="00903B6B" w:rsidP="00031E75">
            <w:pPr>
              <w:jc w:val="center"/>
              <w:rPr>
                <w:rFonts w:ascii="Book Antiqua" w:hAnsi="Book Antiqua"/>
              </w:rPr>
            </w:pPr>
            <w:r w:rsidRPr="00D149D6">
              <w:rPr>
                <w:rFonts w:ascii="Book Antiqua" w:hAnsi="Book Antiqua"/>
              </w:rPr>
              <w:t>Rulemaking 16</w:t>
            </w:r>
            <w:r w:rsidR="00D84A09" w:rsidRPr="00D149D6">
              <w:rPr>
                <w:rFonts w:ascii="Book Antiqua" w:hAnsi="Book Antiqua"/>
              </w:rPr>
              <w:noBreakHyphen/>
            </w:r>
            <w:r w:rsidRPr="00D149D6">
              <w:rPr>
                <w:rFonts w:ascii="Book Antiqua" w:hAnsi="Book Antiqua"/>
              </w:rPr>
              <w:t>02</w:t>
            </w:r>
            <w:r w:rsidR="00D84A09" w:rsidRPr="00D149D6">
              <w:rPr>
                <w:rFonts w:ascii="Book Antiqua" w:hAnsi="Book Antiqua"/>
              </w:rPr>
              <w:noBreakHyphen/>
            </w:r>
            <w:r w:rsidRPr="00D149D6">
              <w:rPr>
                <w:rFonts w:ascii="Book Antiqua" w:hAnsi="Book Antiqua"/>
              </w:rPr>
              <w:t>007</w:t>
            </w:r>
          </w:p>
          <w:p w14:paraId="14F0EA4E" w14:textId="77777777" w:rsidR="00903B6B" w:rsidRPr="00D149D6" w:rsidRDefault="00903B6B" w:rsidP="00031E75">
            <w:pPr>
              <w:jc w:val="center"/>
              <w:rPr>
                <w:rFonts w:ascii="Book Antiqua" w:hAnsi="Book Antiqua"/>
              </w:rPr>
            </w:pPr>
          </w:p>
        </w:tc>
      </w:tr>
    </w:tbl>
    <w:p w14:paraId="760289F7" w14:textId="77777777" w:rsidR="00AA78C6" w:rsidRDefault="00AA78C6">
      <w:pPr>
        <w:suppressAutoHyphens/>
      </w:pPr>
    </w:p>
    <w:p w14:paraId="5A73B3A7" w14:textId="77777777" w:rsidR="009337D2" w:rsidRDefault="009337D2"/>
    <w:p w14:paraId="23BFEF4D" w14:textId="77777777" w:rsidR="00AE71A8" w:rsidRPr="00AA78C6" w:rsidRDefault="00AA78C6" w:rsidP="004C75AB">
      <w:pPr>
        <w:pStyle w:val="Heading1"/>
        <w:numPr>
          <w:ilvl w:val="0"/>
          <w:numId w:val="0"/>
        </w:numPr>
        <w:ind w:right="0"/>
        <w:jc w:val="center"/>
      </w:pPr>
      <w:bookmarkStart w:id="1" w:name="_Toc474157881"/>
      <w:bookmarkStart w:id="2" w:name="_Toc477781802"/>
      <w:bookmarkStart w:id="3" w:name="_Toc490039600"/>
      <w:bookmarkStart w:id="4" w:name="_Toc490039770"/>
      <w:bookmarkStart w:id="5" w:name="_Toc490040221"/>
      <w:bookmarkStart w:id="6" w:name="_Toc500587544"/>
      <w:bookmarkStart w:id="7" w:name="_Toc500592482"/>
      <w:bookmarkStart w:id="8" w:name="_Toc500592568"/>
      <w:bookmarkStart w:id="9" w:name="_Toc501192254"/>
      <w:bookmarkStart w:id="10" w:name="_Toc501459205"/>
      <w:bookmarkStart w:id="11" w:name="_Toc501527862"/>
      <w:bookmarkStart w:id="12" w:name="_Toc505613951"/>
      <w:bookmarkStart w:id="13" w:name="_Toc2772551"/>
      <w:bookmarkStart w:id="14" w:name="_Toc2772932"/>
      <w:bookmarkStart w:id="15" w:name="_Toc2773264"/>
      <w:bookmarkStart w:id="16" w:name="_Toc3803821"/>
      <w:r w:rsidRPr="00AA78C6">
        <w:t xml:space="preserve">DECISION </w:t>
      </w:r>
      <w:bookmarkEnd w:id="1"/>
      <w:bookmarkEnd w:id="2"/>
      <w:bookmarkEnd w:id="3"/>
      <w:bookmarkEnd w:id="4"/>
      <w:bookmarkEnd w:id="5"/>
      <w:bookmarkEnd w:id="6"/>
      <w:bookmarkEnd w:id="7"/>
      <w:bookmarkEnd w:id="8"/>
      <w:bookmarkEnd w:id="9"/>
      <w:bookmarkEnd w:id="10"/>
      <w:bookmarkEnd w:id="11"/>
      <w:bookmarkEnd w:id="12"/>
      <w:r w:rsidR="00AE71A8">
        <w:t xml:space="preserve">ADOPTING PREFERRED SYSTEM </w:t>
      </w:r>
      <w:bookmarkEnd w:id="13"/>
      <w:bookmarkEnd w:id="14"/>
      <w:bookmarkEnd w:id="15"/>
      <w:r w:rsidR="006B0F6F">
        <w:t>PORTFOLIO</w:t>
      </w:r>
      <w:r w:rsidR="00D90591">
        <w:t xml:space="preserve"> </w:t>
      </w:r>
      <w:bookmarkStart w:id="17" w:name="_Toc2772552"/>
      <w:bookmarkStart w:id="18" w:name="_Toc2772933"/>
      <w:bookmarkStart w:id="19" w:name="_Toc2773265"/>
      <w:r w:rsidR="00FB4E8E">
        <w:t xml:space="preserve">AND PLAN </w:t>
      </w:r>
      <w:r w:rsidR="004C75AB">
        <w:t>FOR 2017</w:t>
      </w:r>
      <w:r w:rsidR="00D84A09">
        <w:noBreakHyphen/>
      </w:r>
      <w:r w:rsidR="004C75AB">
        <w:t>2018 </w:t>
      </w:r>
      <w:r w:rsidR="00AE71A8">
        <w:t>INTEGRATED RESOURCE PLAN CYCLE</w:t>
      </w:r>
      <w:bookmarkEnd w:id="16"/>
      <w:bookmarkEnd w:id="17"/>
      <w:bookmarkEnd w:id="18"/>
      <w:bookmarkEnd w:id="19"/>
    </w:p>
    <w:p w14:paraId="154C2A74" w14:textId="77777777" w:rsidR="009337D2" w:rsidRDefault="009337D2" w:rsidP="00AA78C6">
      <w:pPr>
        <w:pStyle w:val="main"/>
        <w:jc w:val="left"/>
        <w:rPr>
          <w:rStyle w:val="mainChar"/>
        </w:rPr>
      </w:pPr>
    </w:p>
    <w:p w14:paraId="26055093" w14:textId="77777777" w:rsidR="00CC6683" w:rsidRDefault="00CC6683" w:rsidP="00AA78C6">
      <w:pPr>
        <w:pStyle w:val="main"/>
        <w:jc w:val="left"/>
        <w:rPr>
          <w:rStyle w:val="mainChar"/>
        </w:rPr>
      </w:pPr>
    </w:p>
    <w:p w14:paraId="34F0E63A" w14:textId="77777777" w:rsidR="00975DF7" w:rsidRDefault="00975DF7" w:rsidP="00AA78C6">
      <w:pPr>
        <w:pStyle w:val="main"/>
        <w:jc w:val="left"/>
        <w:rPr>
          <w:rStyle w:val="mainChar"/>
        </w:rPr>
      </w:pPr>
    </w:p>
    <w:p w14:paraId="18BD1C35" w14:textId="77777777" w:rsidR="00975DF7" w:rsidRDefault="00975DF7" w:rsidP="00AA78C6">
      <w:pPr>
        <w:pStyle w:val="main"/>
        <w:jc w:val="left"/>
        <w:rPr>
          <w:rStyle w:val="mainChar"/>
        </w:rPr>
      </w:pPr>
    </w:p>
    <w:p w14:paraId="29EFEEA1" w14:textId="77777777" w:rsidR="00A02B14" w:rsidRDefault="00A02B14" w:rsidP="00AA78C6">
      <w:pPr>
        <w:pStyle w:val="main"/>
        <w:jc w:val="left"/>
        <w:rPr>
          <w:rStyle w:val="mainChar"/>
        </w:rPr>
      </w:pPr>
    </w:p>
    <w:p w14:paraId="74A25400" w14:textId="77777777" w:rsidR="00140A7E" w:rsidRDefault="00140A7E" w:rsidP="008F7217">
      <w:pPr>
        <w:pStyle w:val="TOC1"/>
        <w:rPr>
          <w:rStyle w:val="mainChar"/>
        </w:rPr>
        <w:sectPr w:rsidR="00140A7E" w:rsidSect="00D90591">
          <w:headerReference w:type="default" r:id="rId9"/>
          <w:footerReference w:type="default" r:id="rId10"/>
          <w:headerReference w:type="first" r:id="rId11"/>
          <w:footerReference w:type="first" r:id="rId12"/>
          <w:pgSz w:w="12240" w:h="15840" w:code="1"/>
          <w:pgMar w:top="1152" w:right="1440" w:bottom="1440" w:left="1440" w:header="720" w:footer="720" w:gutter="0"/>
          <w:pgNumType w:start="1"/>
          <w:cols w:space="720"/>
          <w:titlePg/>
        </w:sectPr>
      </w:pPr>
    </w:p>
    <w:p w14:paraId="127D8913" w14:textId="77777777" w:rsidR="00D07949" w:rsidRDefault="00E40CE3" w:rsidP="00AC61BF">
      <w:pPr>
        <w:pStyle w:val="TOC1"/>
        <w:ind w:left="0" w:firstLine="0"/>
        <w:rPr>
          <w:rFonts w:asciiTheme="minorHAnsi" w:eastAsiaTheme="minorEastAsia" w:hAnsiTheme="minorHAnsi" w:cstheme="minorBidi"/>
          <w:sz w:val="22"/>
          <w:szCs w:val="22"/>
        </w:rPr>
      </w:pPr>
      <w:r w:rsidRPr="00D149D6">
        <w:rPr>
          <w:rStyle w:val="mainChar"/>
          <w:rFonts w:ascii="Book Antiqua" w:hAnsi="Book Antiqua"/>
        </w:rPr>
        <w:lastRenderedPageBreak/>
        <w:fldChar w:fldCharType="begin"/>
      </w:r>
      <w:r w:rsidRPr="00D149D6">
        <w:rPr>
          <w:rStyle w:val="mainChar"/>
          <w:rFonts w:ascii="Book Antiqua" w:hAnsi="Book Antiqua"/>
        </w:rPr>
        <w:instrText xml:space="preserve"> TOC \o "1-3" \h \z \t "main,1,mainex,1,dummy,1" </w:instrText>
      </w:r>
      <w:r w:rsidRPr="00D149D6">
        <w:rPr>
          <w:rStyle w:val="mainChar"/>
          <w:rFonts w:ascii="Book Antiqua" w:hAnsi="Book Antiqua"/>
        </w:rPr>
        <w:fldChar w:fldCharType="separate"/>
      </w:r>
      <w:hyperlink w:anchor="_Toc3803821" w:history="1">
        <w:r w:rsidR="00D07949" w:rsidRPr="00F66886">
          <w:t>DECISION ADOPTING PREFERRED SYSTEM PORTFOLIO AND PLAN FOR 2017</w:t>
        </w:r>
        <w:r w:rsidR="00D07949" w:rsidRPr="00F66886">
          <w:noBreakHyphen/>
          <w:t>2018 INTEGRATED RESOURCE PLAN CYCLE</w:t>
        </w:r>
        <w:r w:rsidR="00D07949">
          <w:rPr>
            <w:webHidden/>
          </w:rPr>
          <w:tab/>
        </w:r>
        <w:r w:rsidR="00D07949">
          <w:rPr>
            <w:webHidden/>
          </w:rPr>
          <w:fldChar w:fldCharType="begin"/>
        </w:r>
        <w:r w:rsidR="00D07949">
          <w:rPr>
            <w:webHidden/>
          </w:rPr>
          <w:instrText xml:space="preserve"> PAGEREF _Toc3803821 \h </w:instrText>
        </w:r>
        <w:r w:rsidR="00D07949">
          <w:rPr>
            <w:webHidden/>
          </w:rPr>
        </w:r>
        <w:r w:rsidR="00D07949">
          <w:rPr>
            <w:webHidden/>
          </w:rPr>
          <w:fldChar w:fldCharType="separate"/>
        </w:r>
        <w:r w:rsidR="0002186B">
          <w:rPr>
            <w:webHidden/>
          </w:rPr>
          <w:t>1</w:t>
        </w:r>
        <w:r w:rsidR="00D07949">
          <w:rPr>
            <w:webHidden/>
          </w:rPr>
          <w:fldChar w:fldCharType="end"/>
        </w:r>
      </w:hyperlink>
    </w:p>
    <w:p w14:paraId="75006827" w14:textId="77777777" w:rsidR="00D07949" w:rsidRDefault="00BA7917">
      <w:pPr>
        <w:pStyle w:val="TOC1"/>
        <w:rPr>
          <w:rFonts w:asciiTheme="minorHAnsi" w:eastAsiaTheme="minorEastAsia" w:hAnsiTheme="minorHAnsi" w:cstheme="minorBidi"/>
          <w:sz w:val="22"/>
          <w:szCs w:val="22"/>
        </w:rPr>
      </w:pPr>
      <w:hyperlink w:anchor="_Toc3803822" w:history="1">
        <w:r w:rsidR="00D07949" w:rsidRPr="00F66886">
          <w:t>Summary</w:t>
        </w:r>
        <w:r w:rsidR="00D07949">
          <w:rPr>
            <w:webHidden/>
          </w:rPr>
          <w:tab/>
        </w:r>
        <w:r w:rsidR="00D07949">
          <w:rPr>
            <w:webHidden/>
          </w:rPr>
          <w:fldChar w:fldCharType="begin"/>
        </w:r>
        <w:r w:rsidR="00D07949">
          <w:rPr>
            <w:webHidden/>
          </w:rPr>
          <w:instrText xml:space="preserve"> PAGEREF _Toc3803822 \h </w:instrText>
        </w:r>
        <w:r w:rsidR="00D07949">
          <w:rPr>
            <w:webHidden/>
          </w:rPr>
        </w:r>
        <w:r w:rsidR="00D07949">
          <w:rPr>
            <w:webHidden/>
          </w:rPr>
          <w:fldChar w:fldCharType="separate"/>
        </w:r>
        <w:r w:rsidR="0002186B">
          <w:rPr>
            <w:webHidden/>
          </w:rPr>
          <w:t>2</w:t>
        </w:r>
        <w:r w:rsidR="00D07949">
          <w:rPr>
            <w:webHidden/>
          </w:rPr>
          <w:fldChar w:fldCharType="end"/>
        </w:r>
      </w:hyperlink>
    </w:p>
    <w:p w14:paraId="2BA8A099" w14:textId="77777777" w:rsidR="00D07949" w:rsidRDefault="00BA7917">
      <w:pPr>
        <w:pStyle w:val="TOC1"/>
        <w:rPr>
          <w:rFonts w:asciiTheme="minorHAnsi" w:eastAsiaTheme="minorEastAsia" w:hAnsiTheme="minorHAnsi" w:cstheme="minorBidi"/>
          <w:sz w:val="22"/>
          <w:szCs w:val="22"/>
        </w:rPr>
      </w:pPr>
      <w:hyperlink w:anchor="_Toc3803823" w:history="1">
        <w:r w:rsidR="00D07949" w:rsidRPr="00F66886">
          <w:t>1.</w:t>
        </w:r>
        <w:r w:rsidR="00D07949">
          <w:rPr>
            <w:rFonts w:asciiTheme="minorHAnsi" w:eastAsiaTheme="minorEastAsia" w:hAnsiTheme="minorHAnsi" w:cstheme="minorBidi"/>
            <w:sz w:val="22"/>
            <w:szCs w:val="22"/>
          </w:rPr>
          <w:tab/>
        </w:r>
        <w:r w:rsidR="00D07949" w:rsidRPr="00F66886">
          <w:t>Procedural Background</w:t>
        </w:r>
        <w:r w:rsidR="00D07949">
          <w:rPr>
            <w:webHidden/>
          </w:rPr>
          <w:tab/>
        </w:r>
        <w:r w:rsidR="00D07949">
          <w:rPr>
            <w:webHidden/>
          </w:rPr>
          <w:fldChar w:fldCharType="begin"/>
        </w:r>
        <w:r w:rsidR="00D07949">
          <w:rPr>
            <w:webHidden/>
          </w:rPr>
          <w:instrText xml:space="preserve"> PAGEREF _Toc3803823 \h </w:instrText>
        </w:r>
        <w:r w:rsidR="00D07949">
          <w:rPr>
            <w:webHidden/>
          </w:rPr>
        </w:r>
        <w:r w:rsidR="00D07949">
          <w:rPr>
            <w:webHidden/>
          </w:rPr>
          <w:fldChar w:fldCharType="separate"/>
        </w:r>
        <w:r w:rsidR="0002186B">
          <w:rPr>
            <w:webHidden/>
          </w:rPr>
          <w:t>4</w:t>
        </w:r>
        <w:r w:rsidR="00D07949">
          <w:rPr>
            <w:webHidden/>
          </w:rPr>
          <w:fldChar w:fldCharType="end"/>
        </w:r>
      </w:hyperlink>
    </w:p>
    <w:p w14:paraId="7F25CDF1" w14:textId="77777777" w:rsidR="00D07949" w:rsidRDefault="00BA7917">
      <w:pPr>
        <w:pStyle w:val="TOC2"/>
        <w:rPr>
          <w:rFonts w:asciiTheme="minorHAnsi" w:eastAsiaTheme="minorEastAsia" w:hAnsiTheme="minorHAnsi" w:cstheme="minorBidi"/>
          <w:sz w:val="22"/>
          <w:szCs w:val="22"/>
        </w:rPr>
      </w:pPr>
      <w:hyperlink w:anchor="_Toc3803824" w:history="1">
        <w:r w:rsidR="00D07949" w:rsidRPr="00F66886">
          <w:t>1.1.</w:t>
        </w:r>
        <w:r w:rsidR="00D07949">
          <w:rPr>
            <w:rFonts w:asciiTheme="minorHAnsi" w:eastAsiaTheme="minorEastAsia" w:hAnsiTheme="minorHAnsi" w:cstheme="minorBidi"/>
            <w:sz w:val="22"/>
            <w:szCs w:val="22"/>
          </w:rPr>
          <w:tab/>
        </w:r>
        <w:r w:rsidR="00D07949" w:rsidRPr="00F66886">
          <w:t>Individual Integrated Resource Plan Filings</w:t>
        </w:r>
        <w:r w:rsidR="00D07949">
          <w:rPr>
            <w:webHidden/>
          </w:rPr>
          <w:tab/>
        </w:r>
        <w:r w:rsidR="00D07949">
          <w:rPr>
            <w:webHidden/>
          </w:rPr>
          <w:fldChar w:fldCharType="begin"/>
        </w:r>
        <w:r w:rsidR="00D07949">
          <w:rPr>
            <w:webHidden/>
          </w:rPr>
          <w:instrText xml:space="preserve"> PAGEREF _Toc3803824 \h </w:instrText>
        </w:r>
        <w:r w:rsidR="00D07949">
          <w:rPr>
            <w:webHidden/>
          </w:rPr>
        </w:r>
        <w:r w:rsidR="00D07949">
          <w:rPr>
            <w:webHidden/>
          </w:rPr>
          <w:fldChar w:fldCharType="separate"/>
        </w:r>
        <w:r w:rsidR="0002186B">
          <w:rPr>
            <w:webHidden/>
          </w:rPr>
          <w:t>4</w:t>
        </w:r>
        <w:r w:rsidR="00D07949">
          <w:rPr>
            <w:webHidden/>
          </w:rPr>
          <w:fldChar w:fldCharType="end"/>
        </w:r>
      </w:hyperlink>
    </w:p>
    <w:p w14:paraId="685A97E0" w14:textId="77777777" w:rsidR="00D07949" w:rsidRDefault="00BA7917">
      <w:pPr>
        <w:pStyle w:val="TOC2"/>
        <w:rPr>
          <w:rFonts w:asciiTheme="minorHAnsi" w:eastAsiaTheme="minorEastAsia" w:hAnsiTheme="minorHAnsi" w:cstheme="minorBidi"/>
          <w:sz w:val="22"/>
          <w:szCs w:val="22"/>
        </w:rPr>
      </w:pPr>
      <w:hyperlink w:anchor="_Toc3803825" w:history="1">
        <w:r w:rsidR="00D07949" w:rsidRPr="00F66886">
          <w:t>1.2.</w:t>
        </w:r>
        <w:r w:rsidR="00D07949">
          <w:rPr>
            <w:rFonts w:asciiTheme="minorHAnsi" w:eastAsiaTheme="minorEastAsia" w:hAnsiTheme="minorHAnsi" w:cstheme="minorBidi"/>
            <w:sz w:val="22"/>
            <w:szCs w:val="22"/>
          </w:rPr>
          <w:tab/>
        </w:r>
        <w:r w:rsidR="00D07949" w:rsidRPr="00F66886">
          <w:t>Production Cost Modeling of Aggregated IRPs</w:t>
        </w:r>
        <w:r w:rsidR="00D07949">
          <w:rPr>
            <w:webHidden/>
          </w:rPr>
          <w:tab/>
        </w:r>
        <w:r w:rsidR="00D07949">
          <w:rPr>
            <w:webHidden/>
          </w:rPr>
          <w:fldChar w:fldCharType="begin"/>
        </w:r>
        <w:r w:rsidR="00D07949">
          <w:rPr>
            <w:webHidden/>
          </w:rPr>
          <w:instrText xml:space="preserve"> PAGEREF _Toc3803825 \h </w:instrText>
        </w:r>
        <w:r w:rsidR="00D07949">
          <w:rPr>
            <w:webHidden/>
          </w:rPr>
        </w:r>
        <w:r w:rsidR="00D07949">
          <w:rPr>
            <w:webHidden/>
          </w:rPr>
          <w:fldChar w:fldCharType="separate"/>
        </w:r>
        <w:r w:rsidR="0002186B">
          <w:rPr>
            <w:webHidden/>
          </w:rPr>
          <w:t>9</w:t>
        </w:r>
        <w:r w:rsidR="00D07949">
          <w:rPr>
            <w:webHidden/>
          </w:rPr>
          <w:fldChar w:fldCharType="end"/>
        </w:r>
      </w:hyperlink>
    </w:p>
    <w:p w14:paraId="768159FE" w14:textId="77777777" w:rsidR="00D07949" w:rsidRDefault="00BA7917">
      <w:pPr>
        <w:pStyle w:val="TOC2"/>
        <w:rPr>
          <w:rFonts w:asciiTheme="minorHAnsi" w:eastAsiaTheme="minorEastAsia" w:hAnsiTheme="minorHAnsi" w:cstheme="minorBidi"/>
          <w:sz w:val="22"/>
          <w:szCs w:val="22"/>
        </w:rPr>
      </w:pPr>
      <w:hyperlink w:anchor="_Toc3803826" w:history="1">
        <w:r w:rsidR="00D07949" w:rsidRPr="00F66886">
          <w:t>1.3.</w:t>
        </w:r>
        <w:r w:rsidR="00D07949">
          <w:rPr>
            <w:rFonts w:asciiTheme="minorHAnsi" w:eastAsiaTheme="minorEastAsia" w:hAnsiTheme="minorHAnsi" w:cstheme="minorBidi"/>
            <w:sz w:val="22"/>
            <w:szCs w:val="22"/>
          </w:rPr>
          <w:tab/>
        </w:r>
        <w:r w:rsidR="00D07949" w:rsidRPr="00F66886">
          <w:t>Preferred System Portfolio and Transmission Planning Process Recommendations</w:t>
        </w:r>
        <w:r w:rsidR="00D07949">
          <w:rPr>
            <w:webHidden/>
          </w:rPr>
          <w:tab/>
        </w:r>
        <w:r w:rsidR="00D07949">
          <w:rPr>
            <w:webHidden/>
          </w:rPr>
          <w:fldChar w:fldCharType="begin"/>
        </w:r>
        <w:r w:rsidR="00D07949">
          <w:rPr>
            <w:webHidden/>
          </w:rPr>
          <w:instrText xml:space="preserve"> PAGEREF _Toc3803826 \h </w:instrText>
        </w:r>
        <w:r w:rsidR="00D07949">
          <w:rPr>
            <w:webHidden/>
          </w:rPr>
        </w:r>
        <w:r w:rsidR="00D07949">
          <w:rPr>
            <w:webHidden/>
          </w:rPr>
          <w:fldChar w:fldCharType="separate"/>
        </w:r>
        <w:r w:rsidR="0002186B">
          <w:rPr>
            <w:webHidden/>
          </w:rPr>
          <w:t>10</w:t>
        </w:r>
        <w:r w:rsidR="00D07949">
          <w:rPr>
            <w:webHidden/>
          </w:rPr>
          <w:fldChar w:fldCharType="end"/>
        </w:r>
      </w:hyperlink>
    </w:p>
    <w:p w14:paraId="5B665B82" w14:textId="77777777" w:rsidR="00D07949" w:rsidRDefault="00BA7917">
      <w:pPr>
        <w:pStyle w:val="TOC2"/>
        <w:rPr>
          <w:rFonts w:asciiTheme="minorHAnsi" w:eastAsiaTheme="minorEastAsia" w:hAnsiTheme="minorHAnsi" w:cstheme="minorBidi"/>
          <w:sz w:val="22"/>
          <w:szCs w:val="22"/>
        </w:rPr>
      </w:pPr>
      <w:hyperlink w:anchor="_Toc3803827" w:history="1">
        <w:r w:rsidR="00D07949" w:rsidRPr="00F66886">
          <w:t>1.4.</w:t>
        </w:r>
        <w:r w:rsidR="00D07949">
          <w:rPr>
            <w:rFonts w:asciiTheme="minorHAnsi" w:eastAsiaTheme="minorEastAsia" w:hAnsiTheme="minorHAnsi" w:cstheme="minorBidi"/>
            <w:sz w:val="22"/>
            <w:szCs w:val="22"/>
          </w:rPr>
          <w:tab/>
        </w:r>
        <w:r w:rsidR="00D07949" w:rsidRPr="00F66886">
          <w:t>Near</w:t>
        </w:r>
        <w:r w:rsidR="00D07949" w:rsidRPr="00F66886">
          <w:noBreakHyphen/>
          <w:t xml:space="preserve"> and Medium</w:t>
        </w:r>
        <w:r w:rsidR="00D07949" w:rsidRPr="00F66886">
          <w:noBreakHyphen/>
          <w:t>Term Reliability Issues</w:t>
        </w:r>
        <w:r w:rsidR="00D07949">
          <w:rPr>
            <w:webHidden/>
          </w:rPr>
          <w:tab/>
        </w:r>
        <w:r w:rsidR="00D07949">
          <w:rPr>
            <w:webHidden/>
          </w:rPr>
          <w:fldChar w:fldCharType="begin"/>
        </w:r>
        <w:r w:rsidR="00D07949">
          <w:rPr>
            <w:webHidden/>
          </w:rPr>
          <w:instrText xml:space="preserve"> PAGEREF _Toc3803827 \h </w:instrText>
        </w:r>
        <w:r w:rsidR="00D07949">
          <w:rPr>
            <w:webHidden/>
          </w:rPr>
        </w:r>
        <w:r w:rsidR="00D07949">
          <w:rPr>
            <w:webHidden/>
          </w:rPr>
          <w:fldChar w:fldCharType="separate"/>
        </w:r>
        <w:r w:rsidR="0002186B">
          <w:rPr>
            <w:webHidden/>
          </w:rPr>
          <w:t>11</w:t>
        </w:r>
        <w:r w:rsidR="00D07949">
          <w:rPr>
            <w:webHidden/>
          </w:rPr>
          <w:fldChar w:fldCharType="end"/>
        </w:r>
      </w:hyperlink>
    </w:p>
    <w:p w14:paraId="00D17C59" w14:textId="77777777" w:rsidR="00D07949" w:rsidRDefault="00BA7917">
      <w:pPr>
        <w:pStyle w:val="TOC2"/>
        <w:rPr>
          <w:rFonts w:asciiTheme="minorHAnsi" w:eastAsiaTheme="minorEastAsia" w:hAnsiTheme="minorHAnsi" w:cstheme="minorBidi"/>
          <w:sz w:val="22"/>
          <w:szCs w:val="22"/>
        </w:rPr>
      </w:pPr>
      <w:hyperlink w:anchor="_Toc3803828" w:history="1">
        <w:r w:rsidR="00D07949" w:rsidRPr="00F66886">
          <w:t>1.5.</w:t>
        </w:r>
        <w:r w:rsidR="00D07949">
          <w:rPr>
            <w:rFonts w:asciiTheme="minorHAnsi" w:eastAsiaTheme="minorEastAsia" w:hAnsiTheme="minorHAnsi" w:cstheme="minorBidi"/>
            <w:sz w:val="22"/>
            <w:szCs w:val="22"/>
          </w:rPr>
          <w:tab/>
        </w:r>
        <w:r w:rsidR="00D07949" w:rsidRPr="00F66886">
          <w:t>Liberty Utilities</w:t>
        </w:r>
        <w:r w:rsidR="00D07949">
          <w:rPr>
            <w:webHidden/>
          </w:rPr>
          <w:tab/>
        </w:r>
        <w:r w:rsidR="00D07949">
          <w:rPr>
            <w:webHidden/>
          </w:rPr>
          <w:fldChar w:fldCharType="begin"/>
        </w:r>
        <w:r w:rsidR="00D07949">
          <w:rPr>
            <w:webHidden/>
          </w:rPr>
          <w:instrText xml:space="preserve"> PAGEREF _Toc3803828 \h </w:instrText>
        </w:r>
        <w:r w:rsidR="00D07949">
          <w:rPr>
            <w:webHidden/>
          </w:rPr>
        </w:r>
        <w:r w:rsidR="00D07949">
          <w:rPr>
            <w:webHidden/>
          </w:rPr>
          <w:fldChar w:fldCharType="separate"/>
        </w:r>
        <w:r w:rsidR="0002186B">
          <w:rPr>
            <w:webHidden/>
          </w:rPr>
          <w:t>12</w:t>
        </w:r>
        <w:r w:rsidR="00D07949">
          <w:rPr>
            <w:webHidden/>
          </w:rPr>
          <w:fldChar w:fldCharType="end"/>
        </w:r>
      </w:hyperlink>
    </w:p>
    <w:p w14:paraId="7F9C07F1" w14:textId="77777777" w:rsidR="00D07949" w:rsidRDefault="00BA7917">
      <w:pPr>
        <w:pStyle w:val="TOC1"/>
        <w:rPr>
          <w:rFonts w:asciiTheme="minorHAnsi" w:eastAsiaTheme="minorEastAsia" w:hAnsiTheme="minorHAnsi" w:cstheme="minorBidi"/>
          <w:sz w:val="22"/>
          <w:szCs w:val="22"/>
        </w:rPr>
      </w:pPr>
      <w:hyperlink w:anchor="_Toc3803829" w:history="1">
        <w:r w:rsidR="00D07949" w:rsidRPr="00F66886">
          <w:t>2.</w:t>
        </w:r>
        <w:r w:rsidR="00D07949">
          <w:rPr>
            <w:rFonts w:asciiTheme="minorHAnsi" w:eastAsiaTheme="minorEastAsia" w:hAnsiTheme="minorHAnsi" w:cstheme="minorBidi"/>
            <w:sz w:val="22"/>
            <w:szCs w:val="22"/>
          </w:rPr>
          <w:tab/>
        </w:r>
        <w:r w:rsidR="00D07949" w:rsidRPr="00F66886">
          <w:t>Evaluation of Individual Integrated Resource Plans</w:t>
        </w:r>
        <w:r w:rsidR="00D07949">
          <w:rPr>
            <w:webHidden/>
          </w:rPr>
          <w:tab/>
        </w:r>
        <w:r w:rsidR="00D07949">
          <w:rPr>
            <w:webHidden/>
          </w:rPr>
          <w:fldChar w:fldCharType="begin"/>
        </w:r>
        <w:r w:rsidR="00D07949">
          <w:rPr>
            <w:webHidden/>
          </w:rPr>
          <w:instrText xml:space="preserve"> PAGEREF _Toc3803829 \h </w:instrText>
        </w:r>
        <w:r w:rsidR="00D07949">
          <w:rPr>
            <w:webHidden/>
          </w:rPr>
        </w:r>
        <w:r w:rsidR="00D07949">
          <w:rPr>
            <w:webHidden/>
          </w:rPr>
          <w:fldChar w:fldCharType="separate"/>
        </w:r>
        <w:r w:rsidR="0002186B">
          <w:rPr>
            <w:webHidden/>
          </w:rPr>
          <w:t>12</w:t>
        </w:r>
        <w:r w:rsidR="00D07949">
          <w:rPr>
            <w:webHidden/>
          </w:rPr>
          <w:fldChar w:fldCharType="end"/>
        </w:r>
      </w:hyperlink>
    </w:p>
    <w:p w14:paraId="1FE9AFCD" w14:textId="77777777" w:rsidR="00D07949" w:rsidRDefault="00BA7917">
      <w:pPr>
        <w:pStyle w:val="TOC2"/>
        <w:rPr>
          <w:rFonts w:asciiTheme="minorHAnsi" w:eastAsiaTheme="minorEastAsia" w:hAnsiTheme="minorHAnsi" w:cstheme="minorBidi"/>
          <w:sz w:val="22"/>
          <w:szCs w:val="22"/>
        </w:rPr>
      </w:pPr>
      <w:hyperlink w:anchor="_Toc3803830" w:history="1">
        <w:r w:rsidR="00D07949" w:rsidRPr="00F66886">
          <w:t>2.1.</w:t>
        </w:r>
        <w:r w:rsidR="00D07949">
          <w:rPr>
            <w:rFonts w:asciiTheme="minorHAnsi" w:eastAsiaTheme="minorEastAsia" w:hAnsiTheme="minorHAnsi" w:cstheme="minorBidi"/>
            <w:sz w:val="22"/>
            <w:szCs w:val="22"/>
          </w:rPr>
          <w:tab/>
        </w:r>
        <w:r w:rsidR="00D07949" w:rsidRPr="00F66886">
          <w:t>Review Approach</w:t>
        </w:r>
        <w:r w:rsidR="00D07949">
          <w:rPr>
            <w:webHidden/>
          </w:rPr>
          <w:tab/>
        </w:r>
        <w:r w:rsidR="00D07949">
          <w:rPr>
            <w:webHidden/>
          </w:rPr>
          <w:fldChar w:fldCharType="begin"/>
        </w:r>
        <w:r w:rsidR="00D07949">
          <w:rPr>
            <w:webHidden/>
          </w:rPr>
          <w:instrText xml:space="preserve"> PAGEREF _Toc3803830 \h </w:instrText>
        </w:r>
        <w:r w:rsidR="00D07949">
          <w:rPr>
            <w:webHidden/>
          </w:rPr>
        </w:r>
        <w:r w:rsidR="00D07949">
          <w:rPr>
            <w:webHidden/>
          </w:rPr>
          <w:fldChar w:fldCharType="separate"/>
        </w:r>
        <w:r w:rsidR="0002186B">
          <w:rPr>
            <w:webHidden/>
          </w:rPr>
          <w:t>12</w:t>
        </w:r>
        <w:r w:rsidR="00D07949">
          <w:rPr>
            <w:webHidden/>
          </w:rPr>
          <w:fldChar w:fldCharType="end"/>
        </w:r>
      </w:hyperlink>
    </w:p>
    <w:p w14:paraId="630A053E" w14:textId="77777777" w:rsidR="00D07949" w:rsidRDefault="00BA7917">
      <w:pPr>
        <w:pStyle w:val="TOC2"/>
        <w:rPr>
          <w:rFonts w:asciiTheme="minorHAnsi" w:eastAsiaTheme="minorEastAsia" w:hAnsiTheme="minorHAnsi" w:cstheme="minorBidi"/>
          <w:sz w:val="22"/>
          <w:szCs w:val="22"/>
        </w:rPr>
      </w:pPr>
      <w:hyperlink w:anchor="_Toc3803831" w:history="1">
        <w:r w:rsidR="00D07949" w:rsidRPr="00F66886">
          <w:t>2.2.</w:t>
        </w:r>
        <w:r w:rsidR="00D07949">
          <w:rPr>
            <w:rFonts w:asciiTheme="minorHAnsi" w:eastAsiaTheme="minorEastAsia" w:hAnsiTheme="minorHAnsi" w:cstheme="minorBidi"/>
            <w:sz w:val="22"/>
            <w:szCs w:val="22"/>
          </w:rPr>
          <w:tab/>
        </w:r>
        <w:r w:rsidR="00D07949" w:rsidRPr="00F66886">
          <w:t>Common Themes and Issues Across LSE Plans</w:t>
        </w:r>
        <w:r w:rsidR="00D07949">
          <w:rPr>
            <w:webHidden/>
          </w:rPr>
          <w:tab/>
        </w:r>
        <w:r w:rsidR="00D07949">
          <w:rPr>
            <w:webHidden/>
          </w:rPr>
          <w:fldChar w:fldCharType="begin"/>
        </w:r>
        <w:r w:rsidR="00D07949">
          <w:rPr>
            <w:webHidden/>
          </w:rPr>
          <w:instrText xml:space="preserve"> PAGEREF _Toc3803831 \h </w:instrText>
        </w:r>
        <w:r w:rsidR="00D07949">
          <w:rPr>
            <w:webHidden/>
          </w:rPr>
        </w:r>
        <w:r w:rsidR="00D07949">
          <w:rPr>
            <w:webHidden/>
          </w:rPr>
          <w:fldChar w:fldCharType="separate"/>
        </w:r>
        <w:r w:rsidR="0002186B">
          <w:rPr>
            <w:webHidden/>
          </w:rPr>
          <w:t>16</w:t>
        </w:r>
        <w:r w:rsidR="00D07949">
          <w:rPr>
            <w:webHidden/>
          </w:rPr>
          <w:fldChar w:fldCharType="end"/>
        </w:r>
      </w:hyperlink>
    </w:p>
    <w:p w14:paraId="1277F717" w14:textId="77777777" w:rsidR="00D07949" w:rsidRDefault="00BA7917">
      <w:pPr>
        <w:pStyle w:val="TOC3"/>
        <w:rPr>
          <w:rFonts w:asciiTheme="minorHAnsi" w:eastAsiaTheme="minorEastAsia" w:hAnsiTheme="minorHAnsi" w:cstheme="minorBidi"/>
          <w:sz w:val="22"/>
          <w:szCs w:val="22"/>
        </w:rPr>
      </w:pPr>
      <w:hyperlink w:anchor="_Toc3803832" w:history="1">
        <w:r w:rsidR="00D07949" w:rsidRPr="00F66886">
          <w:t>2.2.1.</w:t>
        </w:r>
        <w:r w:rsidR="00D07949">
          <w:rPr>
            <w:rFonts w:asciiTheme="minorHAnsi" w:eastAsiaTheme="minorEastAsia" w:hAnsiTheme="minorHAnsi" w:cstheme="minorBidi"/>
            <w:sz w:val="22"/>
            <w:szCs w:val="22"/>
          </w:rPr>
          <w:tab/>
        </w:r>
        <w:r w:rsidR="00D07949" w:rsidRPr="00F66886">
          <w:t>Portfolio Development</w:t>
        </w:r>
        <w:r w:rsidR="00D07949">
          <w:rPr>
            <w:webHidden/>
          </w:rPr>
          <w:tab/>
        </w:r>
        <w:r w:rsidR="00D07949">
          <w:rPr>
            <w:webHidden/>
          </w:rPr>
          <w:fldChar w:fldCharType="begin"/>
        </w:r>
        <w:r w:rsidR="00D07949">
          <w:rPr>
            <w:webHidden/>
          </w:rPr>
          <w:instrText xml:space="preserve"> PAGEREF _Toc3803832 \h </w:instrText>
        </w:r>
        <w:r w:rsidR="00D07949">
          <w:rPr>
            <w:webHidden/>
          </w:rPr>
        </w:r>
        <w:r w:rsidR="00D07949">
          <w:rPr>
            <w:webHidden/>
          </w:rPr>
          <w:fldChar w:fldCharType="separate"/>
        </w:r>
        <w:r w:rsidR="0002186B">
          <w:rPr>
            <w:webHidden/>
          </w:rPr>
          <w:t>16</w:t>
        </w:r>
        <w:r w:rsidR="00D07949">
          <w:rPr>
            <w:webHidden/>
          </w:rPr>
          <w:fldChar w:fldCharType="end"/>
        </w:r>
      </w:hyperlink>
    </w:p>
    <w:p w14:paraId="1F4EDF7C" w14:textId="77777777" w:rsidR="00D07949" w:rsidRDefault="00BA7917">
      <w:pPr>
        <w:pStyle w:val="TOC3"/>
        <w:rPr>
          <w:rFonts w:asciiTheme="minorHAnsi" w:eastAsiaTheme="minorEastAsia" w:hAnsiTheme="minorHAnsi" w:cstheme="minorBidi"/>
          <w:sz w:val="22"/>
          <w:szCs w:val="22"/>
        </w:rPr>
      </w:pPr>
      <w:hyperlink w:anchor="_Toc3803833" w:history="1">
        <w:r w:rsidR="00D07949" w:rsidRPr="00F66886">
          <w:t>2.2.2.</w:t>
        </w:r>
        <w:r w:rsidR="00D07949">
          <w:rPr>
            <w:rFonts w:asciiTheme="minorHAnsi" w:eastAsiaTheme="minorEastAsia" w:hAnsiTheme="minorHAnsi" w:cstheme="minorBidi"/>
            <w:sz w:val="22"/>
            <w:szCs w:val="22"/>
          </w:rPr>
          <w:tab/>
        </w:r>
        <w:r w:rsidR="00D07949" w:rsidRPr="00F66886">
          <w:t>Actionability of Plans</w:t>
        </w:r>
        <w:r w:rsidR="00D07949">
          <w:rPr>
            <w:webHidden/>
          </w:rPr>
          <w:tab/>
        </w:r>
        <w:r w:rsidR="00D07949">
          <w:rPr>
            <w:webHidden/>
          </w:rPr>
          <w:fldChar w:fldCharType="begin"/>
        </w:r>
        <w:r w:rsidR="00D07949">
          <w:rPr>
            <w:webHidden/>
          </w:rPr>
          <w:instrText xml:space="preserve"> PAGEREF _Toc3803833 \h </w:instrText>
        </w:r>
        <w:r w:rsidR="00D07949">
          <w:rPr>
            <w:webHidden/>
          </w:rPr>
        </w:r>
        <w:r w:rsidR="00D07949">
          <w:rPr>
            <w:webHidden/>
          </w:rPr>
          <w:fldChar w:fldCharType="separate"/>
        </w:r>
        <w:r w:rsidR="0002186B">
          <w:rPr>
            <w:webHidden/>
          </w:rPr>
          <w:t>17</w:t>
        </w:r>
        <w:r w:rsidR="00D07949">
          <w:rPr>
            <w:webHidden/>
          </w:rPr>
          <w:fldChar w:fldCharType="end"/>
        </w:r>
      </w:hyperlink>
    </w:p>
    <w:p w14:paraId="2FE05F61" w14:textId="77777777" w:rsidR="00D07949" w:rsidRDefault="00BA7917">
      <w:pPr>
        <w:pStyle w:val="TOC3"/>
        <w:rPr>
          <w:rFonts w:asciiTheme="minorHAnsi" w:eastAsiaTheme="minorEastAsia" w:hAnsiTheme="minorHAnsi" w:cstheme="minorBidi"/>
          <w:sz w:val="22"/>
          <w:szCs w:val="22"/>
        </w:rPr>
      </w:pPr>
      <w:hyperlink w:anchor="_Toc3803834" w:history="1">
        <w:r w:rsidR="00D07949" w:rsidRPr="00F66886">
          <w:t>2.2.3.</w:t>
        </w:r>
        <w:r w:rsidR="00D07949">
          <w:rPr>
            <w:rFonts w:asciiTheme="minorHAnsi" w:eastAsiaTheme="minorEastAsia" w:hAnsiTheme="minorHAnsi" w:cstheme="minorBidi"/>
            <w:sz w:val="22"/>
            <w:szCs w:val="22"/>
          </w:rPr>
          <w:tab/>
        </w:r>
        <w:r w:rsidR="00D07949" w:rsidRPr="00F66886">
          <w:t>Use of the CNS Calculator</w:t>
        </w:r>
        <w:r w:rsidR="00D07949">
          <w:rPr>
            <w:webHidden/>
          </w:rPr>
          <w:tab/>
        </w:r>
        <w:r w:rsidR="00D07949">
          <w:rPr>
            <w:webHidden/>
          </w:rPr>
          <w:fldChar w:fldCharType="begin"/>
        </w:r>
        <w:r w:rsidR="00D07949">
          <w:rPr>
            <w:webHidden/>
          </w:rPr>
          <w:instrText xml:space="preserve"> PAGEREF _Toc3803834 \h </w:instrText>
        </w:r>
        <w:r w:rsidR="00D07949">
          <w:rPr>
            <w:webHidden/>
          </w:rPr>
        </w:r>
        <w:r w:rsidR="00D07949">
          <w:rPr>
            <w:webHidden/>
          </w:rPr>
          <w:fldChar w:fldCharType="separate"/>
        </w:r>
        <w:r w:rsidR="0002186B">
          <w:rPr>
            <w:webHidden/>
          </w:rPr>
          <w:t>19</w:t>
        </w:r>
        <w:r w:rsidR="00D07949">
          <w:rPr>
            <w:webHidden/>
          </w:rPr>
          <w:fldChar w:fldCharType="end"/>
        </w:r>
      </w:hyperlink>
    </w:p>
    <w:p w14:paraId="4DB7E314" w14:textId="77777777" w:rsidR="00D07949" w:rsidRDefault="00BA7917">
      <w:pPr>
        <w:pStyle w:val="TOC3"/>
        <w:rPr>
          <w:rFonts w:asciiTheme="minorHAnsi" w:eastAsiaTheme="minorEastAsia" w:hAnsiTheme="minorHAnsi" w:cstheme="minorBidi"/>
          <w:sz w:val="22"/>
          <w:szCs w:val="22"/>
        </w:rPr>
      </w:pPr>
      <w:hyperlink w:anchor="_Toc3803835" w:history="1">
        <w:r w:rsidR="00D07949" w:rsidRPr="00F66886">
          <w:t>2.2.4.</w:t>
        </w:r>
        <w:r w:rsidR="00D07949">
          <w:rPr>
            <w:rFonts w:asciiTheme="minorHAnsi" w:eastAsiaTheme="minorEastAsia" w:hAnsiTheme="minorHAnsi" w:cstheme="minorBidi"/>
            <w:sz w:val="22"/>
            <w:szCs w:val="22"/>
          </w:rPr>
          <w:tab/>
        </w:r>
        <w:r w:rsidR="00D07949" w:rsidRPr="00F66886">
          <w:t>Criteria Pollutant and Disadvantaged Community Requirements</w:t>
        </w:r>
        <w:r w:rsidR="00D07949">
          <w:rPr>
            <w:webHidden/>
          </w:rPr>
          <w:tab/>
        </w:r>
        <w:r w:rsidR="00D07949">
          <w:rPr>
            <w:webHidden/>
          </w:rPr>
          <w:fldChar w:fldCharType="begin"/>
        </w:r>
        <w:r w:rsidR="00D07949">
          <w:rPr>
            <w:webHidden/>
          </w:rPr>
          <w:instrText xml:space="preserve"> PAGEREF _Toc3803835 \h </w:instrText>
        </w:r>
        <w:r w:rsidR="00D07949">
          <w:rPr>
            <w:webHidden/>
          </w:rPr>
        </w:r>
        <w:r w:rsidR="00D07949">
          <w:rPr>
            <w:webHidden/>
          </w:rPr>
          <w:fldChar w:fldCharType="separate"/>
        </w:r>
        <w:r w:rsidR="0002186B">
          <w:rPr>
            <w:webHidden/>
          </w:rPr>
          <w:t>20</w:t>
        </w:r>
        <w:r w:rsidR="00D07949">
          <w:rPr>
            <w:webHidden/>
          </w:rPr>
          <w:fldChar w:fldCharType="end"/>
        </w:r>
      </w:hyperlink>
    </w:p>
    <w:p w14:paraId="228F641D" w14:textId="77777777" w:rsidR="00D07949" w:rsidRDefault="00BA7917">
      <w:pPr>
        <w:pStyle w:val="TOC2"/>
        <w:rPr>
          <w:rFonts w:asciiTheme="minorHAnsi" w:eastAsiaTheme="minorEastAsia" w:hAnsiTheme="minorHAnsi" w:cstheme="minorBidi"/>
          <w:sz w:val="22"/>
          <w:szCs w:val="22"/>
        </w:rPr>
      </w:pPr>
      <w:hyperlink w:anchor="_Toc3803836" w:history="1">
        <w:r w:rsidR="00D07949" w:rsidRPr="00F66886">
          <w:t>2.3.</w:t>
        </w:r>
        <w:r w:rsidR="00D07949">
          <w:rPr>
            <w:rFonts w:asciiTheme="minorHAnsi" w:eastAsiaTheme="minorEastAsia" w:hAnsiTheme="minorHAnsi" w:cstheme="minorBidi"/>
            <w:sz w:val="22"/>
            <w:szCs w:val="22"/>
          </w:rPr>
          <w:tab/>
        </w:r>
        <w:r w:rsidR="00D07949" w:rsidRPr="00F66886">
          <w:t>Overview of Disposition of Individual Plans</w:t>
        </w:r>
        <w:r w:rsidR="00D07949">
          <w:rPr>
            <w:webHidden/>
          </w:rPr>
          <w:tab/>
        </w:r>
        <w:r w:rsidR="00D07949">
          <w:rPr>
            <w:webHidden/>
          </w:rPr>
          <w:fldChar w:fldCharType="begin"/>
        </w:r>
        <w:r w:rsidR="00D07949">
          <w:rPr>
            <w:webHidden/>
          </w:rPr>
          <w:instrText xml:space="preserve"> PAGEREF _Toc3803836 \h </w:instrText>
        </w:r>
        <w:r w:rsidR="00D07949">
          <w:rPr>
            <w:webHidden/>
          </w:rPr>
        </w:r>
        <w:r w:rsidR="00D07949">
          <w:rPr>
            <w:webHidden/>
          </w:rPr>
          <w:fldChar w:fldCharType="separate"/>
        </w:r>
        <w:r w:rsidR="0002186B">
          <w:rPr>
            <w:webHidden/>
          </w:rPr>
          <w:t>20</w:t>
        </w:r>
        <w:r w:rsidR="00D07949">
          <w:rPr>
            <w:webHidden/>
          </w:rPr>
          <w:fldChar w:fldCharType="end"/>
        </w:r>
      </w:hyperlink>
    </w:p>
    <w:p w14:paraId="72006AF3" w14:textId="77777777" w:rsidR="00D07949" w:rsidRDefault="00BA7917">
      <w:pPr>
        <w:pStyle w:val="TOC3"/>
        <w:rPr>
          <w:rFonts w:asciiTheme="minorHAnsi" w:eastAsiaTheme="minorEastAsia" w:hAnsiTheme="minorHAnsi" w:cstheme="minorBidi"/>
          <w:sz w:val="22"/>
          <w:szCs w:val="22"/>
        </w:rPr>
      </w:pPr>
      <w:hyperlink w:anchor="_Toc3803837" w:history="1">
        <w:r w:rsidR="00D07949" w:rsidRPr="00F66886">
          <w:t>2.3.1.</w:t>
        </w:r>
        <w:r w:rsidR="00D07949">
          <w:rPr>
            <w:rFonts w:asciiTheme="minorHAnsi" w:eastAsiaTheme="minorEastAsia" w:hAnsiTheme="minorHAnsi" w:cstheme="minorBidi"/>
            <w:sz w:val="22"/>
            <w:szCs w:val="22"/>
          </w:rPr>
          <w:tab/>
        </w:r>
        <w:r w:rsidR="00D07949" w:rsidRPr="00F66886">
          <w:t>Resubmission Process for 2018 IRPs</w:t>
        </w:r>
        <w:r w:rsidR="00D07949">
          <w:rPr>
            <w:webHidden/>
          </w:rPr>
          <w:tab/>
        </w:r>
        <w:r w:rsidR="00D07949">
          <w:rPr>
            <w:webHidden/>
          </w:rPr>
          <w:fldChar w:fldCharType="begin"/>
        </w:r>
        <w:r w:rsidR="00D07949">
          <w:rPr>
            <w:webHidden/>
          </w:rPr>
          <w:instrText xml:space="preserve"> PAGEREF _Toc3803837 \h </w:instrText>
        </w:r>
        <w:r w:rsidR="00D07949">
          <w:rPr>
            <w:webHidden/>
          </w:rPr>
        </w:r>
        <w:r w:rsidR="00D07949">
          <w:rPr>
            <w:webHidden/>
          </w:rPr>
          <w:fldChar w:fldCharType="separate"/>
        </w:r>
        <w:r w:rsidR="0002186B">
          <w:rPr>
            <w:webHidden/>
          </w:rPr>
          <w:t>22</w:t>
        </w:r>
        <w:r w:rsidR="00D07949">
          <w:rPr>
            <w:webHidden/>
          </w:rPr>
          <w:fldChar w:fldCharType="end"/>
        </w:r>
      </w:hyperlink>
    </w:p>
    <w:p w14:paraId="1513D1E2" w14:textId="77777777" w:rsidR="00D07949" w:rsidRDefault="00BA7917">
      <w:pPr>
        <w:pStyle w:val="TOC2"/>
        <w:rPr>
          <w:rFonts w:asciiTheme="minorHAnsi" w:eastAsiaTheme="minorEastAsia" w:hAnsiTheme="minorHAnsi" w:cstheme="minorBidi"/>
          <w:sz w:val="22"/>
          <w:szCs w:val="22"/>
        </w:rPr>
      </w:pPr>
      <w:hyperlink w:anchor="_Toc3803838" w:history="1">
        <w:r w:rsidR="00D07949" w:rsidRPr="00F66886">
          <w:t>2.4.</w:t>
        </w:r>
        <w:r w:rsidR="00D07949">
          <w:rPr>
            <w:rFonts w:asciiTheme="minorHAnsi" w:eastAsiaTheme="minorEastAsia" w:hAnsiTheme="minorHAnsi" w:cstheme="minorBidi"/>
            <w:sz w:val="22"/>
            <w:szCs w:val="22"/>
          </w:rPr>
          <w:tab/>
        </w:r>
        <w:r w:rsidR="00D07949" w:rsidRPr="00F66886">
          <w:t>Review of Individual LSE Plans</w:t>
        </w:r>
        <w:r w:rsidR="00D07949">
          <w:rPr>
            <w:webHidden/>
          </w:rPr>
          <w:tab/>
        </w:r>
        <w:r w:rsidR="00D07949">
          <w:rPr>
            <w:webHidden/>
          </w:rPr>
          <w:fldChar w:fldCharType="begin"/>
        </w:r>
        <w:r w:rsidR="00D07949">
          <w:rPr>
            <w:webHidden/>
          </w:rPr>
          <w:instrText xml:space="preserve"> PAGEREF _Toc3803838 \h </w:instrText>
        </w:r>
        <w:r w:rsidR="00D07949">
          <w:rPr>
            <w:webHidden/>
          </w:rPr>
        </w:r>
        <w:r w:rsidR="00D07949">
          <w:rPr>
            <w:webHidden/>
          </w:rPr>
          <w:fldChar w:fldCharType="separate"/>
        </w:r>
        <w:r w:rsidR="0002186B">
          <w:rPr>
            <w:webHidden/>
          </w:rPr>
          <w:t>23</w:t>
        </w:r>
        <w:r w:rsidR="00D07949">
          <w:rPr>
            <w:webHidden/>
          </w:rPr>
          <w:fldChar w:fldCharType="end"/>
        </w:r>
      </w:hyperlink>
    </w:p>
    <w:p w14:paraId="34678A44" w14:textId="77777777" w:rsidR="00D07949" w:rsidRDefault="00BA7917">
      <w:pPr>
        <w:pStyle w:val="TOC3"/>
        <w:rPr>
          <w:rFonts w:asciiTheme="minorHAnsi" w:eastAsiaTheme="minorEastAsia" w:hAnsiTheme="minorHAnsi" w:cstheme="minorBidi"/>
          <w:sz w:val="22"/>
          <w:szCs w:val="22"/>
        </w:rPr>
      </w:pPr>
      <w:hyperlink w:anchor="_Toc3803839" w:history="1">
        <w:r w:rsidR="00D07949" w:rsidRPr="00F66886">
          <w:t>2.4.1.</w:t>
        </w:r>
        <w:r w:rsidR="00D07949">
          <w:rPr>
            <w:rFonts w:asciiTheme="minorHAnsi" w:eastAsiaTheme="minorEastAsia" w:hAnsiTheme="minorHAnsi" w:cstheme="minorBidi"/>
            <w:sz w:val="22"/>
            <w:szCs w:val="22"/>
          </w:rPr>
          <w:tab/>
        </w:r>
        <w:r w:rsidR="00D07949" w:rsidRPr="00F66886">
          <w:t>Standard Plans</w:t>
        </w:r>
        <w:r w:rsidR="00D07949">
          <w:rPr>
            <w:webHidden/>
          </w:rPr>
          <w:tab/>
        </w:r>
        <w:r w:rsidR="00D07949">
          <w:rPr>
            <w:webHidden/>
          </w:rPr>
          <w:fldChar w:fldCharType="begin"/>
        </w:r>
        <w:r w:rsidR="00D07949">
          <w:rPr>
            <w:webHidden/>
          </w:rPr>
          <w:instrText xml:space="preserve"> PAGEREF _Toc3803839 \h </w:instrText>
        </w:r>
        <w:r w:rsidR="00D07949">
          <w:rPr>
            <w:webHidden/>
          </w:rPr>
        </w:r>
        <w:r w:rsidR="00D07949">
          <w:rPr>
            <w:webHidden/>
          </w:rPr>
          <w:fldChar w:fldCharType="separate"/>
        </w:r>
        <w:r w:rsidR="0002186B">
          <w:rPr>
            <w:webHidden/>
          </w:rPr>
          <w:t>23</w:t>
        </w:r>
        <w:r w:rsidR="00D07949">
          <w:rPr>
            <w:webHidden/>
          </w:rPr>
          <w:fldChar w:fldCharType="end"/>
        </w:r>
      </w:hyperlink>
    </w:p>
    <w:p w14:paraId="03303144" w14:textId="77777777" w:rsidR="00D07949" w:rsidRDefault="00BA7917">
      <w:pPr>
        <w:pStyle w:val="TOC3"/>
        <w:rPr>
          <w:rFonts w:asciiTheme="minorHAnsi" w:eastAsiaTheme="minorEastAsia" w:hAnsiTheme="minorHAnsi" w:cstheme="minorBidi"/>
          <w:sz w:val="22"/>
          <w:szCs w:val="22"/>
        </w:rPr>
      </w:pPr>
      <w:hyperlink w:anchor="_Toc3803840" w:history="1">
        <w:r w:rsidR="00D07949" w:rsidRPr="00F66886">
          <w:t>2.4.2.</w:t>
        </w:r>
        <w:r w:rsidR="00D07949">
          <w:rPr>
            <w:rFonts w:asciiTheme="minorHAnsi" w:eastAsiaTheme="minorEastAsia" w:hAnsiTheme="minorHAnsi" w:cstheme="minorBidi"/>
            <w:sz w:val="22"/>
            <w:szCs w:val="22"/>
          </w:rPr>
          <w:tab/>
        </w:r>
        <w:r w:rsidR="00D07949" w:rsidRPr="00F66886">
          <w:t>Alternative Plans</w:t>
        </w:r>
        <w:r w:rsidR="00D07949">
          <w:rPr>
            <w:webHidden/>
          </w:rPr>
          <w:tab/>
        </w:r>
        <w:r w:rsidR="00D07949">
          <w:rPr>
            <w:webHidden/>
          </w:rPr>
          <w:fldChar w:fldCharType="begin"/>
        </w:r>
        <w:r w:rsidR="00D07949">
          <w:rPr>
            <w:webHidden/>
          </w:rPr>
          <w:instrText xml:space="preserve"> PAGEREF _Toc3803840 \h </w:instrText>
        </w:r>
        <w:r w:rsidR="00D07949">
          <w:rPr>
            <w:webHidden/>
          </w:rPr>
        </w:r>
        <w:r w:rsidR="00D07949">
          <w:rPr>
            <w:webHidden/>
          </w:rPr>
          <w:fldChar w:fldCharType="separate"/>
        </w:r>
        <w:r w:rsidR="0002186B">
          <w:rPr>
            <w:webHidden/>
          </w:rPr>
          <w:t>63</w:t>
        </w:r>
        <w:r w:rsidR="00D07949">
          <w:rPr>
            <w:webHidden/>
          </w:rPr>
          <w:fldChar w:fldCharType="end"/>
        </w:r>
      </w:hyperlink>
    </w:p>
    <w:p w14:paraId="6ADEBA05" w14:textId="77777777" w:rsidR="00D07949" w:rsidRDefault="00BA7917">
      <w:pPr>
        <w:pStyle w:val="TOC3"/>
        <w:rPr>
          <w:rFonts w:asciiTheme="minorHAnsi" w:eastAsiaTheme="minorEastAsia" w:hAnsiTheme="minorHAnsi" w:cstheme="minorBidi"/>
          <w:sz w:val="22"/>
          <w:szCs w:val="22"/>
        </w:rPr>
      </w:pPr>
      <w:hyperlink w:anchor="_Toc3803841" w:history="1">
        <w:r w:rsidR="00D07949" w:rsidRPr="00F66886">
          <w:t>2.4.3.</w:t>
        </w:r>
        <w:r w:rsidR="00D07949">
          <w:rPr>
            <w:rFonts w:asciiTheme="minorHAnsi" w:eastAsiaTheme="minorEastAsia" w:hAnsiTheme="minorHAnsi" w:cstheme="minorBidi"/>
            <w:sz w:val="22"/>
            <w:szCs w:val="22"/>
          </w:rPr>
          <w:tab/>
        </w:r>
        <w:r w:rsidR="00D07949" w:rsidRPr="00F66886">
          <w:t>LSEs Claiming Exemptions from IRP Requirements</w:t>
        </w:r>
        <w:r w:rsidR="00D07949">
          <w:rPr>
            <w:webHidden/>
          </w:rPr>
          <w:tab/>
        </w:r>
        <w:r w:rsidR="00D07949">
          <w:rPr>
            <w:webHidden/>
          </w:rPr>
          <w:fldChar w:fldCharType="begin"/>
        </w:r>
        <w:r w:rsidR="00D07949">
          <w:rPr>
            <w:webHidden/>
          </w:rPr>
          <w:instrText xml:space="preserve"> PAGEREF _Toc3803841 \h </w:instrText>
        </w:r>
        <w:r w:rsidR="00D07949">
          <w:rPr>
            <w:webHidden/>
          </w:rPr>
        </w:r>
        <w:r w:rsidR="00D07949">
          <w:rPr>
            <w:webHidden/>
          </w:rPr>
          <w:fldChar w:fldCharType="separate"/>
        </w:r>
        <w:r w:rsidR="0002186B">
          <w:rPr>
            <w:webHidden/>
          </w:rPr>
          <w:t>80</w:t>
        </w:r>
        <w:r w:rsidR="00D07949">
          <w:rPr>
            <w:webHidden/>
          </w:rPr>
          <w:fldChar w:fldCharType="end"/>
        </w:r>
      </w:hyperlink>
    </w:p>
    <w:p w14:paraId="7D93341F" w14:textId="77777777" w:rsidR="00D07949" w:rsidRDefault="00BA7917">
      <w:pPr>
        <w:pStyle w:val="TOC3"/>
        <w:rPr>
          <w:rFonts w:asciiTheme="minorHAnsi" w:eastAsiaTheme="minorEastAsia" w:hAnsiTheme="minorHAnsi" w:cstheme="minorBidi"/>
          <w:sz w:val="22"/>
          <w:szCs w:val="22"/>
        </w:rPr>
      </w:pPr>
      <w:hyperlink w:anchor="_Toc3803842" w:history="1">
        <w:r w:rsidR="00D07949" w:rsidRPr="00F66886">
          <w:t>2.4.4.</w:t>
        </w:r>
        <w:r w:rsidR="00D07949">
          <w:rPr>
            <w:rFonts w:asciiTheme="minorHAnsi" w:eastAsiaTheme="minorEastAsia" w:hAnsiTheme="minorHAnsi" w:cstheme="minorBidi"/>
            <w:sz w:val="22"/>
            <w:szCs w:val="22"/>
          </w:rPr>
          <w:tab/>
        </w:r>
        <w:r w:rsidR="00D07949" w:rsidRPr="00F66886">
          <w:t>LSEs Failing to Submit Any Documentation</w:t>
        </w:r>
        <w:r w:rsidR="00D07949">
          <w:rPr>
            <w:webHidden/>
          </w:rPr>
          <w:tab/>
        </w:r>
        <w:r w:rsidR="00D07949">
          <w:rPr>
            <w:webHidden/>
          </w:rPr>
          <w:fldChar w:fldCharType="begin"/>
        </w:r>
        <w:r w:rsidR="00D07949">
          <w:rPr>
            <w:webHidden/>
          </w:rPr>
          <w:instrText xml:space="preserve"> PAGEREF _Toc3803842 \h </w:instrText>
        </w:r>
        <w:r w:rsidR="00D07949">
          <w:rPr>
            <w:webHidden/>
          </w:rPr>
        </w:r>
        <w:r w:rsidR="00D07949">
          <w:rPr>
            <w:webHidden/>
          </w:rPr>
          <w:fldChar w:fldCharType="separate"/>
        </w:r>
        <w:r w:rsidR="0002186B">
          <w:rPr>
            <w:webHidden/>
          </w:rPr>
          <w:t>84</w:t>
        </w:r>
        <w:r w:rsidR="00D07949">
          <w:rPr>
            <w:webHidden/>
          </w:rPr>
          <w:fldChar w:fldCharType="end"/>
        </w:r>
      </w:hyperlink>
    </w:p>
    <w:p w14:paraId="1343862C" w14:textId="77777777" w:rsidR="00D07949" w:rsidRDefault="00BA7917">
      <w:pPr>
        <w:pStyle w:val="TOC1"/>
        <w:rPr>
          <w:rFonts w:asciiTheme="minorHAnsi" w:eastAsiaTheme="minorEastAsia" w:hAnsiTheme="minorHAnsi" w:cstheme="minorBidi"/>
          <w:sz w:val="22"/>
          <w:szCs w:val="22"/>
        </w:rPr>
      </w:pPr>
      <w:hyperlink w:anchor="_Toc3803843" w:history="1">
        <w:r w:rsidR="00D07949" w:rsidRPr="00F66886">
          <w:t>3.</w:t>
        </w:r>
        <w:r w:rsidR="00D07949">
          <w:rPr>
            <w:rFonts w:asciiTheme="minorHAnsi" w:eastAsiaTheme="minorEastAsia" w:hAnsiTheme="minorHAnsi" w:cstheme="minorBidi"/>
            <w:sz w:val="22"/>
            <w:szCs w:val="22"/>
          </w:rPr>
          <w:tab/>
        </w:r>
        <w:r w:rsidR="00D07949" w:rsidRPr="00F66886">
          <w:t>Preferred System Portfolio</w:t>
        </w:r>
        <w:r w:rsidR="00D07949">
          <w:rPr>
            <w:webHidden/>
          </w:rPr>
          <w:tab/>
        </w:r>
        <w:r w:rsidR="00D07949">
          <w:rPr>
            <w:webHidden/>
          </w:rPr>
          <w:fldChar w:fldCharType="begin"/>
        </w:r>
        <w:r w:rsidR="00D07949">
          <w:rPr>
            <w:webHidden/>
          </w:rPr>
          <w:instrText xml:space="preserve"> PAGEREF _Toc3803843 \h </w:instrText>
        </w:r>
        <w:r w:rsidR="00D07949">
          <w:rPr>
            <w:webHidden/>
          </w:rPr>
        </w:r>
        <w:r w:rsidR="00D07949">
          <w:rPr>
            <w:webHidden/>
          </w:rPr>
          <w:fldChar w:fldCharType="separate"/>
        </w:r>
        <w:r w:rsidR="0002186B">
          <w:rPr>
            <w:webHidden/>
          </w:rPr>
          <w:t>84</w:t>
        </w:r>
        <w:r w:rsidR="00D07949">
          <w:rPr>
            <w:webHidden/>
          </w:rPr>
          <w:fldChar w:fldCharType="end"/>
        </w:r>
      </w:hyperlink>
    </w:p>
    <w:p w14:paraId="207EF1AB" w14:textId="77777777" w:rsidR="00D07949" w:rsidRDefault="00BA7917">
      <w:pPr>
        <w:pStyle w:val="TOC2"/>
        <w:rPr>
          <w:rFonts w:asciiTheme="minorHAnsi" w:eastAsiaTheme="minorEastAsia" w:hAnsiTheme="minorHAnsi" w:cstheme="minorBidi"/>
          <w:sz w:val="22"/>
          <w:szCs w:val="22"/>
        </w:rPr>
      </w:pPr>
      <w:hyperlink w:anchor="_Toc3803844" w:history="1">
        <w:r w:rsidR="00D07949" w:rsidRPr="00F66886">
          <w:t>3.1.</w:t>
        </w:r>
        <w:r w:rsidR="00D07949">
          <w:rPr>
            <w:rFonts w:asciiTheme="minorHAnsi" w:eastAsiaTheme="minorEastAsia" w:hAnsiTheme="minorHAnsi" w:cstheme="minorBidi"/>
            <w:sz w:val="22"/>
            <w:szCs w:val="22"/>
          </w:rPr>
          <w:tab/>
        </w:r>
        <w:r w:rsidR="00D07949" w:rsidRPr="00F66886">
          <w:t>Individual IRP Aggregation Analysis, Production Cost Modeling, and PSP Recommendation</w:t>
        </w:r>
        <w:r w:rsidR="00D07949">
          <w:rPr>
            <w:webHidden/>
          </w:rPr>
          <w:tab/>
        </w:r>
        <w:r w:rsidR="00D07949">
          <w:rPr>
            <w:webHidden/>
          </w:rPr>
          <w:fldChar w:fldCharType="begin"/>
        </w:r>
        <w:r w:rsidR="00D07949">
          <w:rPr>
            <w:webHidden/>
          </w:rPr>
          <w:instrText xml:space="preserve"> PAGEREF _Toc3803844 \h </w:instrText>
        </w:r>
        <w:r w:rsidR="00D07949">
          <w:rPr>
            <w:webHidden/>
          </w:rPr>
        </w:r>
        <w:r w:rsidR="00D07949">
          <w:rPr>
            <w:webHidden/>
          </w:rPr>
          <w:fldChar w:fldCharType="separate"/>
        </w:r>
        <w:r w:rsidR="0002186B">
          <w:rPr>
            <w:webHidden/>
          </w:rPr>
          <w:t>84</w:t>
        </w:r>
        <w:r w:rsidR="00D07949">
          <w:rPr>
            <w:webHidden/>
          </w:rPr>
          <w:fldChar w:fldCharType="end"/>
        </w:r>
      </w:hyperlink>
    </w:p>
    <w:p w14:paraId="410A02FD" w14:textId="77777777" w:rsidR="00D07949" w:rsidRDefault="00BA7917">
      <w:pPr>
        <w:pStyle w:val="TOC3"/>
        <w:rPr>
          <w:rFonts w:asciiTheme="minorHAnsi" w:eastAsiaTheme="minorEastAsia" w:hAnsiTheme="minorHAnsi" w:cstheme="minorBidi"/>
          <w:sz w:val="22"/>
          <w:szCs w:val="22"/>
        </w:rPr>
      </w:pPr>
      <w:hyperlink w:anchor="_Toc3803845" w:history="1">
        <w:r w:rsidR="00D07949" w:rsidRPr="00F66886">
          <w:t>3.1.1.</w:t>
        </w:r>
        <w:r w:rsidR="00D07949">
          <w:rPr>
            <w:rFonts w:asciiTheme="minorHAnsi" w:eastAsiaTheme="minorEastAsia" w:hAnsiTheme="minorHAnsi" w:cstheme="minorBidi"/>
            <w:sz w:val="22"/>
            <w:szCs w:val="22"/>
          </w:rPr>
          <w:tab/>
        </w:r>
        <w:r w:rsidR="00D07949" w:rsidRPr="00F66886">
          <w:t>Individual IRP Aggregation Analysis</w:t>
        </w:r>
        <w:r w:rsidR="00D07949">
          <w:rPr>
            <w:webHidden/>
          </w:rPr>
          <w:tab/>
        </w:r>
        <w:r w:rsidR="00D07949">
          <w:rPr>
            <w:webHidden/>
          </w:rPr>
          <w:fldChar w:fldCharType="begin"/>
        </w:r>
        <w:r w:rsidR="00D07949">
          <w:rPr>
            <w:webHidden/>
          </w:rPr>
          <w:instrText xml:space="preserve"> PAGEREF _Toc3803845 \h </w:instrText>
        </w:r>
        <w:r w:rsidR="00D07949">
          <w:rPr>
            <w:webHidden/>
          </w:rPr>
        </w:r>
        <w:r w:rsidR="00D07949">
          <w:rPr>
            <w:webHidden/>
          </w:rPr>
          <w:fldChar w:fldCharType="separate"/>
        </w:r>
        <w:r w:rsidR="0002186B">
          <w:rPr>
            <w:webHidden/>
          </w:rPr>
          <w:t>84</w:t>
        </w:r>
        <w:r w:rsidR="00D07949">
          <w:rPr>
            <w:webHidden/>
          </w:rPr>
          <w:fldChar w:fldCharType="end"/>
        </w:r>
      </w:hyperlink>
    </w:p>
    <w:p w14:paraId="382183E5" w14:textId="77777777" w:rsidR="00D07949" w:rsidRDefault="00BA7917">
      <w:pPr>
        <w:pStyle w:val="TOC3"/>
        <w:rPr>
          <w:rFonts w:asciiTheme="minorHAnsi" w:eastAsiaTheme="minorEastAsia" w:hAnsiTheme="minorHAnsi" w:cstheme="minorBidi"/>
          <w:sz w:val="22"/>
          <w:szCs w:val="22"/>
        </w:rPr>
      </w:pPr>
      <w:hyperlink w:anchor="_Toc3803846" w:history="1">
        <w:r w:rsidR="00D07949" w:rsidRPr="00F66886">
          <w:t>3.1.2.</w:t>
        </w:r>
        <w:r w:rsidR="00D07949">
          <w:rPr>
            <w:rFonts w:asciiTheme="minorHAnsi" w:eastAsiaTheme="minorEastAsia" w:hAnsiTheme="minorHAnsi" w:cstheme="minorBidi"/>
            <w:sz w:val="22"/>
            <w:szCs w:val="22"/>
          </w:rPr>
          <w:tab/>
        </w:r>
        <w:r w:rsidR="00D07949" w:rsidRPr="00F66886">
          <w:t>Production Cost Modeling Results</w:t>
        </w:r>
        <w:r w:rsidR="00D07949">
          <w:rPr>
            <w:webHidden/>
          </w:rPr>
          <w:tab/>
        </w:r>
        <w:r w:rsidR="00D07949">
          <w:rPr>
            <w:webHidden/>
          </w:rPr>
          <w:fldChar w:fldCharType="begin"/>
        </w:r>
        <w:r w:rsidR="00D07949">
          <w:rPr>
            <w:webHidden/>
          </w:rPr>
          <w:instrText xml:space="preserve"> PAGEREF _Toc3803846 \h </w:instrText>
        </w:r>
        <w:r w:rsidR="00D07949">
          <w:rPr>
            <w:webHidden/>
          </w:rPr>
        </w:r>
        <w:r w:rsidR="00D07949">
          <w:rPr>
            <w:webHidden/>
          </w:rPr>
          <w:fldChar w:fldCharType="separate"/>
        </w:r>
        <w:r w:rsidR="0002186B">
          <w:rPr>
            <w:webHidden/>
          </w:rPr>
          <w:t>89</w:t>
        </w:r>
        <w:r w:rsidR="00D07949">
          <w:rPr>
            <w:webHidden/>
          </w:rPr>
          <w:fldChar w:fldCharType="end"/>
        </w:r>
      </w:hyperlink>
    </w:p>
    <w:p w14:paraId="78CDB5D0" w14:textId="77777777" w:rsidR="00D07949" w:rsidRDefault="00BA7917">
      <w:pPr>
        <w:pStyle w:val="TOC3"/>
        <w:rPr>
          <w:rFonts w:asciiTheme="minorHAnsi" w:eastAsiaTheme="minorEastAsia" w:hAnsiTheme="minorHAnsi" w:cstheme="minorBidi"/>
          <w:sz w:val="22"/>
          <w:szCs w:val="22"/>
        </w:rPr>
      </w:pPr>
      <w:hyperlink w:anchor="_Toc3803847" w:history="1">
        <w:r w:rsidR="00D07949" w:rsidRPr="00F66886">
          <w:t>3.1.3.</w:t>
        </w:r>
        <w:r w:rsidR="00D07949">
          <w:rPr>
            <w:rFonts w:asciiTheme="minorHAnsi" w:eastAsiaTheme="minorEastAsia" w:hAnsiTheme="minorHAnsi" w:cstheme="minorBidi"/>
            <w:sz w:val="22"/>
            <w:szCs w:val="22"/>
          </w:rPr>
          <w:tab/>
        </w:r>
        <w:r w:rsidR="00D07949" w:rsidRPr="00F66886">
          <w:t>Staff Recommendation for Preferred System Portfolio</w:t>
        </w:r>
        <w:r w:rsidR="00D07949">
          <w:rPr>
            <w:webHidden/>
          </w:rPr>
          <w:tab/>
        </w:r>
        <w:r w:rsidR="00D07949">
          <w:rPr>
            <w:webHidden/>
          </w:rPr>
          <w:fldChar w:fldCharType="begin"/>
        </w:r>
        <w:r w:rsidR="00D07949">
          <w:rPr>
            <w:webHidden/>
          </w:rPr>
          <w:instrText xml:space="preserve"> PAGEREF _Toc3803847 \h </w:instrText>
        </w:r>
        <w:r w:rsidR="00D07949">
          <w:rPr>
            <w:webHidden/>
          </w:rPr>
        </w:r>
        <w:r w:rsidR="00D07949">
          <w:rPr>
            <w:webHidden/>
          </w:rPr>
          <w:fldChar w:fldCharType="separate"/>
        </w:r>
        <w:r w:rsidR="0002186B">
          <w:rPr>
            <w:webHidden/>
          </w:rPr>
          <w:t>97</w:t>
        </w:r>
        <w:r w:rsidR="00D07949">
          <w:rPr>
            <w:webHidden/>
          </w:rPr>
          <w:fldChar w:fldCharType="end"/>
        </w:r>
      </w:hyperlink>
    </w:p>
    <w:p w14:paraId="06C4F3A9" w14:textId="77777777" w:rsidR="00D07949" w:rsidRDefault="00BA7917">
      <w:pPr>
        <w:pStyle w:val="TOC2"/>
        <w:rPr>
          <w:rFonts w:asciiTheme="minorHAnsi" w:eastAsiaTheme="minorEastAsia" w:hAnsiTheme="minorHAnsi" w:cstheme="minorBidi"/>
          <w:sz w:val="22"/>
          <w:szCs w:val="22"/>
        </w:rPr>
      </w:pPr>
      <w:hyperlink w:anchor="_Toc3803848" w:history="1">
        <w:r w:rsidR="00D07949" w:rsidRPr="00F66886">
          <w:t>3.2.</w:t>
        </w:r>
        <w:r w:rsidR="00D07949">
          <w:rPr>
            <w:rFonts w:asciiTheme="minorHAnsi" w:eastAsiaTheme="minorEastAsia" w:hAnsiTheme="minorHAnsi" w:cstheme="minorBidi"/>
            <w:sz w:val="22"/>
            <w:szCs w:val="22"/>
          </w:rPr>
          <w:tab/>
        </w:r>
        <w:r w:rsidR="00D07949" w:rsidRPr="00F66886">
          <w:t>Comments of Parties</w:t>
        </w:r>
        <w:r w:rsidR="00D07949">
          <w:rPr>
            <w:webHidden/>
          </w:rPr>
          <w:tab/>
        </w:r>
        <w:r w:rsidR="00D07949">
          <w:rPr>
            <w:webHidden/>
          </w:rPr>
          <w:fldChar w:fldCharType="begin"/>
        </w:r>
        <w:r w:rsidR="00D07949">
          <w:rPr>
            <w:webHidden/>
          </w:rPr>
          <w:instrText xml:space="preserve"> PAGEREF _Toc3803848 \h </w:instrText>
        </w:r>
        <w:r w:rsidR="00D07949">
          <w:rPr>
            <w:webHidden/>
          </w:rPr>
        </w:r>
        <w:r w:rsidR="00D07949">
          <w:rPr>
            <w:webHidden/>
          </w:rPr>
          <w:fldChar w:fldCharType="separate"/>
        </w:r>
        <w:r w:rsidR="0002186B">
          <w:rPr>
            <w:webHidden/>
          </w:rPr>
          <w:t>98</w:t>
        </w:r>
        <w:r w:rsidR="00D07949">
          <w:rPr>
            <w:webHidden/>
          </w:rPr>
          <w:fldChar w:fldCharType="end"/>
        </w:r>
      </w:hyperlink>
    </w:p>
    <w:p w14:paraId="4CC4610D" w14:textId="77777777" w:rsidR="00D07949" w:rsidRDefault="00BA7917">
      <w:pPr>
        <w:pStyle w:val="TOC2"/>
        <w:rPr>
          <w:rFonts w:asciiTheme="minorHAnsi" w:eastAsiaTheme="minorEastAsia" w:hAnsiTheme="minorHAnsi" w:cstheme="minorBidi"/>
          <w:sz w:val="22"/>
          <w:szCs w:val="22"/>
        </w:rPr>
      </w:pPr>
      <w:hyperlink w:anchor="_Toc3803849" w:history="1">
        <w:r w:rsidR="00D07949" w:rsidRPr="00F66886">
          <w:t>3.3.</w:t>
        </w:r>
        <w:r w:rsidR="00D07949">
          <w:rPr>
            <w:rFonts w:asciiTheme="minorHAnsi" w:eastAsiaTheme="minorEastAsia" w:hAnsiTheme="minorHAnsi" w:cstheme="minorBidi"/>
            <w:sz w:val="22"/>
            <w:szCs w:val="22"/>
          </w:rPr>
          <w:tab/>
        </w:r>
        <w:r w:rsidR="00D07949" w:rsidRPr="00F66886">
          <w:t>Discussion</w:t>
        </w:r>
        <w:r w:rsidR="00D07949">
          <w:rPr>
            <w:webHidden/>
          </w:rPr>
          <w:tab/>
        </w:r>
        <w:r w:rsidR="00D07949">
          <w:rPr>
            <w:webHidden/>
          </w:rPr>
          <w:fldChar w:fldCharType="begin"/>
        </w:r>
        <w:r w:rsidR="00D07949">
          <w:rPr>
            <w:webHidden/>
          </w:rPr>
          <w:instrText xml:space="preserve"> PAGEREF _Toc3803849 \h </w:instrText>
        </w:r>
        <w:r w:rsidR="00D07949">
          <w:rPr>
            <w:webHidden/>
          </w:rPr>
        </w:r>
        <w:r w:rsidR="00D07949">
          <w:rPr>
            <w:webHidden/>
          </w:rPr>
          <w:fldChar w:fldCharType="separate"/>
        </w:r>
        <w:r w:rsidR="0002186B">
          <w:rPr>
            <w:webHidden/>
          </w:rPr>
          <w:t>102</w:t>
        </w:r>
        <w:r w:rsidR="00D07949">
          <w:rPr>
            <w:webHidden/>
          </w:rPr>
          <w:fldChar w:fldCharType="end"/>
        </w:r>
      </w:hyperlink>
    </w:p>
    <w:p w14:paraId="24CC1494" w14:textId="77777777" w:rsidR="00D07949" w:rsidRDefault="00BA7917">
      <w:pPr>
        <w:pStyle w:val="TOC1"/>
        <w:rPr>
          <w:rFonts w:asciiTheme="minorHAnsi" w:eastAsiaTheme="minorEastAsia" w:hAnsiTheme="minorHAnsi" w:cstheme="minorBidi"/>
          <w:sz w:val="22"/>
          <w:szCs w:val="22"/>
        </w:rPr>
      </w:pPr>
      <w:hyperlink w:anchor="_Toc3803850" w:history="1">
        <w:r w:rsidR="00D07949" w:rsidRPr="00F66886">
          <w:t>4.</w:t>
        </w:r>
        <w:r w:rsidR="00D07949">
          <w:rPr>
            <w:rFonts w:asciiTheme="minorHAnsi" w:eastAsiaTheme="minorEastAsia" w:hAnsiTheme="minorHAnsi" w:cstheme="minorBidi"/>
            <w:sz w:val="22"/>
            <w:szCs w:val="22"/>
          </w:rPr>
          <w:tab/>
        </w:r>
        <w:r w:rsidR="00D07949" w:rsidRPr="00F66886">
          <w:t>Portfolios for Use in CAISO TPP</w:t>
        </w:r>
        <w:r w:rsidR="00D07949">
          <w:rPr>
            <w:webHidden/>
          </w:rPr>
          <w:tab/>
        </w:r>
        <w:r w:rsidR="00D07949">
          <w:rPr>
            <w:webHidden/>
          </w:rPr>
          <w:fldChar w:fldCharType="begin"/>
        </w:r>
        <w:r w:rsidR="00D07949">
          <w:rPr>
            <w:webHidden/>
          </w:rPr>
          <w:instrText xml:space="preserve"> PAGEREF _Toc3803850 \h </w:instrText>
        </w:r>
        <w:r w:rsidR="00D07949">
          <w:rPr>
            <w:webHidden/>
          </w:rPr>
        </w:r>
        <w:r w:rsidR="00D07949">
          <w:rPr>
            <w:webHidden/>
          </w:rPr>
          <w:fldChar w:fldCharType="separate"/>
        </w:r>
        <w:r w:rsidR="0002186B">
          <w:rPr>
            <w:webHidden/>
          </w:rPr>
          <w:t>117</w:t>
        </w:r>
        <w:r w:rsidR="00D07949">
          <w:rPr>
            <w:webHidden/>
          </w:rPr>
          <w:fldChar w:fldCharType="end"/>
        </w:r>
      </w:hyperlink>
    </w:p>
    <w:p w14:paraId="443E37F9" w14:textId="77777777" w:rsidR="00D07949" w:rsidRDefault="00BA7917">
      <w:pPr>
        <w:pStyle w:val="TOC2"/>
        <w:rPr>
          <w:rFonts w:asciiTheme="minorHAnsi" w:eastAsiaTheme="minorEastAsia" w:hAnsiTheme="minorHAnsi" w:cstheme="minorBidi"/>
          <w:sz w:val="22"/>
          <w:szCs w:val="22"/>
        </w:rPr>
      </w:pPr>
      <w:hyperlink w:anchor="_Toc3803851" w:history="1">
        <w:r w:rsidR="00D07949" w:rsidRPr="00F66886">
          <w:t>4.1.</w:t>
        </w:r>
        <w:r w:rsidR="00D07949">
          <w:rPr>
            <w:rFonts w:asciiTheme="minorHAnsi" w:eastAsiaTheme="minorEastAsia" w:hAnsiTheme="minorHAnsi" w:cstheme="minorBidi"/>
            <w:sz w:val="22"/>
            <w:szCs w:val="22"/>
          </w:rPr>
          <w:tab/>
        </w:r>
        <w:r w:rsidR="00D07949" w:rsidRPr="00F66886">
          <w:t>Staff Proposal</w:t>
        </w:r>
        <w:r w:rsidR="00D07949">
          <w:rPr>
            <w:webHidden/>
          </w:rPr>
          <w:tab/>
        </w:r>
        <w:r w:rsidR="00D07949">
          <w:rPr>
            <w:webHidden/>
          </w:rPr>
          <w:fldChar w:fldCharType="begin"/>
        </w:r>
        <w:r w:rsidR="00D07949">
          <w:rPr>
            <w:webHidden/>
          </w:rPr>
          <w:instrText xml:space="preserve"> PAGEREF _Toc3803851 \h </w:instrText>
        </w:r>
        <w:r w:rsidR="00D07949">
          <w:rPr>
            <w:webHidden/>
          </w:rPr>
        </w:r>
        <w:r w:rsidR="00D07949">
          <w:rPr>
            <w:webHidden/>
          </w:rPr>
          <w:fldChar w:fldCharType="separate"/>
        </w:r>
        <w:r w:rsidR="0002186B">
          <w:rPr>
            <w:webHidden/>
          </w:rPr>
          <w:t>117</w:t>
        </w:r>
        <w:r w:rsidR="00D07949">
          <w:rPr>
            <w:webHidden/>
          </w:rPr>
          <w:fldChar w:fldCharType="end"/>
        </w:r>
      </w:hyperlink>
    </w:p>
    <w:p w14:paraId="21F62CDE" w14:textId="77777777" w:rsidR="00D07949" w:rsidRDefault="00BA7917">
      <w:pPr>
        <w:pStyle w:val="TOC2"/>
        <w:rPr>
          <w:rFonts w:asciiTheme="minorHAnsi" w:eastAsiaTheme="minorEastAsia" w:hAnsiTheme="minorHAnsi" w:cstheme="minorBidi"/>
          <w:sz w:val="22"/>
          <w:szCs w:val="22"/>
        </w:rPr>
      </w:pPr>
      <w:hyperlink w:anchor="_Toc3803852" w:history="1">
        <w:r w:rsidR="00D07949" w:rsidRPr="00F66886">
          <w:t>4.2.</w:t>
        </w:r>
        <w:r w:rsidR="00D07949">
          <w:rPr>
            <w:rFonts w:asciiTheme="minorHAnsi" w:eastAsiaTheme="minorEastAsia" w:hAnsiTheme="minorHAnsi" w:cstheme="minorBidi"/>
            <w:sz w:val="22"/>
            <w:szCs w:val="22"/>
          </w:rPr>
          <w:tab/>
        </w:r>
        <w:r w:rsidR="00D07949" w:rsidRPr="00F66886">
          <w:t>Comments of Parties</w:t>
        </w:r>
        <w:r w:rsidR="00D07949">
          <w:rPr>
            <w:webHidden/>
          </w:rPr>
          <w:tab/>
        </w:r>
        <w:r w:rsidR="00D07949">
          <w:rPr>
            <w:webHidden/>
          </w:rPr>
          <w:fldChar w:fldCharType="begin"/>
        </w:r>
        <w:r w:rsidR="00D07949">
          <w:rPr>
            <w:webHidden/>
          </w:rPr>
          <w:instrText xml:space="preserve"> PAGEREF _Toc3803852 \h </w:instrText>
        </w:r>
        <w:r w:rsidR="00D07949">
          <w:rPr>
            <w:webHidden/>
          </w:rPr>
        </w:r>
        <w:r w:rsidR="00D07949">
          <w:rPr>
            <w:webHidden/>
          </w:rPr>
          <w:fldChar w:fldCharType="separate"/>
        </w:r>
        <w:r w:rsidR="0002186B">
          <w:rPr>
            <w:webHidden/>
          </w:rPr>
          <w:t>118</w:t>
        </w:r>
        <w:r w:rsidR="00D07949">
          <w:rPr>
            <w:webHidden/>
          </w:rPr>
          <w:fldChar w:fldCharType="end"/>
        </w:r>
      </w:hyperlink>
    </w:p>
    <w:p w14:paraId="7C23F937" w14:textId="77777777" w:rsidR="00D07949" w:rsidRDefault="00BA7917">
      <w:pPr>
        <w:pStyle w:val="TOC2"/>
        <w:rPr>
          <w:rFonts w:asciiTheme="minorHAnsi" w:eastAsiaTheme="minorEastAsia" w:hAnsiTheme="minorHAnsi" w:cstheme="minorBidi"/>
          <w:sz w:val="22"/>
          <w:szCs w:val="22"/>
        </w:rPr>
      </w:pPr>
      <w:hyperlink w:anchor="_Toc3803853" w:history="1">
        <w:r w:rsidR="00D07949" w:rsidRPr="00F66886">
          <w:t>4.3.</w:t>
        </w:r>
        <w:r w:rsidR="00D07949">
          <w:rPr>
            <w:rFonts w:asciiTheme="minorHAnsi" w:eastAsiaTheme="minorEastAsia" w:hAnsiTheme="minorHAnsi" w:cstheme="minorBidi"/>
            <w:sz w:val="22"/>
            <w:szCs w:val="22"/>
          </w:rPr>
          <w:tab/>
        </w:r>
        <w:r w:rsidR="00D07949" w:rsidRPr="00F66886">
          <w:t>Discussion</w:t>
        </w:r>
        <w:r w:rsidR="00D07949">
          <w:rPr>
            <w:webHidden/>
          </w:rPr>
          <w:tab/>
        </w:r>
        <w:r w:rsidR="00D07949">
          <w:rPr>
            <w:webHidden/>
          </w:rPr>
          <w:fldChar w:fldCharType="begin"/>
        </w:r>
        <w:r w:rsidR="00D07949">
          <w:rPr>
            <w:webHidden/>
          </w:rPr>
          <w:instrText xml:space="preserve"> PAGEREF _Toc3803853 \h </w:instrText>
        </w:r>
        <w:r w:rsidR="00D07949">
          <w:rPr>
            <w:webHidden/>
          </w:rPr>
        </w:r>
        <w:r w:rsidR="00D07949">
          <w:rPr>
            <w:webHidden/>
          </w:rPr>
          <w:fldChar w:fldCharType="separate"/>
        </w:r>
        <w:r w:rsidR="0002186B">
          <w:rPr>
            <w:webHidden/>
          </w:rPr>
          <w:t>120</w:t>
        </w:r>
        <w:r w:rsidR="00D07949">
          <w:rPr>
            <w:webHidden/>
          </w:rPr>
          <w:fldChar w:fldCharType="end"/>
        </w:r>
      </w:hyperlink>
    </w:p>
    <w:p w14:paraId="0B1CB882" w14:textId="77777777" w:rsidR="00D07949" w:rsidRDefault="00BA7917">
      <w:pPr>
        <w:pStyle w:val="TOC1"/>
        <w:rPr>
          <w:rFonts w:asciiTheme="minorHAnsi" w:eastAsiaTheme="minorEastAsia" w:hAnsiTheme="minorHAnsi" w:cstheme="minorBidi"/>
          <w:sz w:val="22"/>
          <w:szCs w:val="22"/>
        </w:rPr>
      </w:pPr>
      <w:hyperlink w:anchor="_Toc3803854" w:history="1">
        <w:r w:rsidR="00D07949" w:rsidRPr="00F66886">
          <w:t>5.</w:t>
        </w:r>
        <w:r w:rsidR="00D07949">
          <w:rPr>
            <w:rFonts w:asciiTheme="minorHAnsi" w:eastAsiaTheme="minorEastAsia" w:hAnsiTheme="minorHAnsi" w:cstheme="minorBidi"/>
            <w:sz w:val="22"/>
            <w:szCs w:val="22"/>
          </w:rPr>
          <w:tab/>
        </w:r>
        <w:r w:rsidR="00D07949" w:rsidRPr="00F66886">
          <w:t>Near-Term Actions to Achieve the Preferred System Portfolio</w:t>
        </w:r>
        <w:r w:rsidR="00D07949">
          <w:rPr>
            <w:webHidden/>
          </w:rPr>
          <w:tab/>
        </w:r>
        <w:r w:rsidR="00D07949">
          <w:rPr>
            <w:webHidden/>
          </w:rPr>
          <w:fldChar w:fldCharType="begin"/>
        </w:r>
        <w:r w:rsidR="00D07949">
          <w:rPr>
            <w:webHidden/>
          </w:rPr>
          <w:instrText xml:space="preserve"> PAGEREF _Toc3803854 \h </w:instrText>
        </w:r>
        <w:r w:rsidR="00D07949">
          <w:rPr>
            <w:webHidden/>
          </w:rPr>
        </w:r>
        <w:r w:rsidR="00D07949">
          <w:rPr>
            <w:webHidden/>
          </w:rPr>
          <w:fldChar w:fldCharType="separate"/>
        </w:r>
        <w:r w:rsidR="0002186B">
          <w:rPr>
            <w:webHidden/>
          </w:rPr>
          <w:t>125</w:t>
        </w:r>
        <w:r w:rsidR="00D07949">
          <w:rPr>
            <w:webHidden/>
          </w:rPr>
          <w:fldChar w:fldCharType="end"/>
        </w:r>
      </w:hyperlink>
    </w:p>
    <w:p w14:paraId="67DEFAB6" w14:textId="77777777" w:rsidR="00D07949" w:rsidRDefault="00BA7917">
      <w:pPr>
        <w:pStyle w:val="TOC2"/>
        <w:rPr>
          <w:rFonts w:asciiTheme="minorHAnsi" w:eastAsiaTheme="minorEastAsia" w:hAnsiTheme="minorHAnsi" w:cstheme="minorBidi"/>
          <w:sz w:val="22"/>
          <w:szCs w:val="22"/>
        </w:rPr>
      </w:pPr>
      <w:hyperlink w:anchor="_Toc3803855" w:history="1">
        <w:r w:rsidR="00D07949" w:rsidRPr="00F66886">
          <w:t>5.1.</w:t>
        </w:r>
        <w:r w:rsidR="00D07949">
          <w:rPr>
            <w:rFonts w:asciiTheme="minorHAnsi" w:eastAsiaTheme="minorEastAsia" w:hAnsiTheme="minorHAnsi" w:cstheme="minorBidi"/>
            <w:sz w:val="22"/>
            <w:szCs w:val="22"/>
          </w:rPr>
          <w:tab/>
        </w:r>
        <w:r w:rsidR="00D07949" w:rsidRPr="00F66886">
          <w:t>Comments of Parties on Potential Actions to Achieve the PSP</w:t>
        </w:r>
        <w:r w:rsidR="00D07949">
          <w:rPr>
            <w:webHidden/>
          </w:rPr>
          <w:tab/>
        </w:r>
        <w:r w:rsidR="00D07949">
          <w:rPr>
            <w:webHidden/>
          </w:rPr>
          <w:fldChar w:fldCharType="begin"/>
        </w:r>
        <w:r w:rsidR="00D07949">
          <w:rPr>
            <w:webHidden/>
          </w:rPr>
          <w:instrText xml:space="preserve"> PAGEREF _Toc3803855 \h </w:instrText>
        </w:r>
        <w:r w:rsidR="00D07949">
          <w:rPr>
            <w:webHidden/>
          </w:rPr>
        </w:r>
        <w:r w:rsidR="00D07949">
          <w:rPr>
            <w:webHidden/>
          </w:rPr>
          <w:fldChar w:fldCharType="separate"/>
        </w:r>
        <w:r w:rsidR="0002186B">
          <w:rPr>
            <w:webHidden/>
          </w:rPr>
          <w:t>126</w:t>
        </w:r>
        <w:r w:rsidR="00D07949">
          <w:rPr>
            <w:webHidden/>
          </w:rPr>
          <w:fldChar w:fldCharType="end"/>
        </w:r>
      </w:hyperlink>
    </w:p>
    <w:p w14:paraId="70450DC1" w14:textId="77777777" w:rsidR="00D07949" w:rsidRDefault="00BA7917">
      <w:pPr>
        <w:pStyle w:val="TOC2"/>
        <w:rPr>
          <w:rFonts w:asciiTheme="minorHAnsi" w:eastAsiaTheme="minorEastAsia" w:hAnsiTheme="minorHAnsi" w:cstheme="minorBidi"/>
          <w:sz w:val="22"/>
          <w:szCs w:val="22"/>
        </w:rPr>
      </w:pPr>
      <w:hyperlink w:anchor="_Toc3803856" w:history="1">
        <w:r w:rsidR="00D07949" w:rsidRPr="00F66886">
          <w:t>5.2.</w:t>
        </w:r>
        <w:r w:rsidR="00D07949">
          <w:rPr>
            <w:rFonts w:asciiTheme="minorHAnsi" w:eastAsiaTheme="minorEastAsia" w:hAnsiTheme="minorHAnsi" w:cstheme="minorBidi"/>
            <w:sz w:val="22"/>
            <w:szCs w:val="22"/>
          </w:rPr>
          <w:tab/>
        </w:r>
        <w:r w:rsidR="00D07949" w:rsidRPr="00F66886">
          <w:t>Comments of Parties on Near- and Medium-Term Reliability Issues</w:t>
        </w:r>
        <w:r w:rsidR="00D07949">
          <w:rPr>
            <w:webHidden/>
          </w:rPr>
          <w:tab/>
        </w:r>
        <w:r w:rsidR="00D07949">
          <w:rPr>
            <w:webHidden/>
          </w:rPr>
          <w:fldChar w:fldCharType="begin"/>
        </w:r>
        <w:r w:rsidR="00D07949">
          <w:rPr>
            <w:webHidden/>
          </w:rPr>
          <w:instrText xml:space="preserve"> PAGEREF _Toc3803856 \h </w:instrText>
        </w:r>
        <w:r w:rsidR="00D07949">
          <w:rPr>
            <w:webHidden/>
          </w:rPr>
        </w:r>
        <w:r w:rsidR="00D07949">
          <w:rPr>
            <w:webHidden/>
          </w:rPr>
          <w:fldChar w:fldCharType="separate"/>
        </w:r>
        <w:r w:rsidR="0002186B">
          <w:rPr>
            <w:webHidden/>
          </w:rPr>
          <w:t>127</w:t>
        </w:r>
        <w:r w:rsidR="00D07949">
          <w:rPr>
            <w:webHidden/>
          </w:rPr>
          <w:fldChar w:fldCharType="end"/>
        </w:r>
      </w:hyperlink>
    </w:p>
    <w:p w14:paraId="242D85B3" w14:textId="77777777" w:rsidR="00D07949" w:rsidRDefault="00BA7917">
      <w:pPr>
        <w:pStyle w:val="TOC2"/>
        <w:rPr>
          <w:rFonts w:asciiTheme="minorHAnsi" w:eastAsiaTheme="minorEastAsia" w:hAnsiTheme="minorHAnsi" w:cstheme="minorBidi"/>
          <w:sz w:val="22"/>
          <w:szCs w:val="22"/>
        </w:rPr>
      </w:pPr>
      <w:hyperlink w:anchor="_Toc3803857" w:history="1">
        <w:r w:rsidR="00D07949" w:rsidRPr="00F66886">
          <w:t>5.3.</w:t>
        </w:r>
        <w:r w:rsidR="00D07949">
          <w:rPr>
            <w:rFonts w:asciiTheme="minorHAnsi" w:eastAsiaTheme="minorEastAsia" w:hAnsiTheme="minorHAnsi" w:cstheme="minorBidi"/>
            <w:sz w:val="22"/>
            <w:szCs w:val="22"/>
          </w:rPr>
          <w:tab/>
        </w:r>
        <w:r w:rsidR="00D07949" w:rsidRPr="00F66886">
          <w:t>Discussion</w:t>
        </w:r>
        <w:r w:rsidR="00D07949">
          <w:rPr>
            <w:webHidden/>
          </w:rPr>
          <w:tab/>
        </w:r>
        <w:r w:rsidR="00D07949">
          <w:rPr>
            <w:webHidden/>
          </w:rPr>
          <w:fldChar w:fldCharType="begin"/>
        </w:r>
        <w:r w:rsidR="00D07949">
          <w:rPr>
            <w:webHidden/>
          </w:rPr>
          <w:instrText xml:space="preserve"> PAGEREF _Toc3803857 \h </w:instrText>
        </w:r>
        <w:r w:rsidR="00D07949">
          <w:rPr>
            <w:webHidden/>
          </w:rPr>
        </w:r>
        <w:r w:rsidR="00D07949">
          <w:rPr>
            <w:webHidden/>
          </w:rPr>
          <w:fldChar w:fldCharType="separate"/>
        </w:r>
        <w:r w:rsidR="0002186B">
          <w:rPr>
            <w:webHidden/>
          </w:rPr>
          <w:t>132</w:t>
        </w:r>
        <w:r w:rsidR="00D07949">
          <w:rPr>
            <w:webHidden/>
          </w:rPr>
          <w:fldChar w:fldCharType="end"/>
        </w:r>
      </w:hyperlink>
    </w:p>
    <w:p w14:paraId="016EDCC1" w14:textId="77777777" w:rsidR="00D07949" w:rsidRDefault="00BA7917">
      <w:pPr>
        <w:pStyle w:val="TOC1"/>
        <w:rPr>
          <w:rFonts w:asciiTheme="minorHAnsi" w:eastAsiaTheme="minorEastAsia" w:hAnsiTheme="minorHAnsi" w:cstheme="minorBidi"/>
          <w:sz w:val="22"/>
          <w:szCs w:val="22"/>
        </w:rPr>
      </w:pPr>
      <w:hyperlink w:anchor="_Toc3803858" w:history="1">
        <w:r w:rsidR="00D07949" w:rsidRPr="00F66886">
          <w:t>6.</w:t>
        </w:r>
        <w:r w:rsidR="00D07949">
          <w:rPr>
            <w:rFonts w:asciiTheme="minorHAnsi" w:eastAsiaTheme="minorEastAsia" w:hAnsiTheme="minorHAnsi" w:cstheme="minorBidi"/>
            <w:sz w:val="22"/>
            <w:szCs w:val="22"/>
          </w:rPr>
          <w:tab/>
        </w:r>
        <w:r w:rsidR="00D07949" w:rsidRPr="00F66886">
          <w:t>Diablo Canyon</w:t>
        </w:r>
        <w:r w:rsidR="00D07949">
          <w:rPr>
            <w:webHidden/>
          </w:rPr>
          <w:tab/>
        </w:r>
        <w:r w:rsidR="00D07949">
          <w:rPr>
            <w:webHidden/>
          </w:rPr>
          <w:fldChar w:fldCharType="begin"/>
        </w:r>
        <w:r w:rsidR="00D07949">
          <w:rPr>
            <w:webHidden/>
          </w:rPr>
          <w:instrText xml:space="preserve"> PAGEREF _Toc3803858 \h </w:instrText>
        </w:r>
        <w:r w:rsidR="00D07949">
          <w:rPr>
            <w:webHidden/>
          </w:rPr>
        </w:r>
        <w:r w:rsidR="00D07949">
          <w:rPr>
            <w:webHidden/>
          </w:rPr>
          <w:fldChar w:fldCharType="separate"/>
        </w:r>
        <w:r w:rsidR="0002186B">
          <w:rPr>
            <w:webHidden/>
          </w:rPr>
          <w:t>143</w:t>
        </w:r>
        <w:r w:rsidR="00D07949">
          <w:rPr>
            <w:webHidden/>
          </w:rPr>
          <w:fldChar w:fldCharType="end"/>
        </w:r>
      </w:hyperlink>
    </w:p>
    <w:p w14:paraId="1517787C" w14:textId="77777777" w:rsidR="00D07949" w:rsidRDefault="00BA7917">
      <w:pPr>
        <w:pStyle w:val="TOC2"/>
        <w:rPr>
          <w:rFonts w:asciiTheme="minorHAnsi" w:eastAsiaTheme="minorEastAsia" w:hAnsiTheme="minorHAnsi" w:cstheme="minorBidi"/>
          <w:sz w:val="22"/>
          <w:szCs w:val="22"/>
        </w:rPr>
      </w:pPr>
      <w:hyperlink w:anchor="_Toc3803859" w:history="1">
        <w:r w:rsidR="00D07949" w:rsidRPr="00F66886">
          <w:t>6.1.</w:t>
        </w:r>
        <w:r w:rsidR="00D07949">
          <w:rPr>
            <w:rFonts w:asciiTheme="minorHAnsi" w:eastAsiaTheme="minorEastAsia" w:hAnsiTheme="minorHAnsi" w:cstheme="minorBidi"/>
            <w:sz w:val="22"/>
            <w:szCs w:val="22"/>
          </w:rPr>
          <w:tab/>
        </w:r>
        <w:r w:rsidR="00D07949" w:rsidRPr="00F66886">
          <w:t>Joint Parties’ Petition for Modification of D.18</w:t>
        </w:r>
        <w:r w:rsidR="00D07949" w:rsidRPr="00F66886">
          <w:noBreakHyphen/>
          <w:t>02</w:t>
        </w:r>
        <w:r w:rsidR="00D07949" w:rsidRPr="00F66886">
          <w:noBreakHyphen/>
          <w:t>018</w:t>
        </w:r>
        <w:r w:rsidR="00D07949">
          <w:rPr>
            <w:webHidden/>
          </w:rPr>
          <w:tab/>
        </w:r>
        <w:r w:rsidR="00D07949">
          <w:rPr>
            <w:webHidden/>
          </w:rPr>
          <w:fldChar w:fldCharType="begin"/>
        </w:r>
        <w:r w:rsidR="00D07949">
          <w:rPr>
            <w:webHidden/>
          </w:rPr>
          <w:instrText xml:space="preserve"> PAGEREF _Toc3803859 \h </w:instrText>
        </w:r>
        <w:r w:rsidR="00D07949">
          <w:rPr>
            <w:webHidden/>
          </w:rPr>
        </w:r>
        <w:r w:rsidR="00D07949">
          <w:rPr>
            <w:webHidden/>
          </w:rPr>
          <w:fldChar w:fldCharType="separate"/>
        </w:r>
        <w:r w:rsidR="0002186B">
          <w:rPr>
            <w:webHidden/>
          </w:rPr>
          <w:t>143</w:t>
        </w:r>
        <w:r w:rsidR="00D07949">
          <w:rPr>
            <w:webHidden/>
          </w:rPr>
          <w:fldChar w:fldCharType="end"/>
        </w:r>
      </w:hyperlink>
    </w:p>
    <w:p w14:paraId="4075F282" w14:textId="77777777" w:rsidR="00D07949" w:rsidRDefault="00BA7917">
      <w:pPr>
        <w:pStyle w:val="TOC2"/>
        <w:rPr>
          <w:rFonts w:asciiTheme="minorHAnsi" w:eastAsiaTheme="minorEastAsia" w:hAnsiTheme="minorHAnsi" w:cstheme="minorBidi"/>
          <w:sz w:val="22"/>
          <w:szCs w:val="22"/>
        </w:rPr>
      </w:pPr>
      <w:hyperlink w:anchor="_Toc3803860" w:history="1">
        <w:r w:rsidR="00D07949" w:rsidRPr="00F66886">
          <w:t>6.2.</w:t>
        </w:r>
        <w:r w:rsidR="00D07949">
          <w:rPr>
            <w:rFonts w:asciiTheme="minorHAnsi" w:eastAsiaTheme="minorEastAsia" w:hAnsiTheme="minorHAnsi" w:cstheme="minorBidi"/>
            <w:sz w:val="22"/>
            <w:szCs w:val="22"/>
          </w:rPr>
          <w:tab/>
        </w:r>
        <w:r w:rsidR="00D07949" w:rsidRPr="00F66886">
          <w:t>Responses to the Joint Petition</w:t>
        </w:r>
        <w:r w:rsidR="00D07949">
          <w:rPr>
            <w:webHidden/>
          </w:rPr>
          <w:tab/>
        </w:r>
        <w:r w:rsidR="00D07949">
          <w:rPr>
            <w:webHidden/>
          </w:rPr>
          <w:fldChar w:fldCharType="begin"/>
        </w:r>
        <w:r w:rsidR="00D07949">
          <w:rPr>
            <w:webHidden/>
          </w:rPr>
          <w:instrText xml:space="preserve"> PAGEREF _Toc3803860 \h </w:instrText>
        </w:r>
        <w:r w:rsidR="00D07949">
          <w:rPr>
            <w:webHidden/>
          </w:rPr>
        </w:r>
        <w:r w:rsidR="00D07949">
          <w:rPr>
            <w:webHidden/>
          </w:rPr>
          <w:fldChar w:fldCharType="separate"/>
        </w:r>
        <w:r w:rsidR="0002186B">
          <w:rPr>
            <w:webHidden/>
          </w:rPr>
          <w:t>144</w:t>
        </w:r>
        <w:r w:rsidR="00D07949">
          <w:rPr>
            <w:webHidden/>
          </w:rPr>
          <w:fldChar w:fldCharType="end"/>
        </w:r>
      </w:hyperlink>
    </w:p>
    <w:p w14:paraId="07E532D2" w14:textId="77777777" w:rsidR="00D07949" w:rsidRDefault="00BA7917">
      <w:pPr>
        <w:pStyle w:val="TOC2"/>
        <w:rPr>
          <w:rFonts w:asciiTheme="minorHAnsi" w:eastAsiaTheme="minorEastAsia" w:hAnsiTheme="minorHAnsi" w:cstheme="minorBidi"/>
          <w:sz w:val="22"/>
          <w:szCs w:val="22"/>
        </w:rPr>
      </w:pPr>
      <w:hyperlink w:anchor="_Toc3803861" w:history="1">
        <w:r w:rsidR="00D07949" w:rsidRPr="00F66886">
          <w:t>6.3.</w:t>
        </w:r>
        <w:r w:rsidR="00D07949">
          <w:rPr>
            <w:rFonts w:asciiTheme="minorHAnsi" w:eastAsiaTheme="minorEastAsia" w:hAnsiTheme="minorHAnsi" w:cstheme="minorBidi"/>
            <w:sz w:val="22"/>
            <w:szCs w:val="22"/>
          </w:rPr>
          <w:tab/>
        </w:r>
        <w:r w:rsidR="00D07949" w:rsidRPr="00F66886">
          <w:t>Discussion</w:t>
        </w:r>
        <w:r w:rsidR="00D07949">
          <w:rPr>
            <w:webHidden/>
          </w:rPr>
          <w:tab/>
        </w:r>
        <w:r w:rsidR="00D07949">
          <w:rPr>
            <w:webHidden/>
          </w:rPr>
          <w:fldChar w:fldCharType="begin"/>
        </w:r>
        <w:r w:rsidR="00D07949">
          <w:rPr>
            <w:webHidden/>
          </w:rPr>
          <w:instrText xml:space="preserve"> PAGEREF _Toc3803861 \h </w:instrText>
        </w:r>
        <w:r w:rsidR="00D07949">
          <w:rPr>
            <w:webHidden/>
          </w:rPr>
        </w:r>
        <w:r w:rsidR="00D07949">
          <w:rPr>
            <w:webHidden/>
          </w:rPr>
          <w:fldChar w:fldCharType="separate"/>
        </w:r>
        <w:r w:rsidR="0002186B">
          <w:rPr>
            <w:webHidden/>
          </w:rPr>
          <w:t>147</w:t>
        </w:r>
        <w:r w:rsidR="00D07949">
          <w:rPr>
            <w:webHidden/>
          </w:rPr>
          <w:fldChar w:fldCharType="end"/>
        </w:r>
      </w:hyperlink>
    </w:p>
    <w:p w14:paraId="7EDB45F4" w14:textId="77777777" w:rsidR="00D07949" w:rsidRDefault="00BA7917">
      <w:pPr>
        <w:pStyle w:val="TOC1"/>
        <w:rPr>
          <w:rFonts w:asciiTheme="minorHAnsi" w:eastAsiaTheme="minorEastAsia" w:hAnsiTheme="minorHAnsi" w:cstheme="minorBidi"/>
          <w:sz w:val="22"/>
          <w:szCs w:val="22"/>
        </w:rPr>
      </w:pPr>
      <w:hyperlink w:anchor="_Toc3803862" w:history="1">
        <w:r w:rsidR="00D07949" w:rsidRPr="00F66886">
          <w:t>7.</w:t>
        </w:r>
        <w:r w:rsidR="00D07949">
          <w:rPr>
            <w:rFonts w:asciiTheme="minorHAnsi" w:eastAsiaTheme="minorEastAsia" w:hAnsiTheme="minorHAnsi" w:cstheme="minorBidi"/>
            <w:sz w:val="22"/>
            <w:szCs w:val="22"/>
          </w:rPr>
          <w:tab/>
        </w:r>
        <w:r w:rsidR="00D07949" w:rsidRPr="00F66886">
          <w:t>Lessons Learned for Use in 2019</w:t>
        </w:r>
        <w:r w:rsidR="00D07949" w:rsidRPr="00F66886">
          <w:noBreakHyphen/>
          <w:t>2020 IRP Cycle</w:t>
        </w:r>
        <w:r w:rsidR="00D07949">
          <w:rPr>
            <w:webHidden/>
          </w:rPr>
          <w:tab/>
        </w:r>
        <w:r w:rsidR="00D07949">
          <w:rPr>
            <w:webHidden/>
          </w:rPr>
          <w:fldChar w:fldCharType="begin"/>
        </w:r>
        <w:r w:rsidR="00D07949">
          <w:rPr>
            <w:webHidden/>
          </w:rPr>
          <w:instrText xml:space="preserve"> PAGEREF _Toc3803862 \h </w:instrText>
        </w:r>
        <w:r w:rsidR="00D07949">
          <w:rPr>
            <w:webHidden/>
          </w:rPr>
        </w:r>
        <w:r w:rsidR="00D07949">
          <w:rPr>
            <w:webHidden/>
          </w:rPr>
          <w:fldChar w:fldCharType="separate"/>
        </w:r>
        <w:r w:rsidR="0002186B">
          <w:rPr>
            <w:webHidden/>
          </w:rPr>
          <w:t>151</w:t>
        </w:r>
        <w:r w:rsidR="00D07949">
          <w:rPr>
            <w:webHidden/>
          </w:rPr>
          <w:fldChar w:fldCharType="end"/>
        </w:r>
      </w:hyperlink>
    </w:p>
    <w:p w14:paraId="3D178D2A" w14:textId="77777777" w:rsidR="00D07949" w:rsidRDefault="00BA7917">
      <w:pPr>
        <w:pStyle w:val="TOC2"/>
        <w:rPr>
          <w:rFonts w:asciiTheme="minorHAnsi" w:eastAsiaTheme="minorEastAsia" w:hAnsiTheme="minorHAnsi" w:cstheme="minorBidi"/>
          <w:sz w:val="22"/>
          <w:szCs w:val="22"/>
        </w:rPr>
      </w:pPr>
      <w:hyperlink w:anchor="_Toc3803863" w:history="1">
        <w:r w:rsidR="00D07949" w:rsidRPr="00F66886">
          <w:t>7.1.</w:t>
        </w:r>
        <w:r w:rsidR="00D07949">
          <w:rPr>
            <w:rFonts w:asciiTheme="minorHAnsi" w:eastAsiaTheme="minorEastAsia" w:hAnsiTheme="minorHAnsi" w:cstheme="minorBidi"/>
            <w:sz w:val="22"/>
            <w:szCs w:val="22"/>
          </w:rPr>
          <w:tab/>
        </w:r>
        <w:r w:rsidR="00D07949" w:rsidRPr="00F66886">
          <w:t>IRP Process</w:t>
        </w:r>
        <w:r w:rsidR="00D07949">
          <w:rPr>
            <w:webHidden/>
          </w:rPr>
          <w:tab/>
        </w:r>
        <w:r w:rsidR="00D07949">
          <w:rPr>
            <w:webHidden/>
          </w:rPr>
          <w:fldChar w:fldCharType="begin"/>
        </w:r>
        <w:r w:rsidR="00D07949">
          <w:rPr>
            <w:webHidden/>
          </w:rPr>
          <w:instrText xml:space="preserve"> PAGEREF _Toc3803863 \h </w:instrText>
        </w:r>
        <w:r w:rsidR="00D07949">
          <w:rPr>
            <w:webHidden/>
          </w:rPr>
        </w:r>
        <w:r w:rsidR="00D07949">
          <w:rPr>
            <w:webHidden/>
          </w:rPr>
          <w:fldChar w:fldCharType="separate"/>
        </w:r>
        <w:r w:rsidR="0002186B">
          <w:rPr>
            <w:webHidden/>
          </w:rPr>
          <w:t>151</w:t>
        </w:r>
        <w:r w:rsidR="00D07949">
          <w:rPr>
            <w:webHidden/>
          </w:rPr>
          <w:fldChar w:fldCharType="end"/>
        </w:r>
      </w:hyperlink>
    </w:p>
    <w:p w14:paraId="4B8F50E9" w14:textId="77777777" w:rsidR="00D07949" w:rsidRDefault="00BA7917">
      <w:pPr>
        <w:pStyle w:val="TOC2"/>
        <w:rPr>
          <w:rFonts w:asciiTheme="minorHAnsi" w:eastAsiaTheme="minorEastAsia" w:hAnsiTheme="minorHAnsi" w:cstheme="minorBidi"/>
          <w:sz w:val="22"/>
          <w:szCs w:val="22"/>
        </w:rPr>
      </w:pPr>
      <w:hyperlink w:anchor="_Toc3803864" w:history="1">
        <w:r w:rsidR="00D07949" w:rsidRPr="00F66886">
          <w:t>7.2.</w:t>
        </w:r>
        <w:r w:rsidR="00D07949">
          <w:rPr>
            <w:rFonts w:asciiTheme="minorHAnsi" w:eastAsiaTheme="minorEastAsia" w:hAnsiTheme="minorHAnsi" w:cstheme="minorBidi"/>
            <w:sz w:val="22"/>
            <w:szCs w:val="22"/>
          </w:rPr>
          <w:tab/>
        </w:r>
        <w:r w:rsidR="00D07949" w:rsidRPr="00F66886">
          <w:t>Planning Assumptions</w:t>
        </w:r>
        <w:r w:rsidR="00D07949">
          <w:rPr>
            <w:webHidden/>
          </w:rPr>
          <w:tab/>
        </w:r>
        <w:r w:rsidR="00D07949">
          <w:rPr>
            <w:webHidden/>
          </w:rPr>
          <w:fldChar w:fldCharType="begin"/>
        </w:r>
        <w:r w:rsidR="00D07949">
          <w:rPr>
            <w:webHidden/>
          </w:rPr>
          <w:instrText xml:space="preserve"> PAGEREF _Toc3803864 \h </w:instrText>
        </w:r>
        <w:r w:rsidR="00D07949">
          <w:rPr>
            <w:webHidden/>
          </w:rPr>
        </w:r>
        <w:r w:rsidR="00D07949">
          <w:rPr>
            <w:webHidden/>
          </w:rPr>
          <w:fldChar w:fldCharType="separate"/>
        </w:r>
        <w:r w:rsidR="0002186B">
          <w:rPr>
            <w:webHidden/>
          </w:rPr>
          <w:t>153</w:t>
        </w:r>
        <w:r w:rsidR="00D07949">
          <w:rPr>
            <w:webHidden/>
          </w:rPr>
          <w:fldChar w:fldCharType="end"/>
        </w:r>
      </w:hyperlink>
    </w:p>
    <w:p w14:paraId="541FCD84" w14:textId="77777777" w:rsidR="00D07949" w:rsidRDefault="00BA7917">
      <w:pPr>
        <w:pStyle w:val="TOC2"/>
        <w:rPr>
          <w:rFonts w:asciiTheme="minorHAnsi" w:eastAsiaTheme="minorEastAsia" w:hAnsiTheme="minorHAnsi" w:cstheme="minorBidi"/>
          <w:sz w:val="22"/>
          <w:szCs w:val="22"/>
        </w:rPr>
      </w:pPr>
      <w:hyperlink w:anchor="_Toc3803865" w:history="1">
        <w:r w:rsidR="00D07949" w:rsidRPr="00F66886">
          <w:t>7.3.</w:t>
        </w:r>
        <w:r w:rsidR="00D07949">
          <w:rPr>
            <w:rFonts w:asciiTheme="minorHAnsi" w:eastAsiaTheme="minorEastAsia" w:hAnsiTheme="minorHAnsi" w:cstheme="minorBidi"/>
            <w:sz w:val="22"/>
            <w:szCs w:val="22"/>
          </w:rPr>
          <w:tab/>
        </w:r>
        <w:r w:rsidR="00D07949" w:rsidRPr="00F66886">
          <w:t>Regulatory Agency Coordination</w:t>
        </w:r>
        <w:r w:rsidR="00D07949">
          <w:rPr>
            <w:webHidden/>
          </w:rPr>
          <w:tab/>
        </w:r>
        <w:r w:rsidR="00D07949">
          <w:rPr>
            <w:webHidden/>
          </w:rPr>
          <w:fldChar w:fldCharType="begin"/>
        </w:r>
        <w:r w:rsidR="00D07949">
          <w:rPr>
            <w:webHidden/>
          </w:rPr>
          <w:instrText xml:space="preserve"> PAGEREF _Toc3803865 \h </w:instrText>
        </w:r>
        <w:r w:rsidR="00D07949">
          <w:rPr>
            <w:webHidden/>
          </w:rPr>
        </w:r>
        <w:r w:rsidR="00D07949">
          <w:rPr>
            <w:webHidden/>
          </w:rPr>
          <w:fldChar w:fldCharType="separate"/>
        </w:r>
        <w:r w:rsidR="0002186B">
          <w:rPr>
            <w:webHidden/>
          </w:rPr>
          <w:t>154</w:t>
        </w:r>
        <w:r w:rsidR="00D07949">
          <w:rPr>
            <w:webHidden/>
          </w:rPr>
          <w:fldChar w:fldCharType="end"/>
        </w:r>
      </w:hyperlink>
    </w:p>
    <w:p w14:paraId="631C16BF" w14:textId="77777777" w:rsidR="00D07949" w:rsidRDefault="00BA7917">
      <w:pPr>
        <w:pStyle w:val="TOC2"/>
        <w:rPr>
          <w:rFonts w:asciiTheme="minorHAnsi" w:eastAsiaTheme="minorEastAsia" w:hAnsiTheme="minorHAnsi" w:cstheme="minorBidi"/>
          <w:sz w:val="22"/>
          <w:szCs w:val="22"/>
        </w:rPr>
      </w:pPr>
      <w:hyperlink w:anchor="_Toc3803866" w:history="1">
        <w:r w:rsidR="00D07949" w:rsidRPr="00F66886">
          <w:t>7.4.</w:t>
        </w:r>
        <w:r w:rsidR="00D07949">
          <w:rPr>
            <w:rFonts w:asciiTheme="minorHAnsi" w:eastAsiaTheme="minorEastAsia" w:hAnsiTheme="minorHAnsi" w:cstheme="minorBidi"/>
            <w:sz w:val="22"/>
            <w:szCs w:val="22"/>
          </w:rPr>
          <w:tab/>
        </w:r>
        <w:r w:rsidR="00D07949" w:rsidRPr="00F66886">
          <w:t>Resource Adequacy Coordination</w:t>
        </w:r>
        <w:r w:rsidR="00D07949">
          <w:rPr>
            <w:webHidden/>
          </w:rPr>
          <w:tab/>
        </w:r>
        <w:r w:rsidR="00D07949">
          <w:rPr>
            <w:webHidden/>
          </w:rPr>
          <w:fldChar w:fldCharType="begin"/>
        </w:r>
        <w:r w:rsidR="00D07949">
          <w:rPr>
            <w:webHidden/>
          </w:rPr>
          <w:instrText xml:space="preserve"> PAGEREF _Toc3803866 \h </w:instrText>
        </w:r>
        <w:r w:rsidR="00D07949">
          <w:rPr>
            <w:webHidden/>
          </w:rPr>
        </w:r>
        <w:r w:rsidR="00D07949">
          <w:rPr>
            <w:webHidden/>
          </w:rPr>
          <w:fldChar w:fldCharType="separate"/>
        </w:r>
        <w:r w:rsidR="0002186B">
          <w:rPr>
            <w:webHidden/>
          </w:rPr>
          <w:t>155</w:t>
        </w:r>
        <w:r w:rsidR="00D07949">
          <w:rPr>
            <w:webHidden/>
          </w:rPr>
          <w:fldChar w:fldCharType="end"/>
        </w:r>
      </w:hyperlink>
    </w:p>
    <w:p w14:paraId="47A17667" w14:textId="77777777" w:rsidR="00D07949" w:rsidRDefault="00BA7917">
      <w:pPr>
        <w:pStyle w:val="TOC2"/>
        <w:rPr>
          <w:rFonts w:asciiTheme="minorHAnsi" w:eastAsiaTheme="minorEastAsia" w:hAnsiTheme="minorHAnsi" w:cstheme="minorBidi"/>
          <w:sz w:val="22"/>
          <w:szCs w:val="22"/>
        </w:rPr>
      </w:pPr>
      <w:hyperlink w:anchor="_Toc3803867" w:history="1">
        <w:r w:rsidR="00D07949" w:rsidRPr="00F66886">
          <w:t>7.5.</w:t>
        </w:r>
        <w:r w:rsidR="00D07949">
          <w:rPr>
            <w:rFonts w:asciiTheme="minorHAnsi" w:eastAsiaTheme="minorEastAsia" w:hAnsiTheme="minorHAnsi" w:cstheme="minorBidi"/>
            <w:sz w:val="22"/>
            <w:szCs w:val="22"/>
          </w:rPr>
          <w:tab/>
        </w:r>
        <w:r w:rsidR="00D07949" w:rsidRPr="00F66886">
          <w:t>GHG Planning and Accounting</w:t>
        </w:r>
        <w:r w:rsidR="00D07949">
          <w:rPr>
            <w:webHidden/>
          </w:rPr>
          <w:tab/>
        </w:r>
        <w:r w:rsidR="00D07949">
          <w:rPr>
            <w:webHidden/>
          </w:rPr>
          <w:fldChar w:fldCharType="begin"/>
        </w:r>
        <w:r w:rsidR="00D07949">
          <w:rPr>
            <w:webHidden/>
          </w:rPr>
          <w:instrText xml:space="preserve"> PAGEREF _Toc3803867 \h </w:instrText>
        </w:r>
        <w:r w:rsidR="00D07949">
          <w:rPr>
            <w:webHidden/>
          </w:rPr>
        </w:r>
        <w:r w:rsidR="00D07949">
          <w:rPr>
            <w:webHidden/>
          </w:rPr>
          <w:fldChar w:fldCharType="separate"/>
        </w:r>
        <w:r w:rsidR="0002186B">
          <w:rPr>
            <w:webHidden/>
          </w:rPr>
          <w:t>156</w:t>
        </w:r>
        <w:r w:rsidR="00D07949">
          <w:rPr>
            <w:webHidden/>
          </w:rPr>
          <w:fldChar w:fldCharType="end"/>
        </w:r>
      </w:hyperlink>
    </w:p>
    <w:p w14:paraId="18481F2B" w14:textId="77777777" w:rsidR="00D07949" w:rsidRDefault="00BA7917">
      <w:pPr>
        <w:pStyle w:val="TOC2"/>
        <w:rPr>
          <w:rFonts w:asciiTheme="minorHAnsi" w:eastAsiaTheme="minorEastAsia" w:hAnsiTheme="minorHAnsi" w:cstheme="minorBidi"/>
          <w:sz w:val="22"/>
          <w:szCs w:val="22"/>
        </w:rPr>
      </w:pPr>
      <w:hyperlink w:anchor="_Toc3803868" w:history="1">
        <w:r w:rsidR="00D07949" w:rsidRPr="00F66886">
          <w:t>7.6.</w:t>
        </w:r>
        <w:r w:rsidR="00D07949">
          <w:rPr>
            <w:rFonts w:asciiTheme="minorHAnsi" w:eastAsiaTheme="minorEastAsia" w:hAnsiTheme="minorHAnsi" w:cstheme="minorBidi"/>
            <w:sz w:val="22"/>
            <w:szCs w:val="22"/>
          </w:rPr>
          <w:tab/>
        </w:r>
        <w:r w:rsidR="00D07949" w:rsidRPr="00F66886">
          <w:t>Templates for Next IRP Cycle</w:t>
        </w:r>
        <w:r w:rsidR="00D07949">
          <w:rPr>
            <w:webHidden/>
          </w:rPr>
          <w:tab/>
        </w:r>
        <w:r w:rsidR="00D07949">
          <w:rPr>
            <w:webHidden/>
          </w:rPr>
          <w:fldChar w:fldCharType="begin"/>
        </w:r>
        <w:r w:rsidR="00D07949">
          <w:rPr>
            <w:webHidden/>
          </w:rPr>
          <w:instrText xml:space="preserve"> PAGEREF _Toc3803868 \h </w:instrText>
        </w:r>
        <w:r w:rsidR="00D07949">
          <w:rPr>
            <w:webHidden/>
          </w:rPr>
        </w:r>
        <w:r w:rsidR="00D07949">
          <w:rPr>
            <w:webHidden/>
          </w:rPr>
          <w:fldChar w:fldCharType="separate"/>
        </w:r>
        <w:r w:rsidR="0002186B">
          <w:rPr>
            <w:webHidden/>
          </w:rPr>
          <w:t>158</w:t>
        </w:r>
        <w:r w:rsidR="00D07949">
          <w:rPr>
            <w:webHidden/>
          </w:rPr>
          <w:fldChar w:fldCharType="end"/>
        </w:r>
      </w:hyperlink>
    </w:p>
    <w:p w14:paraId="21E06E9E" w14:textId="77777777" w:rsidR="00D07949" w:rsidRDefault="00BA7917">
      <w:pPr>
        <w:pStyle w:val="TOC1"/>
        <w:rPr>
          <w:rFonts w:asciiTheme="minorHAnsi" w:eastAsiaTheme="minorEastAsia" w:hAnsiTheme="minorHAnsi" w:cstheme="minorBidi"/>
          <w:sz w:val="22"/>
          <w:szCs w:val="22"/>
        </w:rPr>
      </w:pPr>
      <w:hyperlink w:anchor="_Toc3803869" w:history="1">
        <w:r w:rsidR="00D07949" w:rsidRPr="00F66886">
          <w:t>8.</w:t>
        </w:r>
        <w:r w:rsidR="00D07949">
          <w:rPr>
            <w:rFonts w:asciiTheme="minorHAnsi" w:eastAsiaTheme="minorEastAsia" w:hAnsiTheme="minorHAnsi" w:cstheme="minorBidi"/>
            <w:sz w:val="22"/>
            <w:szCs w:val="22"/>
          </w:rPr>
          <w:tab/>
        </w:r>
        <w:r w:rsidR="00D07949" w:rsidRPr="00F66886">
          <w:t>Comments on Proposed Decision</w:t>
        </w:r>
        <w:r w:rsidR="00D07949">
          <w:rPr>
            <w:webHidden/>
          </w:rPr>
          <w:tab/>
        </w:r>
        <w:r w:rsidR="00D07949">
          <w:rPr>
            <w:webHidden/>
          </w:rPr>
          <w:fldChar w:fldCharType="begin"/>
        </w:r>
        <w:r w:rsidR="00D07949">
          <w:rPr>
            <w:webHidden/>
          </w:rPr>
          <w:instrText xml:space="preserve"> PAGEREF _Toc3803869 \h </w:instrText>
        </w:r>
        <w:r w:rsidR="00D07949">
          <w:rPr>
            <w:webHidden/>
          </w:rPr>
        </w:r>
        <w:r w:rsidR="00D07949">
          <w:rPr>
            <w:webHidden/>
          </w:rPr>
          <w:fldChar w:fldCharType="separate"/>
        </w:r>
        <w:r w:rsidR="0002186B">
          <w:rPr>
            <w:webHidden/>
          </w:rPr>
          <w:t>159</w:t>
        </w:r>
        <w:r w:rsidR="00D07949">
          <w:rPr>
            <w:webHidden/>
          </w:rPr>
          <w:fldChar w:fldCharType="end"/>
        </w:r>
      </w:hyperlink>
    </w:p>
    <w:p w14:paraId="3A006D81" w14:textId="77777777" w:rsidR="00D07949" w:rsidRDefault="00BA7917">
      <w:pPr>
        <w:pStyle w:val="TOC1"/>
        <w:rPr>
          <w:rFonts w:asciiTheme="minorHAnsi" w:eastAsiaTheme="minorEastAsia" w:hAnsiTheme="minorHAnsi" w:cstheme="minorBidi"/>
          <w:sz w:val="22"/>
          <w:szCs w:val="22"/>
        </w:rPr>
      </w:pPr>
      <w:hyperlink w:anchor="_Toc3803870" w:history="1">
        <w:r w:rsidR="00D07949" w:rsidRPr="00F66886">
          <w:t>9.</w:t>
        </w:r>
        <w:r w:rsidR="00D07949">
          <w:rPr>
            <w:rFonts w:asciiTheme="minorHAnsi" w:eastAsiaTheme="minorEastAsia" w:hAnsiTheme="minorHAnsi" w:cstheme="minorBidi"/>
            <w:sz w:val="22"/>
            <w:szCs w:val="22"/>
          </w:rPr>
          <w:tab/>
        </w:r>
        <w:r w:rsidR="00D07949" w:rsidRPr="00F66886">
          <w:t>Assignment of Proceeding</w:t>
        </w:r>
        <w:r w:rsidR="00D07949">
          <w:rPr>
            <w:webHidden/>
          </w:rPr>
          <w:tab/>
        </w:r>
        <w:r w:rsidR="00D07949">
          <w:rPr>
            <w:webHidden/>
          </w:rPr>
          <w:fldChar w:fldCharType="begin"/>
        </w:r>
        <w:r w:rsidR="00D07949">
          <w:rPr>
            <w:webHidden/>
          </w:rPr>
          <w:instrText xml:space="preserve"> PAGEREF _Toc3803870 \h </w:instrText>
        </w:r>
        <w:r w:rsidR="00D07949">
          <w:rPr>
            <w:webHidden/>
          </w:rPr>
        </w:r>
        <w:r w:rsidR="00D07949">
          <w:rPr>
            <w:webHidden/>
          </w:rPr>
          <w:fldChar w:fldCharType="separate"/>
        </w:r>
        <w:r w:rsidR="0002186B">
          <w:rPr>
            <w:webHidden/>
          </w:rPr>
          <w:t>166</w:t>
        </w:r>
        <w:r w:rsidR="00D07949">
          <w:rPr>
            <w:webHidden/>
          </w:rPr>
          <w:fldChar w:fldCharType="end"/>
        </w:r>
      </w:hyperlink>
    </w:p>
    <w:p w14:paraId="3D75B9FE" w14:textId="77777777" w:rsidR="00D07949" w:rsidRDefault="00BA7917">
      <w:pPr>
        <w:pStyle w:val="TOC1"/>
        <w:rPr>
          <w:rFonts w:asciiTheme="minorHAnsi" w:eastAsiaTheme="minorEastAsia" w:hAnsiTheme="minorHAnsi" w:cstheme="minorBidi"/>
          <w:sz w:val="22"/>
          <w:szCs w:val="22"/>
        </w:rPr>
      </w:pPr>
      <w:hyperlink w:anchor="_Toc3803871" w:history="1">
        <w:r w:rsidR="00D07949" w:rsidRPr="00F66886">
          <w:t>Findings of Fact</w:t>
        </w:r>
        <w:r w:rsidR="00D07949">
          <w:rPr>
            <w:webHidden/>
          </w:rPr>
          <w:tab/>
        </w:r>
        <w:r w:rsidR="00D07949">
          <w:rPr>
            <w:webHidden/>
          </w:rPr>
          <w:fldChar w:fldCharType="begin"/>
        </w:r>
        <w:r w:rsidR="00D07949">
          <w:rPr>
            <w:webHidden/>
          </w:rPr>
          <w:instrText xml:space="preserve"> PAGEREF _Toc3803871 \h </w:instrText>
        </w:r>
        <w:r w:rsidR="00D07949">
          <w:rPr>
            <w:webHidden/>
          </w:rPr>
        </w:r>
        <w:r w:rsidR="00D07949">
          <w:rPr>
            <w:webHidden/>
          </w:rPr>
          <w:fldChar w:fldCharType="separate"/>
        </w:r>
        <w:r w:rsidR="0002186B">
          <w:rPr>
            <w:webHidden/>
          </w:rPr>
          <w:t>166</w:t>
        </w:r>
        <w:r w:rsidR="00D07949">
          <w:rPr>
            <w:webHidden/>
          </w:rPr>
          <w:fldChar w:fldCharType="end"/>
        </w:r>
      </w:hyperlink>
    </w:p>
    <w:p w14:paraId="686D0DBA" w14:textId="77777777" w:rsidR="00D07949" w:rsidRDefault="00BA7917">
      <w:pPr>
        <w:pStyle w:val="TOC1"/>
        <w:rPr>
          <w:rFonts w:asciiTheme="minorHAnsi" w:eastAsiaTheme="minorEastAsia" w:hAnsiTheme="minorHAnsi" w:cstheme="minorBidi"/>
          <w:sz w:val="22"/>
          <w:szCs w:val="22"/>
        </w:rPr>
      </w:pPr>
      <w:hyperlink w:anchor="_Toc3803872" w:history="1">
        <w:r w:rsidR="00D07949" w:rsidRPr="00F66886">
          <w:t>Conclusions of Law</w:t>
        </w:r>
        <w:r w:rsidR="00D07949">
          <w:rPr>
            <w:webHidden/>
          </w:rPr>
          <w:tab/>
        </w:r>
        <w:r w:rsidR="00D07949">
          <w:rPr>
            <w:webHidden/>
          </w:rPr>
          <w:fldChar w:fldCharType="begin"/>
        </w:r>
        <w:r w:rsidR="00D07949">
          <w:rPr>
            <w:webHidden/>
          </w:rPr>
          <w:instrText xml:space="preserve"> PAGEREF _Toc3803872 \h </w:instrText>
        </w:r>
        <w:r w:rsidR="00D07949">
          <w:rPr>
            <w:webHidden/>
          </w:rPr>
        </w:r>
        <w:r w:rsidR="00D07949">
          <w:rPr>
            <w:webHidden/>
          </w:rPr>
          <w:fldChar w:fldCharType="separate"/>
        </w:r>
        <w:r w:rsidR="0002186B">
          <w:rPr>
            <w:webHidden/>
          </w:rPr>
          <w:t>172</w:t>
        </w:r>
        <w:r w:rsidR="00D07949">
          <w:rPr>
            <w:webHidden/>
          </w:rPr>
          <w:fldChar w:fldCharType="end"/>
        </w:r>
      </w:hyperlink>
    </w:p>
    <w:p w14:paraId="3AB48B36" w14:textId="77777777" w:rsidR="00D07949" w:rsidRDefault="00BA7917">
      <w:pPr>
        <w:pStyle w:val="TOC1"/>
        <w:rPr>
          <w:rFonts w:asciiTheme="minorHAnsi" w:eastAsiaTheme="minorEastAsia" w:hAnsiTheme="minorHAnsi" w:cstheme="minorBidi"/>
          <w:sz w:val="22"/>
          <w:szCs w:val="22"/>
        </w:rPr>
      </w:pPr>
      <w:hyperlink w:anchor="_Toc3803873" w:history="1">
        <w:r w:rsidR="00D07949" w:rsidRPr="00F66886">
          <w:t>ORDER</w:t>
        </w:r>
        <w:r w:rsidR="00D07949">
          <w:rPr>
            <w:webHidden/>
          </w:rPr>
          <w:tab/>
        </w:r>
        <w:r w:rsidR="00D07949">
          <w:rPr>
            <w:webHidden/>
          </w:rPr>
          <w:fldChar w:fldCharType="begin"/>
        </w:r>
        <w:r w:rsidR="00D07949">
          <w:rPr>
            <w:webHidden/>
          </w:rPr>
          <w:instrText xml:space="preserve"> PAGEREF _Toc3803873 \h </w:instrText>
        </w:r>
        <w:r w:rsidR="00D07949">
          <w:rPr>
            <w:webHidden/>
          </w:rPr>
        </w:r>
        <w:r w:rsidR="00D07949">
          <w:rPr>
            <w:webHidden/>
          </w:rPr>
          <w:fldChar w:fldCharType="separate"/>
        </w:r>
        <w:r w:rsidR="0002186B">
          <w:rPr>
            <w:webHidden/>
          </w:rPr>
          <w:t>177</w:t>
        </w:r>
        <w:r w:rsidR="00D07949">
          <w:rPr>
            <w:webHidden/>
          </w:rPr>
          <w:fldChar w:fldCharType="end"/>
        </w:r>
      </w:hyperlink>
    </w:p>
    <w:p w14:paraId="3B4D6D03" w14:textId="77777777" w:rsidR="003310E0" w:rsidRDefault="00E40CE3" w:rsidP="00AA78C6">
      <w:pPr>
        <w:pStyle w:val="main"/>
        <w:jc w:val="left"/>
        <w:rPr>
          <w:rStyle w:val="mainChar"/>
          <w:noProof/>
          <w:szCs w:val="26"/>
        </w:rPr>
      </w:pPr>
      <w:r w:rsidRPr="00D149D6">
        <w:rPr>
          <w:rStyle w:val="mainChar"/>
          <w:rFonts w:ascii="Book Antiqua" w:hAnsi="Book Antiqua"/>
          <w:noProof/>
          <w:szCs w:val="26"/>
        </w:rPr>
        <w:fldChar w:fldCharType="end"/>
      </w:r>
    </w:p>
    <w:p w14:paraId="245BD020" w14:textId="77777777" w:rsidR="00451BC4" w:rsidRDefault="00451BC4" w:rsidP="00441F49">
      <w:pPr>
        <w:pStyle w:val="main"/>
        <w:ind w:left="2160" w:hanging="2160"/>
        <w:jc w:val="left"/>
        <w:rPr>
          <w:rStyle w:val="mainChar"/>
          <w:rFonts w:ascii="Palatino" w:hAnsi="Palatino"/>
          <w:noProof/>
          <w:szCs w:val="26"/>
        </w:rPr>
      </w:pPr>
    </w:p>
    <w:p w14:paraId="714C32C4" w14:textId="77777777" w:rsidR="00451BC4" w:rsidRPr="00451BC4" w:rsidRDefault="00451BC4" w:rsidP="00441F49">
      <w:pPr>
        <w:pStyle w:val="main"/>
        <w:ind w:left="2160" w:hanging="2160"/>
        <w:jc w:val="left"/>
        <w:rPr>
          <w:rStyle w:val="mainChar"/>
          <w:rFonts w:ascii="Palatino" w:hAnsi="Palatino"/>
          <w:noProof/>
          <w:szCs w:val="26"/>
          <w:u w:val="single"/>
        </w:rPr>
        <w:sectPr w:rsidR="00451BC4" w:rsidRPr="00451BC4" w:rsidSect="00D440F0">
          <w:headerReference w:type="default" r:id="rId13"/>
          <w:headerReference w:type="first" r:id="rId14"/>
          <w:footerReference w:type="first" r:id="rId15"/>
          <w:pgSz w:w="12240" w:h="15840" w:code="1"/>
          <w:pgMar w:top="1152" w:right="1440" w:bottom="1440" w:left="1440" w:header="720" w:footer="720" w:gutter="0"/>
          <w:pgNumType w:fmt="lowerRoman" w:start="1"/>
          <w:cols w:space="720"/>
          <w:titlePg/>
        </w:sectPr>
      </w:pPr>
    </w:p>
    <w:p w14:paraId="13446C90" w14:textId="77777777" w:rsidR="00A02B14" w:rsidRPr="00D90591" w:rsidRDefault="00A02B14" w:rsidP="00D90591">
      <w:pPr>
        <w:jc w:val="center"/>
        <w:rPr>
          <w:rFonts w:ascii="Helvetica" w:hAnsi="Helvetica"/>
          <w:b/>
          <w:bCs/>
        </w:rPr>
      </w:pPr>
      <w:bookmarkStart w:id="20" w:name="_Toc474410462"/>
      <w:bookmarkStart w:id="21" w:name="_Toc474410564"/>
      <w:bookmarkStart w:id="22" w:name="_Toc474410604"/>
      <w:bookmarkStart w:id="23" w:name="_Toc474415112"/>
      <w:bookmarkStart w:id="24" w:name="_Toc474419671"/>
      <w:r w:rsidRPr="00D90591">
        <w:rPr>
          <w:rFonts w:ascii="Helvetica" w:hAnsi="Helvetica"/>
          <w:b/>
          <w:bCs/>
        </w:rPr>
        <w:lastRenderedPageBreak/>
        <w:t xml:space="preserve">DECISION </w:t>
      </w:r>
      <w:bookmarkEnd w:id="20"/>
      <w:bookmarkEnd w:id="21"/>
      <w:bookmarkEnd w:id="22"/>
      <w:bookmarkEnd w:id="23"/>
      <w:bookmarkEnd w:id="24"/>
      <w:r w:rsidR="00AE71A8" w:rsidRPr="00D90591">
        <w:rPr>
          <w:rFonts w:ascii="Helvetica" w:hAnsi="Helvetica"/>
          <w:b/>
          <w:bCs/>
        </w:rPr>
        <w:t xml:space="preserve">ADOPTING PREFERRED SYSTEM </w:t>
      </w:r>
      <w:r w:rsidR="006B0F6F" w:rsidRPr="00D90591">
        <w:rPr>
          <w:rFonts w:ascii="Helvetica" w:hAnsi="Helvetica"/>
          <w:b/>
          <w:bCs/>
        </w:rPr>
        <w:t>PORTFOLIO</w:t>
      </w:r>
      <w:r w:rsidR="00AE71A8" w:rsidRPr="00D90591">
        <w:rPr>
          <w:rFonts w:ascii="Helvetica" w:hAnsi="Helvetica"/>
          <w:b/>
          <w:bCs/>
        </w:rPr>
        <w:t xml:space="preserve"> </w:t>
      </w:r>
      <w:r w:rsidR="00FB4E8E">
        <w:rPr>
          <w:rFonts w:ascii="Helvetica" w:hAnsi="Helvetica"/>
          <w:b/>
          <w:bCs/>
        </w:rPr>
        <w:t xml:space="preserve">AND PLAN </w:t>
      </w:r>
      <w:r w:rsidR="00AE71A8" w:rsidRPr="00D90591">
        <w:rPr>
          <w:rFonts w:ascii="Helvetica" w:hAnsi="Helvetica"/>
          <w:b/>
          <w:bCs/>
        </w:rPr>
        <w:t>FOR 2017</w:t>
      </w:r>
      <w:r w:rsidR="00D84A09">
        <w:rPr>
          <w:rFonts w:ascii="Helvetica" w:hAnsi="Helvetica"/>
          <w:b/>
          <w:bCs/>
        </w:rPr>
        <w:noBreakHyphen/>
      </w:r>
      <w:r w:rsidR="00AE71A8" w:rsidRPr="00D90591">
        <w:rPr>
          <w:rFonts w:ascii="Helvetica" w:hAnsi="Helvetica"/>
          <w:b/>
          <w:bCs/>
        </w:rPr>
        <w:t>2018 INTEGRATED RESOURCE PLAN CYCLE</w:t>
      </w:r>
    </w:p>
    <w:p w14:paraId="43057E65" w14:textId="77777777" w:rsidR="00A02B14" w:rsidRDefault="00A02B14" w:rsidP="00AA78C6">
      <w:pPr>
        <w:pStyle w:val="main"/>
        <w:jc w:val="left"/>
        <w:rPr>
          <w:rStyle w:val="mainChar"/>
        </w:rPr>
      </w:pPr>
    </w:p>
    <w:p w14:paraId="44CEB75E" w14:textId="77777777" w:rsidR="009337D2" w:rsidRPr="00AA78C6" w:rsidRDefault="00AA78C6" w:rsidP="00AA78C6">
      <w:pPr>
        <w:pStyle w:val="Heading1"/>
        <w:numPr>
          <w:ilvl w:val="0"/>
          <w:numId w:val="0"/>
        </w:numPr>
        <w:ind w:left="720" w:hanging="720"/>
      </w:pPr>
      <w:bookmarkStart w:id="25" w:name="_Toc3803822"/>
      <w:bookmarkStart w:id="26" w:name="_Toc370798910"/>
      <w:r w:rsidRPr="00AA78C6">
        <w:t>Summary</w:t>
      </w:r>
      <w:bookmarkEnd w:id="25"/>
    </w:p>
    <w:p w14:paraId="495D6059" w14:textId="1E0126FB" w:rsidR="000B2A80" w:rsidRPr="00D149D6" w:rsidRDefault="006D654B" w:rsidP="00B634B2">
      <w:pPr>
        <w:pStyle w:val="standard"/>
        <w:rPr>
          <w:rFonts w:ascii="Book Antiqua" w:hAnsi="Book Antiqua"/>
        </w:rPr>
      </w:pPr>
      <w:r w:rsidRPr="00D149D6">
        <w:rPr>
          <w:rFonts w:ascii="Book Antiqua" w:hAnsi="Book Antiqua"/>
        </w:rPr>
        <w:t xml:space="preserve">This decision </w:t>
      </w:r>
      <w:r w:rsidR="00C0649C">
        <w:rPr>
          <w:rFonts w:ascii="Book Antiqua" w:hAnsi="Book Antiqua"/>
        </w:rPr>
        <w:t>evaluates</w:t>
      </w:r>
      <w:r w:rsidR="00C0649C" w:rsidRPr="00D149D6">
        <w:rPr>
          <w:rFonts w:ascii="Book Antiqua" w:hAnsi="Book Antiqua"/>
        </w:rPr>
        <w:t xml:space="preserve"> </w:t>
      </w:r>
      <w:r w:rsidR="0014206E" w:rsidRPr="00D149D6">
        <w:rPr>
          <w:rFonts w:ascii="Book Antiqua" w:hAnsi="Book Antiqua"/>
        </w:rPr>
        <w:t xml:space="preserve">the </w:t>
      </w:r>
      <w:r w:rsidR="004933D0" w:rsidRPr="00D149D6">
        <w:rPr>
          <w:rFonts w:ascii="Book Antiqua" w:hAnsi="Book Antiqua"/>
        </w:rPr>
        <w:t xml:space="preserve">first round of </w:t>
      </w:r>
      <w:r w:rsidR="0014206E" w:rsidRPr="00D149D6">
        <w:rPr>
          <w:rFonts w:ascii="Book Antiqua" w:hAnsi="Book Antiqua"/>
        </w:rPr>
        <w:t xml:space="preserve">individual integrated resource plan (IRP) filings of </w:t>
      </w:r>
      <w:r w:rsidR="004933D0" w:rsidRPr="00D149D6">
        <w:rPr>
          <w:rFonts w:ascii="Book Antiqua" w:hAnsi="Book Antiqua"/>
        </w:rPr>
        <w:t>all of the Commission</w:t>
      </w:r>
      <w:r w:rsidR="00D84A09" w:rsidRPr="00D149D6">
        <w:rPr>
          <w:rFonts w:ascii="Book Antiqua" w:hAnsi="Book Antiqua"/>
        </w:rPr>
        <w:noBreakHyphen/>
      </w:r>
      <w:r w:rsidR="004933D0" w:rsidRPr="00D149D6">
        <w:rPr>
          <w:rFonts w:ascii="Book Antiqua" w:hAnsi="Book Antiqua"/>
        </w:rPr>
        <w:t>jurisdictional load serving entities (LSEs).</w:t>
      </w:r>
      <w:r w:rsidR="00D84A09" w:rsidRPr="00D149D6">
        <w:rPr>
          <w:rFonts w:ascii="Book Antiqua" w:hAnsi="Book Antiqua"/>
        </w:rPr>
        <w:t xml:space="preserve"> </w:t>
      </w:r>
      <w:r w:rsidR="004933D0" w:rsidRPr="00D149D6">
        <w:rPr>
          <w:rFonts w:ascii="Book Antiqua" w:hAnsi="Book Antiqua"/>
        </w:rPr>
        <w:t xml:space="preserve"> </w:t>
      </w:r>
      <w:r w:rsidR="00EB3543">
        <w:rPr>
          <w:rFonts w:ascii="Book Antiqua" w:hAnsi="Book Antiqua"/>
        </w:rPr>
        <w:t>Twenty</w:t>
      </w:r>
      <w:r w:rsidR="00EB3543" w:rsidRPr="00D149D6">
        <w:rPr>
          <w:rFonts w:ascii="Book Antiqua" w:hAnsi="Book Antiqua"/>
        </w:rPr>
        <w:t xml:space="preserve"> </w:t>
      </w:r>
      <w:r w:rsidR="004933D0" w:rsidRPr="00D149D6">
        <w:rPr>
          <w:rFonts w:ascii="Book Antiqua" w:hAnsi="Book Antiqua"/>
        </w:rPr>
        <w:t>LSEs have IRPs that are approved or certified in this decision; nine are determined to be exempt from the requirement to file an IRP</w:t>
      </w:r>
      <w:r w:rsidR="00AA6EB0">
        <w:rPr>
          <w:rFonts w:ascii="Book Antiqua" w:hAnsi="Book Antiqua"/>
        </w:rPr>
        <w:t xml:space="preserve"> in 2018</w:t>
      </w:r>
      <w:r w:rsidR="004933D0" w:rsidRPr="00D149D6">
        <w:rPr>
          <w:rFonts w:ascii="Book Antiqua" w:hAnsi="Book Antiqua"/>
        </w:rPr>
        <w:t xml:space="preserve">. </w:t>
      </w:r>
      <w:r w:rsidR="00D84A09" w:rsidRPr="00D149D6">
        <w:rPr>
          <w:rFonts w:ascii="Book Antiqua" w:hAnsi="Book Antiqua"/>
        </w:rPr>
        <w:t xml:space="preserve"> </w:t>
      </w:r>
      <w:r w:rsidR="004933D0" w:rsidRPr="00D149D6">
        <w:rPr>
          <w:rFonts w:ascii="Book Antiqua" w:hAnsi="Book Antiqua"/>
        </w:rPr>
        <w:t xml:space="preserve">An additional nineteen LSEs did not provide the required information about criteria pollutants associated with the resources serving their load. </w:t>
      </w:r>
      <w:r w:rsidR="00D84A09" w:rsidRPr="00D149D6">
        <w:rPr>
          <w:rFonts w:ascii="Book Antiqua" w:hAnsi="Book Antiqua"/>
        </w:rPr>
        <w:t xml:space="preserve"> </w:t>
      </w:r>
      <w:r w:rsidR="004933D0" w:rsidRPr="00D149D6">
        <w:rPr>
          <w:rFonts w:ascii="Book Antiqua" w:hAnsi="Book Antiqua"/>
        </w:rPr>
        <w:t xml:space="preserve">Those LSEs will have the opportunity to provide the required criteria pollutant information in a Tier 2 advice letter and have their IRPs approved or certified after the subsequent filing. </w:t>
      </w:r>
      <w:r w:rsidR="00E21DA5" w:rsidRPr="00D149D6">
        <w:rPr>
          <w:rFonts w:ascii="Book Antiqua" w:hAnsi="Book Antiqua"/>
        </w:rPr>
        <w:t xml:space="preserve"> </w:t>
      </w:r>
      <w:r w:rsidR="004933D0" w:rsidRPr="00D149D6">
        <w:rPr>
          <w:rFonts w:ascii="Book Antiqua" w:hAnsi="Book Antiqua"/>
        </w:rPr>
        <w:t xml:space="preserve">One LSE did not file an IRP at all, and the Commission will </w:t>
      </w:r>
      <w:r w:rsidR="00913CD6">
        <w:rPr>
          <w:rFonts w:ascii="Book Antiqua" w:hAnsi="Book Antiqua"/>
        </w:rPr>
        <w:t>develop</w:t>
      </w:r>
      <w:r w:rsidR="004933D0" w:rsidRPr="00D149D6">
        <w:rPr>
          <w:rFonts w:ascii="Book Antiqua" w:hAnsi="Book Antiqua"/>
        </w:rPr>
        <w:t xml:space="preserve"> a citation program to penalize such non</w:t>
      </w:r>
      <w:r w:rsidR="00D84A09" w:rsidRPr="00D149D6">
        <w:rPr>
          <w:rFonts w:ascii="Book Antiqua" w:hAnsi="Book Antiqua"/>
        </w:rPr>
        <w:noBreakHyphen/>
      </w:r>
      <w:r w:rsidR="004933D0" w:rsidRPr="00D149D6">
        <w:rPr>
          <w:rFonts w:ascii="Book Antiqua" w:hAnsi="Book Antiqua"/>
        </w:rPr>
        <w:t>compliance in the future.</w:t>
      </w:r>
    </w:p>
    <w:p w14:paraId="1E460FF3" w14:textId="77777777" w:rsidR="004933D0" w:rsidRDefault="004933D0" w:rsidP="00B634B2">
      <w:pPr>
        <w:pStyle w:val="standard"/>
        <w:rPr>
          <w:rFonts w:ascii="Book Antiqua" w:hAnsi="Book Antiqua"/>
        </w:rPr>
      </w:pPr>
      <w:r w:rsidRPr="00D149D6">
        <w:rPr>
          <w:rFonts w:ascii="Book Antiqua" w:hAnsi="Book Antiqua"/>
        </w:rPr>
        <w:t>This decision also discusses the analysis conducted by Commission staff to evaluate the Hybrid Conforming Portfolio (HCP), which is an aggregation of the individual IRPs of all LSEs</w:t>
      </w:r>
      <w:r w:rsidR="007B34AF">
        <w:rPr>
          <w:rFonts w:ascii="Book Antiqua" w:hAnsi="Book Antiqua"/>
        </w:rPr>
        <w:t>, reflecting the resource preferences of those LSEs</w:t>
      </w:r>
      <w:r w:rsidRPr="00D149D6">
        <w:rPr>
          <w:rFonts w:ascii="Book Antiqua" w:hAnsi="Book Antiqua"/>
        </w:rPr>
        <w:t xml:space="preserve">. </w:t>
      </w:r>
      <w:r w:rsidR="00E21DA5" w:rsidRPr="00D149D6">
        <w:rPr>
          <w:rFonts w:ascii="Book Antiqua" w:hAnsi="Book Antiqua"/>
        </w:rPr>
        <w:t xml:space="preserve"> </w:t>
      </w:r>
      <w:r w:rsidRPr="00D149D6">
        <w:rPr>
          <w:rFonts w:ascii="Book Antiqua" w:hAnsi="Book Antiqua"/>
        </w:rPr>
        <w:t xml:space="preserve">This HCP, after appropriate adjustments by Commission staff to render it feasible, was determined to be less reliable and result in more greenhouse gas  emissions than the Commission’s prior adopted Reference System </w:t>
      </w:r>
      <w:r w:rsidR="006B0F6F" w:rsidRPr="00D149D6">
        <w:rPr>
          <w:rFonts w:ascii="Book Antiqua" w:hAnsi="Book Antiqua"/>
        </w:rPr>
        <w:t>Portfolio</w:t>
      </w:r>
      <w:r w:rsidRPr="00D149D6">
        <w:rPr>
          <w:rFonts w:ascii="Book Antiqua" w:hAnsi="Book Antiqua"/>
        </w:rPr>
        <w:t xml:space="preserve"> (RSP, from D</w:t>
      </w:r>
      <w:r w:rsidR="002270CB" w:rsidRPr="00D149D6">
        <w:rPr>
          <w:rFonts w:ascii="Book Antiqua" w:hAnsi="Book Antiqua"/>
        </w:rPr>
        <w:t xml:space="preserve">ecision </w:t>
      </w:r>
      <w:r w:rsidR="00393B14">
        <w:rPr>
          <w:rFonts w:ascii="Book Antiqua" w:hAnsi="Book Antiqua"/>
        </w:rPr>
        <w:t xml:space="preserve">(D.) </w:t>
      </w:r>
      <w:r w:rsidRPr="00D149D6">
        <w:rPr>
          <w:rFonts w:ascii="Book Antiqua" w:hAnsi="Book Antiqua"/>
        </w:rPr>
        <w:t>18</w:t>
      </w:r>
      <w:r w:rsidR="00D84A09" w:rsidRPr="00D149D6">
        <w:rPr>
          <w:rFonts w:ascii="Book Antiqua" w:hAnsi="Book Antiqua"/>
        </w:rPr>
        <w:noBreakHyphen/>
      </w:r>
      <w:r w:rsidRPr="00D149D6">
        <w:rPr>
          <w:rFonts w:ascii="Book Antiqua" w:hAnsi="Book Antiqua"/>
        </w:rPr>
        <w:t>02</w:t>
      </w:r>
      <w:r w:rsidR="00D84A09" w:rsidRPr="00D149D6">
        <w:rPr>
          <w:rFonts w:ascii="Book Antiqua" w:hAnsi="Book Antiqua"/>
        </w:rPr>
        <w:noBreakHyphen/>
      </w:r>
      <w:r w:rsidRPr="00D149D6">
        <w:rPr>
          <w:rFonts w:ascii="Book Antiqua" w:hAnsi="Book Antiqua"/>
        </w:rPr>
        <w:t>018), as adjusted to utilize the most recent assumptions from the California Energy Commission’s 2017 Integrated Energy Policy Report</w:t>
      </w:r>
      <w:r w:rsidR="0045257A" w:rsidRPr="00D149D6">
        <w:rPr>
          <w:rFonts w:ascii="Book Antiqua" w:hAnsi="Book Antiqua"/>
        </w:rPr>
        <w:t xml:space="preserve"> (IEPR)</w:t>
      </w:r>
      <w:r w:rsidRPr="00D149D6">
        <w:rPr>
          <w:rFonts w:ascii="Book Antiqua" w:hAnsi="Book Antiqua"/>
        </w:rPr>
        <w:t xml:space="preserve">. </w:t>
      </w:r>
      <w:r w:rsidR="00E21DA5" w:rsidRPr="00D149D6">
        <w:rPr>
          <w:rFonts w:ascii="Book Antiqua" w:hAnsi="Book Antiqua"/>
        </w:rPr>
        <w:t xml:space="preserve"> </w:t>
      </w:r>
      <w:r w:rsidRPr="00D149D6">
        <w:rPr>
          <w:rFonts w:ascii="Book Antiqua" w:hAnsi="Book Antiqua"/>
        </w:rPr>
        <w:t xml:space="preserve">In essence, the individual resource choices by the LSEs collectively did not result in a </w:t>
      </w:r>
      <w:r w:rsidR="001D4925">
        <w:rPr>
          <w:rFonts w:ascii="Book Antiqua" w:hAnsi="Book Antiqua"/>
        </w:rPr>
        <w:t xml:space="preserve">diverse and balanced portfolio of resources needed to ensure a </w:t>
      </w:r>
      <w:r w:rsidR="005D56CE">
        <w:rPr>
          <w:rFonts w:ascii="Book Antiqua" w:hAnsi="Book Antiqua"/>
        </w:rPr>
        <w:t xml:space="preserve">sufficiently </w:t>
      </w:r>
      <w:r w:rsidRPr="00D149D6">
        <w:rPr>
          <w:rFonts w:ascii="Book Antiqua" w:hAnsi="Book Antiqua"/>
        </w:rPr>
        <w:t xml:space="preserve">reliable or environmentally beneficial statewide electricity resource portfolio. </w:t>
      </w:r>
    </w:p>
    <w:p w14:paraId="00DE9A0C" w14:textId="24D84485" w:rsidR="00DB1D22" w:rsidRPr="00D149D6" w:rsidRDefault="00DB1D22" w:rsidP="00B634B2">
      <w:pPr>
        <w:pStyle w:val="standard"/>
        <w:rPr>
          <w:rFonts w:ascii="Book Antiqua" w:hAnsi="Book Antiqua"/>
        </w:rPr>
      </w:pPr>
      <w:r>
        <w:rPr>
          <w:rFonts w:ascii="Book Antiqua" w:hAnsi="Book Antiqua"/>
        </w:rPr>
        <w:t xml:space="preserve">One </w:t>
      </w:r>
      <w:r w:rsidR="00F90D41">
        <w:rPr>
          <w:rFonts w:ascii="Book Antiqua" w:hAnsi="Book Antiqua"/>
        </w:rPr>
        <w:t xml:space="preserve">critical </w:t>
      </w:r>
      <w:r>
        <w:rPr>
          <w:rFonts w:ascii="Book Antiqua" w:hAnsi="Book Antiqua"/>
        </w:rPr>
        <w:t>reason for not accepting the HCP is the high degree of uncertainty about the actual status of resources identified by the individual LSEs in their IRPs</w:t>
      </w:r>
      <w:r w:rsidR="00DE0D43">
        <w:rPr>
          <w:rFonts w:ascii="Book Antiqua" w:hAnsi="Book Antiqua"/>
        </w:rPr>
        <w:t xml:space="preserve"> – in many cases it was impossible to distinguish in the plans between a resource for which an LSE holds an executed contract and one that is purely aspirational</w:t>
      </w:r>
      <w:r>
        <w:rPr>
          <w:rFonts w:ascii="Book Antiqua" w:hAnsi="Book Antiqua"/>
        </w:rPr>
        <w:t>.</w:t>
      </w:r>
      <w:r w:rsidR="00A52514">
        <w:rPr>
          <w:rFonts w:ascii="Book Antiqua" w:hAnsi="Book Antiqua"/>
        </w:rPr>
        <w:t xml:space="preserve"> </w:t>
      </w:r>
      <w:r>
        <w:rPr>
          <w:rFonts w:ascii="Book Antiqua" w:hAnsi="Book Antiqua"/>
        </w:rPr>
        <w:t xml:space="preserve"> A second reason is the need to highlight the importance of a statewide IRP process that </w:t>
      </w:r>
      <w:r w:rsidR="00732AD5">
        <w:rPr>
          <w:rFonts w:ascii="Book Antiqua" w:hAnsi="Book Antiqua"/>
        </w:rPr>
        <w:t xml:space="preserve">produces an optimized </w:t>
      </w:r>
      <w:r w:rsidR="00A91364">
        <w:rPr>
          <w:rFonts w:ascii="Book Antiqua" w:hAnsi="Book Antiqua"/>
        </w:rPr>
        <w:t xml:space="preserve">electric resource </w:t>
      </w:r>
      <w:r w:rsidR="00732AD5">
        <w:rPr>
          <w:rFonts w:ascii="Book Antiqua" w:hAnsi="Book Antiqua"/>
        </w:rPr>
        <w:t>portfolio</w:t>
      </w:r>
      <w:r>
        <w:rPr>
          <w:rFonts w:ascii="Book Antiqua" w:hAnsi="Book Antiqua"/>
        </w:rPr>
        <w:t xml:space="preserve"> to enable California to achieve a decarbonized electric system that also functions reliably and at least cost to ratepayers</w:t>
      </w:r>
      <w:r w:rsidR="000A5F7A">
        <w:rPr>
          <w:rFonts w:ascii="Book Antiqua" w:hAnsi="Book Antiqua"/>
        </w:rPr>
        <w:t xml:space="preserve"> overall</w:t>
      </w:r>
      <w:r>
        <w:rPr>
          <w:rFonts w:ascii="Book Antiqua" w:hAnsi="Book Antiqua"/>
        </w:rPr>
        <w:t xml:space="preserve">, something that no individual LSE can achieve on its own. </w:t>
      </w:r>
    </w:p>
    <w:p w14:paraId="76C87DBF" w14:textId="77777777" w:rsidR="004933D0" w:rsidRPr="00D149D6" w:rsidRDefault="004933D0" w:rsidP="00B634B2">
      <w:pPr>
        <w:pStyle w:val="standard"/>
        <w:rPr>
          <w:rFonts w:ascii="Book Antiqua" w:hAnsi="Book Antiqua"/>
        </w:rPr>
      </w:pPr>
      <w:r w:rsidRPr="00D149D6">
        <w:rPr>
          <w:rFonts w:ascii="Book Antiqua" w:hAnsi="Book Antiqua"/>
        </w:rPr>
        <w:t>Thus, this decision instead adopt</w:t>
      </w:r>
      <w:r w:rsidR="00555894" w:rsidRPr="00D149D6">
        <w:rPr>
          <w:rFonts w:ascii="Book Antiqua" w:hAnsi="Book Antiqua"/>
        </w:rPr>
        <w:t>s</w:t>
      </w:r>
      <w:r w:rsidRPr="00D149D6">
        <w:rPr>
          <w:rFonts w:ascii="Book Antiqua" w:hAnsi="Book Antiqua"/>
        </w:rPr>
        <w:t xml:space="preserve"> a modified version of the RSP, utilizing 2017 IEPR </w:t>
      </w:r>
      <w:r w:rsidR="0045257A" w:rsidRPr="00D149D6">
        <w:rPr>
          <w:rFonts w:ascii="Book Antiqua" w:hAnsi="Book Antiqua"/>
        </w:rPr>
        <w:t>assumptions, and instituting an assumption of a 40</w:t>
      </w:r>
      <w:r w:rsidR="00D84A09" w:rsidRPr="00D149D6">
        <w:rPr>
          <w:rFonts w:ascii="Book Antiqua" w:hAnsi="Book Antiqua"/>
        </w:rPr>
        <w:noBreakHyphen/>
      </w:r>
      <w:r w:rsidR="0045257A" w:rsidRPr="00D149D6">
        <w:rPr>
          <w:rFonts w:ascii="Book Antiqua" w:hAnsi="Book Antiqua"/>
        </w:rPr>
        <w:t>year life for fossil</w:t>
      </w:r>
      <w:r w:rsidR="00D84A09" w:rsidRPr="00D149D6">
        <w:rPr>
          <w:rFonts w:ascii="Book Antiqua" w:hAnsi="Book Antiqua"/>
        </w:rPr>
        <w:noBreakHyphen/>
      </w:r>
      <w:r w:rsidR="0045257A" w:rsidRPr="00D149D6">
        <w:rPr>
          <w:rFonts w:ascii="Book Antiqua" w:hAnsi="Book Antiqua"/>
        </w:rPr>
        <w:t xml:space="preserve">fueled generation. </w:t>
      </w:r>
      <w:r w:rsidR="00E21DA5" w:rsidRPr="00D149D6">
        <w:rPr>
          <w:rFonts w:ascii="Book Antiqua" w:hAnsi="Book Antiqua"/>
        </w:rPr>
        <w:t xml:space="preserve"> </w:t>
      </w:r>
      <w:r w:rsidR="0045257A" w:rsidRPr="00D149D6">
        <w:rPr>
          <w:rFonts w:ascii="Book Antiqua" w:hAnsi="Book Antiqua"/>
        </w:rPr>
        <w:t xml:space="preserve">This portfolio will become the </w:t>
      </w:r>
      <w:r w:rsidRPr="00D149D6">
        <w:rPr>
          <w:rFonts w:ascii="Book Antiqua" w:hAnsi="Book Antiqua"/>
        </w:rPr>
        <w:t xml:space="preserve">Preferred System </w:t>
      </w:r>
      <w:r w:rsidR="00555894" w:rsidRPr="00D149D6">
        <w:rPr>
          <w:rFonts w:ascii="Book Antiqua" w:hAnsi="Book Antiqua"/>
        </w:rPr>
        <w:t>Portfolio</w:t>
      </w:r>
      <w:r w:rsidRPr="00D149D6">
        <w:rPr>
          <w:rFonts w:ascii="Book Antiqua" w:hAnsi="Book Antiqua"/>
        </w:rPr>
        <w:t xml:space="preserve"> (PSP). </w:t>
      </w:r>
    </w:p>
    <w:p w14:paraId="048CFBDB" w14:textId="77777777" w:rsidR="0045257A" w:rsidRPr="00D149D6" w:rsidRDefault="0045257A" w:rsidP="00B634B2">
      <w:pPr>
        <w:pStyle w:val="standard"/>
        <w:rPr>
          <w:rFonts w:ascii="Book Antiqua" w:hAnsi="Book Antiqua"/>
        </w:rPr>
      </w:pPr>
      <w:r w:rsidRPr="00D149D6">
        <w:rPr>
          <w:rFonts w:ascii="Book Antiqua" w:hAnsi="Book Antiqua"/>
        </w:rPr>
        <w:t>This decision further recommends to the California Independent System Operator (CAISO) that the PSP, as adopted, be utilized as both the reliability base case and the policy</w:t>
      </w:r>
      <w:r w:rsidR="00D84A09" w:rsidRPr="00D149D6">
        <w:rPr>
          <w:rFonts w:ascii="Book Antiqua" w:hAnsi="Book Antiqua"/>
        </w:rPr>
        <w:noBreakHyphen/>
      </w:r>
      <w:r w:rsidRPr="00D149D6">
        <w:rPr>
          <w:rFonts w:ascii="Book Antiqua" w:hAnsi="Book Antiqua"/>
        </w:rPr>
        <w:t>driven base case for study in its 2019</w:t>
      </w:r>
      <w:r w:rsidR="00D84A09" w:rsidRPr="00D149D6">
        <w:rPr>
          <w:rFonts w:ascii="Book Antiqua" w:hAnsi="Book Antiqua"/>
        </w:rPr>
        <w:noBreakHyphen/>
      </w:r>
      <w:r w:rsidRPr="00D149D6">
        <w:rPr>
          <w:rFonts w:ascii="Book Antiqua" w:hAnsi="Book Antiqua"/>
        </w:rPr>
        <w:t xml:space="preserve">20 Transmission Planning Process. </w:t>
      </w:r>
      <w:r w:rsidR="00E21DA5" w:rsidRPr="00D149D6">
        <w:rPr>
          <w:rFonts w:ascii="Book Antiqua" w:hAnsi="Book Antiqua"/>
        </w:rPr>
        <w:t xml:space="preserve"> </w:t>
      </w:r>
      <w:r w:rsidRPr="00D149D6">
        <w:rPr>
          <w:rFonts w:ascii="Book Antiqua" w:hAnsi="Book Antiqua"/>
        </w:rPr>
        <w:t>This decision also recommends that the CAISO study two policy</w:t>
      </w:r>
      <w:r w:rsidR="00D84A09" w:rsidRPr="00D149D6">
        <w:rPr>
          <w:rFonts w:ascii="Book Antiqua" w:hAnsi="Book Antiqua"/>
        </w:rPr>
        <w:noBreakHyphen/>
      </w:r>
      <w:r w:rsidRPr="00D149D6">
        <w:rPr>
          <w:rFonts w:ascii="Book Antiqua" w:hAnsi="Book Antiqua"/>
        </w:rPr>
        <w:t xml:space="preserve">driven sensitivity cases designed to test the transmission buildout needed for two distinct portfolios: </w:t>
      </w:r>
      <w:r w:rsidR="00DC47F2" w:rsidRPr="00D149D6">
        <w:rPr>
          <w:rFonts w:ascii="Book Antiqua" w:hAnsi="Book Antiqua"/>
        </w:rPr>
        <w:t xml:space="preserve"> </w:t>
      </w:r>
      <w:r w:rsidRPr="00D149D6">
        <w:rPr>
          <w:rFonts w:ascii="Book Antiqua" w:hAnsi="Book Antiqua"/>
        </w:rPr>
        <w:t>one portfolio with the majority of renewable development in</w:t>
      </w:r>
      <w:r w:rsidR="00D84A09" w:rsidRPr="00D149D6">
        <w:rPr>
          <w:rFonts w:ascii="Book Antiqua" w:hAnsi="Book Antiqua"/>
        </w:rPr>
        <w:noBreakHyphen/>
      </w:r>
      <w:r w:rsidRPr="00D149D6">
        <w:rPr>
          <w:rFonts w:ascii="Book Antiqua" w:hAnsi="Book Antiqua"/>
        </w:rPr>
        <w:t xml:space="preserve">state and the other portfolio with a much larger amount of imported renewables, primarily wind from Wyoming and New Mexico. </w:t>
      </w:r>
      <w:r w:rsidR="00E21DA5" w:rsidRPr="00D149D6">
        <w:rPr>
          <w:rFonts w:ascii="Book Antiqua" w:hAnsi="Book Antiqua"/>
        </w:rPr>
        <w:t xml:space="preserve"> </w:t>
      </w:r>
      <w:r w:rsidRPr="00D149D6">
        <w:rPr>
          <w:rFonts w:ascii="Book Antiqua" w:hAnsi="Book Antiqua"/>
        </w:rPr>
        <w:t xml:space="preserve">Through the study of these two cases, we hope to learn more about the transmission buildout and cost implications of those two distinct portfolio choices. </w:t>
      </w:r>
    </w:p>
    <w:p w14:paraId="2FA6BC21" w14:textId="2448C343" w:rsidR="0045257A" w:rsidRPr="00D149D6" w:rsidRDefault="0045257A" w:rsidP="00B634B2">
      <w:pPr>
        <w:pStyle w:val="standard"/>
        <w:rPr>
          <w:rFonts w:ascii="Book Antiqua" w:hAnsi="Book Antiqua"/>
        </w:rPr>
      </w:pPr>
      <w:r w:rsidRPr="00D149D6">
        <w:rPr>
          <w:rFonts w:ascii="Book Antiqua" w:hAnsi="Book Antiqua"/>
        </w:rPr>
        <w:t xml:space="preserve">In addition, this decision determines that </w:t>
      </w:r>
      <w:r w:rsidR="00AA6EB0">
        <w:rPr>
          <w:rFonts w:ascii="Book Antiqua" w:hAnsi="Book Antiqua"/>
        </w:rPr>
        <w:t>realization of the PSP by 2030 will require concrete procurement of specific resources by many LSEs, with a heavy focus on procurement by community choice aggregators to serve their expanding load.</w:t>
      </w:r>
      <w:r w:rsidR="00A52514">
        <w:rPr>
          <w:rFonts w:ascii="Book Antiqua" w:hAnsi="Book Antiqua"/>
        </w:rPr>
        <w:t xml:space="preserve"> </w:t>
      </w:r>
      <w:r w:rsidR="00AA6EB0">
        <w:rPr>
          <w:rFonts w:ascii="Book Antiqua" w:hAnsi="Book Antiqua"/>
        </w:rPr>
        <w:t xml:space="preserve"> </w:t>
      </w:r>
      <w:r w:rsidR="005E5AB0">
        <w:rPr>
          <w:rFonts w:ascii="Book Antiqua" w:hAnsi="Book Antiqua"/>
        </w:rPr>
        <w:t xml:space="preserve">In addition, the decision finds that </w:t>
      </w:r>
      <w:r w:rsidR="00A91364">
        <w:rPr>
          <w:rFonts w:ascii="Book Antiqua" w:hAnsi="Book Antiqua"/>
        </w:rPr>
        <w:t>additional</w:t>
      </w:r>
      <w:r w:rsidRPr="00D149D6">
        <w:rPr>
          <w:rFonts w:ascii="Book Antiqua" w:hAnsi="Book Antiqua"/>
        </w:rPr>
        <w:t xml:space="preserve"> attention </w:t>
      </w:r>
      <w:r w:rsidR="00A91364">
        <w:rPr>
          <w:rFonts w:ascii="Book Antiqua" w:hAnsi="Book Antiqua"/>
        </w:rPr>
        <w:t>is warranted for</w:t>
      </w:r>
      <w:r w:rsidRPr="00D149D6">
        <w:rPr>
          <w:rFonts w:ascii="Book Antiqua" w:hAnsi="Book Antiqua"/>
        </w:rPr>
        <w:t xml:space="preserve"> the near</w:t>
      </w:r>
      <w:r w:rsidR="00D84A09" w:rsidRPr="00D149D6">
        <w:rPr>
          <w:rFonts w:ascii="Book Antiqua" w:hAnsi="Book Antiqua"/>
        </w:rPr>
        <w:noBreakHyphen/>
      </w:r>
      <w:r w:rsidR="00A91364">
        <w:rPr>
          <w:rFonts w:ascii="Book Antiqua" w:hAnsi="Book Antiqua"/>
        </w:rPr>
        <w:t xml:space="preserve"> and medium-</w:t>
      </w:r>
      <w:r w:rsidRPr="00D149D6">
        <w:rPr>
          <w:rFonts w:ascii="Book Antiqua" w:hAnsi="Book Antiqua"/>
        </w:rPr>
        <w:t>term reliability planning aspects of the IRP process</w:t>
      </w:r>
      <w:r w:rsidR="005E5AB0">
        <w:rPr>
          <w:rFonts w:ascii="Book Antiqua" w:hAnsi="Book Antiqua"/>
        </w:rPr>
        <w:t xml:space="preserve">. </w:t>
      </w:r>
      <w:r w:rsidR="00A52514">
        <w:rPr>
          <w:rFonts w:ascii="Book Antiqua" w:hAnsi="Book Antiqua"/>
        </w:rPr>
        <w:t xml:space="preserve"> </w:t>
      </w:r>
      <w:r w:rsidR="005E5AB0">
        <w:rPr>
          <w:rFonts w:ascii="Book Antiqua" w:hAnsi="Book Antiqua"/>
        </w:rPr>
        <w:t>Both of these reasons lead us</w:t>
      </w:r>
      <w:r w:rsidRPr="00D149D6">
        <w:rPr>
          <w:rFonts w:ascii="Book Antiqua" w:hAnsi="Book Antiqua"/>
        </w:rPr>
        <w:t xml:space="preserve"> to initiate a “procurement track” of this proceeding to explore options for facilitating procurement</w:t>
      </w:r>
      <w:r w:rsidR="00295F67">
        <w:rPr>
          <w:rFonts w:ascii="Book Antiqua" w:hAnsi="Book Antiqua"/>
        </w:rPr>
        <w:t>, beyond that already planned or being undertaken by LSEs individually,</w:t>
      </w:r>
      <w:r w:rsidRPr="00D149D6">
        <w:rPr>
          <w:rFonts w:ascii="Book Antiqua" w:hAnsi="Book Antiqua"/>
        </w:rPr>
        <w:t xml:space="preserve"> of some existing and some new types of resources that are determined to be necessary for maintaining system reliability and</w:t>
      </w:r>
      <w:r w:rsidR="005E5AB0">
        <w:rPr>
          <w:rFonts w:ascii="Book Antiqua" w:hAnsi="Book Antiqua"/>
        </w:rPr>
        <w:t>/or to facilitate</w:t>
      </w:r>
      <w:r w:rsidRPr="00D149D6">
        <w:rPr>
          <w:rFonts w:ascii="Book Antiqua" w:hAnsi="Book Antiqua"/>
        </w:rPr>
        <w:t xml:space="preserve"> renewable integration. </w:t>
      </w:r>
    </w:p>
    <w:p w14:paraId="2A8C00FA" w14:textId="77777777" w:rsidR="0045257A" w:rsidRPr="00D149D6" w:rsidRDefault="0045257A" w:rsidP="00B634B2">
      <w:pPr>
        <w:pStyle w:val="standard"/>
        <w:rPr>
          <w:rFonts w:ascii="Book Antiqua" w:hAnsi="Book Antiqua"/>
        </w:rPr>
      </w:pPr>
      <w:r w:rsidRPr="00D149D6">
        <w:rPr>
          <w:rFonts w:ascii="Book Antiqua" w:hAnsi="Book Antiqua"/>
        </w:rPr>
        <w:t>Finally, this decision addresses a 2018 petition for modification of D.18</w:t>
      </w:r>
      <w:r w:rsidR="00D84A09" w:rsidRPr="00D149D6">
        <w:rPr>
          <w:rFonts w:ascii="Book Antiqua" w:hAnsi="Book Antiqua"/>
        </w:rPr>
        <w:noBreakHyphen/>
      </w:r>
      <w:r w:rsidRPr="00D149D6">
        <w:rPr>
          <w:rFonts w:ascii="Book Antiqua" w:hAnsi="Book Antiqua"/>
        </w:rPr>
        <w:t>02</w:t>
      </w:r>
      <w:r w:rsidR="00D84A09" w:rsidRPr="00D149D6">
        <w:rPr>
          <w:rFonts w:ascii="Book Antiqua" w:hAnsi="Book Antiqua"/>
        </w:rPr>
        <w:noBreakHyphen/>
      </w:r>
      <w:r w:rsidRPr="00D149D6">
        <w:rPr>
          <w:rFonts w:ascii="Book Antiqua" w:hAnsi="Book Antiqua"/>
        </w:rPr>
        <w:t>018 related to replacement energy for the Diablo Canyon Nuclear Power Plant and requires that each LSE serving load in the service area of Pacific Gas and Electric Company include in its next IRP filing a section explicitly addressing the need for replacement energy for Diablo Canyon</w:t>
      </w:r>
      <w:r w:rsidR="00105883">
        <w:rPr>
          <w:rFonts w:ascii="Book Antiqua" w:hAnsi="Book Antiqua"/>
        </w:rPr>
        <w:t xml:space="preserve"> with similar characteristics</w:t>
      </w:r>
      <w:r w:rsidRPr="00D149D6">
        <w:rPr>
          <w:rFonts w:ascii="Book Antiqua" w:hAnsi="Book Antiqua"/>
        </w:rPr>
        <w:t xml:space="preserve">. </w:t>
      </w:r>
    </w:p>
    <w:p w14:paraId="580E3921" w14:textId="77777777" w:rsidR="00601202" w:rsidRPr="00D149D6" w:rsidRDefault="00601202" w:rsidP="00B634B2">
      <w:pPr>
        <w:pStyle w:val="standard"/>
        <w:rPr>
          <w:rFonts w:ascii="Book Antiqua" w:hAnsi="Book Antiqua"/>
        </w:rPr>
      </w:pPr>
      <w:r w:rsidRPr="00D149D6">
        <w:rPr>
          <w:rFonts w:ascii="Book Antiqua" w:hAnsi="Book Antiqua"/>
        </w:rPr>
        <w:t>This proceeding remains open</w:t>
      </w:r>
      <w:r w:rsidR="006D654B" w:rsidRPr="00D149D6">
        <w:rPr>
          <w:rFonts w:ascii="Book Antiqua" w:hAnsi="Book Antiqua"/>
        </w:rPr>
        <w:t xml:space="preserve"> to </w:t>
      </w:r>
      <w:r w:rsidR="00A91364">
        <w:rPr>
          <w:rFonts w:ascii="Book Antiqua" w:hAnsi="Book Antiqua"/>
        </w:rPr>
        <w:t>continue</w:t>
      </w:r>
      <w:r w:rsidR="00A91364" w:rsidRPr="00D149D6">
        <w:rPr>
          <w:rFonts w:ascii="Book Antiqua" w:hAnsi="Book Antiqua"/>
        </w:rPr>
        <w:t xml:space="preserve"> </w:t>
      </w:r>
      <w:r w:rsidR="006D654B" w:rsidRPr="00D149D6">
        <w:rPr>
          <w:rFonts w:ascii="Book Antiqua" w:hAnsi="Book Antiqua"/>
        </w:rPr>
        <w:t>the planning process for the 2019</w:t>
      </w:r>
      <w:r w:rsidR="00D84A09" w:rsidRPr="00D149D6">
        <w:rPr>
          <w:rFonts w:ascii="Book Antiqua" w:hAnsi="Book Antiqua"/>
        </w:rPr>
        <w:noBreakHyphen/>
      </w:r>
      <w:r w:rsidR="006D654B" w:rsidRPr="00D149D6">
        <w:rPr>
          <w:rFonts w:ascii="Book Antiqua" w:hAnsi="Book Antiqua"/>
        </w:rPr>
        <w:t>2020 IRP cycle</w:t>
      </w:r>
      <w:r w:rsidRPr="00D149D6">
        <w:rPr>
          <w:rFonts w:ascii="Book Antiqua" w:hAnsi="Book Antiqua"/>
        </w:rPr>
        <w:t xml:space="preserve">. </w:t>
      </w:r>
    </w:p>
    <w:p w14:paraId="34B29DAD" w14:textId="77777777" w:rsidR="00AA78C6" w:rsidRDefault="00B46075" w:rsidP="00AA78C6">
      <w:pPr>
        <w:pStyle w:val="Heading1"/>
      </w:pPr>
      <w:bookmarkStart w:id="27" w:name="_Toc474157883"/>
      <w:bookmarkStart w:id="28" w:name="_Toc3803823"/>
      <w:r>
        <w:t xml:space="preserve">Procedural </w:t>
      </w:r>
      <w:r w:rsidR="00AA78C6" w:rsidRPr="00AA78C6">
        <w:t>Background</w:t>
      </w:r>
      <w:bookmarkEnd w:id="27"/>
      <w:bookmarkEnd w:id="28"/>
    </w:p>
    <w:p w14:paraId="4357C4E6" w14:textId="77777777" w:rsidR="000D22BC" w:rsidRPr="00D149D6" w:rsidRDefault="000D22BC" w:rsidP="000D22BC">
      <w:pPr>
        <w:pStyle w:val="standard"/>
        <w:rPr>
          <w:rFonts w:ascii="Book Antiqua" w:hAnsi="Book Antiqua"/>
        </w:rPr>
      </w:pPr>
      <w:r w:rsidRPr="00D149D6">
        <w:rPr>
          <w:rFonts w:ascii="Book Antiqua" w:hAnsi="Book Antiqua"/>
        </w:rPr>
        <w:t xml:space="preserve">The sections below detail the procedural background on the topics that will be addressed in this decision. </w:t>
      </w:r>
      <w:r w:rsidR="00E21DA5" w:rsidRPr="00D149D6">
        <w:rPr>
          <w:rFonts w:ascii="Book Antiqua" w:hAnsi="Book Antiqua"/>
        </w:rPr>
        <w:t xml:space="preserve"> </w:t>
      </w:r>
      <w:r w:rsidRPr="00D149D6">
        <w:rPr>
          <w:rFonts w:ascii="Book Antiqua" w:hAnsi="Book Antiqua"/>
        </w:rPr>
        <w:t xml:space="preserve">Other topics have received comment in a similar timeframe and relate more to the development of the next cycle of </w:t>
      </w:r>
      <w:r w:rsidR="00883D37" w:rsidRPr="00D149D6">
        <w:rPr>
          <w:rFonts w:ascii="Book Antiqua" w:hAnsi="Book Antiqua"/>
        </w:rPr>
        <w:t>integrated resource planning (IRP)</w:t>
      </w:r>
      <w:r w:rsidRPr="00D149D6">
        <w:rPr>
          <w:rFonts w:ascii="Book Antiqua" w:hAnsi="Book Antiqua"/>
        </w:rPr>
        <w:t xml:space="preserve"> in 2019</w:t>
      </w:r>
      <w:r w:rsidR="00D84A09" w:rsidRPr="00D149D6">
        <w:rPr>
          <w:rFonts w:ascii="Book Antiqua" w:hAnsi="Book Antiqua"/>
        </w:rPr>
        <w:noBreakHyphen/>
      </w:r>
      <w:r w:rsidRPr="00D149D6">
        <w:rPr>
          <w:rFonts w:ascii="Book Antiqua" w:hAnsi="Book Antiqua"/>
        </w:rPr>
        <w:t xml:space="preserve">2020, and therefore will be handled in a later decision. </w:t>
      </w:r>
      <w:r w:rsidR="00E21DA5" w:rsidRPr="00D149D6">
        <w:rPr>
          <w:rFonts w:ascii="Book Antiqua" w:hAnsi="Book Antiqua"/>
        </w:rPr>
        <w:t xml:space="preserve"> </w:t>
      </w:r>
      <w:r w:rsidR="003C7203" w:rsidRPr="00D149D6">
        <w:rPr>
          <w:rFonts w:ascii="Book Antiqua" w:hAnsi="Book Antiqua"/>
        </w:rPr>
        <w:t xml:space="preserve">This decision relates to the adoption of a Preferred System </w:t>
      </w:r>
      <w:r w:rsidR="002270CB" w:rsidRPr="00D149D6">
        <w:rPr>
          <w:rFonts w:ascii="Book Antiqua" w:hAnsi="Book Antiqua"/>
        </w:rPr>
        <w:t>Portfolio</w:t>
      </w:r>
      <w:r w:rsidR="003C7203" w:rsidRPr="00D149D6">
        <w:rPr>
          <w:rFonts w:ascii="Book Antiqua" w:hAnsi="Book Antiqua"/>
        </w:rPr>
        <w:t xml:space="preserve"> </w:t>
      </w:r>
      <w:r w:rsidR="002270CB" w:rsidRPr="00D149D6">
        <w:rPr>
          <w:rFonts w:ascii="Book Antiqua" w:hAnsi="Book Antiqua"/>
        </w:rPr>
        <w:t>(PSP)</w:t>
      </w:r>
      <w:r w:rsidR="003C7203" w:rsidRPr="00D149D6">
        <w:rPr>
          <w:rFonts w:ascii="Book Antiqua" w:hAnsi="Book Antiqua"/>
        </w:rPr>
        <w:t xml:space="preserve"> to close out the first, 2017</w:t>
      </w:r>
      <w:r w:rsidR="00D84A09" w:rsidRPr="00D149D6">
        <w:rPr>
          <w:rFonts w:ascii="Book Antiqua" w:hAnsi="Book Antiqua"/>
        </w:rPr>
        <w:noBreakHyphen/>
      </w:r>
      <w:r w:rsidR="003C7203" w:rsidRPr="00D149D6">
        <w:rPr>
          <w:rFonts w:ascii="Book Antiqua" w:hAnsi="Book Antiqua"/>
        </w:rPr>
        <w:t xml:space="preserve">2018 IRP cycle. </w:t>
      </w:r>
    </w:p>
    <w:p w14:paraId="1929773C" w14:textId="77777777" w:rsidR="00364DCE" w:rsidRPr="004C75AB" w:rsidRDefault="00364DCE" w:rsidP="004C75AB">
      <w:pPr>
        <w:pStyle w:val="Heading2"/>
      </w:pPr>
      <w:bookmarkStart w:id="29" w:name="_Toc3803824"/>
      <w:r w:rsidRPr="004C75AB">
        <w:t>Individual Integrated Resource Plan Filings</w:t>
      </w:r>
      <w:bookmarkEnd w:id="29"/>
    </w:p>
    <w:p w14:paraId="66CFFDCE" w14:textId="77777777" w:rsidR="00A465EC" w:rsidRPr="00D149D6" w:rsidRDefault="00031E75" w:rsidP="00FC33A5">
      <w:pPr>
        <w:pStyle w:val="standard"/>
        <w:rPr>
          <w:rFonts w:ascii="Book Antiqua" w:hAnsi="Book Antiqua"/>
        </w:rPr>
      </w:pPr>
      <w:r w:rsidRPr="00D149D6">
        <w:rPr>
          <w:rFonts w:ascii="Book Antiqua" w:hAnsi="Book Antiqua"/>
        </w:rPr>
        <w:t xml:space="preserve">This </w:t>
      </w:r>
      <w:r w:rsidR="00A465EC" w:rsidRPr="00D149D6">
        <w:rPr>
          <w:rFonts w:ascii="Book Antiqua" w:hAnsi="Book Antiqua"/>
        </w:rPr>
        <w:t>portion of this proceeding</w:t>
      </w:r>
      <w:r w:rsidRPr="00D149D6">
        <w:rPr>
          <w:rFonts w:ascii="Book Antiqua" w:hAnsi="Book Antiqua"/>
        </w:rPr>
        <w:t xml:space="preserve"> began with </w:t>
      </w:r>
      <w:r w:rsidR="00A465EC" w:rsidRPr="00D149D6">
        <w:rPr>
          <w:rFonts w:ascii="Book Antiqua" w:hAnsi="Book Antiqua"/>
        </w:rPr>
        <w:t xml:space="preserve">the filing of individual </w:t>
      </w:r>
      <w:r w:rsidR="007C5299" w:rsidRPr="00D149D6">
        <w:rPr>
          <w:rFonts w:ascii="Book Antiqua" w:hAnsi="Book Antiqua"/>
        </w:rPr>
        <w:t>IRPs</w:t>
      </w:r>
      <w:r w:rsidR="00A465EC" w:rsidRPr="00D149D6">
        <w:rPr>
          <w:rFonts w:ascii="Book Antiqua" w:hAnsi="Book Antiqua"/>
        </w:rPr>
        <w:t xml:space="preserve"> by </w:t>
      </w:r>
      <w:r w:rsidR="007C5299" w:rsidRPr="00D149D6">
        <w:rPr>
          <w:rFonts w:ascii="Book Antiqua" w:hAnsi="Book Antiqua"/>
        </w:rPr>
        <w:t>load serving entities (LSEs) on or about August 1, 2018, as directed by the Commission in Decision (D.) 18</w:t>
      </w:r>
      <w:r w:rsidR="00D84A09" w:rsidRPr="00D149D6">
        <w:rPr>
          <w:rFonts w:ascii="Book Antiqua" w:hAnsi="Book Antiqua"/>
        </w:rPr>
        <w:noBreakHyphen/>
      </w:r>
      <w:r w:rsidR="007C5299" w:rsidRPr="00D149D6">
        <w:rPr>
          <w:rFonts w:ascii="Book Antiqua" w:hAnsi="Book Antiqua"/>
        </w:rPr>
        <w:t>02</w:t>
      </w:r>
      <w:r w:rsidR="00D84A09" w:rsidRPr="00D149D6">
        <w:rPr>
          <w:rFonts w:ascii="Book Antiqua" w:hAnsi="Book Antiqua"/>
        </w:rPr>
        <w:noBreakHyphen/>
      </w:r>
      <w:r w:rsidR="007C5299" w:rsidRPr="00D149D6">
        <w:rPr>
          <w:rFonts w:ascii="Book Antiqua" w:hAnsi="Book Antiqua"/>
        </w:rPr>
        <w:t xml:space="preserve">018. </w:t>
      </w:r>
      <w:r w:rsidR="00E21DA5" w:rsidRPr="00D149D6">
        <w:rPr>
          <w:rFonts w:ascii="Book Antiqua" w:hAnsi="Book Antiqua"/>
        </w:rPr>
        <w:t xml:space="preserve"> </w:t>
      </w:r>
      <w:r w:rsidR="00784F9C" w:rsidRPr="00D149D6">
        <w:rPr>
          <w:rFonts w:ascii="Book Antiqua" w:hAnsi="Book Antiqua"/>
        </w:rPr>
        <w:t xml:space="preserve">The entities </w:t>
      </w:r>
      <w:r w:rsidR="00C81628" w:rsidRPr="00D149D6">
        <w:rPr>
          <w:rFonts w:ascii="Book Antiqua" w:hAnsi="Book Antiqua"/>
        </w:rPr>
        <w:t>filing individual IRPs</w:t>
      </w:r>
      <w:r w:rsidR="00B40732" w:rsidRPr="00D149D6">
        <w:rPr>
          <w:rFonts w:ascii="Book Antiqua" w:hAnsi="Book Antiqua"/>
        </w:rPr>
        <w:t xml:space="preserve">, or notices of exempt status, </w:t>
      </w:r>
      <w:r w:rsidR="00C81628" w:rsidRPr="00D149D6">
        <w:rPr>
          <w:rFonts w:ascii="Book Antiqua" w:hAnsi="Book Antiqua"/>
        </w:rPr>
        <w:t>were as follows:</w:t>
      </w:r>
    </w:p>
    <w:p w14:paraId="5448ACD7" w14:textId="77777777" w:rsidR="00C81628" w:rsidRPr="00D149D6" w:rsidRDefault="003161B5" w:rsidP="00FC33A5">
      <w:pPr>
        <w:pStyle w:val="standard"/>
        <w:rPr>
          <w:rFonts w:ascii="Book Antiqua" w:hAnsi="Book Antiqua"/>
          <w:u w:val="single"/>
        </w:rPr>
      </w:pPr>
      <w:r w:rsidRPr="00D149D6">
        <w:rPr>
          <w:rFonts w:ascii="Book Antiqua" w:hAnsi="Book Antiqua"/>
          <w:u w:val="single"/>
        </w:rPr>
        <w:t>Investor</w:t>
      </w:r>
      <w:r w:rsidR="00D84A09" w:rsidRPr="00D149D6">
        <w:rPr>
          <w:rFonts w:ascii="Book Antiqua" w:hAnsi="Book Antiqua"/>
          <w:u w:val="single"/>
        </w:rPr>
        <w:noBreakHyphen/>
      </w:r>
      <w:r w:rsidRPr="00D149D6">
        <w:rPr>
          <w:rFonts w:ascii="Book Antiqua" w:hAnsi="Book Antiqua"/>
          <w:u w:val="single"/>
        </w:rPr>
        <w:t>Owned Utilities (IOUs)</w:t>
      </w:r>
    </w:p>
    <w:p w14:paraId="031B8841" w14:textId="77777777" w:rsidR="003161B5" w:rsidRPr="00D149D6" w:rsidRDefault="003161B5" w:rsidP="004C75AB">
      <w:pPr>
        <w:pStyle w:val="standard"/>
        <w:numPr>
          <w:ilvl w:val="0"/>
          <w:numId w:val="8"/>
        </w:numPr>
        <w:spacing w:after="160" w:line="240" w:lineRule="auto"/>
        <w:ind w:right="720"/>
        <w:rPr>
          <w:rFonts w:ascii="Book Antiqua" w:hAnsi="Book Antiqua"/>
        </w:rPr>
      </w:pPr>
      <w:r w:rsidRPr="00D149D6">
        <w:rPr>
          <w:rFonts w:ascii="Book Antiqua" w:hAnsi="Book Antiqua"/>
        </w:rPr>
        <w:t>Bear Valley Electric Service (Bear Valley)</w:t>
      </w:r>
    </w:p>
    <w:p w14:paraId="5246D86A" w14:textId="77777777" w:rsidR="003161B5" w:rsidRPr="00D149D6" w:rsidRDefault="003161B5" w:rsidP="004C75AB">
      <w:pPr>
        <w:pStyle w:val="standard"/>
        <w:numPr>
          <w:ilvl w:val="0"/>
          <w:numId w:val="8"/>
        </w:numPr>
        <w:spacing w:after="160" w:line="240" w:lineRule="auto"/>
        <w:ind w:right="720"/>
        <w:rPr>
          <w:rFonts w:ascii="Book Antiqua" w:hAnsi="Book Antiqua"/>
        </w:rPr>
      </w:pPr>
      <w:r w:rsidRPr="00D149D6">
        <w:rPr>
          <w:rFonts w:ascii="Book Antiqua" w:hAnsi="Book Antiqua"/>
        </w:rPr>
        <w:t>Liberty Utilities (CalPeco Electric) (Liberty Utilities)</w:t>
      </w:r>
    </w:p>
    <w:p w14:paraId="02E93A33" w14:textId="77777777" w:rsidR="003161B5" w:rsidRPr="00D149D6" w:rsidRDefault="003161B5" w:rsidP="004C75AB">
      <w:pPr>
        <w:pStyle w:val="standard"/>
        <w:numPr>
          <w:ilvl w:val="0"/>
          <w:numId w:val="8"/>
        </w:numPr>
        <w:spacing w:after="160" w:line="240" w:lineRule="auto"/>
        <w:ind w:right="720"/>
        <w:rPr>
          <w:rFonts w:ascii="Book Antiqua" w:hAnsi="Book Antiqua"/>
        </w:rPr>
      </w:pPr>
      <w:r w:rsidRPr="00D149D6">
        <w:rPr>
          <w:rFonts w:ascii="Book Antiqua" w:hAnsi="Book Antiqua"/>
        </w:rPr>
        <w:t>Pacific Gas and Electric Company (PG&amp;E)</w:t>
      </w:r>
    </w:p>
    <w:p w14:paraId="486A58EB" w14:textId="77777777" w:rsidR="007A4619" w:rsidRPr="00D149D6" w:rsidRDefault="007A4619" w:rsidP="004C75AB">
      <w:pPr>
        <w:pStyle w:val="standard"/>
        <w:numPr>
          <w:ilvl w:val="0"/>
          <w:numId w:val="8"/>
        </w:numPr>
        <w:spacing w:after="160" w:line="240" w:lineRule="auto"/>
        <w:ind w:right="720"/>
        <w:rPr>
          <w:rFonts w:ascii="Book Antiqua" w:hAnsi="Book Antiqua"/>
        </w:rPr>
      </w:pPr>
      <w:r w:rsidRPr="00D149D6">
        <w:rPr>
          <w:rFonts w:ascii="Book Antiqua" w:hAnsi="Book Antiqua"/>
        </w:rPr>
        <w:t>PacifiCorp</w:t>
      </w:r>
    </w:p>
    <w:p w14:paraId="32E21786" w14:textId="77777777" w:rsidR="007A4619" w:rsidRPr="00D149D6" w:rsidRDefault="007A4619" w:rsidP="004C75AB">
      <w:pPr>
        <w:pStyle w:val="standard"/>
        <w:numPr>
          <w:ilvl w:val="0"/>
          <w:numId w:val="8"/>
        </w:numPr>
        <w:spacing w:after="160" w:line="240" w:lineRule="auto"/>
        <w:ind w:right="720"/>
        <w:rPr>
          <w:rFonts w:ascii="Book Antiqua" w:hAnsi="Book Antiqua"/>
        </w:rPr>
      </w:pPr>
      <w:r w:rsidRPr="00D149D6">
        <w:rPr>
          <w:rFonts w:ascii="Book Antiqua" w:hAnsi="Book Antiqua"/>
        </w:rPr>
        <w:t>San Diego Gas &amp; Electric Company (SDG&amp;E)</w:t>
      </w:r>
    </w:p>
    <w:p w14:paraId="26AD4C98" w14:textId="77777777" w:rsidR="003161B5" w:rsidRPr="00D149D6" w:rsidRDefault="003161B5" w:rsidP="004C75AB">
      <w:pPr>
        <w:pStyle w:val="standard"/>
        <w:numPr>
          <w:ilvl w:val="0"/>
          <w:numId w:val="8"/>
        </w:numPr>
        <w:spacing w:after="160" w:line="240" w:lineRule="auto"/>
        <w:ind w:right="720"/>
        <w:rPr>
          <w:rFonts w:ascii="Book Antiqua" w:hAnsi="Book Antiqua"/>
        </w:rPr>
      </w:pPr>
      <w:r w:rsidRPr="00D149D6">
        <w:rPr>
          <w:rFonts w:ascii="Book Antiqua" w:hAnsi="Book Antiqua"/>
        </w:rPr>
        <w:t>Southern California Edison Company (SCE)</w:t>
      </w:r>
      <w:r w:rsidR="009D7EBE" w:rsidRPr="00D149D6">
        <w:rPr>
          <w:rFonts w:ascii="Book Antiqua" w:hAnsi="Book Antiqua"/>
        </w:rPr>
        <w:t>, with an update submitted October 22, 2018</w:t>
      </w:r>
    </w:p>
    <w:p w14:paraId="61601FAF" w14:textId="77777777" w:rsidR="007C5299" w:rsidRPr="00D149D6" w:rsidRDefault="003161B5" w:rsidP="00FC33A5">
      <w:pPr>
        <w:pStyle w:val="standard"/>
        <w:rPr>
          <w:rFonts w:ascii="Book Antiqua" w:hAnsi="Book Antiqua"/>
          <w:u w:val="single"/>
        </w:rPr>
      </w:pPr>
      <w:r w:rsidRPr="00D149D6">
        <w:rPr>
          <w:rFonts w:ascii="Book Antiqua" w:hAnsi="Book Antiqua"/>
          <w:u w:val="single"/>
        </w:rPr>
        <w:t>Electric Service Providers (ESPs)</w:t>
      </w:r>
    </w:p>
    <w:p w14:paraId="3FAC6CD1" w14:textId="77777777" w:rsidR="003161B5" w:rsidRPr="00D149D6" w:rsidRDefault="003161B5" w:rsidP="00894BE0">
      <w:pPr>
        <w:pStyle w:val="standard"/>
        <w:numPr>
          <w:ilvl w:val="0"/>
          <w:numId w:val="9"/>
        </w:numPr>
        <w:rPr>
          <w:rFonts w:ascii="Book Antiqua" w:hAnsi="Book Antiqua"/>
        </w:rPr>
      </w:pPr>
      <w:r w:rsidRPr="00D149D6">
        <w:rPr>
          <w:rFonts w:ascii="Book Antiqua" w:hAnsi="Book Antiqua"/>
        </w:rPr>
        <w:t>3 Phases Renewables (3 Phases)</w:t>
      </w:r>
    </w:p>
    <w:p w14:paraId="54D76B83" w14:textId="77777777" w:rsidR="003161B5" w:rsidRPr="00D149D6" w:rsidRDefault="003161B5" w:rsidP="00894BE0">
      <w:pPr>
        <w:pStyle w:val="standard"/>
        <w:numPr>
          <w:ilvl w:val="0"/>
          <w:numId w:val="9"/>
        </w:numPr>
        <w:rPr>
          <w:rFonts w:ascii="Book Antiqua" w:hAnsi="Book Antiqua"/>
        </w:rPr>
      </w:pPr>
      <w:r w:rsidRPr="00D149D6">
        <w:rPr>
          <w:rFonts w:ascii="Book Antiqua" w:hAnsi="Book Antiqua"/>
        </w:rPr>
        <w:t>Agera Energy (</w:t>
      </w:r>
      <w:r w:rsidR="00BE710C" w:rsidRPr="00D149D6">
        <w:rPr>
          <w:rFonts w:ascii="Book Antiqua" w:hAnsi="Book Antiqua"/>
        </w:rPr>
        <w:t>Agera</w:t>
      </w:r>
      <w:r w:rsidRPr="00D149D6">
        <w:rPr>
          <w:rFonts w:ascii="Book Antiqua" w:hAnsi="Book Antiqua"/>
        </w:rPr>
        <w:t>)</w:t>
      </w:r>
    </w:p>
    <w:p w14:paraId="67445568" w14:textId="77777777" w:rsidR="00846004" w:rsidRPr="00D149D6" w:rsidRDefault="00846004" w:rsidP="000E00E5">
      <w:pPr>
        <w:pStyle w:val="standard"/>
        <w:numPr>
          <w:ilvl w:val="0"/>
          <w:numId w:val="8"/>
        </w:numPr>
        <w:spacing w:after="160" w:line="240" w:lineRule="auto"/>
        <w:ind w:right="720"/>
        <w:rPr>
          <w:rFonts w:ascii="Book Antiqua" w:hAnsi="Book Antiqua"/>
        </w:rPr>
      </w:pPr>
      <w:r w:rsidRPr="00D149D6">
        <w:rPr>
          <w:rFonts w:ascii="Book Antiqua" w:hAnsi="Book Antiqua"/>
        </w:rPr>
        <w:t>American Power</w:t>
      </w:r>
      <w:r w:rsidR="008C39C2" w:rsidRPr="00D149D6">
        <w:rPr>
          <w:rFonts w:ascii="Book Antiqua" w:hAnsi="Book Antiqua"/>
        </w:rPr>
        <w:t>N</w:t>
      </w:r>
      <w:r w:rsidRPr="00D149D6">
        <w:rPr>
          <w:rFonts w:ascii="Book Antiqua" w:hAnsi="Book Antiqua"/>
        </w:rPr>
        <w:t xml:space="preserve">et </w:t>
      </w:r>
      <w:r w:rsidR="008C39C2" w:rsidRPr="00D149D6">
        <w:rPr>
          <w:rFonts w:ascii="Book Antiqua" w:hAnsi="Book Antiqua"/>
        </w:rPr>
        <w:t>Management, LP</w:t>
      </w:r>
      <w:r w:rsidR="00D90D11">
        <w:rPr>
          <w:rFonts w:ascii="Book Antiqua" w:hAnsi="Book Antiqua"/>
        </w:rPr>
        <w:t>, refiled on March 15, 2019 but originally provided on August 1, 2018</w:t>
      </w:r>
    </w:p>
    <w:p w14:paraId="438D684C" w14:textId="77777777" w:rsidR="003161B5" w:rsidRPr="00D149D6" w:rsidRDefault="003161B5" w:rsidP="00894BE0">
      <w:pPr>
        <w:pStyle w:val="standard"/>
        <w:numPr>
          <w:ilvl w:val="0"/>
          <w:numId w:val="9"/>
        </w:numPr>
        <w:rPr>
          <w:rFonts w:ascii="Book Antiqua" w:hAnsi="Book Antiqua"/>
        </w:rPr>
      </w:pPr>
      <w:r w:rsidRPr="00D149D6">
        <w:rPr>
          <w:rFonts w:ascii="Book Antiqua" w:hAnsi="Book Antiqua"/>
        </w:rPr>
        <w:t>Calpine Energy Solutions, LLC (Calpine Solutions)</w:t>
      </w:r>
    </w:p>
    <w:p w14:paraId="22E70C92" w14:textId="77777777" w:rsidR="007A4619" w:rsidRPr="00D149D6" w:rsidRDefault="007A4619" w:rsidP="00894BE0">
      <w:pPr>
        <w:pStyle w:val="standard"/>
        <w:numPr>
          <w:ilvl w:val="0"/>
          <w:numId w:val="9"/>
        </w:numPr>
        <w:rPr>
          <w:rFonts w:ascii="Book Antiqua" w:hAnsi="Book Antiqua"/>
        </w:rPr>
      </w:pPr>
      <w:r w:rsidRPr="00D149D6">
        <w:rPr>
          <w:rFonts w:ascii="Book Antiqua" w:hAnsi="Book Antiqua"/>
        </w:rPr>
        <w:t>Calpine PowerAmerica CA, LLC (Calpine PowerAmerica)</w:t>
      </w:r>
    </w:p>
    <w:p w14:paraId="14D9F22B" w14:textId="77777777" w:rsidR="003161B5" w:rsidRPr="00D149D6" w:rsidRDefault="003161B5" w:rsidP="00894BE0">
      <w:pPr>
        <w:pStyle w:val="standard"/>
        <w:numPr>
          <w:ilvl w:val="0"/>
          <w:numId w:val="9"/>
        </w:numPr>
        <w:rPr>
          <w:rFonts w:ascii="Book Antiqua" w:hAnsi="Book Antiqua"/>
        </w:rPr>
      </w:pPr>
      <w:r w:rsidRPr="00D149D6">
        <w:rPr>
          <w:rFonts w:ascii="Book Antiqua" w:hAnsi="Book Antiqua"/>
        </w:rPr>
        <w:t>Constellation NewEnergy, Inc. (Constellation)</w:t>
      </w:r>
    </w:p>
    <w:p w14:paraId="082C06C9" w14:textId="77777777" w:rsidR="003161B5" w:rsidRPr="00D149D6" w:rsidRDefault="003161B5" w:rsidP="00894BE0">
      <w:pPr>
        <w:pStyle w:val="standard"/>
        <w:numPr>
          <w:ilvl w:val="0"/>
          <w:numId w:val="9"/>
        </w:numPr>
        <w:rPr>
          <w:rFonts w:ascii="Book Antiqua" w:hAnsi="Book Antiqua"/>
        </w:rPr>
      </w:pPr>
      <w:r w:rsidRPr="00D149D6">
        <w:rPr>
          <w:rFonts w:ascii="Book Antiqua" w:hAnsi="Book Antiqua"/>
        </w:rPr>
        <w:t>Direct Energy Business, LLC (Direct Energy)</w:t>
      </w:r>
    </w:p>
    <w:p w14:paraId="1C0CF21D" w14:textId="77777777" w:rsidR="007A4619" w:rsidRPr="00D149D6" w:rsidRDefault="007A4619" w:rsidP="00894BE0">
      <w:pPr>
        <w:pStyle w:val="standard"/>
        <w:numPr>
          <w:ilvl w:val="0"/>
          <w:numId w:val="9"/>
        </w:numPr>
        <w:rPr>
          <w:rFonts w:ascii="Book Antiqua" w:hAnsi="Book Antiqua"/>
        </w:rPr>
      </w:pPr>
      <w:r w:rsidRPr="00D149D6">
        <w:rPr>
          <w:rFonts w:ascii="Book Antiqua" w:hAnsi="Book Antiqua"/>
        </w:rPr>
        <w:t>EDF Industrial Power Services (EDF Industrial)</w:t>
      </w:r>
    </w:p>
    <w:p w14:paraId="37B0F2A4" w14:textId="77777777" w:rsidR="007A4619" w:rsidRPr="00D149D6" w:rsidRDefault="007A4619" w:rsidP="00894BE0">
      <w:pPr>
        <w:pStyle w:val="standard"/>
        <w:numPr>
          <w:ilvl w:val="0"/>
          <w:numId w:val="9"/>
        </w:numPr>
        <w:rPr>
          <w:rFonts w:ascii="Book Antiqua" w:hAnsi="Book Antiqua"/>
        </w:rPr>
      </w:pPr>
      <w:r w:rsidRPr="00D149D6">
        <w:rPr>
          <w:rFonts w:ascii="Book Antiqua" w:hAnsi="Book Antiqua"/>
        </w:rPr>
        <w:t>EnergyCal USA, LLC (</w:t>
      </w:r>
      <w:r w:rsidR="007F6344" w:rsidRPr="00D149D6">
        <w:rPr>
          <w:rFonts w:ascii="Book Antiqua" w:hAnsi="Book Antiqua"/>
        </w:rPr>
        <w:t>dba YEP Energy)</w:t>
      </w:r>
    </w:p>
    <w:p w14:paraId="1A594895" w14:textId="77777777" w:rsidR="000364CD" w:rsidRPr="00D149D6" w:rsidRDefault="000364CD" w:rsidP="00894BE0">
      <w:pPr>
        <w:pStyle w:val="standard"/>
        <w:numPr>
          <w:ilvl w:val="0"/>
          <w:numId w:val="9"/>
        </w:numPr>
        <w:rPr>
          <w:rFonts w:ascii="Book Antiqua" w:hAnsi="Book Antiqua"/>
        </w:rPr>
      </w:pPr>
      <w:r w:rsidRPr="00D149D6">
        <w:rPr>
          <w:rFonts w:ascii="Book Antiqua" w:hAnsi="Book Antiqua"/>
        </w:rPr>
        <w:t>Gexa Energy California, LLC (Gexa)</w:t>
      </w:r>
    </w:p>
    <w:p w14:paraId="6E424F26" w14:textId="77777777" w:rsidR="00846004" w:rsidRPr="00D149D6" w:rsidRDefault="00846004" w:rsidP="00894BE0">
      <w:pPr>
        <w:pStyle w:val="standard"/>
        <w:numPr>
          <w:ilvl w:val="0"/>
          <w:numId w:val="9"/>
        </w:numPr>
        <w:rPr>
          <w:rFonts w:ascii="Book Antiqua" w:hAnsi="Book Antiqua"/>
        </w:rPr>
      </w:pPr>
      <w:r w:rsidRPr="00D149D6">
        <w:rPr>
          <w:rFonts w:ascii="Book Antiqua" w:hAnsi="Book Antiqua"/>
        </w:rPr>
        <w:t>Just Energy Solutions, Inc. (Just Energy)</w:t>
      </w:r>
    </w:p>
    <w:p w14:paraId="00E3488A" w14:textId="77777777" w:rsidR="000364CD" w:rsidRPr="00D149D6" w:rsidRDefault="000364CD" w:rsidP="00894BE0">
      <w:pPr>
        <w:pStyle w:val="standard"/>
        <w:numPr>
          <w:ilvl w:val="0"/>
          <w:numId w:val="9"/>
        </w:numPr>
        <w:rPr>
          <w:rFonts w:ascii="Book Antiqua" w:hAnsi="Book Antiqua"/>
        </w:rPr>
      </w:pPr>
      <w:r w:rsidRPr="00D149D6">
        <w:rPr>
          <w:rFonts w:ascii="Book Antiqua" w:hAnsi="Book Antiqua"/>
        </w:rPr>
        <w:t>Liberty Powe</w:t>
      </w:r>
      <w:r w:rsidR="006613B4">
        <w:rPr>
          <w:rFonts w:ascii="Book Antiqua" w:hAnsi="Book Antiqua"/>
        </w:rPr>
        <w:t>r Delaware, LLC (Liberty Power)</w:t>
      </w:r>
    </w:p>
    <w:p w14:paraId="2A62809E" w14:textId="77777777" w:rsidR="001D4925" w:rsidRDefault="001D4925" w:rsidP="00894BE0">
      <w:pPr>
        <w:pStyle w:val="standard"/>
        <w:numPr>
          <w:ilvl w:val="0"/>
          <w:numId w:val="9"/>
        </w:numPr>
        <w:rPr>
          <w:rFonts w:ascii="Book Antiqua" w:hAnsi="Book Antiqua"/>
        </w:rPr>
      </w:pPr>
      <w:r>
        <w:rPr>
          <w:rFonts w:ascii="Book Antiqua" w:hAnsi="Book Antiqua"/>
        </w:rPr>
        <w:t>Liberty Power Holdings (Liberty Holdings)</w:t>
      </w:r>
    </w:p>
    <w:p w14:paraId="1FED06DE" w14:textId="77777777" w:rsidR="007A4619" w:rsidRDefault="007A4619" w:rsidP="00894BE0">
      <w:pPr>
        <w:pStyle w:val="standard"/>
        <w:numPr>
          <w:ilvl w:val="0"/>
          <w:numId w:val="9"/>
        </w:numPr>
        <w:rPr>
          <w:rFonts w:ascii="Book Antiqua" w:hAnsi="Book Antiqua"/>
        </w:rPr>
      </w:pPr>
      <w:r w:rsidRPr="00D149D6">
        <w:rPr>
          <w:rFonts w:ascii="Book Antiqua" w:hAnsi="Book Antiqua"/>
        </w:rPr>
        <w:t>Pilot Power Group, Inc. (Pilot Power)</w:t>
      </w:r>
    </w:p>
    <w:p w14:paraId="632D2CFA" w14:textId="77777777" w:rsidR="001D4925" w:rsidRPr="00D149D6" w:rsidRDefault="001D4925" w:rsidP="00894BE0">
      <w:pPr>
        <w:pStyle w:val="standard"/>
        <w:numPr>
          <w:ilvl w:val="0"/>
          <w:numId w:val="9"/>
        </w:numPr>
        <w:rPr>
          <w:rFonts w:ascii="Book Antiqua" w:hAnsi="Book Antiqua"/>
        </w:rPr>
      </w:pPr>
      <w:r>
        <w:rPr>
          <w:rFonts w:ascii="Book Antiqua" w:hAnsi="Book Antiqua"/>
        </w:rPr>
        <w:t>Praxair Plainfield (Praxair)</w:t>
      </w:r>
    </w:p>
    <w:p w14:paraId="57236F76" w14:textId="77777777" w:rsidR="003161B5" w:rsidRPr="00D149D6" w:rsidRDefault="003161B5" w:rsidP="00894BE0">
      <w:pPr>
        <w:pStyle w:val="standard"/>
        <w:numPr>
          <w:ilvl w:val="0"/>
          <w:numId w:val="9"/>
        </w:numPr>
        <w:rPr>
          <w:rFonts w:ascii="Book Antiqua" w:hAnsi="Book Antiqua"/>
        </w:rPr>
      </w:pPr>
      <w:r w:rsidRPr="00D149D6">
        <w:rPr>
          <w:rFonts w:ascii="Book Antiqua" w:hAnsi="Book Antiqua"/>
        </w:rPr>
        <w:t>Regents of the University of California (UC Regents)</w:t>
      </w:r>
    </w:p>
    <w:p w14:paraId="0577F4F6" w14:textId="77777777" w:rsidR="003161B5" w:rsidRPr="00D149D6" w:rsidRDefault="003161B5" w:rsidP="00894BE0">
      <w:pPr>
        <w:pStyle w:val="standard"/>
        <w:numPr>
          <w:ilvl w:val="0"/>
          <w:numId w:val="9"/>
        </w:numPr>
        <w:rPr>
          <w:rFonts w:ascii="Book Antiqua" w:hAnsi="Book Antiqua"/>
        </w:rPr>
      </w:pPr>
      <w:r w:rsidRPr="00D149D6">
        <w:rPr>
          <w:rFonts w:ascii="Book Antiqua" w:hAnsi="Book Antiqua"/>
        </w:rPr>
        <w:t>Shell Energy North America (Shell)</w:t>
      </w:r>
    </w:p>
    <w:p w14:paraId="65FD34D7" w14:textId="77777777" w:rsidR="003161B5" w:rsidRPr="00D149D6" w:rsidRDefault="003161B5" w:rsidP="00894BE0">
      <w:pPr>
        <w:pStyle w:val="standard"/>
        <w:numPr>
          <w:ilvl w:val="0"/>
          <w:numId w:val="9"/>
        </w:numPr>
        <w:rPr>
          <w:rFonts w:ascii="Book Antiqua" w:hAnsi="Book Antiqua"/>
        </w:rPr>
      </w:pPr>
      <w:r w:rsidRPr="00D149D6">
        <w:rPr>
          <w:rFonts w:ascii="Book Antiqua" w:hAnsi="Book Antiqua"/>
        </w:rPr>
        <w:t>Tiger Natural Gas, Inc. (Tiger)</w:t>
      </w:r>
    </w:p>
    <w:p w14:paraId="3DE11424" w14:textId="77777777" w:rsidR="00A465EC" w:rsidRPr="00D149D6" w:rsidRDefault="003161B5" w:rsidP="00FC33A5">
      <w:pPr>
        <w:pStyle w:val="standard"/>
        <w:rPr>
          <w:rFonts w:ascii="Book Antiqua" w:hAnsi="Book Antiqua"/>
          <w:u w:val="single"/>
        </w:rPr>
      </w:pPr>
      <w:r w:rsidRPr="00D149D6">
        <w:rPr>
          <w:rFonts w:ascii="Book Antiqua" w:hAnsi="Book Antiqua"/>
          <w:u w:val="single"/>
        </w:rPr>
        <w:t>Community Choice Aggregators (CCAs)</w:t>
      </w:r>
    </w:p>
    <w:p w14:paraId="7ECE8277" w14:textId="77777777" w:rsidR="007A4619" w:rsidRPr="00D149D6" w:rsidRDefault="007A4619" w:rsidP="004C75AB">
      <w:pPr>
        <w:pStyle w:val="standard"/>
        <w:numPr>
          <w:ilvl w:val="0"/>
          <w:numId w:val="9"/>
        </w:numPr>
        <w:spacing w:after="160" w:line="240" w:lineRule="auto"/>
        <w:ind w:right="720"/>
        <w:rPr>
          <w:rFonts w:ascii="Book Antiqua" w:hAnsi="Book Antiqua"/>
        </w:rPr>
      </w:pPr>
      <w:r w:rsidRPr="00D149D6">
        <w:rPr>
          <w:rFonts w:ascii="Book Antiqua" w:hAnsi="Book Antiqua"/>
        </w:rPr>
        <w:t>Apple Valley Choice Energy (</w:t>
      </w:r>
      <w:r w:rsidR="00AE55CA" w:rsidRPr="00D149D6">
        <w:rPr>
          <w:rFonts w:ascii="Book Antiqua" w:hAnsi="Book Antiqua"/>
        </w:rPr>
        <w:t>AVCE</w:t>
      </w:r>
      <w:r w:rsidRPr="00D149D6">
        <w:rPr>
          <w:rFonts w:ascii="Book Antiqua" w:hAnsi="Book Antiqua"/>
        </w:rPr>
        <w:t>)</w:t>
      </w:r>
    </w:p>
    <w:p w14:paraId="537003D1" w14:textId="77777777" w:rsidR="003161B5" w:rsidRPr="00D149D6" w:rsidRDefault="003161B5" w:rsidP="004C75AB">
      <w:pPr>
        <w:pStyle w:val="standard"/>
        <w:numPr>
          <w:ilvl w:val="0"/>
          <w:numId w:val="9"/>
        </w:numPr>
        <w:spacing w:after="160" w:line="240" w:lineRule="auto"/>
        <w:ind w:right="720"/>
        <w:rPr>
          <w:rFonts w:ascii="Book Antiqua" w:hAnsi="Book Antiqua"/>
        </w:rPr>
      </w:pPr>
      <w:r w:rsidRPr="00D149D6">
        <w:rPr>
          <w:rFonts w:ascii="Book Antiqua" w:hAnsi="Book Antiqua"/>
        </w:rPr>
        <w:t>CleanPower</w:t>
      </w:r>
      <w:r w:rsidR="007A4619" w:rsidRPr="00D149D6">
        <w:rPr>
          <w:rFonts w:ascii="Book Antiqua" w:hAnsi="Book Antiqua"/>
        </w:rPr>
        <w:t xml:space="preserve"> </w:t>
      </w:r>
      <w:r w:rsidRPr="00D149D6">
        <w:rPr>
          <w:rFonts w:ascii="Book Antiqua" w:hAnsi="Book Antiqua"/>
        </w:rPr>
        <w:t>S</w:t>
      </w:r>
      <w:r w:rsidR="007A4619" w:rsidRPr="00D149D6">
        <w:rPr>
          <w:rFonts w:ascii="Book Antiqua" w:hAnsi="Book Antiqua"/>
        </w:rPr>
        <w:t xml:space="preserve">an </w:t>
      </w:r>
      <w:r w:rsidRPr="00D149D6">
        <w:rPr>
          <w:rFonts w:ascii="Book Antiqua" w:hAnsi="Book Antiqua"/>
        </w:rPr>
        <w:t>F</w:t>
      </w:r>
      <w:r w:rsidR="007A4619" w:rsidRPr="00D149D6">
        <w:rPr>
          <w:rFonts w:ascii="Book Antiqua" w:hAnsi="Book Antiqua"/>
        </w:rPr>
        <w:t>rancisco (CleanPowerSF)</w:t>
      </w:r>
    </w:p>
    <w:p w14:paraId="0B4F5B0C" w14:textId="77777777" w:rsidR="007A4619" w:rsidRPr="00D149D6" w:rsidRDefault="007A4619" w:rsidP="004C75AB">
      <w:pPr>
        <w:pStyle w:val="standard"/>
        <w:numPr>
          <w:ilvl w:val="0"/>
          <w:numId w:val="9"/>
        </w:numPr>
        <w:spacing w:after="160" w:line="240" w:lineRule="auto"/>
        <w:ind w:right="720"/>
        <w:rPr>
          <w:rFonts w:ascii="Book Antiqua" w:hAnsi="Book Antiqua"/>
        </w:rPr>
      </w:pPr>
      <w:r w:rsidRPr="00D149D6">
        <w:rPr>
          <w:rFonts w:ascii="Book Antiqua" w:hAnsi="Book Antiqua"/>
        </w:rPr>
        <w:t>Clean Power Alliance of Southern California (CPA)</w:t>
      </w:r>
      <w:r w:rsidR="001075DA" w:rsidRPr="00D149D6">
        <w:rPr>
          <w:rFonts w:ascii="Book Antiqua" w:hAnsi="Book Antiqua"/>
        </w:rPr>
        <w:t>, with resource templates updated on September 20, 2018</w:t>
      </w:r>
      <w:r w:rsidR="009D7EBE" w:rsidRPr="00D149D6">
        <w:rPr>
          <w:rFonts w:ascii="Book Antiqua" w:hAnsi="Book Antiqua"/>
        </w:rPr>
        <w:t xml:space="preserve"> and October 26, 2018</w:t>
      </w:r>
    </w:p>
    <w:p w14:paraId="7E6480F8" w14:textId="77777777" w:rsidR="007A4619" w:rsidRPr="00D149D6" w:rsidRDefault="007A4619" w:rsidP="004C75AB">
      <w:pPr>
        <w:pStyle w:val="standard"/>
        <w:numPr>
          <w:ilvl w:val="0"/>
          <w:numId w:val="9"/>
        </w:numPr>
        <w:spacing w:after="160" w:line="240" w:lineRule="auto"/>
        <w:ind w:right="720"/>
        <w:rPr>
          <w:rFonts w:ascii="Book Antiqua" w:hAnsi="Book Antiqua"/>
        </w:rPr>
      </w:pPr>
      <w:r w:rsidRPr="00D149D6">
        <w:rPr>
          <w:rFonts w:ascii="Book Antiqua" w:hAnsi="Book Antiqua"/>
        </w:rPr>
        <w:t>Desert Community Energy (Desert)</w:t>
      </w:r>
    </w:p>
    <w:p w14:paraId="70B4B156" w14:textId="77777777" w:rsidR="003161B5" w:rsidRPr="00D149D6" w:rsidRDefault="003161B5" w:rsidP="004C75AB">
      <w:pPr>
        <w:pStyle w:val="standard"/>
        <w:numPr>
          <w:ilvl w:val="0"/>
          <w:numId w:val="9"/>
        </w:numPr>
        <w:spacing w:after="160" w:line="240" w:lineRule="auto"/>
        <w:ind w:right="720"/>
        <w:rPr>
          <w:rFonts w:ascii="Book Antiqua" w:hAnsi="Book Antiqua"/>
        </w:rPr>
      </w:pPr>
      <w:r w:rsidRPr="00D149D6">
        <w:rPr>
          <w:rFonts w:ascii="Book Antiqua" w:hAnsi="Book Antiqua"/>
        </w:rPr>
        <w:t>East Bay Community Energy (EBCE)</w:t>
      </w:r>
    </w:p>
    <w:p w14:paraId="5F042B33" w14:textId="77777777" w:rsidR="000364CD" w:rsidRPr="00D149D6" w:rsidRDefault="000364CD" w:rsidP="004C75AB">
      <w:pPr>
        <w:pStyle w:val="standard"/>
        <w:numPr>
          <w:ilvl w:val="0"/>
          <w:numId w:val="9"/>
        </w:numPr>
        <w:spacing w:after="160" w:line="240" w:lineRule="auto"/>
        <w:ind w:right="720"/>
        <w:rPr>
          <w:rFonts w:ascii="Book Antiqua" w:hAnsi="Book Antiqua"/>
        </w:rPr>
      </w:pPr>
      <w:r w:rsidRPr="00D149D6">
        <w:rPr>
          <w:rFonts w:ascii="Book Antiqua" w:hAnsi="Book Antiqua"/>
        </w:rPr>
        <w:t>King City Community Power (KCCP)</w:t>
      </w:r>
    </w:p>
    <w:p w14:paraId="3DFA2037" w14:textId="77777777" w:rsidR="007A4619" w:rsidRPr="00D149D6" w:rsidRDefault="007A4619" w:rsidP="004C75AB">
      <w:pPr>
        <w:pStyle w:val="standard"/>
        <w:numPr>
          <w:ilvl w:val="0"/>
          <w:numId w:val="9"/>
        </w:numPr>
        <w:spacing w:after="160" w:line="240" w:lineRule="auto"/>
        <w:ind w:right="720"/>
        <w:rPr>
          <w:rFonts w:ascii="Book Antiqua" w:hAnsi="Book Antiqua"/>
        </w:rPr>
      </w:pPr>
      <w:r w:rsidRPr="00D149D6">
        <w:rPr>
          <w:rFonts w:ascii="Book Antiqua" w:hAnsi="Book Antiqua"/>
        </w:rPr>
        <w:t>Lancaster Choice Energy (Lancaster)</w:t>
      </w:r>
    </w:p>
    <w:p w14:paraId="3FB2ABE8" w14:textId="77777777" w:rsidR="007A4619" w:rsidRPr="00D149D6" w:rsidRDefault="007A4619" w:rsidP="004C75AB">
      <w:pPr>
        <w:pStyle w:val="standard"/>
        <w:numPr>
          <w:ilvl w:val="0"/>
          <w:numId w:val="9"/>
        </w:numPr>
        <w:spacing w:after="160" w:line="240" w:lineRule="auto"/>
        <w:ind w:right="720"/>
        <w:rPr>
          <w:rFonts w:ascii="Book Antiqua" w:hAnsi="Book Antiqua"/>
        </w:rPr>
      </w:pPr>
      <w:r w:rsidRPr="00D149D6">
        <w:rPr>
          <w:rFonts w:ascii="Book Antiqua" w:hAnsi="Book Antiqua"/>
        </w:rPr>
        <w:t>Marin Clean Energy (MCE)</w:t>
      </w:r>
      <w:r w:rsidR="009D7EBE" w:rsidRPr="00D149D6">
        <w:rPr>
          <w:rFonts w:ascii="Book Antiqua" w:hAnsi="Book Antiqua"/>
        </w:rPr>
        <w:t>, with resource templates updated on September 25, 2018</w:t>
      </w:r>
    </w:p>
    <w:p w14:paraId="4479B986" w14:textId="77777777" w:rsidR="007A4619" w:rsidRPr="00D149D6" w:rsidRDefault="007A4619" w:rsidP="004C75AB">
      <w:pPr>
        <w:pStyle w:val="standard"/>
        <w:numPr>
          <w:ilvl w:val="0"/>
          <w:numId w:val="9"/>
        </w:numPr>
        <w:spacing w:after="160" w:line="240" w:lineRule="auto"/>
        <w:ind w:right="720"/>
        <w:rPr>
          <w:rFonts w:ascii="Book Antiqua" w:hAnsi="Book Antiqua"/>
        </w:rPr>
      </w:pPr>
      <w:r w:rsidRPr="00D149D6">
        <w:rPr>
          <w:rFonts w:ascii="Book Antiqua" w:hAnsi="Book Antiqua"/>
        </w:rPr>
        <w:t>Monterey Bay Clean Power Authority (Monterey Bay)</w:t>
      </w:r>
    </w:p>
    <w:p w14:paraId="0CCF2625" w14:textId="77777777" w:rsidR="003161B5" w:rsidRPr="00D149D6" w:rsidRDefault="003161B5" w:rsidP="004C75AB">
      <w:pPr>
        <w:pStyle w:val="standard"/>
        <w:numPr>
          <w:ilvl w:val="0"/>
          <w:numId w:val="9"/>
        </w:numPr>
        <w:spacing w:after="160" w:line="240" w:lineRule="auto"/>
        <w:ind w:right="720"/>
        <w:rPr>
          <w:rFonts w:ascii="Book Antiqua" w:hAnsi="Book Antiqua"/>
        </w:rPr>
      </w:pPr>
      <w:r w:rsidRPr="00D149D6">
        <w:rPr>
          <w:rFonts w:ascii="Book Antiqua" w:hAnsi="Book Antiqua"/>
        </w:rPr>
        <w:t>Peninsula Clean Energy Authority (PCE)</w:t>
      </w:r>
    </w:p>
    <w:p w14:paraId="01F71277" w14:textId="77777777" w:rsidR="007A4619" w:rsidRPr="00D149D6" w:rsidRDefault="007A4619" w:rsidP="004C75AB">
      <w:pPr>
        <w:pStyle w:val="standard"/>
        <w:numPr>
          <w:ilvl w:val="0"/>
          <w:numId w:val="9"/>
        </w:numPr>
        <w:spacing w:after="160" w:line="240" w:lineRule="auto"/>
        <w:ind w:right="720"/>
        <w:rPr>
          <w:rFonts w:ascii="Book Antiqua" w:hAnsi="Book Antiqua"/>
        </w:rPr>
      </w:pPr>
      <w:r w:rsidRPr="00D149D6">
        <w:rPr>
          <w:rFonts w:ascii="Book Antiqua" w:hAnsi="Book Antiqua"/>
        </w:rPr>
        <w:t>Pico Rivera Innovative Municipal Energy (</w:t>
      </w:r>
      <w:r w:rsidR="003038F3" w:rsidRPr="00D149D6">
        <w:rPr>
          <w:rFonts w:ascii="Book Antiqua" w:hAnsi="Book Antiqua"/>
        </w:rPr>
        <w:t>PRIME</w:t>
      </w:r>
      <w:r w:rsidRPr="00D149D6">
        <w:rPr>
          <w:rFonts w:ascii="Book Antiqua" w:hAnsi="Book Antiqua"/>
        </w:rPr>
        <w:t>)</w:t>
      </w:r>
    </w:p>
    <w:p w14:paraId="7E8C1B78" w14:textId="77777777" w:rsidR="007A4619" w:rsidRPr="00D149D6" w:rsidRDefault="007A4619" w:rsidP="004C75AB">
      <w:pPr>
        <w:pStyle w:val="standard"/>
        <w:numPr>
          <w:ilvl w:val="0"/>
          <w:numId w:val="9"/>
        </w:numPr>
        <w:spacing w:after="160" w:line="240" w:lineRule="auto"/>
        <w:ind w:right="720"/>
        <w:rPr>
          <w:rFonts w:ascii="Book Antiqua" w:hAnsi="Book Antiqua"/>
        </w:rPr>
      </w:pPr>
      <w:r w:rsidRPr="00D149D6">
        <w:rPr>
          <w:rFonts w:ascii="Book Antiqua" w:hAnsi="Book Antiqua"/>
        </w:rPr>
        <w:t>Pioneer Community Energy (Pioneer)</w:t>
      </w:r>
    </w:p>
    <w:p w14:paraId="6006CC4C" w14:textId="77777777" w:rsidR="007A4619" w:rsidRPr="00D149D6" w:rsidRDefault="007A4619" w:rsidP="004C75AB">
      <w:pPr>
        <w:pStyle w:val="standard"/>
        <w:numPr>
          <w:ilvl w:val="0"/>
          <w:numId w:val="9"/>
        </w:numPr>
        <w:spacing w:after="160" w:line="240" w:lineRule="auto"/>
        <w:ind w:right="720"/>
        <w:rPr>
          <w:rFonts w:ascii="Book Antiqua" w:hAnsi="Book Antiqua"/>
        </w:rPr>
      </w:pPr>
      <w:r w:rsidRPr="00D149D6">
        <w:rPr>
          <w:rFonts w:ascii="Book Antiqua" w:hAnsi="Book Antiqua"/>
        </w:rPr>
        <w:t>Rancho Mirage Energy Authority (Rancho Mirage)</w:t>
      </w:r>
    </w:p>
    <w:p w14:paraId="7FD85A32" w14:textId="77777777" w:rsidR="007A4619" w:rsidRPr="00D149D6" w:rsidRDefault="007A4619" w:rsidP="004C75AB">
      <w:pPr>
        <w:pStyle w:val="standard"/>
        <w:numPr>
          <w:ilvl w:val="0"/>
          <w:numId w:val="9"/>
        </w:numPr>
        <w:spacing w:after="160" w:line="240" w:lineRule="auto"/>
        <w:ind w:right="720"/>
        <w:rPr>
          <w:rFonts w:ascii="Book Antiqua" w:hAnsi="Book Antiqua"/>
        </w:rPr>
      </w:pPr>
      <w:r w:rsidRPr="00D149D6">
        <w:rPr>
          <w:rFonts w:ascii="Book Antiqua" w:hAnsi="Book Antiqua"/>
        </w:rPr>
        <w:t>Redwood Coast Energy Authority (Redwood Coast)</w:t>
      </w:r>
    </w:p>
    <w:p w14:paraId="2A092128" w14:textId="77777777" w:rsidR="007A4619" w:rsidRPr="00D149D6" w:rsidRDefault="007A4619" w:rsidP="004C75AB">
      <w:pPr>
        <w:pStyle w:val="standard"/>
        <w:numPr>
          <w:ilvl w:val="0"/>
          <w:numId w:val="9"/>
        </w:numPr>
        <w:spacing w:after="160" w:line="240" w:lineRule="auto"/>
        <w:ind w:right="720"/>
        <w:rPr>
          <w:rFonts w:ascii="Book Antiqua" w:hAnsi="Book Antiqua"/>
        </w:rPr>
      </w:pPr>
      <w:r w:rsidRPr="00D149D6">
        <w:rPr>
          <w:rFonts w:ascii="Book Antiqua" w:hAnsi="Book Antiqua"/>
        </w:rPr>
        <w:t>San Jacinto Power (San Jacinto)</w:t>
      </w:r>
    </w:p>
    <w:p w14:paraId="3B49D213" w14:textId="77777777" w:rsidR="003161B5" w:rsidRPr="00D149D6" w:rsidRDefault="003161B5" w:rsidP="004C75AB">
      <w:pPr>
        <w:pStyle w:val="standard"/>
        <w:numPr>
          <w:ilvl w:val="0"/>
          <w:numId w:val="9"/>
        </w:numPr>
        <w:spacing w:after="160" w:line="240" w:lineRule="auto"/>
        <w:ind w:right="720"/>
        <w:rPr>
          <w:rFonts w:ascii="Book Antiqua" w:hAnsi="Book Antiqua"/>
        </w:rPr>
      </w:pPr>
      <w:r w:rsidRPr="00D149D6">
        <w:rPr>
          <w:rFonts w:ascii="Book Antiqua" w:hAnsi="Book Antiqua"/>
        </w:rPr>
        <w:t>San Jose Clean Energy (</w:t>
      </w:r>
      <w:r w:rsidR="00664E8A" w:rsidRPr="00D149D6">
        <w:rPr>
          <w:rFonts w:ascii="Book Antiqua" w:hAnsi="Book Antiqua"/>
        </w:rPr>
        <w:t>SJCE</w:t>
      </w:r>
      <w:r w:rsidRPr="00D149D6">
        <w:rPr>
          <w:rFonts w:ascii="Book Antiqua" w:hAnsi="Book Antiqua"/>
        </w:rPr>
        <w:t>)</w:t>
      </w:r>
    </w:p>
    <w:p w14:paraId="1A0CF4E0" w14:textId="77777777" w:rsidR="007A4619" w:rsidRPr="00D149D6" w:rsidRDefault="007A4619" w:rsidP="004C75AB">
      <w:pPr>
        <w:pStyle w:val="standard"/>
        <w:numPr>
          <w:ilvl w:val="0"/>
          <w:numId w:val="9"/>
        </w:numPr>
        <w:spacing w:after="160" w:line="240" w:lineRule="auto"/>
        <w:ind w:right="720"/>
        <w:rPr>
          <w:rFonts w:ascii="Book Antiqua" w:hAnsi="Book Antiqua"/>
        </w:rPr>
      </w:pPr>
      <w:r w:rsidRPr="00D149D6">
        <w:rPr>
          <w:rFonts w:ascii="Book Antiqua" w:hAnsi="Book Antiqua"/>
        </w:rPr>
        <w:t>Silicon Valley Clean Energy Authority (SVCEA)</w:t>
      </w:r>
    </w:p>
    <w:p w14:paraId="7E1B0445" w14:textId="77777777" w:rsidR="003161B5" w:rsidRPr="00D149D6" w:rsidRDefault="003161B5" w:rsidP="004C75AB">
      <w:pPr>
        <w:pStyle w:val="standard"/>
        <w:numPr>
          <w:ilvl w:val="0"/>
          <w:numId w:val="9"/>
        </w:numPr>
        <w:spacing w:after="160" w:line="240" w:lineRule="auto"/>
        <w:ind w:right="720"/>
        <w:rPr>
          <w:rFonts w:ascii="Book Antiqua" w:hAnsi="Book Antiqua"/>
        </w:rPr>
      </w:pPr>
      <w:r w:rsidRPr="00D149D6">
        <w:rPr>
          <w:rFonts w:ascii="Book Antiqua" w:hAnsi="Book Antiqua"/>
        </w:rPr>
        <w:t>Solana Energy Alliance (</w:t>
      </w:r>
      <w:r w:rsidR="002D2DB9">
        <w:rPr>
          <w:rFonts w:ascii="Book Antiqua" w:hAnsi="Book Antiqua"/>
        </w:rPr>
        <w:t>Solana</w:t>
      </w:r>
      <w:r w:rsidRPr="00D149D6">
        <w:rPr>
          <w:rFonts w:ascii="Book Antiqua" w:hAnsi="Book Antiqua"/>
        </w:rPr>
        <w:t>)</w:t>
      </w:r>
    </w:p>
    <w:p w14:paraId="6D7FD588" w14:textId="77777777" w:rsidR="007A4619" w:rsidRPr="00D149D6" w:rsidRDefault="007A4619" w:rsidP="004C75AB">
      <w:pPr>
        <w:pStyle w:val="standard"/>
        <w:numPr>
          <w:ilvl w:val="0"/>
          <w:numId w:val="9"/>
        </w:numPr>
        <w:spacing w:after="160" w:line="240" w:lineRule="auto"/>
        <w:ind w:right="720"/>
        <w:rPr>
          <w:rFonts w:ascii="Book Antiqua" w:hAnsi="Book Antiqua"/>
        </w:rPr>
      </w:pPr>
      <w:r w:rsidRPr="00D149D6">
        <w:rPr>
          <w:rFonts w:ascii="Book Antiqua" w:hAnsi="Book Antiqua"/>
        </w:rPr>
        <w:t>Sonoma Clean Power Authority (SCP</w:t>
      </w:r>
      <w:r w:rsidR="00244703">
        <w:rPr>
          <w:rFonts w:ascii="Book Antiqua" w:hAnsi="Book Antiqua"/>
        </w:rPr>
        <w:t>A</w:t>
      </w:r>
      <w:r w:rsidRPr="00D149D6">
        <w:rPr>
          <w:rFonts w:ascii="Book Antiqua" w:hAnsi="Book Antiqua"/>
        </w:rPr>
        <w:t>)</w:t>
      </w:r>
      <w:r w:rsidR="009D7EBE" w:rsidRPr="00D149D6">
        <w:rPr>
          <w:rFonts w:ascii="Book Antiqua" w:hAnsi="Book Antiqua"/>
        </w:rPr>
        <w:t xml:space="preserve">, with resource templates updated September 19, 2018 </w:t>
      </w:r>
    </w:p>
    <w:p w14:paraId="5C2FB605" w14:textId="77777777" w:rsidR="003161B5" w:rsidRPr="00D149D6" w:rsidRDefault="007A4619" w:rsidP="004C75AB">
      <w:pPr>
        <w:pStyle w:val="standard"/>
        <w:numPr>
          <w:ilvl w:val="0"/>
          <w:numId w:val="9"/>
        </w:numPr>
        <w:spacing w:after="160" w:line="240" w:lineRule="auto"/>
        <w:ind w:right="720"/>
        <w:rPr>
          <w:rFonts w:ascii="Book Antiqua" w:hAnsi="Book Antiqua"/>
        </w:rPr>
      </w:pPr>
      <w:r w:rsidRPr="00D149D6">
        <w:rPr>
          <w:rFonts w:ascii="Book Antiqua" w:hAnsi="Book Antiqua"/>
        </w:rPr>
        <w:t>Valley Clean Energy Alliance (VCE)</w:t>
      </w:r>
    </w:p>
    <w:p w14:paraId="2D66C226" w14:textId="77777777" w:rsidR="003161B5" w:rsidRPr="00D149D6" w:rsidRDefault="003161B5" w:rsidP="00FC33A5">
      <w:pPr>
        <w:pStyle w:val="standard"/>
        <w:rPr>
          <w:rFonts w:ascii="Book Antiqua" w:hAnsi="Book Antiqua"/>
          <w:u w:val="single"/>
        </w:rPr>
      </w:pPr>
      <w:r w:rsidRPr="00D149D6">
        <w:rPr>
          <w:rFonts w:ascii="Book Antiqua" w:hAnsi="Book Antiqua"/>
          <w:u w:val="single"/>
        </w:rPr>
        <w:t>Electric Cooperatives</w:t>
      </w:r>
    </w:p>
    <w:p w14:paraId="5A32E799" w14:textId="77777777" w:rsidR="003161B5" w:rsidRPr="00D149D6" w:rsidRDefault="00846004" w:rsidP="004C75AB">
      <w:pPr>
        <w:pStyle w:val="standard"/>
        <w:numPr>
          <w:ilvl w:val="0"/>
          <w:numId w:val="9"/>
        </w:numPr>
        <w:spacing w:after="160" w:line="240" w:lineRule="auto"/>
        <w:ind w:right="720"/>
        <w:rPr>
          <w:rFonts w:ascii="Book Antiqua" w:hAnsi="Book Antiqua"/>
        </w:rPr>
      </w:pPr>
      <w:r w:rsidRPr="00D149D6">
        <w:rPr>
          <w:rFonts w:ascii="Book Antiqua" w:hAnsi="Book Antiqua"/>
        </w:rPr>
        <w:t>Anza Electric Cooperative (Anza)</w:t>
      </w:r>
      <w:r w:rsidR="00F476C0">
        <w:rPr>
          <w:rFonts w:ascii="Book Antiqua" w:hAnsi="Book Antiqua"/>
        </w:rPr>
        <w:t>, re-filed on March 1</w:t>
      </w:r>
      <w:r w:rsidR="004B44B4">
        <w:rPr>
          <w:rFonts w:ascii="Book Antiqua" w:hAnsi="Book Antiqua"/>
        </w:rPr>
        <w:t>4</w:t>
      </w:r>
      <w:r w:rsidR="00F476C0">
        <w:rPr>
          <w:rFonts w:ascii="Book Antiqua" w:hAnsi="Book Antiqua"/>
        </w:rPr>
        <w:t xml:space="preserve">, 2019, but originally </w:t>
      </w:r>
      <w:r w:rsidR="002C1241">
        <w:rPr>
          <w:rFonts w:ascii="Book Antiqua" w:hAnsi="Book Antiqua"/>
        </w:rPr>
        <w:t>provided</w:t>
      </w:r>
      <w:r w:rsidR="00F476C0">
        <w:rPr>
          <w:rFonts w:ascii="Book Antiqua" w:hAnsi="Book Antiqua"/>
        </w:rPr>
        <w:t xml:space="preserve"> on August 1, 2018</w:t>
      </w:r>
      <w:r w:rsidRPr="00D149D6">
        <w:rPr>
          <w:rFonts w:ascii="Book Antiqua" w:hAnsi="Book Antiqua"/>
        </w:rPr>
        <w:t xml:space="preserve"> </w:t>
      </w:r>
    </w:p>
    <w:p w14:paraId="6DEBB078" w14:textId="77777777" w:rsidR="00846004" w:rsidRPr="00D149D6" w:rsidRDefault="000364CD" w:rsidP="004C75AB">
      <w:pPr>
        <w:pStyle w:val="standard"/>
        <w:numPr>
          <w:ilvl w:val="0"/>
          <w:numId w:val="9"/>
        </w:numPr>
        <w:spacing w:after="160" w:line="240" w:lineRule="auto"/>
        <w:ind w:right="720"/>
        <w:rPr>
          <w:rFonts w:ascii="Book Antiqua" w:hAnsi="Book Antiqua"/>
        </w:rPr>
      </w:pPr>
      <w:r w:rsidRPr="00D149D6">
        <w:rPr>
          <w:rFonts w:ascii="Book Antiqua" w:hAnsi="Book Antiqua"/>
        </w:rPr>
        <w:t>Plumas Sierra Cooperative (Plumas Sierra)</w:t>
      </w:r>
      <w:r w:rsidR="00B1773B">
        <w:rPr>
          <w:rFonts w:ascii="Book Antiqua" w:hAnsi="Book Antiqua"/>
        </w:rPr>
        <w:t xml:space="preserve">, </w:t>
      </w:r>
      <w:r w:rsidR="000A5F7A">
        <w:rPr>
          <w:rFonts w:ascii="Book Antiqua" w:hAnsi="Book Antiqua"/>
        </w:rPr>
        <w:t>re-</w:t>
      </w:r>
      <w:r w:rsidR="00B1773B">
        <w:rPr>
          <w:rFonts w:ascii="Book Antiqua" w:hAnsi="Book Antiqua"/>
        </w:rPr>
        <w:t xml:space="preserve">filed on March 12, 2019, but </w:t>
      </w:r>
      <w:r w:rsidR="000A5F7A">
        <w:rPr>
          <w:rFonts w:ascii="Book Antiqua" w:hAnsi="Book Antiqua"/>
        </w:rPr>
        <w:t xml:space="preserve">originally </w:t>
      </w:r>
      <w:r w:rsidR="002C1241">
        <w:rPr>
          <w:rFonts w:ascii="Book Antiqua" w:hAnsi="Book Antiqua"/>
        </w:rPr>
        <w:t>provided</w:t>
      </w:r>
      <w:r w:rsidR="00B1773B">
        <w:rPr>
          <w:rFonts w:ascii="Book Antiqua" w:hAnsi="Book Antiqua"/>
        </w:rPr>
        <w:t xml:space="preserve"> on August 1, 2018</w:t>
      </w:r>
      <w:r w:rsidRPr="00D149D6">
        <w:rPr>
          <w:rFonts w:ascii="Book Antiqua" w:hAnsi="Book Antiqua"/>
        </w:rPr>
        <w:t xml:space="preserve"> </w:t>
      </w:r>
    </w:p>
    <w:p w14:paraId="05DDEE46" w14:textId="77777777" w:rsidR="000364CD" w:rsidRPr="00D149D6" w:rsidRDefault="000364CD" w:rsidP="004C75AB">
      <w:pPr>
        <w:pStyle w:val="standard"/>
        <w:numPr>
          <w:ilvl w:val="0"/>
          <w:numId w:val="9"/>
        </w:numPr>
        <w:spacing w:after="160" w:line="240" w:lineRule="auto"/>
        <w:ind w:right="720"/>
        <w:rPr>
          <w:rFonts w:ascii="Book Antiqua" w:hAnsi="Book Antiqua"/>
        </w:rPr>
      </w:pPr>
      <w:r w:rsidRPr="00D149D6">
        <w:rPr>
          <w:rFonts w:ascii="Book Antiqua" w:hAnsi="Book Antiqua"/>
        </w:rPr>
        <w:t>Surprise Valley Electric cooperative (Surprise Valley)</w:t>
      </w:r>
      <w:r w:rsidR="000A5F7A">
        <w:rPr>
          <w:rFonts w:ascii="Book Antiqua" w:hAnsi="Book Antiqua"/>
        </w:rPr>
        <w:t xml:space="preserve">, re-filed on March 12, 2019, but originally </w:t>
      </w:r>
      <w:r w:rsidR="002C1241">
        <w:rPr>
          <w:rFonts w:ascii="Book Antiqua" w:hAnsi="Book Antiqua"/>
        </w:rPr>
        <w:t>provided</w:t>
      </w:r>
      <w:r w:rsidR="000A5F7A">
        <w:rPr>
          <w:rFonts w:ascii="Book Antiqua" w:hAnsi="Book Antiqua"/>
        </w:rPr>
        <w:t xml:space="preserve"> on August 1, 2018</w:t>
      </w:r>
      <w:r w:rsidR="002D2DB9">
        <w:rPr>
          <w:rFonts w:ascii="Book Antiqua" w:hAnsi="Book Antiqua"/>
        </w:rPr>
        <w:t xml:space="preserve"> </w:t>
      </w:r>
    </w:p>
    <w:p w14:paraId="2E0A9E84" w14:textId="77777777" w:rsidR="00062218" w:rsidRPr="00D149D6" w:rsidRDefault="00062218" w:rsidP="004C75AB">
      <w:pPr>
        <w:pStyle w:val="standard"/>
        <w:numPr>
          <w:ilvl w:val="0"/>
          <w:numId w:val="9"/>
        </w:numPr>
        <w:spacing w:after="160" w:line="240" w:lineRule="auto"/>
        <w:ind w:right="720"/>
        <w:rPr>
          <w:rFonts w:ascii="Book Antiqua" w:hAnsi="Book Antiqua"/>
        </w:rPr>
      </w:pPr>
      <w:r w:rsidRPr="00D149D6">
        <w:rPr>
          <w:rFonts w:ascii="Book Antiqua" w:hAnsi="Book Antiqua"/>
        </w:rPr>
        <w:t>Valley Electric Association, Inc. (VEA).</w:t>
      </w:r>
    </w:p>
    <w:p w14:paraId="686FF26F" w14:textId="77777777" w:rsidR="00A8089A" w:rsidRPr="00D149D6" w:rsidRDefault="00712615" w:rsidP="00FC33A5">
      <w:pPr>
        <w:pStyle w:val="standard"/>
        <w:rPr>
          <w:rFonts w:ascii="Book Antiqua" w:hAnsi="Book Antiqua"/>
        </w:rPr>
      </w:pPr>
      <w:r w:rsidRPr="00D149D6">
        <w:rPr>
          <w:rFonts w:ascii="Book Antiqua" w:hAnsi="Book Antiqua"/>
        </w:rPr>
        <w:t>One</w:t>
      </w:r>
      <w:r w:rsidR="00A8089A" w:rsidRPr="00D149D6">
        <w:rPr>
          <w:rFonts w:ascii="Book Antiqua" w:hAnsi="Book Antiqua"/>
        </w:rPr>
        <w:t xml:space="preserve"> entit</w:t>
      </w:r>
      <w:r w:rsidRPr="00D149D6">
        <w:rPr>
          <w:rFonts w:ascii="Book Antiqua" w:hAnsi="Book Antiqua"/>
        </w:rPr>
        <w:t>y</w:t>
      </w:r>
      <w:r w:rsidR="00A8089A" w:rsidRPr="00D149D6">
        <w:rPr>
          <w:rFonts w:ascii="Book Antiqua" w:hAnsi="Book Antiqua"/>
        </w:rPr>
        <w:t xml:space="preserve"> required to file</w:t>
      </w:r>
      <w:r w:rsidRPr="00D149D6">
        <w:rPr>
          <w:rFonts w:ascii="Book Antiqua" w:hAnsi="Book Antiqua"/>
        </w:rPr>
        <w:t xml:space="preserve"> an</w:t>
      </w:r>
      <w:r w:rsidR="00A8089A" w:rsidRPr="00D149D6">
        <w:rPr>
          <w:rFonts w:ascii="Book Antiqua" w:hAnsi="Book Antiqua"/>
        </w:rPr>
        <w:t xml:space="preserve"> IRP did not provide </w:t>
      </w:r>
      <w:r w:rsidRPr="00D149D6">
        <w:rPr>
          <w:rFonts w:ascii="Book Antiqua" w:hAnsi="Book Antiqua"/>
        </w:rPr>
        <w:t>it</w:t>
      </w:r>
      <w:r w:rsidR="00A8089A" w:rsidRPr="00D149D6">
        <w:rPr>
          <w:rFonts w:ascii="Book Antiqua" w:hAnsi="Book Antiqua"/>
        </w:rPr>
        <w:t xml:space="preserve">: </w:t>
      </w:r>
      <w:r w:rsidR="00DC47F2" w:rsidRPr="00D149D6">
        <w:rPr>
          <w:rFonts w:ascii="Book Antiqua" w:hAnsi="Book Antiqua"/>
        </w:rPr>
        <w:t xml:space="preserve"> </w:t>
      </w:r>
      <w:r w:rsidR="00A8089A" w:rsidRPr="00D149D6">
        <w:rPr>
          <w:rFonts w:ascii="Book Antiqua" w:hAnsi="Book Antiqua"/>
        </w:rPr>
        <w:t>Commercial Energy of California (</w:t>
      </w:r>
      <w:r w:rsidRPr="00D149D6">
        <w:rPr>
          <w:rFonts w:ascii="Book Antiqua" w:hAnsi="Book Antiqua"/>
        </w:rPr>
        <w:t xml:space="preserve">an </w:t>
      </w:r>
      <w:r w:rsidR="00A8089A" w:rsidRPr="00D149D6">
        <w:rPr>
          <w:rFonts w:ascii="Book Antiqua" w:hAnsi="Book Antiqua"/>
        </w:rPr>
        <w:t xml:space="preserve">ESP). </w:t>
      </w:r>
    </w:p>
    <w:p w14:paraId="29B48D47" w14:textId="77777777" w:rsidR="0035024D" w:rsidRPr="00D149D6" w:rsidRDefault="0035024D" w:rsidP="009B4BCC">
      <w:pPr>
        <w:pStyle w:val="standard"/>
        <w:rPr>
          <w:rFonts w:ascii="Book Antiqua" w:hAnsi="Book Antiqua"/>
          <w:color w:val="000000"/>
        </w:rPr>
      </w:pPr>
      <w:r w:rsidRPr="00D149D6">
        <w:rPr>
          <w:rFonts w:ascii="Book Antiqua" w:hAnsi="Book Antiqua"/>
          <w:color w:val="000000"/>
        </w:rPr>
        <w:t xml:space="preserve">Separately, on or before August 20, 2018, the following entities filed motions to file confidential versions of their IRPs under seal: </w:t>
      </w:r>
      <w:r w:rsidR="002D2DB9">
        <w:rPr>
          <w:rFonts w:ascii="Book Antiqua" w:hAnsi="Book Antiqua"/>
          <w:color w:val="000000"/>
        </w:rPr>
        <w:t xml:space="preserve"> </w:t>
      </w:r>
      <w:r w:rsidRPr="00D149D6">
        <w:rPr>
          <w:rFonts w:ascii="Book Antiqua" w:hAnsi="Book Antiqua"/>
          <w:color w:val="000000"/>
        </w:rPr>
        <w:t xml:space="preserve">3 Phases; Agera; </w:t>
      </w:r>
      <w:r w:rsidR="00AE55CA" w:rsidRPr="00D149D6">
        <w:rPr>
          <w:rFonts w:ascii="Book Antiqua" w:hAnsi="Book Antiqua"/>
          <w:color w:val="000000"/>
        </w:rPr>
        <w:t>AVCE</w:t>
      </w:r>
      <w:r w:rsidR="00D84082" w:rsidRPr="00D149D6">
        <w:rPr>
          <w:rFonts w:ascii="Book Antiqua" w:hAnsi="Book Antiqua"/>
          <w:color w:val="000000"/>
        </w:rPr>
        <w:t xml:space="preserve">; </w:t>
      </w:r>
      <w:r w:rsidR="002D2DB9">
        <w:rPr>
          <w:rFonts w:ascii="Book Antiqua" w:hAnsi="Book Antiqua"/>
          <w:color w:val="000000"/>
        </w:rPr>
        <w:t xml:space="preserve">Calpine </w:t>
      </w:r>
      <w:r w:rsidRPr="00D149D6">
        <w:rPr>
          <w:rFonts w:ascii="Book Antiqua" w:hAnsi="Book Antiqua"/>
          <w:color w:val="000000"/>
        </w:rPr>
        <w:t xml:space="preserve">Solutions; </w:t>
      </w:r>
      <w:r w:rsidR="00D84082" w:rsidRPr="00D149D6">
        <w:rPr>
          <w:rFonts w:ascii="Book Antiqua" w:hAnsi="Book Antiqua"/>
          <w:color w:val="000000"/>
        </w:rPr>
        <w:t xml:space="preserve">Calpine PowerAmerica; </w:t>
      </w:r>
      <w:r w:rsidRPr="00D149D6">
        <w:rPr>
          <w:rFonts w:ascii="Book Antiqua" w:hAnsi="Book Antiqua"/>
          <w:color w:val="000000"/>
        </w:rPr>
        <w:t xml:space="preserve">CleanPowerSF; </w:t>
      </w:r>
      <w:r w:rsidR="00D84082" w:rsidRPr="00D149D6">
        <w:rPr>
          <w:rFonts w:ascii="Book Antiqua" w:hAnsi="Book Antiqua"/>
          <w:color w:val="000000"/>
        </w:rPr>
        <w:t xml:space="preserve">Constellation; </w:t>
      </w:r>
      <w:r w:rsidRPr="00D149D6">
        <w:rPr>
          <w:rFonts w:ascii="Book Antiqua" w:hAnsi="Book Antiqua"/>
          <w:color w:val="000000"/>
        </w:rPr>
        <w:t xml:space="preserve">Direct Energy; </w:t>
      </w:r>
      <w:r w:rsidR="00D84082" w:rsidRPr="00D149D6">
        <w:rPr>
          <w:rFonts w:ascii="Book Antiqua" w:hAnsi="Book Antiqua"/>
          <w:color w:val="000000"/>
        </w:rPr>
        <w:t xml:space="preserve">EBCE; EDF Industrial; Just Energy; Lancaster; </w:t>
      </w:r>
      <w:r w:rsidRPr="00D149D6">
        <w:rPr>
          <w:rFonts w:ascii="Book Antiqua" w:hAnsi="Book Antiqua"/>
          <w:color w:val="000000"/>
        </w:rPr>
        <w:t xml:space="preserve">Liberty Utilities; </w:t>
      </w:r>
      <w:r w:rsidR="00D84082" w:rsidRPr="00D149D6">
        <w:rPr>
          <w:rFonts w:ascii="Book Antiqua" w:hAnsi="Book Antiqua"/>
          <w:color w:val="000000"/>
        </w:rPr>
        <w:t xml:space="preserve">Monterey Bay; </w:t>
      </w:r>
      <w:r w:rsidRPr="00D149D6">
        <w:rPr>
          <w:rFonts w:ascii="Book Antiqua" w:hAnsi="Book Antiqua"/>
          <w:color w:val="000000"/>
        </w:rPr>
        <w:t xml:space="preserve">PCE; </w:t>
      </w:r>
      <w:r w:rsidR="00D84082" w:rsidRPr="00D149D6">
        <w:rPr>
          <w:rFonts w:ascii="Book Antiqua" w:hAnsi="Book Antiqua"/>
          <w:color w:val="000000"/>
        </w:rPr>
        <w:t xml:space="preserve">PG&amp;E; </w:t>
      </w:r>
      <w:r w:rsidR="006B0F6F" w:rsidRPr="00D149D6">
        <w:rPr>
          <w:rFonts w:ascii="Book Antiqua" w:hAnsi="Book Antiqua"/>
          <w:color w:val="000000"/>
        </w:rPr>
        <w:t>PRIME</w:t>
      </w:r>
      <w:r w:rsidR="00D84082" w:rsidRPr="00D149D6">
        <w:rPr>
          <w:rFonts w:ascii="Book Antiqua" w:hAnsi="Book Antiqua"/>
          <w:color w:val="000000"/>
        </w:rPr>
        <w:t xml:space="preserve">; Pilot Power; Pioneer; Rancho Mirage; Redwood Coast; San Jacinto; </w:t>
      </w:r>
      <w:r w:rsidRPr="00D149D6">
        <w:rPr>
          <w:rFonts w:ascii="Book Antiqua" w:hAnsi="Book Antiqua"/>
          <w:color w:val="000000"/>
        </w:rPr>
        <w:t xml:space="preserve">SCE; </w:t>
      </w:r>
      <w:r w:rsidR="00D84082" w:rsidRPr="00D149D6">
        <w:rPr>
          <w:rFonts w:ascii="Book Antiqua" w:hAnsi="Book Antiqua"/>
          <w:color w:val="000000"/>
        </w:rPr>
        <w:t xml:space="preserve">SCPA; Solana; SVCEA; Tiger; and UC Regents. </w:t>
      </w:r>
    </w:p>
    <w:p w14:paraId="0E9CA76D" w14:textId="77777777" w:rsidR="00D84082" w:rsidRPr="00D149D6" w:rsidRDefault="00D84082" w:rsidP="009B4BCC">
      <w:pPr>
        <w:pStyle w:val="standard"/>
        <w:rPr>
          <w:rFonts w:ascii="Book Antiqua" w:hAnsi="Book Antiqua"/>
          <w:color w:val="000000"/>
        </w:rPr>
      </w:pPr>
      <w:r w:rsidRPr="00D149D6">
        <w:rPr>
          <w:rFonts w:ascii="Book Antiqua" w:hAnsi="Book Antiqua"/>
          <w:color w:val="000000"/>
        </w:rPr>
        <w:t xml:space="preserve">On August 30, 2018, PG&amp;E and </w:t>
      </w:r>
      <w:r w:rsidR="006B0F6F" w:rsidRPr="00D149D6">
        <w:rPr>
          <w:rFonts w:ascii="Book Antiqua" w:hAnsi="Book Antiqua"/>
          <w:color w:val="000000"/>
        </w:rPr>
        <w:t>Protect Our Communities Foundation (</w:t>
      </w:r>
      <w:r w:rsidRPr="00D149D6">
        <w:rPr>
          <w:rFonts w:ascii="Book Antiqua" w:hAnsi="Book Antiqua"/>
          <w:color w:val="000000"/>
        </w:rPr>
        <w:t>POC</w:t>
      </w:r>
      <w:r w:rsidR="006B0F6F" w:rsidRPr="00D149D6">
        <w:rPr>
          <w:rFonts w:ascii="Book Antiqua" w:hAnsi="Book Antiqua"/>
          <w:color w:val="000000"/>
        </w:rPr>
        <w:t>)</w:t>
      </w:r>
      <w:r w:rsidRPr="00D149D6">
        <w:rPr>
          <w:rFonts w:ascii="Book Antiqua" w:hAnsi="Book Antiqua"/>
          <w:color w:val="000000"/>
        </w:rPr>
        <w:t xml:space="preserve"> filed responses to the motions to file under seal. </w:t>
      </w:r>
      <w:r w:rsidR="00E21DA5" w:rsidRPr="00D149D6">
        <w:rPr>
          <w:rFonts w:ascii="Book Antiqua" w:hAnsi="Book Antiqua"/>
          <w:color w:val="000000"/>
        </w:rPr>
        <w:t xml:space="preserve"> </w:t>
      </w:r>
      <w:r w:rsidRPr="00D149D6">
        <w:rPr>
          <w:rFonts w:ascii="Book Antiqua" w:hAnsi="Book Antiqua"/>
          <w:color w:val="000000"/>
        </w:rPr>
        <w:t xml:space="preserve">On September 10, 2018, replies to the PG&amp;E and POC responses were filed by: </w:t>
      </w:r>
      <w:r w:rsidR="00DC47F2" w:rsidRPr="00D149D6">
        <w:rPr>
          <w:rFonts w:ascii="Book Antiqua" w:hAnsi="Book Antiqua"/>
          <w:color w:val="000000"/>
        </w:rPr>
        <w:t xml:space="preserve"> </w:t>
      </w:r>
      <w:r w:rsidR="006B0F6F" w:rsidRPr="00D149D6">
        <w:rPr>
          <w:rFonts w:ascii="Book Antiqua" w:hAnsi="Book Antiqua"/>
          <w:color w:val="000000"/>
        </w:rPr>
        <w:t>PRIME</w:t>
      </w:r>
      <w:r w:rsidRPr="00D149D6">
        <w:rPr>
          <w:rFonts w:ascii="Book Antiqua" w:hAnsi="Book Antiqua"/>
          <w:color w:val="000000"/>
        </w:rPr>
        <w:t xml:space="preserve">, San Jacinto, Pioneer, Lancaster, </w:t>
      </w:r>
      <w:r w:rsidR="00AE55CA" w:rsidRPr="00D149D6">
        <w:rPr>
          <w:rFonts w:ascii="Book Antiqua" w:hAnsi="Book Antiqua"/>
          <w:color w:val="000000"/>
        </w:rPr>
        <w:t>AVCE</w:t>
      </w:r>
      <w:r w:rsidRPr="00D149D6">
        <w:rPr>
          <w:rFonts w:ascii="Book Antiqua" w:hAnsi="Book Antiqua"/>
          <w:color w:val="000000"/>
        </w:rPr>
        <w:t>, Redwood Coast, SVCEA, Rancho Mirage, Monterey Bay, SCPA, and Solano, jointly; Shell</w:t>
      </w:r>
      <w:r w:rsidR="00244703">
        <w:rPr>
          <w:rFonts w:ascii="Book Antiqua" w:hAnsi="Book Antiqua"/>
          <w:color w:val="000000"/>
        </w:rPr>
        <w:t xml:space="preserve">; Direct Energy, Calpine </w:t>
      </w:r>
      <w:r w:rsidRPr="00D149D6">
        <w:rPr>
          <w:rFonts w:ascii="Book Antiqua" w:hAnsi="Book Antiqua"/>
          <w:color w:val="000000"/>
        </w:rPr>
        <w:t xml:space="preserve">Solutions, and Constellation, jointly; PG&amp;E; Tiger, EDF Industrial, and 3 Phases, jointly; CleanPowerSF; and PCE. </w:t>
      </w:r>
    </w:p>
    <w:p w14:paraId="2ACFB0C7" w14:textId="77777777" w:rsidR="0000178C" w:rsidRPr="00D149D6" w:rsidRDefault="0000178C" w:rsidP="009B4BCC">
      <w:pPr>
        <w:pStyle w:val="standard"/>
        <w:rPr>
          <w:rFonts w:ascii="Book Antiqua" w:hAnsi="Book Antiqua"/>
          <w:color w:val="000000"/>
        </w:rPr>
      </w:pPr>
      <w:r w:rsidRPr="00D149D6">
        <w:rPr>
          <w:rFonts w:ascii="Book Antiqua" w:hAnsi="Book Antiqua"/>
          <w:color w:val="000000"/>
        </w:rPr>
        <w:t xml:space="preserve">On September 12, 2018, initial comments on the individual IRPs were filed by the following parties: </w:t>
      </w:r>
      <w:r w:rsidR="00DC47F2" w:rsidRPr="00D149D6">
        <w:rPr>
          <w:rFonts w:ascii="Book Antiqua" w:hAnsi="Book Antiqua"/>
          <w:color w:val="000000"/>
        </w:rPr>
        <w:t xml:space="preserve"> </w:t>
      </w:r>
      <w:r w:rsidR="00FA3F0C" w:rsidRPr="00D149D6">
        <w:rPr>
          <w:rFonts w:ascii="Book Antiqua" w:hAnsi="Book Antiqua"/>
          <w:color w:val="000000"/>
        </w:rPr>
        <w:t xml:space="preserve">American Wind Energy Association – California Caucus (AWEA); </w:t>
      </w:r>
      <w:r w:rsidRPr="00D149D6">
        <w:rPr>
          <w:rFonts w:ascii="Book Antiqua" w:hAnsi="Book Antiqua"/>
          <w:color w:val="000000"/>
        </w:rPr>
        <w:t xml:space="preserve">California Community Choice Association (CalCCA); </w:t>
      </w:r>
      <w:r w:rsidR="00FA3F0C" w:rsidRPr="00D149D6">
        <w:rPr>
          <w:rFonts w:ascii="Book Antiqua" w:hAnsi="Book Antiqua"/>
          <w:color w:val="000000"/>
        </w:rPr>
        <w:t>California Energy Storage Alliance (CESA);</w:t>
      </w:r>
      <w:r w:rsidRPr="00D149D6">
        <w:rPr>
          <w:rFonts w:ascii="Book Antiqua" w:hAnsi="Book Antiqua"/>
          <w:color w:val="000000"/>
        </w:rPr>
        <w:t xml:space="preserve"> California Environmental Justice Association (CEJA) and Sierra Club, jointly; </w:t>
      </w:r>
      <w:r w:rsidR="000443BB" w:rsidRPr="00D149D6">
        <w:rPr>
          <w:rFonts w:ascii="Book Antiqua" w:hAnsi="Book Antiqua"/>
          <w:color w:val="000000"/>
        </w:rPr>
        <w:t xml:space="preserve">California Large Energy Consumers Association (CLECA); </w:t>
      </w:r>
      <w:r w:rsidR="00FA3F0C" w:rsidRPr="00D149D6">
        <w:rPr>
          <w:rFonts w:ascii="Book Antiqua" w:hAnsi="Book Antiqua"/>
          <w:color w:val="000000"/>
        </w:rPr>
        <w:t>California Wind Energy Association (CalWEA); Center for Energy Efficien</w:t>
      </w:r>
      <w:r w:rsidR="00442F9C" w:rsidRPr="00D149D6">
        <w:rPr>
          <w:rFonts w:ascii="Book Antiqua" w:hAnsi="Book Antiqua"/>
          <w:color w:val="000000"/>
        </w:rPr>
        <w:t>cy</w:t>
      </w:r>
      <w:r w:rsidR="00FA3F0C" w:rsidRPr="00D149D6">
        <w:rPr>
          <w:rFonts w:ascii="Book Antiqua" w:hAnsi="Book Antiqua"/>
          <w:color w:val="000000"/>
        </w:rPr>
        <w:t xml:space="preserve"> and Renewable Technologies (CEERT); </w:t>
      </w:r>
      <w:r w:rsidRPr="00D149D6">
        <w:rPr>
          <w:rFonts w:ascii="Book Antiqua" w:hAnsi="Book Antiqua"/>
          <w:color w:val="000000"/>
        </w:rPr>
        <w:t>Environmental Defense Fund (EDF); Green Power Institute (GPI); GridLiance West (GridLiance); L. Jan Reid</w:t>
      </w:r>
      <w:r w:rsidR="006B0F6F" w:rsidRPr="00D149D6">
        <w:rPr>
          <w:rFonts w:ascii="Book Antiqua" w:hAnsi="Book Antiqua"/>
          <w:color w:val="000000"/>
        </w:rPr>
        <w:t xml:space="preserve"> (Reid)</w:t>
      </w:r>
      <w:r w:rsidRPr="00D149D6">
        <w:rPr>
          <w:rFonts w:ascii="Book Antiqua" w:hAnsi="Book Antiqua"/>
          <w:color w:val="000000"/>
        </w:rPr>
        <w:t xml:space="preserve">; </w:t>
      </w:r>
      <w:r w:rsidR="000443BB" w:rsidRPr="00D149D6">
        <w:rPr>
          <w:rFonts w:ascii="Book Antiqua" w:hAnsi="Book Antiqua"/>
          <w:color w:val="000000"/>
        </w:rPr>
        <w:t xml:space="preserve">Large Scale Solar Association (LSA); </w:t>
      </w:r>
      <w:r w:rsidR="003B2536" w:rsidRPr="00D149D6">
        <w:rPr>
          <w:rFonts w:ascii="Book Antiqua" w:hAnsi="Book Antiqua"/>
          <w:color w:val="000000"/>
        </w:rPr>
        <w:t xml:space="preserve">MCE; </w:t>
      </w:r>
      <w:r w:rsidR="00442F9C" w:rsidRPr="00D149D6">
        <w:rPr>
          <w:rFonts w:ascii="Book Antiqua" w:hAnsi="Book Antiqua"/>
          <w:color w:val="000000"/>
        </w:rPr>
        <w:t xml:space="preserve">Natural Resources Defense Council (NRDC); </w:t>
      </w:r>
      <w:r w:rsidRPr="00D149D6">
        <w:rPr>
          <w:rFonts w:ascii="Book Antiqua" w:hAnsi="Book Antiqua"/>
          <w:color w:val="000000"/>
        </w:rPr>
        <w:t>PG&amp;E; POC; Powerex</w:t>
      </w:r>
      <w:r w:rsidR="00FA3F0C" w:rsidRPr="00D149D6">
        <w:rPr>
          <w:rFonts w:ascii="Book Antiqua" w:hAnsi="Book Antiqua"/>
          <w:color w:val="000000"/>
        </w:rPr>
        <w:t xml:space="preserve"> Corp</w:t>
      </w:r>
      <w:r w:rsidRPr="00D149D6">
        <w:rPr>
          <w:rFonts w:ascii="Book Antiqua" w:hAnsi="Book Antiqua"/>
          <w:color w:val="000000"/>
        </w:rPr>
        <w:t xml:space="preserve">. (Powerex); </w:t>
      </w:r>
      <w:r w:rsidR="0035024D" w:rsidRPr="00D149D6">
        <w:rPr>
          <w:rFonts w:ascii="Book Antiqua" w:hAnsi="Book Antiqua"/>
          <w:color w:val="000000"/>
        </w:rPr>
        <w:t>Public Advocates Office of the California Public Utilities Commission (Cal Advocates);</w:t>
      </w:r>
      <w:r w:rsidR="0035024D" w:rsidRPr="00D149D6">
        <w:rPr>
          <w:rStyle w:val="FootnoteReference"/>
          <w:rFonts w:ascii="Book Antiqua" w:hAnsi="Book Antiqua"/>
          <w:color w:val="000000"/>
        </w:rPr>
        <w:footnoteReference w:id="2"/>
      </w:r>
      <w:r w:rsidR="0035024D" w:rsidRPr="00D149D6">
        <w:rPr>
          <w:rFonts w:ascii="Book Antiqua" w:hAnsi="Book Antiqua"/>
          <w:color w:val="000000"/>
        </w:rPr>
        <w:t xml:space="preserve"> </w:t>
      </w:r>
      <w:r w:rsidRPr="00D149D6">
        <w:rPr>
          <w:rFonts w:ascii="Book Antiqua" w:hAnsi="Book Antiqua"/>
          <w:color w:val="000000"/>
        </w:rPr>
        <w:t xml:space="preserve">Public Generating Pool (PGP); SCE; SDG&amp;E; Shell; </w:t>
      </w:r>
      <w:r w:rsidR="00442F9C" w:rsidRPr="00D149D6">
        <w:rPr>
          <w:rFonts w:ascii="Book Antiqua" w:hAnsi="Book Antiqua"/>
          <w:color w:val="000000"/>
        </w:rPr>
        <w:t xml:space="preserve">Southwestern Power Group (SWPG); </w:t>
      </w:r>
      <w:r w:rsidRPr="00D149D6">
        <w:rPr>
          <w:rFonts w:ascii="Book Antiqua" w:hAnsi="Book Antiqua"/>
          <w:color w:val="000000"/>
        </w:rPr>
        <w:t>The Utility Reform Network (TURN)</w:t>
      </w:r>
      <w:r w:rsidR="00FA3F0C" w:rsidRPr="00D149D6">
        <w:rPr>
          <w:rFonts w:ascii="Book Antiqua" w:hAnsi="Book Antiqua"/>
          <w:color w:val="000000"/>
        </w:rPr>
        <w:t>; Union of Concerned Scientists (UCS); and Women’s Energy Matters (WEM)</w:t>
      </w:r>
      <w:r w:rsidRPr="00D149D6">
        <w:rPr>
          <w:rFonts w:ascii="Book Antiqua" w:hAnsi="Book Antiqua"/>
          <w:color w:val="000000"/>
        </w:rPr>
        <w:t xml:space="preserve">. </w:t>
      </w:r>
    </w:p>
    <w:p w14:paraId="7CBD9443" w14:textId="77777777" w:rsidR="00BB3034" w:rsidRPr="00D149D6" w:rsidRDefault="00BB3034" w:rsidP="00364DCE">
      <w:pPr>
        <w:pStyle w:val="standard"/>
        <w:rPr>
          <w:rFonts w:ascii="Book Antiqua" w:hAnsi="Book Antiqua"/>
          <w:color w:val="000000"/>
        </w:rPr>
      </w:pPr>
      <w:r w:rsidRPr="00D149D6">
        <w:rPr>
          <w:rFonts w:ascii="Book Antiqua" w:hAnsi="Book Antiqua"/>
          <w:color w:val="000000"/>
        </w:rPr>
        <w:t xml:space="preserve">Cal Advocates also filed a concurrent motion on September 12, 2018 to file its initial comments under seal. </w:t>
      </w:r>
      <w:r w:rsidR="00E21DA5" w:rsidRPr="00D149D6">
        <w:rPr>
          <w:rFonts w:ascii="Book Antiqua" w:hAnsi="Book Antiqua"/>
          <w:color w:val="000000"/>
        </w:rPr>
        <w:t xml:space="preserve"> </w:t>
      </w:r>
      <w:r w:rsidR="00FE6E44" w:rsidRPr="00D149D6">
        <w:rPr>
          <w:rFonts w:ascii="Book Antiqua" w:hAnsi="Book Antiqua"/>
          <w:color w:val="000000"/>
        </w:rPr>
        <w:t xml:space="preserve">That motion is granted by this decision. </w:t>
      </w:r>
    </w:p>
    <w:p w14:paraId="0FEDC39B" w14:textId="77777777" w:rsidR="00364DCE" w:rsidRPr="00D149D6" w:rsidRDefault="00364DCE" w:rsidP="00364DCE">
      <w:pPr>
        <w:pStyle w:val="standard"/>
        <w:rPr>
          <w:rFonts w:ascii="Book Antiqua" w:hAnsi="Book Antiqua"/>
          <w:color w:val="000000"/>
        </w:rPr>
      </w:pPr>
      <w:r w:rsidRPr="00D149D6">
        <w:rPr>
          <w:rFonts w:ascii="Book Antiqua" w:hAnsi="Book Antiqua"/>
          <w:color w:val="000000"/>
        </w:rPr>
        <w:t xml:space="preserve">Reply comments on the individual IRP filings were filed on September 26, 2018 by the following parties: </w:t>
      </w:r>
      <w:r w:rsidR="00DC47F2" w:rsidRPr="00D149D6">
        <w:rPr>
          <w:rFonts w:ascii="Book Antiqua" w:hAnsi="Book Antiqua"/>
          <w:color w:val="000000"/>
        </w:rPr>
        <w:t xml:space="preserve"> </w:t>
      </w:r>
      <w:r w:rsidRPr="00D149D6">
        <w:rPr>
          <w:rFonts w:ascii="Book Antiqua" w:hAnsi="Book Antiqua"/>
          <w:color w:val="000000"/>
        </w:rPr>
        <w:t xml:space="preserve">Alliance for Retail Energy Markets (AReM); Bonneville Power Administration (BPA); CalCCA; California Association of Small and Multijurisdictional Utilities; </w:t>
      </w:r>
      <w:r w:rsidRPr="006613B4">
        <w:rPr>
          <w:rFonts w:ascii="Book Antiqua" w:hAnsi="Book Antiqua"/>
          <w:color w:val="000000"/>
        </w:rPr>
        <w:t>Calpine Corporation;</w:t>
      </w:r>
      <w:r w:rsidRPr="00D149D6">
        <w:rPr>
          <w:rFonts w:ascii="Book Antiqua" w:hAnsi="Book Antiqua"/>
          <w:color w:val="000000"/>
        </w:rPr>
        <w:t xml:space="preserve"> CEJA and Sierra Club, jointly; EDF; GPI; Grant County Washington Public Utilities District No. 1; GridLiance; </w:t>
      </w:r>
      <w:r w:rsidR="004C16EB" w:rsidRPr="00D149D6">
        <w:rPr>
          <w:rFonts w:ascii="Book Antiqua" w:hAnsi="Book Antiqua"/>
          <w:color w:val="000000"/>
        </w:rPr>
        <w:t xml:space="preserve">Independent Energy Producers Association </w:t>
      </w:r>
      <w:r w:rsidR="004C16EB">
        <w:rPr>
          <w:rFonts w:ascii="Book Antiqua" w:hAnsi="Book Antiqua"/>
          <w:color w:val="000000"/>
        </w:rPr>
        <w:t>(</w:t>
      </w:r>
      <w:r w:rsidRPr="00D149D6">
        <w:rPr>
          <w:rFonts w:ascii="Book Antiqua" w:hAnsi="Book Antiqua"/>
          <w:color w:val="000000"/>
        </w:rPr>
        <w:t>IEP</w:t>
      </w:r>
      <w:r w:rsidR="004C16EB">
        <w:rPr>
          <w:rFonts w:ascii="Book Antiqua" w:hAnsi="Book Antiqua"/>
          <w:color w:val="000000"/>
        </w:rPr>
        <w:t>)</w:t>
      </w:r>
      <w:r w:rsidRPr="00D149D6">
        <w:rPr>
          <w:rFonts w:ascii="Book Antiqua" w:hAnsi="Book Antiqua"/>
          <w:color w:val="000000"/>
        </w:rPr>
        <w:t xml:space="preserve">; Reid; PG&amp;E; POC; Powerex; PGP; SCE; SDG&amp;E; Shell; Solana; SCPA; </w:t>
      </w:r>
      <w:r w:rsidRPr="006613B4">
        <w:rPr>
          <w:rFonts w:ascii="Book Antiqua" w:hAnsi="Book Antiqua"/>
          <w:color w:val="000000"/>
        </w:rPr>
        <w:t>Tacoma Power; TransAlta</w:t>
      </w:r>
      <w:r w:rsidR="006613B4">
        <w:rPr>
          <w:rFonts w:ascii="Book Antiqua" w:hAnsi="Book Antiqua"/>
          <w:color w:val="000000"/>
        </w:rPr>
        <w:t xml:space="preserve"> Energy Marketing U.S. </w:t>
      </w:r>
      <w:r w:rsidRPr="00D149D6">
        <w:rPr>
          <w:rFonts w:ascii="Book Antiqua" w:hAnsi="Book Antiqua"/>
          <w:color w:val="000000"/>
        </w:rPr>
        <w:t xml:space="preserve">; and TURN. </w:t>
      </w:r>
    </w:p>
    <w:p w14:paraId="2F75CF20" w14:textId="77777777" w:rsidR="00364DCE" w:rsidRPr="00D149D6" w:rsidRDefault="00364DCE" w:rsidP="00364DCE">
      <w:pPr>
        <w:pStyle w:val="standard"/>
        <w:rPr>
          <w:rFonts w:ascii="Book Antiqua" w:hAnsi="Book Antiqua"/>
          <w:color w:val="000000"/>
        </w:rPr>
      </w:pPr>
      <w:r w:rsidRPr="00D149D6">
        <w:rPr>
          <w:rFonts w:ascii="Book Antiqua" w:hAnsi="Book Antiqua"/>
          <w:color w:val="000000"/>
        </w:rPr>
        <w:t xml:space="preserve">On October 5, 2018, a joint Assigned Commissioner and Administrative Law Judge ruling was issued granting the motions to file under seal and seeking comments on future confidentiality treatment in the IRP process.  </w:t>
      </w:r>
    </w:p>
    <w:p w14:paraId="5597D2D8" w14:textId="77777777" w:rsidR="00364DCE" w:rsidRPr="00D149D6" w:rsidRDefault="00364DCE" w:rsidP="009B4BCC">
      <w:pPr>
        <w:pStyle w:val="standard"/>
        <w:rPr>
          <w:rFonts w:ascii="Book Antiqua" w:hAnsi="Book Antiqua"/>
          <w:color w:val="000000"/>
        </w:rPr>
      </w:pPr>
      <w:r w:rsidRPr="00D149D6">
        <w:rPr>
          <w:rFonts w:ascii="Book Antiqua" w:hAnsi="Book Antiqua"/>
          <w:color w:val="000000"/>
        </w:rPr>
        <w:t>The issues related to future confidentiality treatment in the IRP process will be handled in an upcoming decision and are not addressed herein.</w:t>
      </w:r>
    </w:p>
    <w:p w14:paraId="3C80889A" w14:textId="77777777" w:rsidR="00364DCE" w:rsidRDefault="00364DCE" w:rsidP="004C75AB">
      <w:pPr>
        <w:pStyle w:val="Heading2"/>
      </w:pPr>
      <w:bookmarkStart w:id="30" w:name="_Toc3803825"/>
      <w:r>
        <w:t>Production Cost Modeling of Aggregated IRPs</w:t>
      </w:r>
      <w:bookmarkEnd w:id="30"/>
    </w:p>
    <w:p w14:paraId="2A055782" w14:textId="77777777" w:rsidR="00AA65CA" w:rsidRPr="00D149D6" w:rsidRDefault="00AA65CA" w:rsidP="009B4BCC">
      <w:pPr>
        <w:pStyle w:val="standard"/>
        <w:rPr>
          <w:rFonts w:ascii="Book Antiqua" w:hAnsi="Book Antiqua"/>
          <w:color w:val="000000"/>
        </w:rPr>
      </w:pPr>
      <w:r w:rsidRPr="00D149D6">
        <w:rPr>
          <w:rFonts w:ascii="Book Antiqua" w:hAnsi="Book Antiqua"/>
          <w:color w:val="000000"/>
        </w:rPr>
        <w:t>On September 24, 2018, an Administrative Law Judge (ALJ) ruling was issued seeking comment on production cost modeling conducted by Commission staff to analyze the reliability of the Reference Sys</w:t>
      </w:r>
      <w:r w:rsidR="00D0161E" w:rsidRPr="00D149D6">
        <w:rPr>
          <w:rFonts w:ascii="Book Antiqua" w:hAnsi="Book Antiqua"/>
          <w:color w:val="000000"/>
        </w:rPr>
        <w:t xml:space="preserve">tem Portfolio (RSP) adopted in </w:t>
      </w:r>
      <w:r w:rsidRPr="00D149D6">
        <w:rPr>
          <w:rFonts w:ascii="Book Antiqua" w:hAnsi="Book Antiqua"/>
          <w:color w:val="000000"/>
        </w:rPr>
        <w:t>D.18</w:t>
      </w:r>
      <w:r w:rsidR="00D84A09" w:rsidRPr="00D149D6">
        <w:rPr>
          <w:rFonts w:ascii="Book Antiqua" w:hAnsi="Book Antiqua"/>
          <w:color w:val="000000"/>
        </w:rPr>
        <w:noBreakHyphen/>
      </w:r>
      <w:r w:rsidRPr="00D149D6">
        <w:rPr>
          <w:rFonts w:ascii="Book Antiqua" w:hAnsi="Book Antiqua"/>
          <w:color w:val="000000"/>
        </w:rPr>
        <w:t>02</w:t>
      </w:r>
      <w:r w:rsidR="00D84A09" w:rsidRPr="00D149D6">
        <w:rPr>
          <w:rFonts w:ascii="Book Antiqua" w:hAnsi="Book Antiqua"/>
          <w:color w:val="000000"/>
        </w:rPr>
        <w:noBreakHyphen/>
      </w:r>
      <w:r w:rsidRPr="00D149D6">
        <w:rPr>
          <w:rFonts w:ascii="Book Antiqua" w:hAnsi="Book Antiqua"/>
          <w:color w:val="000000"/>
        </w:rPr>
        <w:t xml:space="preserve">018, as updated by newer assumptions from the 2017 </w:t>
      </w:r>
      <w:r w:rsidR="00FA4B27" w:rsidRPr="00D149D6">
        <w:rPr>
          <w:rFonts w:ascii="Book Antiqua" w:hAnsi="Book Antiqua"/>
        </w:rPr>
        <w:t xml:space="preserve">Integrated Energy Policy Report </w:t>
      </w:r>
      <w:r w:rsidR="00FA4B27">
        <w:rPr>
          <w:rFonts w:ascii="Book Antiqua" w:hAnsi="Book Antiqua"/>
        </w:rPr>
        <w:t>(</w:t>
      </w:r>
      <w:r w:rsidRPr="00D149D6">
        <w:rPr>
          <w:rFonts w:ascii="Book Antiqua" w:hAnsi="Book Antiqua"/>
          <w:color w:val="000000"/>
        </w:rPr>
        <w:t>IEPR</w:t>
      </w:r>
      <w:r w:rsidR="00FA4B27">
        <w:rPr>
          <w:rFonts w:ascii="Book Antiqua" w:hAnsi="Book Antiqua"/>
          <w:color w:val="000000"/>
        </w:rPr>
        <w:t>)</w:t>
      </w:r>
      <w:r w:rsidRPr="00D149D6">
        <w:rPr>
          <w:rFonts w:ascii="Book Antiqua" w:hAnsi="Book Antiqua"/>
          <w:color w:val="000000"/>
        </w:rPr>
        <w:t xml:space="preserve"> adopted by the California Energy Commission (CEC) in February 2018. </w:t>
      </w:r>
      <w:r w:rsidR="00E21DA5" w:rsidRPr="00D149D6">
        <w:rPr>
          <w:rFonts w:ascii="Book Antiqua" w:hAnsi="Book Antiqua"/>
          <w:color w:val="000000"/>
        </w:rPr>
        <w:t xml:space="preserve"> </w:t>
      </w:r>
      <w:r w:rsidRPr="00D149D6">
        <w:rPr>
          <w:rFonts w:ascii="Book Antiqua" w:hAnsi="Book Antiqua"/>
          <w:color w:val="000000"/>
        </w:rPr>
        <w:t xml:space="preserve">This ruling set the stage for the production cost modeling to be conducted to support the upcoming recommendation for a </w:t>
      </w:r>
      <w:r w:rsidR="00FA4B27">
        <w:rPr>
          <w:rFonts w:ascii="Book Antiqua" w:hAnsi="Book Antiqua"/>
          <w:color w:val="000000"/>
        </w:rPr>
        <w:t>PSP</w:t>
      </w:r>
      <w:r w:rsidRPr="00D149D6">
        <w:rPr>
          <w:rFonts w:ascii="Book Antiqua" w:hAnsi="Book Antiqua"/>
          <w:color w:val="000000"/>
        </w:rPr>
        <w:t xml:space="preserve"> being considered in this decision. </w:t>
      </w:r>
    </w:p>
    <w:p w14:paraId="29FAEEB8" w14:textId="77777777" w:rsidR="00B1466D" w:rsidRPr="00D149D6" w:rsidRDefault="00B1466D" w:rsidP="009B4BCC">
      <w:pPr>
        <w:pStyle w:val="standard"/>
        <w:rPr>
          <w:rFonts w:ascii="Book Antiqua" w:hAnsi="Book Antiqua"/>
          <w:color w:val="000000"/>
        </w:rPr>
      </w:pPr>
      <w:r w:rsidRPr="00D149D6">
        <w:rPr>
          <w:rFonts w:ascii="Book Antiqua" w:hAnsi="Book Antiqua"/>
          <w:color w:val="000000"/>
        </w:rPr>
        <w:t xml:space="preserve">On October 10, 2018, the following parties filed comments on the September 24, 2018 ALJ ruling about production cost modeling: </w:t>
      </w:r>
      <w:r w:rsidR="00DC47F2" w:rsidRPr="00D149D6">
        <w:rPr>
          <w:rFonts w:ascii="Book Antiqua" w:hAnsi="Book Antiqua"/>
          <w:color w:val="000000"/>
        </w:rPr>
        <w:t xml:space="preserve"> </w:t>
      </w:r>
      <w:r w:rsidR="009F438B" w:rsidRPr="00D149D6">
        <w:rPr>
          <w:rFonts w:ascii="Book Antiqua" w:hAnsi="Book Antiqua"/>
          <w:color w:val="000000"/>
        </w:rPr>
        <w:t xml:space="preserve">AWEA; California Independent System Operator (CAISO); </w:t>
      </w:r>
      <w:r w:rsidR="003E1509" w:rsidRPr="00D149D6">
        <w:rPr>
          <w:rFonts w:ascii="Book Antiqua" w:hAnsi="Book Antiqua"/>
          <w:color w:val="000000"/>
        </w:rPr>
        <w:t xml:space="preserve">Cal Advocates; </w:t>
      </w:r>
      <w:r w:rsidR="003E1509" w:rsidRPr="006613B4">
        <w:rPr>
          <w:rFonts w:ascii="Book Antiqua" w:hAnsi="Book Antiqua"/>
          <w:color w:val="000000"/>
        </w:rPr>
        <w:t>Calpine Corporation;</w:t>
      </w:r>
      <w:r w:rsidR="003E1509" w:rsidRPr="00D149D6">
        <w:rPr>
          <w:rFonts w:ascii="Book Antiqua" w:hAnsi="Book Antiqua"/>
          <w:color w:val="000000"/>
        </w:rPr>
        <w:t xml:space="preserve"> CalWEA; CEERT; </w:t>
      </w:r>
      <w:r w:rsidR="009F438B" w:rsidRPr="00D149D6">
        <w:rPr>
          <w:rFonts w:ascii="Book Antiqua" w:hAnsi="Book Antiqua"/>
          <w:color w:val="000000"/>
        </w:rPr>
        <w:t xml:space="preserve">CEJA and Sierra Club, jointly; GPI; Gridliance; LSA; NRDC; PG&amp;E; </w:t>
      </w:r>
      <w:r w:rsidR="003E1509" w:rsidRPr="00D149D6">
        <w:rPr>
          <w:rFonts w:ascii="Book Antiqua" w:hAnsi="Book Antiqua"/>
          <w:color w:val="000000"/>
        </w:rPr>
        <w:t xml:space="preserve">POC; </w:t>
      </w:r>
      <w:r w:rsidR="009F438B" w:rsidRPr="00D149D6">
        <w:rPr>
          <w:rFonts w:ascii="Book Antiqua" w:hAnsi="Book Antiqua"/>
          <w:color w:val="000000"/>
        </w:rPr>
        <w:t xml:space="preserve">SCE; SDG&amp;E; </w:t>
      </w:r>
      <w:r w:rsidR="003E1509" w:rsidRPr="00D149D6">
        <w:rPr>
          <w:rFonts w:ascii="Book Antiqua" w:hAnsi="Book Antiqua"/>
          <w:color w:val="000000"/>
        </w:rPr>
        <w:t xml:space="preserve">TURN; </w:t>
      </w:r>
      <w:r w:rsidR="009F438B" w:rsidRPr="00D149D6">
        <w:rPr>
          <w:rFonts w:ascii="Book Antiqua" w:hAnsi="Book Antiqua"/>
          <w:color w:val="000000"/>
        </w:rPr>
        <w:t>UCS; and WEM.</w:t>
      </w:r>
    </w:p>
    <w:p w14:paraId="1AA4D02E" w14:textId="77777777" w:rsidR="009F438B" w:rsidRPr="00D149D6" w:rsidRDefault="009F438B" w:rsidP="009B4BCC">
      <w:pPr>
        <w:pStyle w:val="standard"/>
        <w:rPr>
          <w:rFonts w:ascii="Book Antiqua" w:hAnsi="Book Antiqua"/>
          <w:color w:val="000000"/>
        </w:rPr>
      </w:pPr>
      <w:r w:rsidRPr="00D149D6">
        <w:rPr>
          <w:rFonts w:ascii="Book Antiqua" w:hAnsi="Book Antiqua"/>
          <w:color w:val="000000"/>
        </w:rPr>
        <w:t>On October 17, 2018, the following parties filed reply comments on production cost modeling:  CAISO; CEJA and Sierra Club, jointly; GPI; GridLiance; LSA</w:t>
      </w:r>
      <w:r w:rsidR="00A35454" w:rsidRPr="00D149D6">
        <w:rPr>
          <w:rFonts w:ascii="Book Antiqua" w:hAnsi="Book Antiqua"/>
          <w:color w:val="000000"/>
        </w:rPr>
        <w:t xml:space="preserve"> and </w:t>
      </w:r>
      <w:r w:rsidR="00FE6E44" w:rsidRPr="00D149D6">
        <w:rPr>
          <w:rFonts w:ascii="Book Antiqua" w:hAnsi="Book Antiqua"/>
          <w:color w:val="000000"/>
        </w:rPr>
        <w:t>Solar Energy Industries Association (</w:t>
      </w:r>
      <w:r w:rsidR="00A35454" w:rsidRPr="00D149D6">
        <w:rPr>
          <w:rFonts w:ascii="Book Antiqua" w:hAnsi="Book Antiqua"/>
          <w:color w:val="000000"/>
        </w:rPr>
        <w:t>SEIA</w:t>
      </w:r>
      <w:r w:rsidR="00FE6E44" w:rsidRPr="00D149D6">
        <w:rPr>
          <w:rFonts w:ascii="Book Antiqua" w:hAnsi="Book Antiqua"/>
          <w:color w:val="000000"/>
        </w:rPr>
        <w:t>)</w:t>
      </w:r>
      <w:r w:rsidR="00A35454" w:rsidRPr="00D149D6">
        <w:rPr>
          <w:rFonts w:ascii="Book Antiqua" w:hAnsi="Book Antiqua"/>
          <w:color w:val="000000"/>
        </w:rPr>
        <w:t>, jointly</w:t>
      </w:r>
      <w:r w:rsidRPr="00D149D6">
        <w:rPr>
          <w:rFonts w:ascii="Book Antiqua" w:hAnsi="Book Antiqua"/>
          <w:color w:val="000000"/>
        </w:rPr>
        <w:t xml:space="preserve">; POC; and SCE.  </w:t>
      </w:r>
    </w:p>
    <w:p w14:paraId="3FD32531" w14:textId="77777777" w:rsidR="00E23BE4" w:rsidRPr="00D149D6" w:rsidRDefault="00E23BE4" w:rsidP="009B4BCC">
      <w:pPr>
        <w:pStyle w:val="standard"/>
        <w:rPr>
          <w:rFonts w:ascii="Book Antiqua" w:hAnsi="Book Antiqua"/>
          <w:color w:val="000000"/>
        </w:rPr>
      </w:pPr>
      <w:r w:rsidRPr="00D149D6">
        <w:rPr>
          <w:rFonts w:ascii="Book Antiqua" w:hAnsi="Book Antiqua"/>
          <w:color w:val="000000"/>
        </w:rPr>
        <w:t>On October 31, 2018, Commission staff hosted a workshop on production cost modeling, aggregat</w:t>
      </w:r>
      <w:r w:rsidR="00745055">
        <w:rPr>
          <w:rFonts w:ascii="Book Antiqua" w:hAnsi="Book Antiqua"/>
          <w:color w:val="000000"/>
        </w:rPr>
        <w:t>ion of LSE plans</w:t>
      </w:r>
      <w:r w:rsidRPr="00D149D6">
        <w:rPr>
          <w:rFonts w:ascii="Book Antiqua" w:hAnsi="Book Antiqua"/>
          <w:color w:val="000000"/>
        </w:rPr>
        <w:t xml:space="preserve">, and preliminary thoughts on portfolios to send to the CAISO for transmission planning. </w:t>
      </w:r>
    </w:p>
    <w:p w14:paraId="22469049" w14:textId="77777777" w:rsidR="00364DCE" w:rsidRPr="00D149D6" w:rsidRDefault="00364DCE" w:rsidP="009B4BCC">
      <w:pPr>
        <w:pStyle w:val="standard"/>
        <w:rPr>
          <w:rFonts w:ascii="Book Antiqua" w:hAnsi="Book Antiqua"/>
          <w:color w:val="000000"/>
        </w:rPr>
      </w:pPr>
      <w:r w:rsidRPr="00D149D6">
        <w:rPr>
          <w:rFonts w:ascii="Book Antiqua" w:hAnsi="Book Antiqua"/>
          <w:color w:val="000000"/>
        </w:rPr>
        <w:t>On November 15, 2018, an ALJ ruling was issued finalizing the production cost modeling approach in response to comments received from parties on the September 24, 2018 ALJ ruling.</w:t>
      </w:r>
    </w:p>
    <w:p w14:paraId="0819FEF0" w14:textId="77777777" w:rsidR="008939F1" w:rsidRDefault="008939F1" w:rsidP="004C75AB">
      <w:pPr>
        <w:pStyle w:val="Heading2"/>
      </w:pPr>
      <w:bookmarkStart w:id="31" w:name="_Toc3803826"/>
      <w:r>
        <w:t>Preferred System Portfolio and Transmission Planning Process Recommendations</w:t>
      </w:r>
      <w:bookmarkEnd w:id="31"/>
    </w:p>
    <w:p w14:paraId="6855FC6D" w14:textId="77777777" w:rsidR="00E23BE4" w:rsidRPr="00D149D6" w:rsidRDefault="00E23BE4" w:rsidP="008939F1">
      <w:pPr>
        <w:pStyle w:val="sub1"/>
        <w:rPr>
          <w:rFonts w:ascii="Book Antiqua" w:hAnsi="Book Antiqua"/>
        </w:rPr>
      </w:pPr>
      <w:r w:rsidRPr="00D149D6">
        <w:rPr>
          <w:rFonts w:ascii="Book Antiqua" w:hAnsi="Book Antiqua"/>
        </w:rPr>
        <w:t xml:space="preserve">On January 7, 2019, Commission staff hosted a workshop to present the results of their production cost modeling, aggregation of LSE plans, and recommendations on the preferred system portfolio. </w:t>
      </w:r>
    </w:p>
    <w:p w14:paraId="45C1C720" w14:textId="1677A54D" w:rsidR="008939F1" w:rsidRPr="00D149D6" w:rsidRDefault="008939F1" w:rsidP="008939F1">
      <w:pPr>
        <w:pStyle w:val="sub1"/>
        <w:rPr>
          <w:rFonts w:ascii="Book Antiqua" w:hAnsi="Book Antiqua"/>
        </w:rPr>
      </w:pPr>
      <w:r w:rsidRPr="00D149D6">
        <w:rPr>
          <w:rFonts w:ascii="Book Antiqua" w:hAnsi="Book Antiqua"/>
        </w:rPr>
        <w:t xml:space="preserve">On January 11, 2019 an ALJ ruling was issued with recommendations about the resource portfolio to use for the </w:t>
      </w:r>
      <w:r w:rsidR="00FE6E44" w:rsidRPr="00D149D6">
        <w:rPr>
          <w:rFonts w:ascii="Book Antiqua" w:hAnsi="Book Antiqua"/>
        </w:rPr>
        <w:t>PSP</w:t>
      </w:r>
      <w:r w:rsidRPr="00D149D6">
        <w:rPr>
          <w:rFonts w:ascii="Book Antiqua" w:hAnsi="Book Antiqua"/>
        </w:rPr>
        <w:t xml:space="preserve">, as well as recommendations for portfolios to be transmitted to the CAISO for their annual Transmission Planning Process (TPP). </w:t>
      </w:r>
      <w:r w:rsidR="00A52514">
        <w:rPr>
          <w:rFonts w:ascii="Book Antiqua" w:hAnsi="Book Antiqua"/>
        </w:rPr>
        <w:t xml:space="preserve"> </w:t>
      </w:r>
      <w:r w:rsidR="00AA6EB0">
        <w:rPr>
          <w:rFonts w:ascii="Book Antiqua" w:hAnsi="Book Antiqua"/>
        </w:rPr>
        <w:t xml:space="preserve">This ruling also sought input about any actions the Commission should take as a result of the recommended resource portfolio. </w:t>
      </w:r>
    </w:p>
    <w:p w14:paraId="3600F52F" w14:textId="77777777" w:rsidR="00320C50" w:rsidRPr="00D149D6" w:rsidRDefault="006D4FC9" w:rsidP="008939F1">
      <w:pPr>
        <w:pStyle w:val="sub1"/>
        <w:rPr>
          <w:rFonts w:ascii="Book Antiqua" w:hAnsi="Book Antiqua"/>
        </w:rPr>
      </w:pPr>
      <w:r w:rsidRPr="00D149D6">
        <w:rPr>
          <w:rFonts w:ascii="Book Antiqua" w:hAnsi="Book Antiqua"/>
        </w:rPr>
        <w:t>Comments in response to this ALJ ruling were submitted on or before January 31, 2019 by the following parties:</w:t>
      </w:r>
      <w:r w:rsidR="00CD730A" w:rsidRPr="00D149D6">
        <w:rPr>
          <w:rFonts w:ascii="Book Antiqua" w:hAnsi="Book Antiqua"/>
        </w:rPr>
        <w:t xml:space="preserve"> </w:t>
      </w:r>
      <w:r w:rsidR="00DC47F2" w:rsidRPr="00D149D6">
        <w:rPr>
          <w:rFonts w:ascii="Book Antiqua" w:hAnsi="Book Antiqua"/>
        </w:rPr>
        <w:t xml:space="preserve"> </w:t>
      </w:r>
      <w:r w:rsidR="004E5384" w:rsidRPr="00D149D6">
        <w:rPr>
          <w:rFonts w:ascii="Book Antiqua" w:hAnsi="Book Antiqua"/>
        </w:rPr>
        <w:t>Advanced Energy Economy (</w:t>
      </w:r>
      <w:r w:rsidR="00CD730A" w:rsidRPr="00D149D6">
        <w:rPr>
          <w:rFonts w:ascii="Book Antiqua" w:hAnsi="Book Antiqua"/>
        </w:rPr>
        <w:t>AEE</w:t>
      </w:r>
      <w:r w:rsidR="004E5384" w:rsidRPr="00D149D6">
        <w:rPr>
          <w:rFonts w:ascii="Book Antiqua" w:hAnsi="Book Antiqua"/>
        </w:rPr>
        <w:t>)</w:t>
      </w:r>
      <w:r w:rsidR="00CD730A" w:rsidRPr="00D149D6">
        <w:rPr>
          <w:rFonts w:ascii="Book Antiqua" w:hAnsi="Book Antiqua"/>
        </w:rPr>
        <w:t xml:space="preserve">; </w:t>
      </w:r>
      <w:r w:rsidRPr="00D149D6">
        <w:rPr>
          <w:rFonts w:ascii="Book Antiqua" w:hAnsi="Book Antiqua"/>
        </w:rPr>
        <w:t xml:space="preserve">AReM; </w:t>
      </w:r>
      <w:r w:rsidR="00CD730A" w:rsidRPr="00D149D6">
        <w:rPr>
          <w:rFonts w:ascii="Book Antiqua" w:hAnsi="Book Antiqua"/>
        </w:rPr>
        <w:t xml:space="preserve">AWEA; </w:t>
      </w:r>
      <w:r w:rsidRPr="00D149D6">
        <w:rPr>
          <w:rFonts w:ascii="Book Antiqua" w:hAnsi="Book Antiqua"/>
        </w:rPr>
        <w:t xml:space="preserve">the Bay Area Municipal Transmission Group (BAMx); </w:t>
      </w:r>
      <w:r w:rsidR="00A2327D">
        <w:rPr>
          <w:rFonts w:ascii="Book Antiqua" w:hAnsi="Book Antiqua"/>
        </w:rPr>
        <w:t>Cal </w:t>
      </w:r>
      <w:r w:rsidR="00CD730A" w:rsidRPr="00D149D6">
        <w:rPr>
          <w:rFonts w:ascii="Book Antiqua" w:hAnsi="Book Antiqua"/>
        </w:rPr>
        <w:t xml:space="preserve">Energy Development Company; Cal Advocates; CAISO; Calpine Corporation; </w:t>
      </w:r>
      <w:r w:rsidRPr="00D149D6">
        <w:rPr>
          <w:rFonts w:ascii="Book Antiqua" w:hAnsi="Book Antiqua"/>
        </w:rPr>
        <w:t xml:space="preserve">CEERT; </w:t>
      </w:r>
      <w:r w:rsidR="00CD730A" w:rsidRPr="00D149D6">
        <w:rPr>
          <w:rFonts w:ascii="Book Antiqua" w:hAnsi="Book Antiqua"/>
        </w:rPr>
        <w:t xml:space="preserve">CEJA and Sierra Club, jointly; CESA; </w:t>
      </w:r>
      <w:r w:rsidRPr="00D149D6">
        <w:rPr>
          <w:rFonts w:ascii="Book Antiqua" w:hAnsi="Book Antiqua"/>
        </w:rPr>
        <w:t xml:space="preserve">CLECA; </w:t>
      </w:r>
      <w:r w:rsidR="00CD730A" w:rsidRPr="00D149D6">
        <w:rPr>
          <w:rFonts w:ascii="Book Antiqua" w:hAnsi="Book Antiqua"/>
        </w:rPr>
        <w:t xml:space="preserve">DOW; EDF; </w:t>
      </w:r>
      <w:r w:rsidRPr="00D149D6">
        <w:rPr>
          <w:rFonts w:ascii="Book Antiqua" w:hAnsi="Book Antiqua"/>
        </w:rPr>
        <w:t xml:space="preserve">GPI; </w:t>
      </w:r>
      <w:r w:rsidR="00CD730A" w:rsidRPr="00D149D6">
        <w:rPr>
          <w:rFonts w:ascii="Book Antiqua" w:hAnsi="Book Antiqua"/>
        </w:rPr>
        <w:t xml:space="preserve">Gridliance; </w:t>
      </w:r>
      <w:r w:rsidRPr="00D149D6">
        <w:rPr>
          <w:rFonts w:ascii="Book Antiqua" w:hAnsi="Book Antiqua"/>
        </w:rPr>
        <w:t xml:space="preserve">Hell’s Kitchen Geothermal; Imperial Irrigation District (IID); </w:t>
      </w:r>
      <w:r w:rsidR="00CD730A" w:rsidRPr="00D149D6">
        <w:rPr>
          <w:rFonts w:ascii="Book Antiqua" w:hAnsi="Book Antiqua"/>
        </w:rPr>
        <w:t xml:space="preserve">IEP; </w:t>
      </w:r>
      <w:r w:rsidR="00250907" w:rsidRPr="00D149D6">
        <w:rPr>
          <w:rFonts w:ascii="Book Antiqua" w:hAnsi="Book Antiqua"/>
        </w:rPr>
        <w:t>Joint CCAs, a joint filing of MCE</w:t>
      </w:r>
      <w:r w:rsidR="00250907" w:rsidRPr="00A2327D">
        <w:rPr>
          <w:rFonts w:ascii="Book Antiqua" w:hAnsi="Book Antiqua"/>
          <w:b/>
        </w:rPr>
        <w:t xml:space="preserve">, </w:t>
      </w:r>
      <w:r w:rsidR="004779DC">
        <w:rPr>
          <w:rFonts w:ascii="Book Antiqua" w:hAnsi="Book Antiqua"/>
        </w:rPr>
        <w:t>Sonoma Clean Power Authority (SCP),</w:t>
      </w:r>
      <w:r w:rsidR="00250907" w:rsidRPr="00D149D6">
        <w:rPr>
          <w:rFonts w:ascii="Book Antiqua" w:hAnsi="Book Antiqua"/>
        </w:rPr>
        <w:t xml:space="preserve"> SVCE, </w:t>
      </w:r>
      <w:r w:rsidR="00403396" w:rsidRPr="00D149D6">
        <w:rPr>
          <w:rFonts w:ascii="Book Antiqua" w:hAnsi="Book Antiqua"/>
        </w:rPr>
        <w:t xml:space="preserve">Lancaster, </w:t>
      </w:r>
      <w:r w:rsidR="00FE6E44" w:rsidRPr="00D149D6">
        <w:rPr>
          <w:rFonts w:ascii="Book Antiqua" w:hAnsi="Book Antiqua"/>
        </w:rPr>
        <w:t>PRIME</w:t>
      </w:r>
      <w:r w:rsidR="00403396" w:rsidRPr="00D149D6">
        <w:rPr>
          <w:rFonts w:ascii="Book Antiqua" w:hAnsi="Book Antiqua"/>
        </w:rPr>
        <w:t xml:space="preserve">, San Jacinto, Rancho Mirage, </w:t>
      </w:r>
      <w:r w:rsidR="00AE55CA" w:rsidRPr="00D149D6">
        <w:rPr>
          <w:rFonts w:ascii="Book Antiqua" w:hAnsi="Book Antiqua"/>
        </w:rPr>
        <w:t>AVCE</w:t>
      </w:r>
      <w:r w:rsidR="00403396" w:rsidRPr="00D149D6">
        <w:rPr>
          <w:rFonts w:ascii="Book Antiqua" w:hAnsi="Book Antiqua"/>
        </w:rPr>
        <w:t xml:space="preserve">, </w:t>
      </w:r>
      <w:r w:rsidR="00250907" w:rsidRPr="00D149D6">
        <w:rPr>
          <w:rFonts w:ascii="Book Antiqua" w:hAnsi="Book Antiqua"/>
        </w:rPr>
        <w:t xml:space="preserve">PCE, </w:t>
      </w:r>
      <w:r w:rsidR="00403396" w:rsidRPr="00D149D6">
        <w:rPr>
          <w:rFonts w:ascii="Book Antiqua" w:hAnsi="Book Antiqua"/>
        </w:rPr>
        <w:t xml:space="preserve">and </w:t>
      </w:r>
      <w:r w:rsidR="00250907" w:rsidRPr="00D149D6">
        <w:rPr>
          <w:rFonts w:ascii="Book Antiqua" w:hAnsi="Book Antiqua"/>
        </w:rPr>
        <w:t xml:space="preserve">Monterey Bay; </w:t>
      </w:r>
      <w:r w:rsidR="00CD730A" w:rsidRPr="00D149D6">
        <w:rPr>
          <w:rFonts w:ascii="Book Antiqua" w:hAnsi="Book Antiqua"/>
        </w:rPr>
        <w:t>Reid; LSA; LS Power</w:t>
      </w:r>
      <w:r w:rsidR="00D1686B" w:rsidRPr="00D149D6">
        <w:rPr>
          <w:rFonts w:ascii="Book Antiqua" w:hAnsi="Book Antiqua"/>
        </w:rPr>
        <w:t xml:space="preserve"> Development, LLC (LS Power)</w:t>
      </w:r>
      <w:r w:rsidR="00CD730A" w:rsidRPr="00D149D6">
        <w:rPr>
          <w:rFonts w:ascii="Book Antiqua" w:hAnsi="Book Antiqua"/>
        </w:rPr>
        <w:t xml:space="preserve">; </w:t>
      </w:r>
      <w:r w:rsidR="005A1DD0" w:rsidRPr="00D149D6">
        <w:rPr>
          <w:rFonts w:ascii="Book Antiqua" w:hAnsi="Book Antiqua"/>
        </w:rPr>
        <w:t xml:space="preserve">Nevada Hydro Company; </w:t>
      </w:r>
      <w:r w:rsidRPr="00D149D6">
        <w:rPr>
          <w:rFonts w:ascii="Book Antiqua" w:hAnsi="Book Antiqua"/>
        </w:rPr>
        <w:t xml:space="preserve">NRDC; </w:t>
      </w:r>
      <w:r w:rsidR="00CD730A" w:rsidRPr="006613B4">
        <w:rPr>
          <w:rFonts w:ascii="Book Antiqua" w:hAnsi="Book Antiqua"/>
        </w:rPr>
        <w:t>NRG</w:t>
      </w:r>
      <w:r w:rsidR="00A2327D" w:rsidRPr="006613B4">
        <w:rPr>
          <w:rFonts w:ascii="Book Antiqua" w:hAnsi="Book Antiqua"/>
        </w:rPr>
        <w:t xml:space="preserve"> </w:t>
      </w:r>
      <w:r w:rsidR="006613B4">
        <w:rPr>
          <w:rFonts w:ascii="Book Antiqua" w:hAnsi="Book Antiqua"/>
        </w:rPr>
        <w:t>Energy In. (NRG)</w:t>
      </w:r>
      <w:r w:rsidR="00CD730A" w:rsidRPr="00D149D6">
        <w:rPr>
          <w:rFonts w:ascii="Book Antiqua" w:hAnsi="Book Antiqua"/>
        </w:rPr>
        <w:t xml:space="preserve">; Ormat Technologies (Ormat); </w:t>
      </w:r>
      <w:r w:rsidRPr="00D149D6">
        <w:rPr>
          <w:rFonts w:ascii="Book Antiqua" w:hAnsi="Book Antiqua"/>
        </w:rPr>
        <w:t xml:space="preserve">PG&amp;E; </w:t>
      </w:r>
      <w:r w:rsidR="00CD730A" w:rsidRPr="00D149D6">
        <w:rPr>
          <w:rFonts w:ascii="Book Antiqua" w:hAnsi="Book Antiqua"/>
        </w:rPr>
        <w:t>POC; Powerex; San Diego County Water Authority (SDCWA); SCE</w:t>
      </w:r>
      <w:r w:rsidR="002E1EB7">
        <w:rPr>
          <w:rFonts w:ascii="Book Antiqua" w:hAnsi="Book Antiqua"/>
        </w:rPr>
        <w:t xml:space="preserve"> (confidential version)</w:t>
      </w:r>
      <w:r w:rsidR="00CD730A" w:rsidRPr="00D149D6">
        <w:rPr>
          <w:rFonts w:ascii="Book Antiqua" w:hAnsi="Book Antiqua"/>
        </w:rPr>
        <w:t xml:space="preserve">; </w:t>
      </w:r>
      <w:r w:rsidRPr="00D149D6">
        <w:rPr>
          <w:rFonts w:ascii="Book Antiqua" w:hAnsi="Book Antiqua"/>
        </w:rPr>
        <w:t xml:space="preserve">SDG&amp;E; SWPG; </w:t>
      </w:r>
      <w:r w:rsidR="00CD730A" w:rsidRPr="00D149D6">
        <w:rPr>
          <w:rFonts w:ascii="Book Antiqua" w:hAnsi="Book Antiqua"/>
        </w:rPr>
        <w:t xml:space="preserve">TransWest Express, LLC (TransWest); </w:t>
      </w:r>
      <w:r w:rsidRPr="00D149D6">
        <w:rPr>
          <w:rFonts w:ascii="Book Antiqua" w:hAnsi="Book Antiqua"/>
        </w:rPr>
        <w:t xml:space="preserve">TURN; </w:t>
      </w:r>
      <w:r w:rsidR="00CD730A" w:rsidRPr="00D149D6">
        <w:rPr>
          <w:rFonts w:ascii="Book Antiqua" w:hAnsi="Book Antiqua"/>
        </w:rPr>
        <w:t xml:space="preserve">UCS; </w:t>
      </w:r>
      <w:r w:rsidR="00AA55C5" w:rsidRPr="00D149D6">
        <w:rPr>
          <w:rFonts w:ascii="Book Antiqua" w:hAnsi="Book Antiqua"/>
        </w:rPr>
        <w:t>Wellhead Power Solutions, LLC (</w:t>
      </w:r>
      <w:r w:rsidRPr="00D149D6">
        <w:rPr>
          <w:rFonts w:ascii="Book Antiqua" w:hAnsi="Book Antiqua"/>
        </w:rPr>
        <w:t>Wellhead</w:t>
      </w:r>
      <w:r w:rsidR="00AA55C5" w:rsidRPr="00D149D6">
        <w:rPr>
          <w:rFonts w:ascii="Book Antiqua" w:hAnsi="Book Antiqua"/>
        </w:rPr>
        <w:t>)</w:t>
      </w:r>
      <w:r w:rsidRPr="00D149D6">
        <w:rPr>
          <w:rFonts w:ascii="Book Antiqua" w:hAnsi="Book Antiqua"/>
        </w:rPr>
        <w:t xml:space="preserve">; </w:t>
      </w:r>
      <w:r w:rsidR="00250907" w:rsidRPr="00D149D6">
        <w:rPr>
          <w:rFonts w:ascii="Book Antiqua" w:hAnsi="Book Antiqua"/>
        </w:rPr>
        <w:t xml:space="preserve">and </w:t>
      </w:r>
      <w:r w:rsidR="006D5B14">
        <w:rPr>
          <w:rFonts w:ascii="Book Antiqua" w:hAnsi="Book Antiqua"/>
        </w:rPr>
        <w:t>Western Pow</w:t>
      </w:r>
      <w:r w:rsidR="002E1EB7">
        <w:rPr>
          <w:rFonts w:ascii="Book Antiqua" w:hAnsi="Book Antiqua"/>
        </w:rPr>
        <w:t>e</w:t>
      </w:r>
      <w:r w:rsidR="006D5B14">
        <w:rPr>
          <w:rFonts w:ascii="Book Antiqua" w:hAnsi="Book Antiqua"/>
        </w:rPr>
        <w:t>r Trading Forum (</w:t>
      </w:r>
      <w:r w:rsidR="00CD730A" w:rsidRPr="006D5B14">
        <w:rPr>
          <w:rFonts w:ascii="Book Antiqua" w:hAnsi="Book Antiqua"/>
        </w:rPr>
        <w:t>WPTF</w:t>
      </w:r>
      <w:r w:rsidR="006D5B14" w:rsidRPr="006D5B14">
        <w:rPr>
          <w:rFonts w:ascii="Book Antiqua" w:hAnsi="Book Antiqua"/>
        </w:rPr>
        <w:t>)</w:t>
      </w:r>
      <w:r w:rsidR="00CD730A" w:rsidRPr="006D5B14">
        <w:rPr>
          <w:rFonts w:ascii="Book Antiqua" w:hAnsi="Book Antiqua"/>
        </w:rPr>
        <w:t>.</w:t>
      </w:r>
      <w:r w:rsidR="00CD730A" w:rsidRPr="00D149D6">
        <w:rPr>
          <w:rFonts w:ascii="Book Antiqua" w:hAnsi="Book Antiqua"/>
        </w:rPr>
        <w:t xml:space="preserve"> </w:t>
      </w:r>
      <w:r w:rsidR="00E21DA5" w:rsidRPr="00D149D6">
        <w:rPr>
          <w:rFonts w:ascii="Book Antiqua" w:hAnsi="Book Antiqua"/>
        </w:rPr>
        <w:t xml:space="preserve"> </w:t>
      </w:r>
      <w:r w:rsidR="00BB3034" w:rsidRPr="00D149D6">
        <w:rPr>
          <w:rFonts w:ascii="Book Antiqua" w:hAnsi="Book Antiqua"/>
        </w:rPr>
        <w:t xml:space="preserve">SCE also submitted a concurrent motion to file a confidentiality version of its January 31, 2019 comments under seal. </w:t>
      </w:r>
      <w:r w:rsidR="00E21DA5" w:rsidRPr="00D149D6">
        <w:rPr>
          <w:rFonts w:ascii="Book Antiqua" w:hAnsi="Book Antiqua"/>
        </w:rPr>
        <w:t xml:space="preserve"> </w:t>
      </w:r>
      <w:r w:rsidR="00AA55C5" w:rsidRPr="00D149D6">
        <w:rPr>
          <w:rFonts w:ascii="Book Antiqua" w:hAnsi="Book Antiqua"/>
        </w:rPr>
        <w:t xml:space="preserve">That motion is granted in this decision. </w:t>
      </w:r>
    </w:p>
    <w:p w14:paraId="5DCAEEC1" w14:textId="77777777" w:rsidR="006D4FC9" w:rsidRPr="00D149D6" w:rsidRDefault="00CD730A" w:rsidP="008939F1">
      <w:pPr>
        <w:pStyle w:val="sub1"/>
        <w:rPr>
          <w:rFonts w:ascii="Book Antiqua" w:hAnsi="Book Antiqua"/>
        </w:rPr>
      </w:pPr>
      <w:r w:rsidRPr="00D149D6">
        <w:rPr>
          <w:rFonts w:ascii="Book Antiqua" w:hAnsi="Book Antiqua"/>
        </w:rPr>
        <w:t>Reply comments were submitted on or before February 11, 2019 by the following parties</w:t>
      </w:r>
      <w:r w:rsidR="008D753E" w:rsidRPr="00D149D6">
        <w:rPr>
          <w:rFonts w:ascii="Book Antiqua" w:hAnsi="Book Antiqua"/>
        </w:rPr>
        <w:t>:</w:t>
      </w:r>
      <w:r w:rsidR="00845858" w:rsidRPr="00D149D6">
        <w:rPr>
          <w:rFonts w:ascii="Book Antiqua" w:hAnsi="Book Antiqua"/>
        </w:rPr>
        <w:t xml:space="preserve"> </w:t>
      </w:r>
      <w:r w:rsidR="00DC47F2" w:rsidRPr="00D149D6">
        <w:rPr>
          <w:rFonts w:ascii="Book Antiqua" w:hAnsi="Book Antiqua"/>
        </w:rPr>
        <w:t xml:space="preserve"> </w:t>
      </w:r>
      <w:r w:rsidR="00845858" w:rsidRPr="00D149D6">
        <w:rPr>
          <w:rFonts w:ascii="Book Antiqua" w:hAnsi="Book Antiqua"/>
        </w:rPr>
        <w:t>AReM; AWEA; BAMx;</w:t>
      </w:r>
      <w:r w:rsidR="00E80875" w:rsidRPr="00D149D6">
        <w:rPr>
          <w:rFonts w:ascii="Book Antiqua" w:hAnsi="Book Antiqua"/>
        </w:rPr>
        <w:t xml:space="preserve"> </w:t>
      </w:r>
      <w:r w:rsidR="00C74C0B">
        <w:rPr>
          <w:rFonts w:ascii="Book Antiqua" w:hAnsi="Book Antiqua"/>
        </w:rPr>
        <w:t>Cal </w:t>
      </w:r>
      <w:r w:rsidR="00845858" w:rsidRPr="00D149D6">
        <w:rPr>
          <w:rFonts w:ascii="Book Antiqua" w:hAnsi="Book Antiqua"/>
        </w:rPr>
        <w:t xml:space="preserve">Advocates; CAISO; CEERT; CEJA and Sierra Club, jointly; </w:t>
      </w:r>
      <w:r w:rsidR="00547A98">
        <w:rPr>
          <w:rFonts w:ascii="Book Antiqua" w:hAnsi="Book Antiqua"/>
        </w:rPr>
        <w:t xml:space="preserve">Coalition for the Optimization of Renewable Development (CORD); </w:t>
      </w:r>
      <w:r w:rsidR="006F2419" w:rsidRPr="00D149D6">
        <w:rPr>
          <w:rFonts w:ascii="Book Antiqua" w:hAnsi="Book Antiqua"/>
        </w:rPr>
        <w:t xml:space="preserve">EDF; GPI; </w:t>
      </w:r>
      <w:r w:rsidR="00845858" w:rsidRPr="00D149D6">
        <w:rPr>
          <w:rFonts w:ascii="Book Antiqua" w:hAnsi="Book Antiqua"/>
        </w:rPr>
        <w:t xml:space="preserve">GridLiance; IID; NRDC; PG&amp;E; POC; </w:t>
      </w:r>
      <w:r w:rsidR="00E80875" w:rsidRPr="00D149D6">
        <w:rPr>
          <w:rFonts w:ascii="Book Antiqua" w:hAnsi="Book Antiqua"/>
        </w:rPr>
        <w:t xml:space="preserve">PGP; </w:t>
      </w:r>
      <w:r w:rsidR="00845858" w:rsidRPr="00D149D6">
        <w:rPr>
          <w:rFonts w:ascii="Book Antiqua" w:hAnsi="Book Antiqua"/>
        </w:rPr>
        <w:t xml:space="preserve">SCE; SDG&amp;E; SWPG; TransWest; TURN; and Wellhead. </w:t>
      </w:r>
    </w:p>
    <w:p w14:paraId="4D36446B" w14:textId="77777777" w:rsidR="00C0199D" w:rsidRDefault="00C0199D" w:rsidP="004C75AB">
      <w:pPr>
        <w:pStyle w:val="Heading2"/>
      </w:pPr>
      <w:bookmarkStart w:id="32" w:name="_Toc3803827"/>
      <w:r>
        <w:t>Near</w:t>
      </w:r>
      <w:r w:rsidR="00D84A09">
        <w:noBreakHyphen/>
      </w:r>
      <w:r>
        <w:t xml:space="preserve"> and Medium</w:t>
      </w:r>
      <w:r w:rsidR="00D84A09">
        <w:noBreakHyphen/>
      </w:r>
      <w:r>
        <w:t>Term Reliability Issues</w:t>
      </w:r>
      <w:bookmarkEnd w:id="32"/>
    </w:p>
    <w:p w14:paraId="35EBA2B3" w14:textId="77777777" w:rsidR="00C0199D" w:rsidRPr="00D149D6" w:rsidRDefault="00C0199D" w:rsidP="00C0199D">
      <w:pPr>
        <w:pStyle w:val="sub1"/>
        <w:rPr>
          <w:rFonts w:ascii="Book Antiqua" w:hAnsi="Book Antiqua"/>
        </w:rPr>
      </w:pPr>
      <w:r w:rsidRPr="00D149D6">
        <w:rPr>
          <w:rFonts w:ascii="Book Antiqua" w:hAnsi="Book Antiqua"/>
        </w:rPr>
        <w:t>On November 16, 2018, a joint</w:t>
      </w:r>
      <w:r w:rsidR="00C74C0B">
        <w:rPr>
          <w:rFonts w:ascii="Book Antiqua" w:hAnsi="Book Antiqua"/>
        </w:rPr>
        <w:t xml:space="preserve"> Assigned Commissioner and ALJ R</w:t>
      </w:r>
      <w:r w:rsidRPr="00D149D6">
        <w:rPr>
          <w:rFonts w:ascii="Book Antiqua" w:hAnsi="Book Antiqua"/>
        </w:rPr>
        <w:t xml:space="preserve">uling was issued seeking comment on policy issues related to reliability. </w:t>
      </w:r>
    </w:p>
    <w:p w14:paraId="2BCD8119" w14:textId="77777777" w:rsidR="00C0199D" w:rsidRPr="00D149D6" w:rsidRDefault="00C0199D" w:rsidP="00C0199D">
      <w:pPr>
        <w:pStyle w:val="sub1"/>
        <w:rPr>
          <w:rFonts w:ascii="Book Antiqua" w:hAnsi="Book Antiqua"/>
        </w:rPr>
      </w:pPr>
      <w:r w:rsidRPr="00D149D6">
        <w:rPr>
          <w:rFonts w:ascii="Book Antiqua" w:hAnsi="Book Antiqua"/>
        </w:rPr>
        <w:t>Comments in response to the joint</w:t>
      </w:r>
      <w:r w:rsidR="00C74C0B">
        <w:rPr>
          <w:rFonts w:ascii="Book Antiqua" w:hAnsi="Book Antiqua"/>
        </w:rPr>
        <w:t xml:space="preserve"> Assigned Commissioner and ALJ R</w:t>
      </w:r>
      <w:r w:rsidRPr="00D149D6">
        <w:rPr>
          <w:rFonts w:ascii="Book Antiqua" w:hAnsi="Book Antiqua"/>
        </w:rPr>
        <w:t xml:space="preserve">uling were filed on </w:t>
      </w:r>
      <w:r w:rsidR="00AE1684" w:rsidRPr="00D149D6">
        <w:rPr>
          <w:rFonts w:ascii="Book Antiqua" w:hAnsi="Book Antiqua"/>
        </w:rPr>
        <w:t xml:space="preserve">or before </w:t>
      </w:r>
      <w:r w:rsidRPr="00D149D6">
        <w:rPr>
          <w:rFonts w:ascii="Book Antiqua" w:hAnsi="Book Antiqua"/>
        </w:rPr>
        <w:t>December 20, 2018 by the following parties:</w:t>
      </w:r>
      <w:r w:rsidR="00AE1684" w:rsidRPr="00D149D6">
        <w:rPr>
          <w:rFonts w:ascii="Book Antiqua" w:hAnsi="Book Antiqua"/>
        </w:rPr>
        <w:t xml:space="preserve"> </w:t>
      </w:r>
      <w:r w:rsidR="00DC47F2" w:rsidRPr="00D149D6">
        <w:rPr>
          <w:rFonts w:ascii="Book Antiqua" w:hAnsi="Book Antiqua"/>
        </w:rPr>
        <w:t xml:space="preserve"> </w:t>
      </w:r>
      <w:r w:rsidR="00AE1684" w:rsidRPr="00D149D6">
        <w:rPr>
          <w:rFonts w:ascii="Book Antiqua" w:hAnsi="Book Antiqua"/>
        </w:rPr>
        <w:t xml:space="preserve">AReM; </w:t>
      </w:r>
      <w:r w:rsidR="00F875EF" w:rsidRPr="00D149D6">
        <w:rPr>
          <w:rFonts w:ascii="Book Antiqua" w:hAnsi="Book Antiqua"/>
        </w:rPr>
        <w:t xml:space="preserve">CAISO; Cal Advocates; CalCCA; Calpine Corporation; CEERT; CESA; CLECA; Department of Market Monitoring (DMM) for the CAISO; </w:t>
      </w:r>
      <w:r w:rsidR="00DC0622" w:rsidRPr="00D149D6">
        <w:rPr>
          <w:rFonts w:ascii="Book Antiqua" w:hAnsi="Book Antiqua"/>
        </w:rPr>
        <w:t xml:space="preserve">Eagle Crest; </w:t>
      </w:r>
      <w:r w:rsidR="00F875EF" w:rsidRPr="00D149D6">
        <w:rPr>
          <w:rFonts w:ascii="Book Antiqua" w:hAnsi="Book Antiqua"/>
        </w:rPr>
        <w:t>EDF; First Solar; GPI; Hydrostor, Inc. (Hydrostor)</w:t>
      </w:r>
      <w:r w:rsidR="006D5B14">
        <w:rPr>
          <w:rFonts w:ascii="Book Antiqua" w:hAnsi="Book Antiqua"/>
        </w:rPr>
        <w:t>; IEP; LS Power; National Grid</w:t>
      </w:r>
      <w:r w:rsidR="00F875EF" w:rsidRPr="00D149D6">
        <w:rPr>
          <w:rFonts w:ascii="Book Antiqua" w:hAnsi="Book Antiqua"/>
        </w:rPr>
        <w:t xml:space="preserve">; PG&amp;E; POC; Powerex; </w:t>
      </w:r>
      <w:r w:rsidR="00DC0622" w:rsidRPr="00D149D6">
        <w:rPr>
          <w:rFonts w:ascii="Book Antiqua" w:hAnsi="Book Antiqua"/>
        </w:rPr>
        <w:t xml:space="preserve">SDCWA; </w:t>
      </w:r>
      <w:r w:rsidR="00F875EF" w:rsidRPr="00D149D6">
        <w:rPr>
          <w:rFonts w:ascii="Book Antiqua" w:hAnsi="Book Antiqua"/>
        </w:rPr>
        <w:t xml:space="preserve">SCE; SDG&amp;E; Shell; Sierra Club and CEJA, jointly; </w:t>
      </w:r>
      <w:r w:rsidR="00DC0622" w:rsidRPr="00D149D6">
        <w:rPr>
          <w:rFonts w:ascii="Book Antiqua" w:hAnsi="Book Antiqua"/>
        </w:rPr>
        <w:t xml:space="preserve">TURN; </w:t>
      </w:r>
      <w:r w:rsidR="00AE1684" w:rsidRPr="00D149D6">
        <w:rPr>
          <w:rFonts w:ascii="Book Antiqua" w:hAnsi="Book Antiqua"/>
        </w:rPr>
        <w:t>UCS;</w:t>
      </w:r>
      <w:r w:rsidR="00F875EF" w:rsidRPr="00D149D6">
        <w:rPr>
          <w:rFonts w:ascii="Book Antiqua" w:hAnsi="Book Antiqua"/>
        </w:rPr>
        <w:t xml:space="preserve"> </w:t>
      </w:r>
      <w:r w:rsidR="00DC0622" w:rsidRPr="00D149D6">
        <w:rPr>
          <w:rFonts w:ascii="Book Antiqua" w:hAnsi="Book Antiqua"/>
        </w:rPr>
        <w:t xml:space="preserve">Unigen; Vote Solar; </w:t>
      </w:r>
      <w:r w:rsidR="00F875EF" w:rsidRPr="00D149D6">
        <w:rPr>
          <w:rFonts w:ascii="Book Antiqua" w:hAnsi="Book Antiqua"/>
        </w:rPr>
        <w:t xml:space="preserve">Wellhead; WEM; and WPTF. </w:t>
      </w:r>
      <w:r w:rsidR="00AE1684" w:rsidRPr="00D149D6">
        <w:rPr>
          <w:rFonts w:ascii="Book Antiqua" w:hAnsi="Book Antiqua"/>
        </w:rPr>
        <w:t xml:space="preserve"> </w:t>
      </w:r>
    </w:p>
    <w:p w14:paraId="05DE6E48" w14:textId="77777777" w:rsidR="00C0199D" w:rsidRPr="00D149D6" w:rsidRDefault="0001496F" w:rsidP="00C0199D">
      <w:pPr>
        <w:pStyle w:val="sub1"/>
        <w:rPr>
          <w:rFonts w:ascii="Book Antiqua" w:hAnsi="Book Antiqua"/>
        </w:rPr>
      </w:pPr>
      <w:r w:rsidRPr="00D149D6">
        <w:rPr>
          <w:rFonts w:ascii="Book Antiqua" w:hAnsi="Book Antiqua"/>
        </w:rPr>
        <w:t xml:space="preserve">Reply comments were filed on or before January 14, 2019 by the following parties: </w:t>
      </w:r>
      <w:r w:rsidR="00DC47F2" w:rsidRPr="00D149D6">
        <w:rPr>
          <w:rFonts w:ascii="Book Antiqua" w:hAnsi="Book Antiqua"/>
        </w:rPr>
        <w:t xml:space="preserve"> </w:t>
      </w:r>
      <w:r w:rsidR="00AE5B00" w:rsidRPr="00D149D6">
        <w:rPr>
          <w:rFonts w:ascii="Book Antiqua" w:hAnsi="Book Antiqua"/>
        </w:rPr>
        <w:t xml:space="preserve">CAISO; Cal Advocates; CEERT; </w:t>
      </w:r>
      <w:r w:rsidR="00606C0A" w:rsidRPr="00D149D6">
        <w:rPr>
          <w:rFonts w:ascii="Book Antiqua" w:hAnsi="Book Antiqua"/>
        </w:rPr>
        <w:t xml:space="preserve">CEJA and Sierra Club, jointly; </w:t>
      </w:r>
      <w:r w:rsidR="00AE5B00" w:rsidRPr="00D149D6">
        <w:rPr>
          <w:rFonts w:ascii="Book Antiqua" w:hAnsi="Book Antiqua"/>
        </w:rPr>
        <w:t xml:space="preserve">CESA; CLECA; </w:t>
      </w:r>
      <w:r w:rsidR="00606C0A" w:rsidRPr="00D149D6">
        <w:rPr>
          <w:rFonts w:ascii="Book Antiqua" w:hAnsi="Book Antiqua"/>
        </w:rPr>
        <w:t xml:space="preserve">Eagle Crest; </w:t>
      </w:r>
      <w:r w:rsidR="00AE5B00" w:rsidRPr="00D149D6">
        <w:rPr>
          <w:rFonts w:ascii="Book Antiqua" w:hAnsi="Book Antiqua"/>
        </w:rPr>
        <w:t xml:space="preserve">EDF; IEP; PG&amp;E; POC; SCE; Wellhead; and WPTF. </w:t>
      </w:r>
    </w:p>
    <w:p w14:paraId="41397D99" w14:textId="77777777" w:rsidR="00364DCE" w:rsidRDefault="00364DCE" w:rsidP="004C75AB">
      <w:pPr>
        <w:pStyle w:val="Heading2"/>
      </w:pPr>
      <w:bookmarkStart w:id="33" w:name="_Toc3803828"/>
      <w:r>
        <w:t>Liberty Utilities</w:t>
      </w:r>
      <w:bookmarkEnd w:id="33"/>
    </w:p>
    <w:p w14:paraId="55942E52" w14:textId="77777777" w:rsidR="00AA65CA" w:rsidRPr="00D149D6" w:rsidRDefault="009F438B" w:rsidP="00A35454">
      <w:pPr>
        <w:pStyle w:val="standard"/>
        <w:rPr>
          <w:rFonts w:ascii="Book Antiqua" w:hAnsi="Book Antiqua"/>
          <w:color w:val="000000"/>
        </w:rPr>
      </w:pPr>
      <w:r w:rsidRPr="00D149D6">
        <w:rPr>
          <w:rFonts w:ascii="Book Antiqua" w:hAnsi="Book Antiqua"/>
          <w:color w:val="000000"/>
        </w:rPr>
        <w:t>On October 24, 2018, an ALJ ruling was issued seeking additional information fr</w:t>
      </w:r>
      <w:r w:rsidR="009D6F9E" w:rsidRPr="00D149D6">
        <w:rPr>
          <w:rFonts w:ascii="Book Antiqua" w:hAnsi="Book Antiqua"/>
          <w:color w:val="000000"/>
        </w:rPr>
        <w:t xml:space="preserve">om Liberty Utilities on their IRP filing. </w:t>
      </w:r>
      <w:r w:rsidR="00E21DA5" w:rsidRPr="00D149D6">
        <w:rPr>
          <w:rFonts w:ascii="Book Antiqua" w:hAnsi="Book Antiqua"/>
          <w:color w:val="000000"/>
        </w:rPr>
        <w:t xml:space="preserve"> </w:t>
      </w:r>
      <w:r w:rsidR="00717A7E" w:rsidRPr="00D149D6">
        <w:rPr>
          <w:rFonts w:ascii="Book Antiqua" w:hAnsi="Book Antiqua"/>
          <w:color w:val="000000"/>
        </w:rPr>
        <w:t>On November 9, 2018, Liberty Utilities responded to the ALJ ruling with additional information about their IRP re</w:t>
      </w:r>
      <w:r w:rsidR="007346E7" w:rsidRPr="00D149D6">
        <w:rPr>
          <w:rFonts w:ascii="Book Antiqua" w:hAnsi="Book Antiqua"/>
          <w:color w:val="000000"/>
        </w:rPr>
        <w:t>q</w:t>
      </w:r>
      <w:r w:rsidR="00717A7E" w:rsidRPr="00D149D6">
        <w:rPr>
          <w:rFonts w:ascii="Book Antiqua" w:hAnsi="Book Antiqua"/>
          <w:color w:val="000000"/>
        </w:rPr>
        <w:t xml:space="preserve">uests. </w:t>
      </w:r>
      <w:r w:rsidR="00E21DA5" w:rsidRPr="00D149D6">
        <w:rPr>
          <w:rFonts w:ascii="Book Antiqua" w:hAnsi="Book Antiqua"/>
          <w:color w:val="000000"/>
        </w:rPr>
        <w:t xml:space="preserve"> </w:t>
      </w:r>
      <w:r w:rsidR="00717A7E" w:rsidRPr="00D149D6">
        <w:rPr>
          <w:rFonts w:ascii="Book Antiqua" w:hAnsi="Book Antiqua"/>
          <w:color w:val="000000"/>
        </w:rPr>
        <w:t>No party res</w:t>
      </w:r>
      <w:r w:rsidR="007346E7" w:rsidRPr="00D149D6">
        <w:rPr>
          <w:rFonts w:ascii="Book Antiqua" w:hAnsi="Book Antiqua"/>
          <w:color w:val="000000"/>
        </w:rPr>
        <w:t>p</w:t>
      </w:r>
      <w:r w:rsidR="00717A7E" w:rsidRPr="00D149D6">
        <w:rPr>
          <w:rFonts w:ascii="Book Antiqua" w:hAnsi="Book Antiqua"/>
          <w:color w:val="000000"/>
        </w:rPr>
        <w:t xml:space="preserve">onded to </w:t>
      </w:r>
      <w:r w:rsidR="007346E7" w:rsidRPr="00D149D6">
        <w:rPr>
          <w:rFonts w:ascii="Book Antiqua" w:hAnsi="Book Antiqua"/>
          <w:color w:val="000000"/>
        </w:rPr>
        <w:t xml:space="preserve">Liberty Utilities. </w:t>
      </w:r>
    </w:p>
    <w:p w14:paraId="30C1F487" w14:textId="77777777" w:rsidR="00AA78C6" w:rsidRDefault="005D56CE" w:rsidP="00AA78C6">
      <w:pPr>
        <w:pStyle w:val="Heading1"/>
      </w:pPr>
      <w:bookmarkStart w:id="34" w:name="_Toc3803829"/>
      <w:r>
        <w:t xml:space="preserve">Evaluation of </w:t>
      </w:r>
      <w:r w:rsidR="00E55BF8">
        <w:t>Individual Integrated Resource Plans</w:t>
      </w:r>
      <w:bookmarkEnd w:id="34"/>
    </w:p>
    <w:p w14:paraId="1BCEB8BC" w14:textId="77777777" w:rsidR="00A5061A" w:rsidRPr="00D149D6" w:rsidRDefault="00484AF1" w:rsidP="00484AF1">
      <w:pPr>
        <w:pStyle w:val="standard"/>
        <w:rPr>
          <w:rFonts w:ascii="Book Antiqua" w:hAnsi="Book Antiqua"/>
        </w:rPr>
      </w:pPr>
      <w:r w:rsidRPr="00D149D6">
        <w:rPr>
          <w:rFonts w:ascii="Book Antiqua" w:hAnsi="Book Antiqua"/>
        </w:rPr>
        <w:t xml:space="preserve">This section includes a summary of our review </w:t>
      </w:r>
      <w:r w:rsidR="005D56CE">
        <w:rPr>
          <w:rFonts w:ascii="Book Antiqua" w:hAnsi="Book Antiqua"/>
        </w:rPr>
        <w:t xml:space="preserve">and evaluation </w:t>
      </w:r>
      <w:r w:rsidRPr="00D149D6">
        <w:rPr>
          <w:rFonts w:ascii="Book Antiqua" w:hAnsi="Book Antiqua"/>
        </w:rPr>
        <w:t xml:space="preserve">of each individual LSE’s IRP. </w:t>
      </w:r>
      <w:r w:rsidR="00E21DA5" w:rsidRPr="00D149D6">
        <w:rPr>
          <w:rFonts w:ascii="Book Antiqua" w:hAnsi="Book Antiqua"/>
        </w:rPr>
        <w:t xml:space="preserve"> </w:t>
      </w:r>
      <w:r w:rsidRPr="00D149D6">
        <w:rPr>
          <w:rFonts w:ascii="Book Antiqua" w:hAnsi="Book Antiqua"/>
        </w:rPr>
        <w:t xml:space="preserve">First, we describe the steps used to conduct the review. </w:t>
      </w:r>
      <w:r w:rsidR="00E21DA5" w:rsidRPr="00D149D6">
        <w:rPr>
          <w:rFonts w:ascii="Book Antiqua" w:hAnsi="Book Antiqua"/>
        </w:rPr>
        <w:t xml:space="preserve"> </w:t>
      </w:r>
      <w:r w:rsidRPr="00D149D6">
        <w:rPr>
          <w:rFonts w:ascii="Book Antiqua" w:hAnsi="Book Antiqua"/>
        </w:rPr>
        <w:t xml:space="preserve">Then we include observations of common themes and issues across plans. </w:t>
      </w:r>
      <w:r w:rsidR="00E21DA5" w:rsidRPr="00D149D6">
        <w:rPr>
          <w:rFonts w:ascii="Book Antiqua" w:hAnsi="Book Antiqua"/>
        </w:rPr>
        <w:t xml:space="preserve"> </w:t>
      </w:r>
      <w:r w:rsidRPr="00D149D6">
        <w:rPr>
          <w:rFonts w:ascii="Book Antiqua" w:hAnsi="Book Antiqua"/>
        </w:rPr>
        <w:t xml:space="preserve">Finally, we cover each LSE’s plan and whether it satisfied the Commission’s requirements for an IRP, leading to a finding of whether an LSE’s plan should be approved or certified, or whether a refiling is required. </w:t>
      </w:r>
      <w:r w:rsidR="00A5061A" w:rsidRPr="00D149D6">
        <w:rPr>
          <w:rFonts w:ascii="Book Antiqua" w:hAnsi="Book Antiqua"/>
        </w:rPr>
        <w:t xml:space="preserve"> </w:t>
      </w:r>
    </w:p>
    <w:p w14:paraId="6491C808" w14:textId="77777777" w:rsidR="00FD2733" w:rsidRDefault="00E55BF8" w:rsidP="004C75AB">
      <w:pPr>
        <w:pStyle w:val="Heading2"/>
      </w:pPr>
      <w:bookmarkStart w:id="35" w:name="_Toc3803830"/>
      <w:r>
        <w:t>Review Approach</w:t>
      </w:r>
      <w:bookmarkEnd w:id="35"/>
    </w:p>
    <w:p w14:paraId="47B3BC8A" w14:textId="77777777" w:rsidR="00484AF1" w:rsidRPr="00D149D6" w:rsidRDefault="00484AF1" w:rsidP="00484AF1">
      <w:pPr>
        <w:pStyle w:val="sub1"/>
        <w:rPr>
          <w:rFonts w:ascii="Book Antiqua" w:hAnsi="Book Antiqua"/>
        </w:rPr>
      </w:pPr>
      <w:r w:rsidRPr="00D149D6">
        <w:rPr>
          <w:rFonts w:ascii="Book Antiqua" w:hAnsi="Book Antiqua"/>
        </w:rPr>
        <w:t>D.18</w:t>
      </w:r>
      <w:r w:rsidR="00D84A09" w:rsidRPr="00D149D6">
        <w:rPr>
          <w:rFonts w:ascii="Book Antiqua" w:hAnsi="Book Antiqua"/>
        </w:rPr>
        <w:noBreakHyphen/>
      </w:r>
      <w:r w:rsidRPr="00D149D6">
        <w:rPr>
          <w:rFonts w:ascii="Book Antiqua" w:hAnsi="Book Antiqua"/>
        </w:rPr>
        <w:t>02</w:t>
      </w:r>
      <w:r w:rsidR="00D84A09" w:rsidRPr="00D149D6">
        <w:rPr>
          <w:rFonts w:ascii="Book Antiqua" w:hAnsi="Book Antiqua"/>
        </w:rPr>
        <w:noBreakHyphen/>
      </w:r>
      <w:r w:rsidRPr="00D149D6">
        <w:rPr>
          <w:rFonts w:ascii="Book Antiqua" w:hAnsi="Book Antiqua"/>
        </w:rPr>
        <w:t xml:space="preserve">018 contained the process and requirements for all LSEs to file individual IRPs with the Commission. </w:t>
      </w:r>
      <w:r w:rsidR="00E21DA5" w:rsidRPr="00D149D6">
        <w:rPr>
          <w:rFonts w:ascii="Book Antiqua" w:hAnsi="Book Antiqua"/>
        </w:rPr>
        <w:t xml:space="preserve"> </w:t>
      </w:r>
      <w:r w:rsidRPr="00D149D6">
        <w:rPr>
          <w:rFonts w:ascii="Book Antiqua" w:hAnsi="Book Antiqua"/>
        </w:rPr>
        <w:t xml:space="preserve">Prior to the filing deadline of August 1, 2018 for this first set of IRPs, Commission staff arranged periodic meetings with groups of LSEs by type (i.e., IOUs, CCAs, and ESPs) to provide them an opportunity to ask clarifying questions on LSE plan requirements. </w:t>
      </w:r>
      <w:r w:rsidR="00E21DA5" w:rsidRPr="00D149D6">
        <w:rPr>
          <w:rFonts w:ascii="Book Antiqua" w:hAnsi="Book Antiqua"/>
        </w:rPr>
        <w:t xml:space="preserve"> </w:t>
      </w:r>
      <w:r w:rsidRPr="00D149D6">
        <w:rPr>
          <w:rFonts w:ascii="Book Antiqua" w:hAnsi="Book Antiqua"/>
        </w:rPr>
        <w:t xml:space="preserve">These meetings allowed Commission staff to make necessary adjustments to the IRP filing templates and to accommodate unique LSE circumstances, and generally to ensure that various LSE plans were being development in a consistent manner leading up to the August 1, 2018 required filing date. </w:t>
      </w:r>
      <w:r w:rsidR="00E21DA5" w:rsidRPr="00D149D6">
        <w:rPr>
          <w:rFonts w:ascii="Book Antiqua" w:hAnsi="Book Antiqua"/>
        </w:rPr>
        <w:t xml:space="preserve"> </w:t>
      </w:r>
      <w:r w:rsidRPr="00D149D6">
        <w:rPr>
          <w:rFonts w:ascii="Book Antiqua" w:hAnsi="Book Antiqua"/>
        </w:rPr>
        <w:t>Commission staff also created and maintained a “Filing Requirements Reference Guide,”</w:t>
      </w:r>
      <w:r w:rsidRPr="00D149D6">
        <w:rPr>
          <w:rStyle w:val="FootnoteReference"/>
          <w:rFonts w:ascii="Book Antiqua" w:hAnsi="Book Antiqua"/>
        </w:rPr>
        <w:footnoteReference w:id="3"/>
      </w:r>
      <w:r w:rsidRPr="00D149D6">
        <w:rPr>
          <w:rFonts w:ascii="Book Antiqua" w:hAnsi="Book Antiqua"/>
        </w:rPr>
        <w:t xml:space="preserve"> similar to a list of Frequently Asked Questions, which staff used to track LSE questions as they arose and providing clarifying responses. </w:t>
      </w:r>
      <w:r w:rsidR="00E21DA5" w:rsidRPr="00D149D6">
        <w:rPr>
          <w:rFonts w:ascii="Book Antiqua" w:hAnsi="Book Antiqua"/>
        </w:rPr>
        <w:t xml:space="preserve"> </w:t>
      </w:r>
      <w:r w:rsidRPr="00D149D6">
        <w:rPr>
          <w:rFonts w:ascii="Book Antiqua" w:hAnsi="Book Antiqua"/>
        </w:rPr>
        <w:t xml:space="preserve">Commission staff posted this guide on the IRP website and notified parties when periodic updates were made. </w:t>
      </w:r>
    </w:p>
    <w:p w14:paraId="5554C79C" w14:textId="77777777" w:rsidR="0081163E" w:rsidRPr="00D149D6" w:rsidRDefault="00641D3F" w:rsidP="00484AF1">
      <w:pPr>
        <w:pStyle w:val="sub1"/>
        <w:rPr>
          <w:rFonts w:ascii="Book Antiqua" w:hAnsi="Book Antiqua"/>
        </w:rPr>
      </w:pPr>
      <w:r w:rsidRPr="00D149D6">
        <w:rPr>
          <w:rFonts w:ascii="Book Antiqua" w:hAnsi="Book Antiqua"/>
        </w:rPr>
        <w:t xml:space="preserve">Once the individual IRPs were filed on or about August 1, 2018, </w:t>
      </w:r>
      <w:r w:rsidR="0081163E" w:rsidRPr="00D149D6">
        <w:rPr>
          <w:rFonts w:ascii="Book Antiqua" w:hAnsi="Book Antiqua"/>
        </w:rPr>
        <w:t>our review of the filings was divided into two parallel tracks:</w:t>
      </w:r>
    </w:p>
    <w:p w14:paraId="307A7E78" w14:textId="77777777" w:rsidR="0081163E" w:rsidRPr="00D149D6" w:rsidRDefault="0081163E" w:rsidP="004C75AB">
      <w:pPr>
        <w:pStyle w:val="sub1"/>
        <w:numPr>
          <w:ilvl w:val="0"/>
          <w:numId w:val="14"/>
        </w:numPr>
        <w:spacing w:after="160" w:line="240" w:lineRule="auto"/>
        <w:ind w:right="720"/>
        <w:rPr>
          <w:rFonts w:ascii="Book Antiqua" w:hAnsi="Book Antiqua"/>
        </w:rPr>
      </w:pPr>
      <w:r w:rsidRPr="00D149D6">
        <w:rPr>
          <w:rFonts w:ascii="Book Antiqua" w:hAnsi="Book Antiqua"/>
        </w:rPr>
        <w:t xml:space="preserve">Track 1: </w:t>
      </w:r>
      <w:r w:rsidR="00DC47F2" w:rsidRPr="00D149D6">
        <w:rPr>
          <w:rFonts w:ascii="Book Antiqua" w:hAnsi="Book Antiqua"/>
        </w:rPr>
        <w:t xml:space="preserve"> </w:t>
      </w:r>
      <w:r w:rsidRPr="00D149D6">
        <w:rPr>
          <w:rFonts w:ascii="Book Antiqua" w:hAnsi="Book Antiqua"/>
        </w:rPr>
        <w:t>review of the narrative LSE plans to assess whether each section met the requirements of D.18</w:t>
      </w:r>
      <w:r w:rsidR="00D84A09" w:rsidRPr="00D149D6">
        <w:rPr>
          <w:rFonts w:ascii="Book Antiqua" w:hAnsi="Book Antiqua"/>
        </w:rPr>
        <w:noBreakHyphen/>
      </w:r>
      <w:r w:rsidRPr="00D149D6">
        <w:rPr>
          <w:rFonts w:ascii="Book Antiqua" w:hAnsi="Book Antiqua"/>
        </w:rPr>
        <w:t>02</w:t>
      </w:r>
      <w:r w:rsidR="00D84A09" w:rsidRPr="00D149D6">
        <w:rPr>
          <w:rFonts w:ascii="Book Antiqua" w:hAnsi="Book Antiqua"/>
        </w:rPr>
        <w:noBreakHyphen/>
      </w:r>
      <w:r w:rsidRPr="00D149D6">
        <w:rPr>
          <w:rFonts w:ascii="Book Antiqua" w:hAnsi="Book Antiqua"/>
        </w:rPr>
        <w:t xml:space="preserve">018, including meeting the 2030 </w:t>
      </w:r>
      <w:r w:rsidR="00DC7FD2">
        <w:rPr>
          <w:rFonts w:ascii="Book Antiqua" w:hAnsi="Book Antiqua"/>
        </w:rPr>
        <w:t>Greenhouse Gas (GHG)</w:t>
      </w:r>
      <w:r w:rsidRPr="00D149D6">
        <w:rPr>
          <w:rFonts w:ascii="Book Antiqua" w:hAnsi="Book Antiqua"/>
        </w:rPr>
        <w:t xml:space="preserve"> Benchmark, providing a Conforming Portfolio,</w:t>
      </w:r>
      <w:r w:rsidR="00F15738">
        <w:rPr>
          <w:rStyle w:val="FootnoteReference"/>
          <w:rFonts w:ascii="Book Antiqua" w:hAnsi="Book Antiqua"/>
        </w:rPr>
        <w:footnoteReference w:id="4"/>
      </w:r>
      <w:r w:rsidRPr="00D149D6">
        <w:rPr>
          <w:rFonts w:ascii="Book Antiqua" w:hAnsi="Book Antiqua"/>
        </w:rPr>
        <w:t xml:space="preserve"> and describing its treatment of disadvantaged communities (for example).</w:t>
      </w:r>
    </w:p>
    <w:p w14:paraId="6652906B" w14:textId="77777777" w:rsidR="0081163E" w:rsidRPr="00D149D6" w:rsidRDefault="0081163E" w:rsidP="004C75AB">
      <w:pPr>
        <w:pStyle w:val="sub1"/>
        <w:numPr>
          <w:ilvl w:val="0"/>
          <w:numId w:val="14"/>
        </w:numPr>
        <w:spacing w:after="160" w:line="240" w:lineRule="auto"/>
        <w:ind w:right="720"/>
        <w:rPr>
          <w:rFonts w:ascii="Book Antiqua" w:hAnsi="Book Antiqua"/>
        </w:rPr>
      </w:pPr>
      <w:r w:rsidRPr="00D149D6">
        <w:rPr>
          <w:rFonts w:ascii="Book Antiqua" w:hAnsi="Book Antiqua"/>
        </w:rPr>
        <w:t>Track 2:</w:t>
      </w:r>
      <w:r w:rsidR="00DC47F2" w:rsidRPr="00D149D6">
        <w:rPr>
          <w:rFonts w:ascii="Book Antiqua" w:hAnsi="Book Antiqua"/>
        </w:rPr>
        <w:t xml:space="preserve"> </w:t>
      </w:r>
      <w:r w:rsidRPr="00D149D6">
        <w:rPr>
          <w:rFonts w:ascii="Book Antiqua" w:hAnsi="Book Antiqua"/>
        </w:rPr>
        <w:t xml:space="preserve"> Review of LSE data submissions for aggregation, preparation for production cost modeling, and development of the PSP. </w:t>
      </w:r>
    </w:p>
    <w:p w14:paraId="087B3603" w14:textId="77777777" w:rsidR="0098108D" w:rsidRPr="00D149D6" w:rsidRDefault="00641D3F" w:rsidP="00484AF1">
      <w:pPr>
        <w:pStyle w:val="sub1"/>
        <w:rPr>
          <w:rFonts w:ascii="Book Antiqua" w:hAnsi="Book Antiqua"/>
        </w:rPr>
      </w:pPr>
      <w:r w:rsidRPr="00D149D6">
        <w:rPr>
          <w:rFonts w:ascii="Book Antiqua" w:hAnsi="Book Antiqua"/>
        </w:rPr>
        <w:t xml:space="preserve">Commission </w:t>
      </w:r>
      <w:r w:rsidR="00AC11C6" w:rsidRPr="00D149D6">
        <w:rPr>
          <w:rFonts w:ascii="Book Antiqua" w:hAnsi="Book Antiqua"/>
        </w:rPr>
        <w:t>staff first verified that all jurisdictional LSE</w:t>
      </w:r>
      <w:r w:rsidR="001B09F9">
        <w:rPr>
          <w:rFonts w:ascii="Book Antiqua" w:hAnsi="Book Antiqua"/>
        </w:rPr>
        <w:t>s</w:t>
      </w:r>
      <w:r w:rsidR="00AC11C6" w:rsidRPr="00D149D6">
        <w:rPr>
          <w:rFonts w:ascii="Book Antiqua" w:hAnsi="Book Antiqua"/>
        </w:rPr>
        <w:t xml:space="preserve"> made a filing, and contacted any non</w:t>
      </w:r>
      <w:r w:rsidR="00D84A09" w:rsidRPr="00D149D6">
        <w:rPr>
          <w:rFonts w:ascii="Book Antiqua" w:hAnsi="Book Antiqua"/>
        </w:rPr>
        <w:noBreakHyphen/>
      </w:r>
      <w:r w:rsidR="00AC11C6" w:rsidRPr="00D149D6">
        <w:rPr>
          <w:rFonts w:ascii="Book Antiqua" w:hAnsi="Book Antiqua"/>
        </w:rPr>
        <w:t xml:space="preserve">filing LSEs. </w:t>
      </w:r>
      <w:r w:rsidR="00E21DA5" w:rsidRPr="00D149D6">
        <w:rPr>
          <w:rFonts w:ascii="Book Antiqua" w:hAnsi="Book Antiqua"/>
        </w:rPr>
        <w:t xml:space="preserve"> </w:t>
      </w:r>
      <w:r w:rsidR="00AC11C6" w:rsidRPr="00D149D6">
        <w:rPr>
          <w:rFonts w:ascii="Book Antiqua" w:hAnsi="Book Antiqua"/>
        </w:rPr>
        <w:t>Then staff verified that the correct type of plan (Standard or Alternative) was filed</w:t>
      </w:r>
      <w:r w:rsidR="0098108D" w:rsidRPr="00D149D6">
        <w:rPr>
          <w:rFonts w:ascii="Book Antiqua" w:hAnsi="Book Antiqua"/>
        </w:rPr>
        <w:t xml:space="preserve">, and that the plans contained all the required materials. </w:t>
      </w:r>
      <w:r w:rsidR="00E21DA5" w:rsidRPr="00D149D6">
        <w:rPr>
          <w:rFonts w:ascii="Book Antiqua" w:hAnsi="Book Antiqua"/>
        </w:rPr>
        <w:t xml:space="preserve"> </w:t>
      </w:r>
      <w:r w:rsidR="0098108D" w:rsidRPr="00D149D6">
        <w:rPr>
          <w:rFonts w:ascii="Book Antiqua" w:hAnsi="Book Antiqua"/>
        </w:rPr>
        <w:t xml:space="preserve">Staff contacted LSEs whose materials needed to be corrected or supplemented. </w:t>
      </w:r>
    </w:p>
    <w:p w14:paraId="79D3BC18" w14:textId="77777777" w:rsidR="00C17230" w:rsidRPr="00D149D6" w:rsidRDefault="00C17230" w:rsidP="00484AF1">
      <w:pPr>
        <w:pStyle w:val="sub1"/>
        <w:rPr>
          <w:rFonts w:ascii="Book Antiqua" w:hAnsi="Book Antiqua"/>
        </w:rPr>
      </w:pPr>
      <w:r w:rsidRPr="00D149D6">
        <w:rPr>
          <w:rFonts w:ascii="Book Antiqua" w:hAnsi="Book Antiqua"/>
        </w:rPr>
        <w:t>Commission staff also utilized a scorecard system to determine whether each LSE plan adequately satisfied the requirements established by the Commission in D.18</w:t>
      </w:r>
      <w:r w:rsidR="00D84A09" w:rsidRPr="00D149D6">
        <w:rPr>
          <w:rFonts w:ascii="Book Antiqua" w:hAnsi="Book Antiqua"/>
        </w:rPr>
        <w:noBreakHyphen/>
      </w:r>
      <w:r w:rsidRPr="00D149D6">
        <w:rPr>
          <w:rFonts w:ascii="Book Antiqua" w:hAnsi="Book Antiqua"/>
        </w:rPr>
        <w:t>02</w:t>
      </w:r>
      <w:r w:rsidR="00D84A09" w:rsidRPr="00D149D6">
        <w:rPr>
          <w:rFonts w:ascii="Book Antiqua" w:hAnsi="Book Antiqua"/>
        </w:rPr>
        <w:noBreakHyphen/>
      </w:r>
      <w:r w:rsidRPr="00D149D6">
        <w:rPr>
          <w:rFonts w:ascii="Book Antiqua" w:hAnsi="Book Antiqua"/>
        </w:rPr>
        <w:t xml:space="preserve">018. </w:t>
      </w:r>
      <w:r w:rsidR="00E21DA5" w:rsidRPr="00D149D6">
        <w:rPr>
          <w:rFonts w:ascii="Book Antiqua" w:hAnsi="Book Antiqua"/>
        </w:rPr>
        <w:t xml:space="preserve"> </w:t>
      </w:r>
      <w:r w:rsidRPr="00D149D6">
        <w:rPr>
          <w:rFonts w:ascii="Book Antiqua" w:hAnsi="Book Antiqua"/>
        </w:rPr>
        <w:t xml:space="preserve">Given that this IRP cycle was the first, there were some limitations on how clearly defined in advance the standards of review for LSE plans could be, and thus the review was largely informed by the LSE plans themselves. </w:t>
      </w:r>
    </w:p>
    <w:p w14:paraId="4AE3EEF6" w14:textId="77777777" w:rsidR="00F50EDB" w:rsidRPr="00D149D6" w:rsidRDefault="00F50EDB" w:rsidP="00484AF1">
      <w:pPr>
        <w:pStyle w:val="sub1"/>
        <w:rPr>
          <w:rFonts w:ascii="Book Antiqua" w:hAnsi="Book Antiqua"/>
        </w:rPr>
      </w:pPr>
      <w:r w:rsidRPr="00D149D6">
        <w:rPr>
          <w:rFonts w:ascii="Book Antiqua" w:hAnsi="Book Antiqua"/>
        </w:rPr>
        <w:t xml:space="preserve">In general, the plans varied widely in quality, and this experience will be used to update and refine individual filing requirements for the next cycle. </w:t>
      </w:r>
      <w:r w:rsidR="00E21DA5" w:rsidRPr="00D149D6">
        <w:rPr>
          <w:rFonts w:ascii="Book Antiqua" w:hAnsi="Book Antiqua"/>
        </w:rPr>
        <w:t xml:space="preserve"> </w:t>
      </w:r>
      <w:r w:rsidRPr="00D149D6">
        <w:rPr>
          <w:rFonts w:ascii="Book Antiqua" w:hAnsi="Book Antiqua"/>
        </w:rPr>
        <w:t xml:space="preserve">For most LSEs, certain sections of the plan either satisfied or exceeded the Commission’s requirements, while other sections of the same plan failed to satisfy other requirements. </w:t>
      </w:r>
      <w:r w:rsidR="00E21DA5" w:rsidRPr="00D149D6">
        <w:rPr>
          <w:rFonts w:ascii="Book Antiqua" w:hAnsi="Book Antiqua"/>
        </w:rPr>
        <w:t xml:space="preserve"> </w:t>
      </w:r>
      <w:r w:rsidRPr="00D149D6">
        <w:rPr>
          <w:rFonts w:ascii="Book Antiqua" w:hAnsi="Book Antiqua"/>
        </w:rPr>
        <w:t>In the LSE scorecards (discussed further below), we use the term “adequate” to reflect a satisfactory fulfillment of the individual requirement, “exemplary” to reflect surpassing requirements, and “not adequate” to reflect a failure to meet the requirement.</w:t>
      </w:r>
    </w:p>
    <w:p w14:paraId="25533227" w14:textId="77777777" w:rsidR="00F50EDB" w:rsidRPr="00D149D6" w:rsidRDefault="00F50EDB" w:rsidP="00484AF1">
      <w:pPr>
        <w:pStyle w:val="sub1"/>
        <w:rPr>
          <w:rFonts w:ascii="Book Antiqua" w:hAnsi="Book Antiqua"/>
        </w:rPr>
      </w:pPr>
      <w:r w:rsidRPr="00D149D6">
        <w:rPr>
          <w:rFonts w:ascii="Book Antiqua" w:hAnsi="Book Antiqua"/>
        </w:rPr>
        <w:t xml:space="preserve">We also acknowledge that the instructions for completing the Standard LSE Plan were clearer in some areas than others. </w:t>
      </w:r>
      <w:r w:rsidR="00E21DA5" w:rsidRPr="00D149D6">
        <w:rPr>
          <w:rFonts w:ascii="Book Antiqua" w:hAnsi="Book Antiqua"/>
        </w:rPr>
        <w:t xml:space="preserve"> </w:t>
      </w:r>
      <w:r w:rsidRPr="00D149D6">
        <w:rPr>
          <w:rFonts w:ascii="Book Antiqua" w:hAnsi="Book Antiqua"/>
        </w:rPr>
        <w:t>As a result, a more lenient assessment was applied to the following sections:</w:t>
      </w:r>
    </w:p>
    <w:p w14:paraId="03B7D365" w14:textId="77777777" w:rsidR="00F50EDB" w:rsidRPr="00D149D6" w:rsidRDefault="00F50EDB" w:rsidP="004C75AB">
      <w:pPr>
        <w:pStyle w:val="sub1"/>
        <w:numPr>
          <w:ilvl w:val="0"/>
          <w:numId w:val="15"/>
        </w:numPr>
        <w:spacing w:after="160" w:line="240" w:lineRule="auto"/>
        <w:ind w:right="720"/>
        <w:rPr>
          <w:rFonts w:ascii="Book Antiqua" w:hAnsi="Book Antiqua"/>
        </w:rPr>
      </w:pPr>
      <w:r w:rsidRPr="00D149D6">
        <w:rPr>
          <w:rFonts w:ascii="Book Antiqua" w:hAnsi="Book Antiqua"/>
          <w:u w:val="single"/>
        </w:rPr>
        <w:t>Section 3.C:</w:t>
      </w:r>
      <w:r w:rsidR="00DC47F2" w:rsidRPr="00D149D6">
        <w:rPr>
          <w:rFonts w:ascii="Book Antiqua" w:hAnsi="Book Antiqua"/>
          <w:u w:val="single"/>
        </w:rPr>
        <w:t xml:space="preserve"> </w:t>
      </w:r>
      <w:r w:rsidRPr="00D149D6">
        <w:rPr>
          <w:rFonts w:ascii="Book Antiqua" w:hAnsi="Book Antiqua"/>
          <w:u w:val="single"/>
        </w:rPr>
        <w:t xml:space="preserve"> Deviations from Current Resource Plans</w:t>
      </w:r>
      <w:r w:rsidRPr="00D149D6">
        <w:rPr>
          <w:rFonts w:ascii="Book Antiqua" w:hAnsi="Book Antiqua"/>
        </w:rPr>
        <w:t xml:space="preserve">. </w:t>
      </w:r>
      <w:r w:rsidR="00E21DA5" w:rsidRPr="00D149D6">
        <w:rPr>
          <w:rFonts w:ascii="Book Antiqua" w:hAnsi="Book Antiqua"/>
        </w:rPr>
        <w:t xml:space="preserve"> </w:t>
      </w:r>
      <w:r w:rsidRPr="00D149D6">
        <w:rPr>
          <w:rFonts w:ascii="Book Antiqua" w:hAnsi="Book Antiqua"/>
        </w:rPr>
        <w:t xml:space="preserve">If an LSE claimed there were no deviations in the quantities and/or budgets for procurement between its LSE Plan and any currently filed or authorized resource plans, it was not expressly required that the LSE provide supporting evidence, and therefore few LSEs did so. </w:t>
      </w:r>
      <w:r w:rsidR="00E21DA5" w:rsidRPr="00D149D6">
        <w:rPr>
          <w:rFonts w:ascii="Book Antiqua" w:hAnsi="Book Antiqua"/>
        </w:rPr>
        <w:t xml:space="preserve"> </w:t>
      </w:r>
      <w:r w:rsidRPr="00D149D6">
        <w:rPr>
          <w:rFonts w:ascii="Book Antiqua" w:hAnsi="Book Antiqua"/>
        </w:rPr>
        <w:t xml:space="preserve">Clearer direction will be provided to LSEs in the next IRP cycle, regarding the level of detail expected in this section, particularly as it relates to demonstrating, and not just describing, whether and how the LSE’s plan deviates from currently filed plans. </w:t>
      </w:r>
      <w:r w:rsidR="00E21DA5" w:rsidRPr="00D149D6">
        <w:rPr>
          <w:rFonts w:ascii="Book Antiqua" w:hAnsi="Book Antiqua"/>
        </w:rPr>
        <w:t xml:space="preserve"> </w:t>
      </w:r>
      <w:r w:rsidRPr="00D149D6">
        <w:rPr>
          <w:rFonts w:ascii="Book Antiqua" w:hAnsi="Book Antiqua"/>
        </w:rPr>
        <w:t>This may involve instructions for drawing comparisons between specific data filed in other proceedings and how that information comports with data filed by LSEs in IRPs.</w:t>
      </w:r>
    </w:p>
    <w:p w14:paraId="3E357945" w14:textId="77777777" w:rsidR="00F50EDB" w:rsidRPr="00D149D6" w:rsidRDefault="00F50EDB" w:rsidP="004C75AB">
      <w:pPr>
        <w:pStyle w:val="sub1"/>
        <w:numPr>
          <w:ilvl w:val="0"/>
          <w:numId w:val="15"/>
        </w:numPr>
        <w:spacing w:after="160" w:line="240" w:lineRule="auto"/>
        <w:ind w:right="720"/>
        <w:rPr>
          <w:rFonts w:ascii="Book Antiqua" w:hAnsi="Book Antiqua"/>
        </w:rPr>
      </w:pPr>
      <w:r w:rsidRPr="00D149D6">
        <w:rPr>
          <w:rFonts w:ascii="Book Antiqua" w:hAnsi="Book Antiqua"/>
          <w:u w:val="single"/>
        </w:rPr>
        <w:t xml:space="preserve">Section 3.D: </w:t>
      </w:r>
      <w:r w:rsidR="00DC47F2" w:rsidRPr="00D149D6">
        <w:rPr>
          <w:rFonts w:ascii="Book Antiqua" w:hAnsi="Book Antiqua"/>
          <w:u w:val="single"/>
        </w:rPr>
        <w:t xml:space="preserve"> </w:t>
      </w:r>
      <w:r w:rsidRPr="00D149D6">
        <w:rPr>
          <w:rFonts w:ascii="Book Antiqua" w:hAnsi="Book Antiqua"/>
          <w:u w:val="single"/>
        </w:rPr>
        <w:t>Local Needs Analysis</w:t>
      </w:r>
      <w:r w:rsidRPr="00D149D6">
        <w:rPr>
          <w:rFonts w:ascii="Book Antiqua" w:hAnsi="Book Antiqua"/>
        </w:rPr>
        <w:t xml:space="preserve">. </w:t>
      </w:r>
      <w:r w:rsidR="00E21DA5" w:rsidRPr="00D149D6">
        <w:rPr>
          <w:rFonts w:ascii="Book Antiqua" w:hAnsi="Book Antiqua"/>
        </w:rPr>
        <w:t xml:space="preserve"> </w:t>
      </w:r>
      <w:r w:rsidRPr="00D149D6">
        <w:rPr>
          <w:rFonts w:ascii="Book Antiqua" w:hAnsi="Book Antiqua"/>
        </w:rPr>
        <w:t>The Commissi</w:t>
      </w:r>
      <w:r w:rsidR="0061763D" w:rsidRPr="00D149D6">
        <w:rPr>
          <w:rFonts w:ascii="Book Antiqua" w:hAnsi="Book Antiqua"/>
        </w:rPr>
        <w:t xml:space="preserve">on allocates to each LSE the Local Capacity Technical Study results developed by the CAISO every year. </w:t>
      </w:r>
      <w:r w:rsidR="00E21DA5" w:rsidRPr="00D149D6">
        <w:rPr>
          <w:rFonts w:ascii="Book Antiqua" w:hAnsi="Book Antiqua"/>
        </w:rPr>
        <w:t xml:space="preserve"> </w:t>
      </w:r>
      <w:r w:rsidR="0061763D" w:rsidRPr="00D149D6">
        <w:rPr>
          <w:rFonts w:ascii="Book Antiqua" w:hAnsi="Book Antiqua"/>
        </w:rPr>
        <w:t>Because this allocation is completed only on a year</w:t>
      </w:r>
      <w:r w:rsidR="00D84A09" w:rsidRPr="00D149D6">
        <w:rPr>
          <w:rFonts w:ascii="Book Antiqua" w:hAnsi="Book Antiqua"/>
        </w:rPr>
        <w:noBreakHyphen/>
      </w:r>
      <w:r w:rsidR="0061763D" w:rsidRPr="00D149D6">
        <w:rPr>
          <w:rFonts w:ascii="Book Antiqua" w:hAnsi="Book Antiqua"/>
        </w:rPr>
        <w:t xml:space="preserve">ahead basis, we acknowledge that LSEs were unable to provide information on how they would meet local capacity needs projected out ten years. </w:t>
      </w:r>
      <w:r w:rsidR="00E21DA5" w:rsidRPr="00D149D6">
        <w:rPr>
          <w:rFonts w:ascii="Book Antiqua" w:hAnsi="Book Antiqua"/>
        </w:rPr>
        <w:t xml:space="preserve"> </w:t>
      </w:r>
      <w:r w:rsidR="0061763D" w:rsidRPr="00D149D6">
        <w:rPr>
          <w:rFonts w:ascii="Book Antiqua" w:hAnsi="Book Antiqua"/>
        </w:rPr>
        <w:t>For this IRP cycle, we determined that each LSE who filed a plan provided an adequate accounting of how it will meet the local capacity needs projected in the most recent CAISO Transmission Plan.</w:t>
      </w:r>
      <w:r w:rsidR="00E21DA5" w:rsidRPr="00D149D6">
        <w:rPr>
          <w:rFonts w:ascii="Book Antiqua" w:hAnsi="Book Antiqua"/>
        </w:rPr>
        <w:t xml:space="preserve"> </w:t>
      </w:r>
      <w:r w:rsidR="0061763D" w:rsidRPr="00D149D6">
        <w:rPr>
          <w:rFonts w:ascii="Book Antiqua" w:hAnsi="Book Antiqua"/>
        </w:rPr>
        <w:t xml:space="preserve"> In future IRP cycles, however, simply claiming compliance with resource adequacy requirements will likely be inadequate. </w:t>
      </w:r>
      <w:r w:rsidR="00E21DA5" w:rsidRPr="00D149D6">
        <w:rPr>
          <w:rFonts w:ascii="Book Antiqua" w:hAnsi="Book Antiqua"/>
        </w:rPr>
        <w:t xml:space="preserve"> </w:t>
      </w:r>
      <w:r w:rsidR="0061763D" w:rsidRPr="00D149D6">
        <w:rPr>
          <w:rFonts w:ascii="Book Antiqua" w:hAnsi="Book Antiqua"/>
        </w:rPr>
        <w:t>We will further define the requirements on this topic in the next IRP cycle.</w:t>
      </w:r>
    </w:p>
    <w:p w14:paraId="247A3305" w14:textId="77777777" w:rsidR="00F50EDB" w:rsidRPr="00D149D6" w:rsidRDefault="0061763D" w:rsidP="004C75AB">
      <w:pPr>
        <w:pStyle w:val="sub1"/>
        <w:numPr>
          <w:ilvl w:val="0"/>
          <w:numId w:val="15"/>
        </w:numPr>
        <w:spacing w:after="160" w:line="240" w:lineRule="auto"/>
        <w:ind w:right="720"/>
        <w:rPr>
          <w:rFonts w:ascii="Book Antiqua" w:hAnsi="Book Antiqua"/>
        </w:rPr>
      </w:pPr>
      <w:r w:rsidRPr="00D149D6">
        <w:rPr>
          <w:rFonts w:ascii="Book Antiqua" w:hAnsi="Book Antiqua"/>
          <w:u w:val="single"/>
        </w:rPr>
        <w:t xml:space="preserve">Section 4.A: </w:t>
      </w:r>
      <w:r w:rsidR="00DC47F2" w:rsidRPr="00D149D6">
        <w:rPr>
          <w:rFonts w:ascii="Book Antiqua" w:hAnsi="Book Antiqua"/>
          <w:u w:val="single"/>
        </w:rPr>
        <w:t xml:space="preserve"> </w:t>
      </w:r>
      <w:r w:rsidRPr="00D149D6">
        <w:rPr>
          <w:rFonts w:ascii="Book Antiqua" w:hAnsi="Book Antiqua"/>
          <w:u w:val="single"/>
        </w:rPr>
        <w:t>Proposed Activities.</w:t>
      </w:r>
      <w:r w:rsidRPr="00D149D6">
        <w:rPr>
          <w:rFonts w:ascii="Book Antiqua" w:hAnsi="Book Antiqua"/>
        </w:rPr>
        <w:t xml:space="preserve"> </w:t>
      </w:r>
      <w:r w:rsidR="00E21DA5" w:rsidRPr="00D149D6">
        <w:rPr>
          <w:rFonts w:ascii="Book Antiqua" w:hAnsi="Book Antiqua"/>
        </w:rPr>
        <w:t xml:space="preserve"> </w:t>
      </w:r>
      <w:r w:rsidRPr="00D149D6">
        <w:rPr>
          <w:rFonts w:ascii="Book Antiqua" w:hAnsi="Book Antiqua"/>
        </w:rPr>
        <w:t>Commission staff will work to refine the filing requirements for this section of the plans for the next IRP cycle.</w:t>
      </w:r>
      <w:r w:rsidR="00E21DA5" w:rsidRPr="00D149D6">
        <w:rPr>
          <w:rFonts w:ascii="Book Antiqua" w:hAnsi="Book Antiqua"/>
        </w:rPr>
        <w:t xml:space="preserve"> </w:t>
      </w:r>
      <w:r w:rsidRPr="00D149D6">
        <w:rPr>
          <w:rFonts w:ascii="Book Antiqua" w:hAnsi="Book Antiqua"/>
        </w:rPr>
        <w:t xml:space="preserve"> It was clear that LSEs needed more guidance on how to connect their Preferred Portfolios with their proposed near</w:t>
      </w:r>
      <w:r w:rsidR="00D84A09" w:rsidRPr="00D149D6">
        <w:rPr>
          <w:rFonts w:ascii="Book Antiqua" w:hAnsi="Book Antiqua"/>
        </w:rPr>
        <w:noBreakHyphen/>
      </w:r>
      <w:r w:rsidRPr="00D149D6">
        <w:rPr>
          <w:rFonts w:ascii="Book Antiqua" w:hAnsi="Book Antiqua"/>
        </w:rPr>
        <w:t>term implementation activities.</w:t>
      </w:r>
    </w:p>
    <w:p w14:paraId="7F041051" w14:textId="77777777" w:rsidR="0061763D" w:rsidRPr="00D149D6" w:rsidRDefault="0061763D" w:rsidP="00484AF1">
      <w:pPr>
        <w:pStyle w:val="sub1"/>
        <w:rPr>
          <w:rFonts w:ascii="Book Antiqua" w:hAnsi="Book Antiqua"/>
        </w:rPr>
      </w:pPr>
      <w:r w:rsidRPr="00D149D6">
        <w:rPr>
          <w:rFonts w:ascii="Book Antiqua" w:hAnsi="Book Antiqua"/>
        </w:rPr>
        <w:t xml:space="preserve">For other sections of the plans, the instructions were much clearer, and therefore we apply a higher standard of review. </w:t>
      </w:r>
      <w:r w:rsidR="00E21DA5" w:rsidRPr="00D149D6">
        <w:rPr>
          <w:rFonts w:ascii="Book Antiqua" w:hAnsi="Book Antiqua"/>
        </w:rPr>
        <w:t xml:space="preserve"> </w:t>
      </w:r>
      <w:r w:rsidRPr="00D149D6">
        <w:rPr>
          <w:rFonts w:ascii="Book Antiqua" w:hAnsi="Book Antiqua"/>
        </w:rPr>
        <w:t>In particular, D.18</w:t>
      </w:r>
      <w:r w:rsidR="00D84A09" w:rsidRPr="00D149D6">
        <w:rPr>
          <w:rFonts w:ascii="Book Antiqua" w:hAnsi="Book Antiqua"/>
        </w:rPr>
        <w:noBreakHyphen/>
      </w:r>
      <w:r w:rsidRPr="00D149D6">
        <w:rPr>
          <w:rFonts w:ascii="Book Antiqua" w:hAnsi="Book Antiqua"/>
        </w:rPr>
        <w:t>02</w:t>
      </w:r>
      <w:r w:rsidR="00D84A09" w:rsidRPr="00D149D6">
        <w:rPr>
          <w:rFonts w:ascii="Book Antiqua" w:hAnsi="Book Antiqua"/>
        </w:rPr>
        <w:noBreakHyphen/>
      </w:r>
      <w:r w:rsidRPr="00D149D6">
        <w:rPr>
          <w:rFonts w:ascii="Book Antiqua" w:hAnsi="Book Antiqua"/>
        </w:rPr>
        <w:t xml:space="preserve">018 made it clear that all LSEs needed to provide information about local air pollutant minimization. </w:t>
      </w:r>
      <w:r w:rsidR="00E21DA5" w:rsidRPr="00D149D6">
        <w:rPr>
          <w:rFonts w:ascii="Book Antiqua" w:hAnsi="Book Antiqua"/>
        </w:rPr>
        <w:t xml:space="preserve"> </w:t>
      </w:r>
      <w:r w:rsidRPr="00D149D6">
        <w:rPr>
          <w:rFonts w:ascii="Book Antiqua" w:hAnsi="Book Antiqua"/>
        </w:rPr>
        <w:t>Specifically, LSEs were required to provide annual criteria pollutant estimations associated with all of the emitting resources used to serve their load, including system power (</w:t>
      </w:r>
      <w:r w:rsidR="00D149D6" w:rsidRPr="00D149D6">
        <w:rPr>
          <w:rFonts w:ascii="Book Antiqua" w:hAnsi="Book Antiqua"/>
          <w:i/>
        </w:rPr>
        <w:t>s</w:t>
      </w:r>
      <w:r w:rsidRPr="00D149D6">
        <w:rPr>
          <w:rFonts w:ascii="Book Antiqua" w:hAnsi="Book Antiqua"/>
          <w:i/>
        </w:rPr>
        <w:t>ee</w:t>
      </w:r>
      <w:r w:rsidRPr="00D149D6">
        <w:rPr>
          <w:rFonts w:ascii="Book Antiqua" w:hAnsi="Book Antiqua"/>
        </w:rPr>
        <w:t xml:space="preserve"> D.18</w:t>
      </w:r>
      <w:r w:rsidR="00D84A09" w:rsidRPr="00D149D6">
        <w:rPr>
          <w:rFonts w:ascii="Book Antiqua" w:hAnsi="Book Antiqua"/>
        </w:rPr>
        <w:noBreakHyphen/>
      </w:r>
      <w:r w:rsidRPr="00D149D6">
        <w:rPr>
          <w:rFonts w:ascii="Book Antiqua" w:hAnsi="Book Antiqua"/>
        </w:rPr>
        <w:t>02</w:t>
      </w:r>
      <w:r w:rsidR="00D84A09" w:rsidRPr="00D149D6">
        <w:rPr>
          <w:rFonts w:ascii="Book Antiqua" w:hAnsi="Book Antiqua"/>
        </w:rPr>
        <w:noBreakHyphen/>
      </w:r>
      <w:r w:rsidRPr="00D149D6">
        <w:rPr>
          <w:rFonts w:ascii="Book Antiqua" w:hAnsi="Book Antiqua"/>
        </w:rPr>
        <w:t xml:space="preserve">018, Section 6). </w:t>
      </w:r>
      <w:r w:rsidR="00E21DA5" w:rsidRPr="00D149D6">
        <w:rPr>
          <w:rFonts w:ascii="Book Antiqua" w:hAnsi="Book Antiqua"/>
        </w:rPr>
        <w:t xml:space="preserve"> </w:t>
      </w:r>
      <w:r w:rsidRPr="00D149D6">
        <w:rPr>
          <w:rFonts w:ascii="Book Antiqua" w:hAnsi="Book Antiqua"/>
        </w:rPr>
        <w:t>LSEs were also required to include annual estimates of</w:t>
      </w:r>
      <w:r w:rsidR="003D6BF5" w:rsidRPr="00D149D6">
        <w:rPr>
          <w:rFonts w:ascii="Book Antiqua" w:hAnsi="Book Antiqua"/>
        </w:rPr>
        <w:t xml:space="preserve"> nitrous oxides (</w:t>
      </w:r>
      <w:r w:rsidRPr="00D149D6">
        <w:rPr>
          <w:rFonts w:ascii="Book Antiqua" w:hAnsi="Book Antiqua"/>
        </w:rPr>
        <w:t>NOx</w:t>
      </w:r>
      <w:r w:rsidR="003D6BF5" w:rsidRPr="00D149D6">
        <w:rPr>
          <w:rFonts w:ascii="Book Antiqua" w:hAnsi="Book Antiqua"/>
        </w:rPr>
        <w:t>)</w:t>
      </w:r>
      <w:r w:rsidRPr="00D149D6">
        <w:rPr>
          <w:rFonts w:ascii="Book Antiqua" w:hAnsi="Book Antiqua"/>
        </w:rPr>
        <w:t xml:space="preserve"> and </w:t>
      </w:r>
      <w:r w:rsidR="003D6BF5" w:rsidRPr="00D149D6">
        <w:rPr>
          <w:rFonts w:ascii="Book Antiqua" w:hAnsi="Book Antiqua"/>
        </w:rPr>
        <w:t>particular matter (</w:t>
      </w:r>
      <w:r w:rsidRPr="00D149D6">
        <w:rPr>
          <w:rFonts w:ascii="Book Antiqua" w:hAnsi="Book Antiqua"/>
        </w:rPr>
        <w:t>PM2.5</w:t>
      </w:r>
      <w:r w:rsidR="003D6BF5" w:rsidRPr="00D149D6">
        <w:rPr>
          <w:rFonts w:ascii="Book Antiqua" w:hAnsi="Book Antiqua"/>
        </w:rPr>
        <w:t>)</w:t>
      </w:r>
      <w:r w:rsidR="006C34C0">
        <w:rPr>
          <w:rFonts w:ascii="Book Antiqua" w:hAnsi="Book Antiqua"/>
        </w:rPr>
        <w:t xml:space="preserve">.  </w:t>
      </w:r>
      <w:r w:rsidRPr="00D149D6">
        <w:rPr>
          <w:rFonts w:ascii="Book Antiqua" w:hAnsi="Book Antiqua"/>
        </w:rPr>
        <w:t xml:space="preserve"> (</w:t>
      </w:r>
      <w:r w:rsidRPr="006C34C0">
        <w:rPr>
          <w:rFonts w:ascii="Book Antiqua" w:hAnsi="Book Antiqua"/>
          <w:i/>
        </w:rPr>
        <w:t>See</w:t>
      </w:r>
      <w:r w:rsidRPr="00D149D6">
        <w:rPr>
          <w:rFonts w:ascii="Book Antiqua" w:hAnsi="Book Antiqua"/>
        </w:rPr>
        <w:t xml:space="preserve"> D</w:t>
      </w:r>
      <w:r w:rsidR="006C34C0">
        <w:rPr>
          <w:rFonts w:ascii="Book Antiqua" w:hAnsi="Book Antiqua"/>
        </w:rPr>
        <w:t>.</w:t>
      </w:r>
      <w:r w:rsidRPr="00D149D6">
        <w:rPr>
          <w:rFonts w:ascii="Book Antiqua" w:hAnsi="Book Antiqua"/>
        </w:rPr>
        <w:t>18</w:t>
      </w:r>
      <w:r w:rsidR="00D84A09" w:rsidRPr="00D149D6">
        <w:rPr>
          <w:rFonts w:ascii="Book Antiqua" w:hAnsi="Book Antiqua"/>
        </w:rPr>
        <w:noBreakHyphen/>
      </w:r>
      <w:r w:rsidRPr="00D149D6">
        <w:rPr>
          <w:rFonts w:ascii="Book Antiqua" w:hAnsi="Book Antiqua"/>
        </w:rPr>
        <w:t>02</w:t>
      </w:r>
      <w:r w:rsidR="00D84A09" w:rsidRPr="00D149D6">
        <w:rPr>
          <w:rFonts w:ascii="Book Antiqua" w:hAnsi="Book Antiqua"/>
        </w:rPr>
        <w:noBreakHyphen/>
      </w:r>
      <w:r w:rsidRPr="00D149D6">
        <w:rPr>
          <w:rFonts w:ascii="Book Antiqua" w:hAnsi="Book Antiqua"/>
        </w:rPr>
        <w:t>018,</w:t>
      </w:r>
      <w:r w:rsidR="003D6BF5" w:rsidRPr="00D149D6">
        <w:rPr>
          <w:rFonts w:ascii="Book Antiqua" w:hAnsi="Book Antiqua"/>
        </w:rPr>
        <w:t xml:space="preserve"> Section 6,</w:t>
      </w:r>
      <w:r w:rsidRPr="00D149D6">
        <w:rPr>
          <w:rFonts w:ascii="Book Antiqua" w:hAnsi="Book Antiqua"/>
        </w:rPr>
        <w:t xml:space="preserve"> Ordering Paragraph 7, and the Standard Plan template produced by Commission staff). </w:t>
      </w:r>
    </w:p>
    <w:p w14:paraId="59F2FAE5" w14:textId="070D4B26" w:rsidR="002D72FF" w:rsidRDefault="0098108D" w:rsidP="00484AF1">
      <w:pPr>
        <w:pStyle w:val="sub1"/>
        <w:rPr>
          <w:rFonts w:ascii="Book Antiqua" w:hAnsi="Book Antiqua"/>
        </w:rPr>
      </w:pPr>
      <w:r w:rsidRPr="00D149D6">
        <w:rPr>
          <w:rFonts w:ascii="Book Antiqua" w:hAnsi="Book Antiqua"/>
        </w:rPr>
        <w:t xml:space="preserve">Once staff determined that all the required materials and information </w:t>
      </w:r>
      <w:r w:rsidR="00F50EDB" w:rsidRPr="00D149D6">
        <w:rPr>
          <w:rFonts w:ascii="Book Antiqua" w:hAnsi="Book Antiqua"/>
        </w:rPr>
        <w:t xml:space="preserve">with respect to resource plans and commitments </w:t>
      </w:r>
      <w:r w:rsidRPr="00D149D6">
        <w:rPr>
          <w:rFonts w:ascii="Book Antiqua" w:hAnsi="Book Antiqua"/>
        </w:rPr>
        <w:t>were submitted, they assembled the aggregated portfolio of all LSE plans</w:t>
      </w:r>
      <w:r w:rsidR="00C561BA">
        <w:rPr>
          <w:rFonts w:ascii="Book Antiqua" w:hAnsi="Book Antiqua"/>
        </w:rPr>
        <w:t>, utilizing the conforming portfolios</w:t>
      </w:r>
      <w:r w:rsidRPr="00D149D6">
        <w:rPr>
          <w:rFonts w:ascii="Book Antiqua" w:hAnsi="Book Antiqua"/>
        </w:rPr>
        <w:t>.</w:t>
      </w:r>
      <w:r w:rsidR="00A52514">
        <w:rPr>
          <w:rFonts w:ascii="Book Antiqua" w:hAnsi="Book Antiqua"/>
        </w:rPr>
        <w:t xml:space="preserve"> </w:t>
      </w:r>
      <w:r w:rsidR="00C561BA">
        <w:rPr>
          <w:rFonts w:ascii="Book Antiqua" w:hAnsi="Book Antiqua"/>
        </w:rPr>
        <w:t xml:space="preserve"> More detail about this process is included in Section 3.1.1 below. </w:t>
      </w:r>
      <w:r w:rsidRPr="00D149D6">
        <w:rPr>
          <w:rFonts w:ascii="Book Antiqua" w:hAnsi="Book Antiqua"/>
        </w:rPr>
        <w:t xml:space="preserve"> </w:t>
      </w:r>
      <w:r w:rsidR="00E21DA5" w:rsidRPr="00D149D6">
        <w:rPr>
          <w:rFonts w:ascii="Book Antiqua" w:hAnsi="Book Antiqua"/>
        </w:rPr>
        <w:t xml:space="preserve"> </w:t>
      </w:r>
    </w:p>
    <w:p w14:paraId="59900C9D" w14:textId="77777777" w:rsidR="0098108D" w:rsidRPr="00D149D6" w:rsidRDefault="00C561BA" w:rsidP="00484AF1">
      <w:pPr>
        <w:pStyle w:val="sub1"/>
        <w:rPr>
          <w:rFonts w:ascii="Book Antiqua" w:hAnsi="Book Antiqua"/>
        </w:rPr>
      </w:pPr>
      <w:r>
        <w:rPr>
          <w:rFonts w:ascii="Book Antiqua" w:hAnsi="Book Antiqua"/>
        </w:rPr>
        <w:t>Commission s</w:t>
      </w:r>
      <w:r w:rsidR="0098108D" w:rsidRPr="00D149D6">
        <w:rPr>
          <w:rFonts w:ascii="Book Antiqua" w:hAnsi="Book Antiqua"/>
        </w:rPr>
        <w:t xml:space="preserve">taff </w:t>
      </w:r>
      <w:r w:rsidR="002D72FF">
        <w:rPr>
          <w:rFonts w:ascii="Book Antiqua" w:hAnsi="Book Antiqua"/>
        </w:rPr>
        <w:t xml:space="preserve">then </w:t>
      </w:r>
      <w:r w:rsidR="0098108D" w:rsidRPr="00D149D6">
        <w:rPr>
          <w:rFonts w:ascii="Book Antiqua" w:hAnsi="Book Antiqua"/>
        </w:rPr>
        <w:t xml:space="preserve">validated the integrity and consistency of the aggregated portfolio with physical system limits. </w:t>
      </w:r>
      <w:r w:rsidR="00E21DA5" w:rsidRPr="00D149D6">
        <w:rPr>
          <w:rFonts w:ascii="Book Antiqua" w:hAnsi="Book Antiqua"/>
        </w:rPr>
        <w:t xml:space="preserve"> </w:t>
      </w:r>
      <w:r w:rsidR="0098108D" w:rsidRPr="00D149D6">
        <w:rPr>
          <w:rFonts w:ascii="Book Antiqua" w:hAnsi="Book Antiqua"/>
        </w:rPr>
        <w:t>Energy and resource adequacy contracts were tabulated by LSE, to ensure that contracts did not overlap and that physical units were not double</w:t>
      </w:r>
      <w:r w:rsidR="00D84A09" w:rsidRPr="00D149D6">
        <w:rPr>
          <w:rFonts w:ascii="Book Antiqua" w:hAnsi="Book Antiqua"/>
        </w:rPr>
        <w:noBreakHyphen/>
      </w:r>
      <w:r w:rsidR="0098108D" w:rsidRPr="00D149D6">
        <w:rPr>
          <w:rFonts w:ascii="Book Antiqua" w:hAnsi="Book Antiqua"/>
        </w:rPr>
        <w:t>counted.</w:t>
      </w:r>
      <w:r w:rsidR="00E21DA5" w:rsidRPr="00D149D6">
        <w:rPr>
          <w:rFonts w:ascii="Book Antiqua" w:hAnsi="Book Antiqua"/>
        </w:rPr>
        <w:t xml:space="preserve"> </w:t>
      </w:r>
      <w:r w:rsidR="0098108D" w:rsidRPr="00D149D6">
        <w:rPr>
          <w:rFonts w:ascii="Book Antiqua" w:hAnsi="Book Antiqua"/>
        </w:rPr>
        <w:t xml:space="preserve"> This list was checked against the CAISO net qualifying capacity (NQC) list and the list of resources allocated via the cost allocation mechanism. </w:t>
      </w:r>
      <w:r w:rsidR="00E21DA5" w:rsidRPr="00D149D6">
        <w:rPr>
          <w:rFonts w:ascii="Book Antiqua" w:hAnsi="Book Antiqua"/>
        </w:rPr>
        <w:t xml:space="preserve"> </w:t>
      </w:r>
      <w:r w:rsidR="0098108D" w:rsidRPr="00D149D6">
        <w:rPr>
          <w:rFonts w:ascii="Book Antiqua" w:hAnsi="Book Antiqua"/>
        </w:rPr>
        <w:t>Staff assessed which physical units remained uncontracted.</w:t>
      </w:r>
      <w:r w:rsidR="00E21DA5" w:rsidRPr="00D149D6">
        <w:rPr>
          <w:rFonts w:ascii="Book Antiqua" w:hAnsi="Book Antiqua"/>
        </w:rPr>
        <w:t xml:space="preserve"> </w:t>
      </w:r>
      <w:r w:rsidR="00D0161E" w:rsidRPr="00D149D6">
        <w:rPr>
          <w:rFonts w:ascii="Book Antiqua" w:hAnsi="Book Antiqua"/>
        </w:rPr>
        <w:t xml:space="preserve"> </w:t>
      </w:r>
      <w:r w:rsidR="0098108D" w:rsidRPr="00D149D6">
        <w:rPr>
          <w:rFonts w:ascii="Book Antiqua" w:hAnsi="Book Antiqua"/>
        </w:rPr>
        <w:t>Staff then aggregated the LSE</w:t>
      </w:r>
      <w:r w:rsidR="00D84A09" w:rsidRPr="00D149D6">
        <w:rPr>
          <w:rFonts w:ascii="Book Antiqua" w:hAnsi="Book Antiqua"/>
        </w:rPr>
        <w:noBreakHyphen/>
      </w:r>
      <w:r w:rsidR="0098108D" w:rsidRPr="00D149D6">
        <w:rPr>
          <w:rFonts w:ascii="Book Antiqua" w:hAnsi="Book Antiqua"/>
        </w:rPr>
        <w:t>specific data to preserve confidentiality of information.</w:t>
      </w:r>
    </w:p>
    <w:p w14:paraId="0640D2AF" w14:textId="77777777" w:rsidR="0098108D" w:rsidRPr="00D149D6" w:rsidRDefault="0098108D" w:rsidP="00484AF1">
      <w:pPr>
        <w:pStyle w:val="sub1"/>
        <w:rPr>
          <w:rFonts w:ascii="Book Antiqua" w:hAnsi="Book Antiqua"/>
        </w:rPr>
      </w:pPr>
      <w:r w:rsidRPr="00D149D6">
        <w:rPr>
          <w:rFonts w:ascii="Book Antiqua" w:hAnsi="Book Antiqua"/>
        </w:rPr>
        <w:t>A full dataset of the aggregated LSE portfolios, including the list of baseline and new physical units, but not contract information, was posted to the Commission’s web site.</w:t>
      </w:r>
      <w:r w:rsidR="00A86574">
        <w:rPr>
          <w:rStyle w:val="FootnoteReference"/>
          <w:rFonts w:ascii="Book Antiqua" w:hAnsi="Book Antiqua"/>
        </w:rPr>
        <w:footnoteReference w:id="5"/>
      </w:r>
      <w:r w:rsidRPr="00D149D6">
        <w:rPr>
          <w:rFonts w:ascii="Book Antiqua" w:hAnsi="Book Antiqua"/>
        </w:rPr>
        <w:t xml:space="preserve"> </w:t>
      </w:r>
    </w:p>
    <w:p w14:paraId="7FDF2969" w14:textId="77777777" w:rsidR="00C47EFE" w:rsidRPr="00D149D6" w:rsidRDefault="0098108D" w:rsidP="00160360">
      <w:pPr>
        <w:pStyle w:val="sub1"/>
        <w:rPr>
          <w:rFonts w:ascii="Book Antiqua" w:hAnsi="Book Antiqua"/>
        </w:rPr>
      </w:pPr>
      <w:r w:rsidRPr="00D149D6">
        <w:rPr>
          <w:rFonts w:ascii="Book Antiqua" w:hAnsi="Book Antiqua"/>
        </w:rPr>
        <w:t xml:space="preserve">Finally, Commission staff conducted production cost modeling of the aggregated LSE portfolio datasets. </w:t>
      </w:r>
      <w:r w:rsidR="00E21DA5" w:rsidRPr="00D149D6">
        <w:rPr>
          <w:rFonts w:ascii="Book Antiqua" w:hAnsi="Book Antiqua"/>
        </w:rPr>
        <w:t xml:space="preserve"> </w:t>
      </w:r>
      <w:r w:rsidR="00D26A3B" w:rsidRPr="00D149D6">
        <w:rPr>
          <w:rFonts w:ascii="Book Antiqua" w:hAnsi="Book Antiqua"/>
        </w:rPr>
        <w:t xml:space="preserve">The </w:t>
      </w:r>
      <w:r w:rsidR="00957240" w:rsidRPr="001A7699">
        <w:rPr>
          <w:rFonts w:ascii="Book Antiqua" w:hAnsi="Book Antiqua"/>
        </w:rPr>
        <w:t xml:space="preserve">Strategic Energy Risk Valuation Model </w:t>
      </w:r>
      <w:r w:rsidR="00957240">
        <w:rPr>
          <w:rFonts w:ascii="Book Antiqua" w:hAnsi="Book Antiqua"/>
        </w:rPr>
        <w:t>(</w:t>
      </w:r>
      <w:r w:rsidR="00D26A3B" w:rsidRPr="00957240">
        <w:rPr>
          <w:rFonts w:ascii="Book Antiqua" w:hAnsi="Book Antiqua"/>
        </w:rPr>
        <w:t>SERVM</w:t>
      </w:r>
      <w:r w:rsidR="00957240">
        <w:rPr>
          <w:rFonts w:ascii="Book Antiqua" w:hAnsi="Book Antiqua"/>
        </w:rPr>
        <w:t xml:space="preserve">) </w:t>
      </w:r>
      <w:r w:rsidR="00D26A3B" w:rsidRPr="00D149D6">
        <w:rPr>
          <w:rFonts w:ascii="Book Antiqua" w:hAnsi="Book Antiqua"/>
        </w:rPr>
        <w:t xml:space="preserve">was used to measure operational performance and </w:t>
      </w:r>
      <w:r w:rsidR="00A86574">
        <w:rPr>
          <w:rFonts w:ascii="Book Antiqua" w:hAnsi="Book Antiqua"/>
        </w:rPr>
        <w:t>system reliability</w:t>
      </w:r>
      <w:r w:rsidR="00D26A3B" w:rsidRPr="00D149D6">
        <w:rPr>
          <w:rFonts w:ascii="Book Antiqua" w:hAnsi="Book Antiqua"/>
        </w:rPr>
        <w:t xml:space="preserve">. </w:t>
      </w:r>
      <w:r w:rsidR="00E21DA5" w:rsidRPr="00D149D6">
        <w:rPr>
          <w:rFonts w:ascii="Book Antiqua" w:hAnsi="Book Antiqua"/>
        </w:rPr>
        <w:t xml:space="preserve"> </w:t>
      </w:r>
      <w:r w:rsidR="00D26A3B" w:rsidRPr="00D149D6">
        <w:rPr>
          <w:rFonts w:ascii="Book Antiqua" w:hAnsi="Book Antiqua"/>
        </w:rPr>
        <w:t>The November 15, 2018 ALJ ruling finalizing the production cost modeling approach and schedule contains more detailed information about the process used by Commission staff.</w:t>
      </w:r>
    </w:p>
    <w:p w14:paraId="2F4496EF" w14:textId="77777777" w:rsidR="00AA78C6" w:rsidRPr="00AA78C6" w:rsidRDefault="00E55BF8" w:rsidP="004C75AB">
      <w:pPr>
        <w:pStyle w:val="Heading2"/>
      </w:pPr>
      <w:bookmarkStart w:id="36" w:name="_Toc3803831"/>
      <w:r>
        <w:t>Common Themes and Issues Across LSE Plans</w:t>
      </w:r>
      <w:bookmarkEnd w:id="36"/>
    </w:p>
    <w:p w14:paraId="755F16FA" w14:textId="77777777" w:rsidR="00E55BF8" w:rsidRPr="00D149D6" w:rsidRDefault="00F31119" w:rsidP="00FE1522">
      <w:pPr>
        <w:pStyle w:val="standard"/>
        <w:rPr>
          <w:rFonts w:ascii="Book Antiqua" w:hAnsi="Book Antiqua"/>
        </w:rPr>
      </w:pPr>
      <w:r w:rsidRPr="00D149D6">
        <w:rPr>
          <w:rFonts w:ascii="Book Antiqua" w:hAnsi="Book Antiqua"/>
        </w:rPr>
        <w:t xml:space="preserve">In our review of all of the LSE plans, several themes emerged that are discussed in this section. </w:t>
      </w:r>
    </w:p>
    <w:p w14:paraId="5C0171F3" w14:textId="77777777" w:rsidR="007A3273" w:rsidRDefault="007A3273" w:rsidP="001A7699">
      <w:pPr>
        <w:pStyle w:val="Heading3"/>
      </w:pPr>
      <w:bookmarkStart w:id="37" w:name="_Toc3803832"/>
      <w:r>
        <w:t>Portfolio Development</w:t>
      </w:r>
      <w:bookmarkEnd w:id="37"/>
    </w:p>
    <w:p w14:paraId="3E7D5E4E" w14:textId="77777777" w:rsidR="007A3273" w:rsidRPr="00D149D6" w:rsidRDefault="007A3273" w:rsidP="007A3273">
      <w:pPr>
        <w:pStyle w:val="sub2"/>
        <w:rPr>
          <w:rFonts w:ascii="Book Antiqua" w:hAnsi="Book Antiqua"/>
        </w:rPr>
      </w:pPr>
      <w:r w:rsidRPr="00D149D6">
        <w:rPr>
          <w:rFonts w:ascii="Book Antiqua" w:hAnsi="Book Antiqua"/>
        </w:rPr>
        <w:t>The majority of LSEs submitted their Conforming Portfolio as their Preferred Portfolio, opting to use inputs and assumptions consistent with the Commission</w:t>
      </w:r>
      <w:r w:rsidR="00D84A09" w:rsidRPr="00D149D6">
        <w:rPr>
          <w:rFonts w:ascii="Book Antiqua" w:hAnsi="Book Antiqua"/>
        </w:rPr>
        <w:noBreakHyphen/>
      </w:r>
      <w:r w:rsidRPr="00D149D6">
        <w:rPr>
          <w:rFonts w:ascii="Book Antiqua" w:hAnsi="Book Antiqua"/>
        </w:rPr>
        <w:t xml:space="preserve">adopted RSP and 2017 IEPR assumptions. </w:t>
      </w:r>
      <w:r w:rsidR="006C34C0">
        <w:rPr>
          <w:rFonts w:ascii="Book Antiqua" w:hAnsi="Book Antiqua"/>
        </w:rPr>
        <w:t xml:space="preserve"> Sixteen</w:t>
      </w:r>
      <w:r w:rsidR="00F96351" w:rsidRPr="00D149D6">
        <w:rPr>
          <w:rFonts w:ascii="Book Antiqua" w:hAnsi="Book Antiqua"/>
        </w:rPr>
        <w:t xml:space="preserve"> LSEs submitted an Alternative Portfolio as their Preferred Portfolio.</w:t>
      </w:r>
    </w:p>
    <w:p w14:paraId="6A97A6CF" w14:textId="7C9E584A" w:rsidR="00F96351" w:rsidRPr="00D149D6" w:rsidRDefault="00F96351" w:rsidP="007A3273">
      <w:pPr>
        <w:pStyle w:val="sub2"/>
        <w:rPr>
          <w:rFonts w:ascii="Book Antiqua" w:hAnsi="Book Antiqua"/>
        </w:rPr>
      </w:pPr>
      <w:r w:rsidRPr="00D149D6">
        <w:rPr>
          <w:rFonts w:ascii="Book Antiqua" w:hAnsi="Book Antiqua"/>
        </w:rPr>
        <w:t>Several CCAs and ESPs filed Preferred Portfolios whose only significant difference was a change in load assumptions from the 2017 IEPR</w:t>
      </w:r>
      <w:r w:rsidR="001D4925">
        <w:rPr>
          <w:rFonts w:ascii="Book Antiqua" w:hAnsi="Book Antiqua"/>
        </w:rPr>
        <w:t xml:space="preserve">. </w:t>
      </w:r>
      <w:r w:rsidR="00A52514">
        <w:rPr>
          <w:rFonts w:ascii="Book Antiqua" w:hAnsi="Book Antiqua"/>
        </w:rPr>
        <w:t xml:space="preserve"> </w:t>
      </w:r>
      <w:r w:rsidR="001D4925">
        <w:rPr>
          <w:rFonts w:ascii="Book Antiqua" w:hAnsi="Book Antiqua"/>
        </w:rPr>
        <w:t>In the case of CCAs, this was</w:t>
      </w:r>
      <w:r w:rsidRPr="00D149D6">
        <w:rPr>
          <w:rFonts w:ascii="Book Antiqua" w:hAnsi="Book Antiqua"/>
        </w:rPr>
        <w:t xml:space="preserve"> typically caused by changes that </w:t>
      </w:r>
      <w:r w:rsidR="00897C6D" w:rsidRPr="00D149D6">
        <w:rPr>
          <w:rFonts w:ascii="Book Antiqua" w:hAnsi="Book Antiqua"/>
        </w:rPr>
        <w:t>occurred after the filing dea</w:t>
      </w:r>
      <w:r w:rsidR="001B09F9">
        <w:rPr>
          <w:rFonts w:ascii="Book Antiqua" w:hAnsi="Book Antiqua"/>
        </w:rPr>
        <w:t>d</w:t>
      </w:r>
      <w:r w:rsidR="00897C6D" w:rsidRPr="00D149D6">
        <w:rPr>
          <w:rFonts w:ascii="Book Antiqua" w:hAnsi="Book Antiqua"/>
        </w:rPr>
        <w:t>lin</w:t>
      </w:r>
      <w:r w:rsidR="001B09F9">
        <w:rPr>
          <w:rFonts w:ascii="Book Antiqua" w:hAnsi="Book Antiqua"/>
        </w:rPr>
        <w:t>e</w:t>
      </w:r>
      <w:r w:rsidR="00897C6D" w:rsidRPr="00D149D6">
        <w:rPr>
          <w:rFonts w:ascii="Book Antiqua" w:hAnsi="Book Antiqua"/>
        </w:rPr>
        <w:t xml:space="preserve"> for the 2017 IEPR process.</w:t>
      </w:r>
      <w:r w:rsidR="001D4925">
        <w:rPr>
          <w:rFonts w:ascii="Book Antiqua" w:hAnsi="Book Antiqua"/>
        </w:rPr>
        <w:t xml:space="preserve"> </w:t>
      </w:r>
      <w:r w:rsidR="00A52514">
        <w:rPr>
          <w:rFonts w:ascii="Book Antiqua" w:hAnsi="Book Antiqua"/>
        </w:rPr>
        <w:t xml:space="preserve"> </w:t>
      </w:r>
      <w:r w:rsidR="001D4925">
        <w:rPr>
          <w:rFonts w:ascii="Book Antiqua" w:hAnsi="Book Antiqua"/>
        </w:rPr>
        <w:t>For ESPs, they often alter load shapes rather than load magnitude.</w:t>
      </w:r>
    </w:p>
    <w:p w14:paraId="56E7302F" w14:textId="77777777" w:rsidR="00897C6D" w:rsidRPr="00D149D6" w:rsidRDefault="00897C6D" w:rsidP="00826111">
      <w:pPr>
        <w:pStyle w:val="sub2"/>
        <w:rPr>
          <w:rFonts w:ascii="Book Antiqua" w:hAnsi="Book Antiqua"/>
        </w:rPr>
      </w:pPr>
      <w:r w:rsidRPr="00D149D6">
        <w:rPr>
          <w:rFonts w:ascii="Book Antiqua" w:hAnsi="Book Antiqua"/>
        </w:rPr>
        <w:t xml:space="preserve">Several CCAs and ESPs also appeared to have used the Clean Net Short (CNS) calculator to design their resource portfolio, rather than first developing their portfolios and then using the CNS to check emissions results after the fact. </w:t>
      </w:r>
      <w:r w:rsidR="00E21DA5" w:rsidRPr="00D149D6">
        <w:rPr>
          <w:rFonts w:ascii="Book Antiqua" w:hAnsi="Book Antiqua"/>
        </w:rPr>
        <w:t xml:space="preserve"> </w:t>
      </w:r>
      <w:r w:rsidRPr="00D149D6">
        <w:rPr>
          <w:rFonts w:ascii="Book Antiqua" w:hAnsi="Book Antiqua"/>
        </w:rPr>
        <w:t>It is important for LSEs to keep in mind that the CNS calculator was not designed to send portfolio investment signals, as it utilizes average rather than marginal hourly emissions factors to compute emissions associated with a resource portfolio, and therefore it is not an appropriate tool for LSE portfolio development decision</w:t>
      </w:r>
      <w:r w:rsidR="00A86574">
        <w:rPr>
          <w:rFonts w:ascii="Book Antiqua" w:hAnsi="Book Antiqua"/>
        </w:rPr>
        <w:t xml:space="preserve"> </w:t>
      </w:r>
      <w:r w:rsidRPr="00D149D6">
        <w:rPr>
          <w:rFonts w:ascii="Book Antiqua" w:hAnsi="Book Antiqua"/>
        </w:rPr>
        <w:t>making.</w:t>
      </w:r>
    </w:p>
    <w:p w14:paraId="7E3064DF" w14:textId="77777777" w:rsidR="00693762" w:rsidRDefault="00826111" w:rsidP="001A7699">
      <w:pPr>
        <w:pStyle w:val="Heading3"/>
      </w:pPr>
      <w:bookmarkStart w:id="38" w:name="_Toc3803833"/>
      <w:r>
        <w:t>Actionability of Plans</w:t>
      </w:r>
      <w:bookmarkEnd w:id="38"/>
    </w:p>
    <w:p w14:paraId="219AAB23" w14:textId="77777777" w:rsidR="00826111" w:rsidRPr="00D149D6" w:rsidRDefault="00826111" w:rsidP="00826111">
      <w:pPr>
        <w:pStyle w:val="sub2"/>
        <w:rPr>
          <w:rFonts w:ascii="Book Antiqua" w:hAnsi="Book Antiqua"/>
        </w:rPr>
      </w:pPr>
      <w:r w:rsidRPr="00D149D6">
        <w:rPr>
          <w:rFonts w:ascii="Book Antiqua" w:hAnsi="Book Antiqua"/>
        </w:rPr>
        <w:t>As a general disclaimer, many LSEs acknowledged that the resources procured in future years may differ from what was indicated in their LSE plans as circumstances change and new information becomes available.</w:t>
      </w:r>
      <w:r w:rsidR="00E21DA5" w:rsidRPr="00D149D6">
        <w:rPr>
          <w:rFonts w:ascii="Book Antiqua" w:hAnsi="Book Antiqua"/>
        </w:rPr>
        <w:t xml:space="preserve"> </w:t>
      </w:r>
      <w:r w:rsidRPr="00D149D6">
        <w:rPr>
          <w:rFonts w:ascii="Book Antiqua" w:hAnsi="Book Antiqua"/>
        </w:rPr>
        <w:t xml:space="preserve"> </w:t>
      </w:r>
      <w:r w:rsidR="001F7895" w:rsidRPr="00D149D6">
        <w:rPr>
          <w:rFonts w:ascii="Book Antiqua" w:hAnsi="Book Antiqua"/>
        </w:rPr>
        <w:t>The resource mix ultimately procured will depend on multiple variables including availability of supply, pricing of supply, ability of the LSE to acquire the resources, and other market or regulatory considerations.</w:t>
      </w:r>
    </w:p>
    <w:p w14:paraId="45A41563" w14:textId="77777777" w:rsidR="008C20AD" w:rsidRPr="00D149D6" w:rsidRDefault="001F7895" w:rsidP="00826111">
      <w:pPr>
        <w:pStyle w:val="sub2"/>
        <w:rPr>
          <w:rFonts w:ascii="Book Antiqua" w:hAnsi="Book Antiqua"/>
        </w:rPr>
      </w:pPr>
      <w:r w:rsidRPr="00D149D6">
        <w:rPr>
          <w:rFonts w:ascii="Book Antiqua" w:hAnsi="Book Antiqua"/>
        </w:rPr>
        <w:t xml:space="preserve">Three CCAs (MCE, Monterey Bay, and SCP cautioned against using their 2018 LSE plans in statewide planning in this IRP cycle, and instead recommended that the Commission wait until their subsequent </w:t>
      </w:r>
      <w:r w:rsidR="008C20AD" w:rsidRPr="00D149D6">
        <w:rPr>
          <w:rFonts w:ascii="Book Antiqua" w:hAnsi="Book Antiqua"/>
        </w:rPr>
        <w:t xml:space="preserve">“internal” or local </w:t>
      </w:r>
      <w:r w:rsidRPr="00D149D6">
        <w:rPr>
          <w:rFonts w:ascii="Book Antiqua" w:hAnsi="Book Antiqua"/>
        </w:rPr>
        <w:t xml:space="preserve">IRPs are prepared and submitted. </w:t>
      </w:r>
      <w:r w:rsidR="00E21DA5" w:rsidRPr="00D149D6">
        <w:rPr>
          <w:rFonts w:ascii="Book Antiqua" w:hAnsi="Book Antiqua"/>
        </w:rPr>
        <w:t xml:space="preserve"> </w:t>
      </w:r>
      <w:r w:rsidRPr="00D149D6">
        <w:rPr>
          <w:rFonts w:ascii="Book Antiqua" w:hAnsi="Book Antiqua"/>
        </w:rPr>
        <w:t xml:space="preserve">CPA </w:t>
      </w:r>
      <w:r w:rsidR="008C20AD" w:rsidRPr="00D149D6">
        <w:rPr>
          <w:rFonts w:ascii="Book Antiqua" w:hAnsi="Book Antiqua"/>
        </w:rPr>
        <w:t xml:space="preserve">also </w:t>
      </w:r>
      <w:r w:rsidRPr="00D149D6">
        <w:rPr>
          <w:rFonts w:ascii="Book Antiqua" w:hAnsi="Book Antiqua"/>
        </w:rPr>
        <w:t xml:space="preserve">noted that its LSE plan does not supersede its internal procurement planning process. </w:t>
      </w:r>
    </w:p>
    <w:p w14:paraId="42D54F3B" w14:textId="77777777" w:rsidR="001F7895" w:rsidRPr="00D149D6" w:rsidRDefault="001F7895" w:rsidP="00826111">
      <w:pPr>
        <w:pStyle w:val="sub2"/>
        <w:rPr>
          <w:rFonts w:ascii="Book Antiqua" w:hAnsi="Book Antiqua"/>
        </w:rPr>
      </w:pPr>
      <w:r w:rsidRPr="00D149D6">
        <w:rPr>
          <w:rFonts w:ascii="Book Antiqua" w:hAnsi="Book Antiqua"/>
        </w:rPr>
        <w:t>Such statements are concerning, as the integrity of the IRP process, and the development of the PSP in particular, depends on the provision of accurate, up</w:t>
      </w:r>
      <w:r w:rsidR="00D84A09" w:rsidRPr="00D149D6">
        <w:rPr>
          <w:rFonts w:ascii="Book Antiqua" w:hAnsi="Book Antiqua"/>
        </w:rPr>
        <w:noBreakHyphen/>
      </w:r>
      <w:r w:rsidRPr="00D149D6">
        <w:rPr>
          <w:rFonts w:ascii="Book Antiqua" w:hAnsi="Book Antiqua"/>
        </w:rPr>
        <w:t>to</w:t>
      </w:r>
      <w:r w:rsidR="00D84A09" w:rsidRPr="00D149D6">
        <w:rPr>
          <w:rFonts w:ascii="Book Antiqua" w:hAnsi="Book Antiqua"/>
        </w:rPr>
        <w:noBreakHyphen/>
      </w:r>
      <w:r w:rsidRPr="00D149D6">
        <w:rPr>
          <w:rFonts w:ascii="Book Antiqua" w:hAnsi="Book Antiqua"/>
        </w:rPr>
        <w:t>date data and information by all LSEs.</w:t>
      </w:r>
      <w:r w:rsidR="008C20AD" w:rsidRPr="00D149D6">
        <w:rPr>
          <w:rFonts w:ascii="Book Antiqua" w:hAnsi="Book Antiqua"/>
        </w:rPr>
        <w:t xml:space="preserve"> </w:t>
      </w:r>
      <w:r w:rsidR="00E21DA5" w:rsidRPr="00D149D6">
        <w:rPr>
          <w:rFonts w:ascii="Book Antiqua" w:hAnsi="Book Antiqua"/>
        </w:rPr>
        <w:t xml:space="preserve"> </w:t>
      </w:r>
      <w:r w:rsidR="008C20AD" w:rsidRPr="00D149D6">
        <w:rPr>
          <w:rFonts w:ascii="Book Antiqua" w:hAnsi="Book Antiqua"/>
        </w:rPr>
        <w:t>In particular, we expect all of the LSEs to tailor their IRP development process to meet the Commission’s requirements</w:t>
      </w:r>
      <w:r w:rsidR="005D56CE">
        <w:rPr>
          <w:rFonts w:ascii="Book Antiqua" w:hAnsi="Book Antiqua"/>
        </w:rPr>
        <w:t xml:space="preserve"> for implementing the statute</w:t>
      </w:r>
      <w:r w:rsidR="008C20AD" w:rsidRPr="00D149D6">
        <w:rPr>
          <w:rFonts w:ascii="Book Antiqua" w:hAnsi="Book Antiqua"/>
        </w:rPr>
        <w:t xml:space="preserve">, rather than expecting our process to conform to their local one. </w:t>
      </w:r>
      <w:r w:rsidR="00E21DA5" w:rsidRPr="00D149D6">
        <w:rPr>
          <w:rFonts w:ascii="Book Antiqua" w:hAnsi="Book Antiqua"/>
        </w:rPr>
        <w:t xml:space="preserve"> </w:t>
      </w:r>
      <w:r w:rsidR="008C20AD" w:rsidRPr="00D149D6">
        <w:rPr>
          <w:rFonts w:ascii="Book Antiqua" w:hAnsi="Book Antiqua"/>
        </w:rPr>
        <w:t xml:space="preserve">The Commission’s </w:t>
      </w:r>
      <w:r w:rsidR="001D4925">
        <w:rPr>
          <w:rFonts w:ascii="Book Antiqua" w:hAnsi="Book Antiqua"/>
        </w:rPr>
        <w:t xml:space="preserve">portfolio aggregation and evaluation process, which relies on fulfillment of </w:t>
      </w:r>
      <w:r w:rsidR="008C20AD" w:rsidRPr="00D149D6">
        <w:rPr>
          <w:rFonts w:ascii="Book Antiqua" w:hAnsi="Book Antiqua"/>
        </w:rPr>
        <w:t xml:space="preserve">IRP </w:t>
      </w:r>
      <w:r w:rsidR="001D4925">
        <w:rPr>
          <w:rFonts w:ascii="Book Antiqua" w:hAnsi="Book Antiqua"/>
        </w:rPr>
        <w:t>filing</w:t>
      </w:r>
      <w:r w:rsidR="005D56CE">
        <w:rPr>
          <w:rFonts w:ascii="Book Antiqua" w:hAnsi="Book Antiqua"/>
        </w:rPr>
        <w:t xml:space="preserve"> </w:t>
      </w:r>
      <w:r w:rsidR="008C20AD" w:rsidRPr="00D149D6">
        <w:rPr>
          <w:rFonts w:ascii="Book Antiqua" w:hAnsi="Book Antiqua"/>
        </w:rPr>
        <w:t>requirements</w:t>
      </w:r>
      <w:r w:rsidR="001D4925">
        <w:rPr>
          <w:rFonts w:ascii="Book Antiqua" w:hAnsi="Book Antiqua"/>
        </w:rPr>
        <w:t xml:space="preserve"> by LSEs, is</w:t>
      </w:r>
      <w:r w:rsidR="008C20AD" w:rsidRPr="00D149D6">
        <w:rPr>
          <w:rFonts w:ascii="Book Antiqua" w:hAnsi="Book Antiqua"/>
        </w:rPr>
        <w:t xml:space="preserve"> the only process capable of assessing the overall needs of the CAISO grid </w:t>
      </w:r>
      <w:r w:rsidR="005D56CE">
        <w:rPr>
          <w:rFonts w:ascii="Book Antiqua" w:hAnsi="Book Antiqua"/>
        </w:rPr>
        <w:t xml:space="preserve">and meeting the statewide GHG, reliability, and least-cost goals </w:t>
      </w:r>
      <w:r w:rsidR="008C20AD" w:rsidRPr="00D149D6">
        <w:rPr>
          <w:rFonts w:ascii="Book Antiqua" w:hAnsi="Book Antiqua"/>
        </w:rPr>
        <w:t xml:space="preserve">collectively. </w:t>
      </w:r>
      <w:r w:rsidR="00E21DA5" w:rsidRPr="00D149D6">
        <w:rPr>
          <w:rFonts w:ascii="Book Antiqua" w:hAnsi="Book Antiqua"/>
        </w:rPr>
        <w:t xml:space="preserve"> </w:t>
      </w:r>
      <w:r w:rsidR="008C20AD" w:rsidRPr="00D149D6">
        <w:rPr>
          <w:rFonts w:ascii="Book Antiqua" w:hAnsi="Book Antiqua"/>
        </w:rPr>
        <w:t>While LSEs may use their IRP process to meet local planning needs as well, the statewide planning function is the statutorily required process, and not subservient to the CCAs’ other purposes.</w:t>
      </w:r>
      <w:r w:rsidR="00974091" w:rsidRPr="00D149D6">
        <w:rPr>
          <w:rFonts w:ascii="Book Antiqua" w:hAnsi="Book Antiqua"/>
        </w:rPr>
        <w:t xml:space="preserve"> </w:t>
      </w:r>
      <w:r w:rsidR="00E21DA5" w:rsidRPr="00D149D6">
        <w:rPr>
          <w:rFonts w:ascii="Book Antiqua" w:hAnsi="Book Antiqua"/>
        </w:rPr>
        <w:t xml:space="preserve"> </w:t>
      </w:r>
      <w:r w:rsidR="00974091" w:rsidRPr="00D149D6">
        <w:rPr>
          <w:rFonts w:ascii="Book Antiqua" w:hAnsi="Book Antiqua"/>
        </w:rPr>
        <w:t xml:space="preserve">In the future, we will not only require all LSEs to file their IRPs according to the timetable and process required by the Commission, we will also require any other materials such as “internal” IRPs or other plans created by LSEs to be included in the submittal to the Commission. </w:t>
      </w:r>
      <w:r w:rsidR="00E21DA5" w:rsidRPr="00D149D6">
        <w:rPr>
          <w:rFonts w:ascii="Book Antiqua" w:hAnsi="Book Antiqua"/>
        </w:rPr>
        <w:t xml:space="preserve"> </w:t>
      </w:r>
      <w:r w:rsidR="00974091" w:rsidRPr="00D149D6">
        <w:rPr>
          <w:rFonts w:ascii="Book Antiqua" w:hAnsi="Book Antiqua"/>
        </w:rPr>
        <w:t xml:space="preserve">LSEs should not be conducting a separate and inconsistent planning process that is different </w:t>
      </w:r>
      <w:r w:rsidR="001D4925">
        <w:rPr>
          <w:rFonts w:ascii="Book Antiqua" w:hAnsi="Book Antiqua"/>
        </w:rPr>
        <w:t xml:space="preserve">in both timing and scope </w:t>
      </w:r>
      <w:r w:rsidR="00974091" w:rsidRPr="00D149D6">
        <w:rPr>
          <w:rFonts w:ascii="Book Antiqua" w:hAnsi="Book Antiqua"/>
        </w:rPr>
        <w:t>from the statewide one being conducted here.</w:t>
      </w:r>
    </w:p>
    <w:p w14:paraId="0C4D633A" w14:textId="77777777" w:rsidR="001F7895" w:rsidRPr="00D149D6" w:rsidRDefault="009716F5" w:rsidP="00826111">
      <w:pPr>
        <w:pStyle w:val="sub2"/>
        <w:rPr>
          <w:rFonts w:ascii="Book Antiqua" w:hAnsi="Book Antiqua"/>
        </w:rPr>
      </w:pPr>
      <w:r w:rsidRPr="00D149D6">
        <w:rPr>
          <w:rFonts w:ascii="Book Antiqua" w:hAnsi="Book Antiqua"/>
        </w:rPr>
        <w:t xml:space="preserve">Finally, many CCAs and ESPs considered certain sections of the LSE Plan template as inapplicable to them, stating that they do not consider the Commission to have the authority to dictate what specific actions they must take. </w:t>
      </w:r>
      <w:r w:rsidR="00E21DA5" w:rsidRPr="00D149D6">
        <w:rPr>
          <w:rFonts w:ascii="Book Antiqua" w:hAnsi="Book Antiqua"/>
        </w:rPr>
        <w:t xml:space="preserve"> </w:t>
      </w:r>
      <w:r w:rsidRPr="00D149D6">
        <w:rPr>
          <w:rFonts w:ascii="Book Antiqua" w:hAnsi="Book Antiqua"/>
        </w:rPr>
        <w:t xml:space="preserve">This is best exemplified in responses to the “Cost and Rate Analysis” section of the template. </w:t>
      </w:r>
      <w:r w:rsidR="00E21DA5" w:rsidRPr="00D149D6">
        <w:rPr>
          <w:rFonts w:ascii="Book Antiqua" w:hAnsi="Book Antiqua"/>
        </w:rPr>
        <w:t xml:space="preserve"> </w:t>
      </w:r>
      <w:r w:rsidRPr="00D149D6">
        <w:rPr>
          <w:rFonts w:ascii="Book Antiqua" w:hAnsi="Book Antiqua"/>
        </w:rPr>
        <w:t>Some CCAs stated that their rates are approved by th</w:t>
      </w:r>
      <w:r w:rsidR="008C20AD" w:rsidRPr="00D149D6">
        <w:rPr>
          <w:rFonts w:ascii="Book Antiqua" w:hAnsi="Book Antiqua"/>
        </w:rPr>
        <w:t>e</w:t>
      </w:r>
      <w:r w:rsidRPr="00D149D6">
        <w:rPr>
          <w:rFonts w:ascii="Book Antiqua" w:hAnsi="Book Antiqua"/>
        </w:rPr>
        <w:t>ir local governing boards and not set or overseen by the Commission, and that their governing board is the entity that determines whether their resource portfolio achieves environmental, reliability, and other benefits in a cost</w:t>
      </w:r>
      <w:r w:rsidR="00D84A09" w:rsidRPr="00D149D6">
        <w:rPr>
          <w:rFonts w:ascii="Book Antiqua" w:hAnsi="Book Antiqua"/>
        </w:rPr>
        <w:noBreakHyphen/>
      </w:r>
      <w:r w:rsidRPr="00D149D6">
        <w:rPr>
          <w:rFonts w:ascii="Book Antiqua" w:hAnsi="Book Antiqua"/>
        </w:rPr>
        <w:t>effective manner.</w:t>
      </w:r>
    </w:p>
    <w:p w14:paraId="0FE464EA" w14:textId="77777777" w:rsidR="008C20AD" w:rsidRPr="00D149D6" w:rsidRDefault="008C20AD" w:rsidP="00826111">
      <w:pPr>
        <w:pStyle w:val="sub2"/>
        <w:rPr>
          <w:rFonts w:ascii="Book Antiqua" w:hAnsi="Book Antiqua"/>
        </w:rPr>
      </w:pPr>
      <w:r w:rsidRPr="00D149D6">
        <w:rPr>
          <w:rFonts w:ascii="Book Antiqua" w:hAnsi="Book Antiqua"/>
        </w:rPr>
        <w:t xml:space="preserve">While we agree that the Commission does not approve CCA or ESP rates, the Commission </w:t>
      </w:r>
      <w:r w:rsidR="00377B6F" w:rsidRPr="00D149D6">
        <w:rPr>
          <w:rFonts w:ascii="Book Antiqua" w:hAnsi="Book Antiqua"/>
        </w:rPr>
        <w:t>and the Legislature are</w:t>
      </w:r>
      <w:r w:rsidRPr="00D149D6">
        <w:rPr>
          <w:rFonts w:ascii="Book Antiqua" w:hAnsi="Book Antiqua"/>
        </w:rPr>
        <w:t xml:space="preserve"> concerned about overall cost to consumers.</w:t>
      </w:r>
      <w:r w:rsidR="00E21DA5" w:rsidRPr="00D149D6">
        <w:rPr>
          <w:rFonts w:ascii="Book Antiqua" w:hAnsi="Book Antiqua"/>
        </w:rPr>
        <w:t xml:space="preserve"> </w:t>
      </w:r>
      <w:r w:rsidRPr="00D149D6">
        <w:rPr>
          <w:rFonts w:ascii="Book Antiqua" w:hAnsi="Book Antiqua"/>
        </w:rPr>
        <w:t xml:space="preserve"> Section 454.52(D) of the Public Utilities Code requires that the Commission ensure that each LSE minimizes “impacts on ratepayers’ bills.” </w:t>
      </w:r>
      <w:r w:rsidR="00E21DA5" w:rsidRPr="00D149D6">
        <w:rPr>
          <w:rFonts w:ascii="Book Antiqua" w:hAnsi="Book Antiqua"/>
        </w:rPr>
        <w:t xml:space="preserve"> </w:t>
      </w:r>
      <w:r w:rsidRPr="00D149D6">
        <w:rPr>
          <w:rFonts w:ascii="Book Antiqua" w:hAnsi="Book Antiqua"/>
        </w:rPr>
        <w:t xml:space="preserve">Without cost and rate information submitted in individual IRPs, the Commission has no basis on which to make any determination </w:t>
      </w:r>
      <w:r w:rsidR="00F04D0C" w:rsidRPr="00D149D6">
        <w:rPr>
          <w:rFonts w:ascii="Book Antiqua" w:hAnsi="Book Antiqua"/>
        </w:rPr>
        <w:t xml:space="preserve">about </w:t>
      </w:r>
      <w:r w:rsidRPr="00D149D6">
        <w:rPr>
          <w:rFonts w:ascii="Book Antiqua" w:hAnsi="Book Antiqua"/>
        </w:rPr>
        <w:t xml:space="preserve">compliance with </w:t>
      </w:r>
      <w:r w:rsidR="001A7AC7" w:rsidRPr="00D149D6">
        <w:rPr>
          <w:rFonts w:ascii="Book Antiqua" w:hAnsi="Book Antiqua"/>
        </w:rPr>
        <w:t>this</w:t>
      </w:r>
      <w:r w:rsidRPr="00D149D6">
        <w:rPr>
          <w:rFonts w:ascii="Book Antiqua" w:hAnsi="Book Antiqua"/>
        </w:rPr>
        <w:t xml:space="preserve"> statut</w:t>
      </w:r>
      <w:r w:rsidR="001A7AC7" w:rsidRPr="00D149D6">
        <w:rPr>
          <w:rFonts w:ascii="Book Antiqua" w:hAnsi="Book Antiqua"/>
        </w:rPr>
        <w:t>ory requirement</w:t>
      </w:r>
      <w:r w:rsidRPr="00D149D6">
        <w:rPr>
          <w:rFonts w:ascii="Book Antiqua" w:hAnsi="Book Antiqua"/>
        </w:rPr>
        <w:t>.</w:t>
      </w:r>
      <w:r w:rsidR="00E21DA5" w:rsidRPr="00D149D6">
        <w:rPr>
          <w:rFonts w:ascii="Book Antiqua" w:hAnsi="Book Antiqua"/>
        </w:rPr>
        <w:t xml:space="preserve"> </w:t>
      </w:r>
      <w:r w:rsidRPr="00D149D6">
        <w:rPr>
          <w:rFonts w:ascii="Book Antiqua" w:hAnsi="Book Antiqua"/>
        </w:rPr>
        <w:t xml:space="preserve"> </w:t>
      </w:r>
      <w:r w:rsidR="00377B6F" w:rsidRPr="00D149D6">
        <w:rPr>
          <w:rFonts w:ascii="Book Antiqua" w:hAnsi="Book Antiqua"/>
        </w:rPr>
        <w:t xml:space="preserve">While not providing this information in this round of IRP filings is not considered grounds for rejection of an individual IRP, in the next round it will be. </w:t>
      </w:r>
    </w:p>
    <w:p w14:paraId="48002B5E" w14:textId="673E66DA" w:rsidR="00377B6F" w:rsidRPr="00D149D6" w:rsidRDefault="00377B6F" w:rsidP="00826111">
      <w:pPr>
        <w:pStyle w:val="sub2"/>
        <w:rPr>
          <w:rFonts w:ascii="Book Antiqua" w:hAnsi="Book Antiqua"/>
        </w:rPr>
      </w:pPr>
      <w:r w:rsidRPr="00D149D6">
        <w:rPr>
          <w:rFonts w:ascii="Book Antiqua" w:hAnsi="Book Antiqua"/>
        </w:rPr>
        <w:t>We intend to develop more detailed filing requirements in this area in time for the next IRP filings.</w:t>
      </w:r>
      <w:r w:rsidR="00E21DA5" w:rsidRPr="00D149D6">
        <w:rPr>
          <w:rFonts w:ascii="Book Antiqua" w:hAnsi="Book Antiqua"/>
        </w:rPr>
        <w:t xml:space="preserve"> </w:t>
      </w:r>
      <w:r w:rsidRPr="00D149D6">
        <w:rPr>
          <w:rFonts w:ascii="Book Antiqua" w:hAnsi="Book Antiqua"/>
        </w:rPr>
        <w:t xml:space="preserve"> In the meantime, Commission staff will pilot test the acquisition of this information beginning later this year with a data request that will be issued to all LSEs to provide additiona</w:t>
      </w:r>
      <w:r w:rsidR="004C75AB" w:rsidRPr="00D149D6">
        <w:rPr>
          <w:rFonts w:ascii="Book Antiqua" w:hAnsi="Book Antiqua"/>
        </w:rPr>
        <w:t xml:space="preserve">l/updated information by </w:t>
      </w:r>
      <w:r w:rsidR="00C84B32">
        <w:rPr>
          <w:rFonts w:ascii="Book Antiqua" w:hAnsi="Book Antiqua"/>
        </w:rPr>
        <w:t>August</w:t>
      </w:r>
      <w:r w:rsidR="00C84B32" w:rsidRPr="00D149D6">
        <w:rPr>
          <w:rFonts w:ascii="Book Antiqua" w:hAnsi="Book Antiqua"/>
        </w:rPr>
        <w:t> </w:t>
      </w:r>
      <w:r w:rsidRPr="00D149D6">
        <w:rPr>
          <w:rFonts w:ascii="Book Antiqua" w:hAnsi="Book Antiqua"/>
        </w:rPr>
        <w:t>1</w:t>
      </w:r>
      <w:r w:rsidR="00C84B32">
        <w:rPr>
          <w:rFonts w:ascii="Book Antiqua" w:hAnsi="Book Antiqua"/>
        </w:rPr>
        <w:t>6</w:t>
      </w:r>
      <w:r w:rsidRPr="00D149D6">
        <w:rPr>
          <w:rFonts w:ascii="Book Antiqua" w:hAnsi="Book Antiqua"/>
        </w:rPr>
        <w:t xml:space="preserve">, 2019. </w:t>
      </w:r>
      <w:r w:rsidR="004C75AB" w:rsidRPr="00D149D6">
        <w:rPr>
          <w:rFonts w:ascii="Book Antiqua" w:hAnsi="Book Antiqua"/>
        </w:rPr>
        <w:t xml:space="preserve"> </w:t>
      </w:r>
      <w:r w:rsidRPr="00D149D6">
        <w:rPr>
          <w:rFonts w:ascii="Book Antiqua" w:hAnsi="Book Antiqua"/>
        </w:rPr>
        <w:t xml:space="preserve">This is discussed in more detail in Section 3 of this decision below.  </w:t>
      </w:r>
    </w:p>
    <w:p w14:paraId="498C7E21" w14:textId="77777777" w:rsidR="00854573" w:rsidRPr="004C75AB" w:rsidRDefault="007341D5" w:rsidP="001A7699">
      <w:pPr>
        <w:pStyle w:val="Heading3"/>
      </w:pPr>
      <w:bookmarkStart w:id="39" w:name="_Toc3803834"/>
      <w:r w:rsidRPr="004C75AB">
        <w:t>Use of the CNS Calculator</w:t>
      </w:r>
      <w:bookmarkEnd w:id="39"/>
    </w:p>
    <w:p w14:paraId="2DCF8EAF" w14:textId="77777777" w:rsidR="007341D5" w:rsidRPr="00D149D6" w:rsidRDefault="001C469C" w:rsidP="007341D5">
      <w:pPr>
        <w:pStyle w:val="sub2"/>
        <w:rPr>
          <w:rFonts w:ascii="Book Antiqua" w:hAnsi="Book Antiqua"/>
        </w:rPr>
      </w:pPr>
      <w:r w:rsidRPr="00D149D6">
        <w:rPr>
          <w:rFonts w:ascii="Book Antiqua" w:hAnsi="Book Antiqua"/>
        </w:rPr>
        <w:t>None of the LSEs used the GHG Planning Price adopted in D.18</w:t>
      </w:r>
      <w:r w:rsidR="00D84A09" w:rsidRPr="00D149D6">
        <w:rPr>
          <w:rFonts w:ascii="Book Antiqua" w:hAnsi="Book Antiqua"/>
        </w:rPr>
        <w:noBreakHyphen/>
      </w:r>
      <w:r w:rsidRPr="00D149D6">
        <w:rPr>
          <w:rFonts w:ascii="Book Antiqua" w:hAnsi="Book Antiqua"/>
        </w:rPr>
        <w:t>02</w:t>
      </w:r>
      <w:r w:rsidR="00D84A09" w:rsidRPr="00D149D6">
        <w:rPr>
          <w:rFonts w:ascii="Book Antiqua" w:hAnsi="Book Antiqua"/>
        </w:rPr>
        <w:noBreakHyphen/>
      </w:r>
      <w:r w:rsidRPr="00D149D6">
        <w:rPr>
          <w:rFonts w:ascii="Book Antiqua" w:hAnsi="Book Antiqua"/>
        </w:rPr>
        <w:t xml:space="preserve">018 in developing their plans. </w:t>
      </w:r>
      <w:r w:rsidR="00E21DA5" w:rsidRPr="00D149D6">
        <w:rPr>
          <w:rFonts w:ascii="Book Antiqua" w:hAnsi="Book Antiqua"/>
        </w:rPr>
        <w:t xml:space="preserve"> </w:t>
      </w:r>
      <w:r w:rsidRPr="00D149D6">
        <w:rPr>
          <w:rFonts w:ascii="Book Antiqua" w:hAnsi="Book Antiqua"/>
        </w:rPr>
        <w:t>All LSEs opted to use the Commission</w:t>
      </w:r>
      <w:r w:rsidR="00D84A09" w:rsidRPr="00D149D6">
        <w:rPr>
          <w:rFonts w:ascii="Book Antiqua" w:hAnsi="Book Antiqua"/>
        </w:rPr>
        <w:noBreakHyphen/>
      </w:r>
      <w:r w:rsidRPr="00D149D6">
        <w:rPr>
          <w:rFonts w:ascii="Book Antiqua" w:hAnsi="Book Antiqua"/>
        </w:rPr>
        <w:t>assigned LSE</w:t>
      </w:r>
      <w:r w:rsidR="00D84A09" w:rsidRPr="00D149D6">
        <w:rPr>
          <w:rFonts w:ascii="Book Antiqua" w:hAnsi="Book Antiqua"/>
        </w:rPr>
        <w:noBreakHyphen/>
      </w:r>
      <w:r w:rsidRPr="00D149D6">
        <w:rPr>
          <w:rFonts w:ascii="Book Antiqua" w:hAnsi="Book Antiqua"/>
        </w:rPr>
        <w:t>specific 2030 GHG Benchmark, along with the CNS Calculator, to estimate the GHG emissions of their portfolios.</w:t>
      </w:r>
    </w:p>
    <w:p w14:paraId="0EA1891F" w14:textId="77777777" w:rsidR="001C469C" w:rsidRPr="00D149D6" w:rsidRDefault="001C469C" w:rsidP="007341D5">
      <w:pPr>
        <w:pStyle w:val="sub2"/>
        <w:rPr>
          <w:rFonts w:ascii="Book Antiqua" w:hAnsi="Book Antiqua"/>
        </w:rPr>
      </w:pPr>
      <w:r w:rsidRPr="00D149D6">
        <w:rPr>
          <w:rFonts w:ascii="Book Antiqua" w:hAnsi="Book Antiqua"/>
        </w:rPr>
        <w:t>Seven LSEs</w:t>
      </w:r>
      <w:r w:rsidRPr="00D149D6">
        <w:rPr>
          <w:rStyle w:val="FootnoteReference"/>
          <w:rFonts w:ascii="Book Antiqua" w:hAnsi="Book Antiqua"/>
        </w:rPr>
        <w:footnoteReference w:id="6"/>
      </w:r>
      <w:r w:rsidRPr="00D149D6">
        <w:rPr>
          <w:rFonts w:ascii="Book Antiqua" w:hAnsi="Book Antiqua"/>
        </w:rPr>
        <w:t xml:space="preserve"> used a conforming load forecast in the CNS calculator that wa</w:t>
      </w:r>
      <w:r w:rsidR="008C20AD" w:rsidRPr="00D149D6">
        <w:rPr>
          <w:rFonts w:ascii="Book Antiqua" w:hAnsi="Book Antiqua"/>
        </w:rPr>
        <w:t>s</w:t>
      </w:r>
      <w:r w:rsidRPr="00D149D6">
        <w:rPr>
          <w:rFonts w:ascii="Book Antiqua" w:hAnsi="Book Antiqua"/>
        </w:rPr>
        <w:t xml:space="preserve"> adjusted downward by a range of approximately 1</w:t>
      </w:r>
      <w:r w:rsidR="00D84A09" w:rsidRPr="00D149D6">
        <w:rPr>
          <w:rFonts w:ascii="Book Antiqua" w:hAnsi="Book Antiqua"/>
        </w:rPr>
        <w:noBreakHyphen/>
      </w:r>
      <w:r w:rsidRPr="00D149D6">
        <w:rPr>
          <w:rFonts w:ascii="Book Antiqua" w:hAnsi="Book Antiqua"/>
        </w:rPr>
        <w:t>3</w:t>
      </w:r>
      <w:r w:rsidR="00D0161E" w:rsidRPr="00D149D6">
        <w:rPr>
          <w:rFonts w:ascii="Book Antiqua" w:hAnsi="Book Antiqua"/>
        </w:rPr>
        <w:t>%</w:t>
      </w:r>
      <w:r w:rsidRPr="00D149D6">
        <w:rPr>
          <w:rFonts w:ascii="Book Antiqua" w:hAnsi="Book Antiqua"/>
        </w:rPr>
        <w:t xml:space="preserve">, without explanation, for the years 2018, 2022, and 2026. </w:t>
      </w:r>
      <w:r w:rsidR="00E21DA5" w:rsidRPr="00D149D6">
        <w:rPr>
          <w:rFonts w:ascii="Book Antiqua" w:hAnsi="Book Antiqua"/>
        </w:rPr>
        <w:t xml:space="preserve"> </w:t>
      </w:r>
      <w:r w:rsidRPr="00D149D6">
        <w:rPr>
          <w:rFonts w:ascii="Book Antiqua" w:hAnsi="Book Antiqua"/>
        </w:rPr>
        <w:t>Nevertheless, in each instance the LSE met its 2030 GHG Benchmark.</w:t>
      </w:r>
    </w:p>
    <w:p w14:paraId="661630EB" w14:textId="77777777" w:rsidR="001C469C" w:rsidRPr="00D149D6" w:rsidRDefault="001C469C" w:rsidP="007341D5">
      <w:pPr>
        <w:pStyle w:val="sub2"/>
        <w:rPr>
          <w:rFonts w:ascii="Book Antiqua" w:hAnsi="Book Antiqua"/>
        </w:rPr>
      </w:pPr>
      <w:r w:rsidRPr="00D149D6">
        <w:rPr>
          <w:rFonts w:ascii="Book Antiqua" w:hAnsi="Book Antiqua"/>
        </w:rPr>
        <w:t xml:space="preserve">About half of the LSEs filing Alternative Plans either used the CNS calculator incorrectly or did not use it at all to demonstrate achievement of their 2030 GHG Benchmark. </w:t>
      </w:r>
      <w:r w:rsidR="008672C5" w:rsidRPr="00D149D6">
        <w:rPr>
          <w:rFonts w:ascii="Book Antiqua" w:hAnsi="Book Antiqua"/>
        </w:rPr>
        <w:t xml:space="preserve"> </w:t>
      </w:r>
      <w:r w:rsidRPr="00D149D6">
        <w:rPr>
          <w:rFonts w:ascii="Book Antiqua" w:hAnsi="Book Antiqua"/>
        </w:rPr>
        <w:t>In all but one of these cases, the GHG Benchmarks were either calculated incorrectly or not calculated at all.</w:t>
      </w:r>
    </w:p>
    <w:p w14:paraId="7C5F8C39" w14:textId="77777777" w:rsidR="001C469C" w:rsidRPr="00D149D6" w:rsidRDefault="001C469C" w:rsidP="007341D5">
      <w:pPr>
        <w:pStyle w:val="sub2"/>
        <w:rPr>
          <w:rFonts w:ascii="Book Antiqua" w:hAnsi="Book Antiqua"/>
        </w:rPr>
      </w:pPr>
    </w:p>
    <w:p w14:paraId="78935346" w14:textId="77777777" w:rsidR="00854573" w:rsidRDefault="001C469C" w:rsidP="001A7699">
      <w:pPr>
        <w:pStyle w:val="Heading3"/>
      </w:pPr>
      <w:bookmarkStart w:id="40" w:name="_Toc3803835"/>
      <w:r>
        <w:t>Criteria Pollutant and Disadvantaged Community Requirements</w:t>
      </w:r>
      <w:bookmarkEnd w:id="40"/>
    </w:p>
    <w:p w14:paraId="46EEAC46" w14:textId="77777777" w:rsidR="001C469C" w:rsidRPr="00D149D6" w:rsidRDefault="00976D1B" w:rsidP="001C469C">
      <w:pPr>
        <w:pStyle w:val="sub2"/>
        <w:rPr>
          <w:rFonts w:ascii="Book Antiqua" w:hAnsi="Book Antiqua"/>
        </w:rPr>
      </w:pPr>
      <w:r w:rsidRPr="00D149D6">
        <w:rPr>
          <w:rFonts w:ascii="Book Antiqua" w:hAnsi="Book Antiqua"/>
        </w:rPr>
        <w:t xml:space="preserve">All LSEs filing Standard Plans identified whether they served disadvantaged communities. </w:t>
      </w:r>
      <w:r w:rsidR="00E21DA5" w:rsidRPr="00D149D6">
        <w:rPr>
          <w:rFonts w:ascii="Book Antiqua" w:hAnsi="Book Antiqua"/>
        </w:rPr>
        <w:t xml:space="preserve"> </w:t>
      </w:r>
      <w:r w:rsidRPr="00D149D6">
        <w:rPr>
          <w:rFonts w:ascii="Book Antiqua" w:hAnsi="Book Antiqua"/>
        </w:rPr>
        <w:t>About half of the LSE plans (16 CCAs and 3 ESPs) did not meet the criteria pollutant reporting requirements.</w:t>
      </w:r>
      <w:r w:rsidR="00E21DA5" w:rsidRPr="00D149D6">
        <w:rPr>
          <w:rFonts w:ascii="Book Antiqua" w:hAnsi="Book Antiqua"/>
        </w:rPr>
        <w:t xml:space="preserve"> </w:t>
      </w:r>
      <w:r w:rsidRPr="00D149D6">
        <w:rPr>
          <w:rFonts w:ascii="Book Antiqua" w:hAnsi="Book Antiqua"/>
        </w:rPr>
        <w:t xml:space="preserve"> Often, these LSEs made no mention of the requirement or suggested that the requirement did not apply to them because they incorrectly interpreted the requirement as applicable only if they had conventional generators operating within their geographic territory. </w:t>
      </w:r>
      <w:r w:rsidR="00E21DA5" w:rsidRPr="00D149D6">
        <w:rPr>
          <w:rFonts w:ascii="Book Antiqua" w:hAnsi="Book Antiqua"/>
        </w:rPr>
        <w:t xml:space="preserve"> </w:t>
      </w:r>
      <w:r w:rsidRPr="00D149D6">
        <w:rPr>
          <w:rFonts w:ascii="Book Antiqua" w:hAnsi="Book Antiqua"/>
        </w:rPr>
        <w:t xml:space="preserve">LSEs that were marked in the individual assessments </w:t>
      </w:r>
      <w:r w:rsidR="0062181A" w:rsidRPr="00D149D6">
        <w:rPr>
          <w:rFonts w:ascii="Book Antiqua" w:hAnsi="Book Antiqua"/>
        </w:rPr>
        <w:t xml:space="preserve">in the section </w:t>
      </w:r>
      <w:r w:rsidRPr="00D149D6">
        <w:rPr>
          <w:rFonts w:ascii="Book Antiqua" w:hAnsi="Book Antiqua"/>
        </w:rPr>
        <w:t xml:space="preserve">below as “not adequate” for this requirement are being asked to resubmit this portion of their </w:t>
      </w:r>
      <w:r w:rsidR="0062181A" w:rsidRPr="00D149D6">
        <w:rPr>
          <w:rFonts w:ascii="Book Antiqua" w:hAnsi="Book Antiqua"/>
        </w:rPr>
        <w:t>p</w:t>
      </w:r>
      <w:r w:rsidRPr="00D149D6">
        <w:rPr>
          <w:rFonts w:ascii="Book Antiqua" w:hAnsi="Book Antiqua"/>
        </w:rPr>
        <w:t>lans</w:t>
      </w:r>
      <w:r w:rsidR="0062181A" w:rsidRPr="00D149D6">
        <w:rPr>
          <w:rFonts w:ascii="Book Antiqua" w:hAnsi="Book Antiqua"/>
        </w:rPr>
        <w:t>.</w:t>
      </w:r>
    </w:p>
    <w:p w14:paraId="4D53DF68" w14:textId="77777777" w:rsidR="00693762" w:rsidRPr="00D149D6" w:rsidRDefault="0062181A" w:rsidP="00C17230">
      <w:pPr>
        <w:pStyle w:val="sub2"/>
        <w:rPr>
          <w:rFonts w:ascii="Book Antiqua" w:hAnsi="Book Antiqua"/>
        </w:rPr>
      </w:pPr>
      <w:r w:rsidRPr="00D149D6">
        <w:rPr>
          <w:rFonts w:ascii="Book Antiqua" w:hAnsi="Book Antiqua"/>
        </w:rPr>
        <w:t>Of the 19 LSEs that did not meet the criteria pollutant reporting requirements, about half made some type of criteria pollutant showing but did not provide projected emissions estimates as required by D.18</w:t>
      </w:r>
      <w:r w:rsidR="00D84A09" w:rsidRPr="00D149D6">
        <w:rPr>
          <w:rFonts w:ascii="Book Antiqua" w:hAnsi="Book Antiqua"/>
        </w:rPr>
        <w:noBreakHyphen/>
      </w:r>
      <w:r w:rsidRPr="00D149D6">
        <w:rPr>
          <w:rFonts w:ascii="Book Antiqua" w:hAnsi="Book Antiqua"/>
        </w:rPr>
        <w:t>02</w:t>
      </w:r>
      <w:r w:rsidR="00D84A09" w:rsidRPr="00D149D6">
        <w:rPr>
          <w:rFonts w:ascii="Book Antiqua" w:hAnsi="Book Antiqua"/>
        </w:rPr>
        <w:noBreakHyphen/>
      </w:r>
      <w:r w:rsidRPr="00D149D6">
        <w:rPr>
          <w:rFonts w:ascii="Book Antiqua" w:hAnsi="Book Antiqua"/>
        </w:rPr>
        <w:t xml:space="preserve">018. </w:t>
      </w:r>
      <w:r w:rsidR="00E21DA5" w:rsidRPr="00D149D6">
        <w:rPr>
          <w:rFonts w:ascii="Book Antiqua" w:hAnsi="Book Antiqua"/>
        </w:rPr>
        <w:t xml:space="preserve"> </w:t>
      </w:r>
      <w:r w:rsidRPr="00D149D6">
        <w:rPr>
          <w:rFonts w:ascii="Book Antiqua" w:hAnsi="Book Antiqua"/>
        </w:rPr>
        <w:t xml:space="preserve">Specifically, these LSEs did not provide emissions estimates of NOx </w:t>
      </w:r>
      <w:r w:rsidR="009E6885">
        <w:rPr>
          <w:rFonts w:ascii="Book Antiqua" w:hAnsi="Book Antiqua"/>
        </w:rPr>
        <w:t>and</w:t>
      </w:r>
      <w:r w:rsidR="009E6885" w:rsidRPr="00D149D6">
        <w:rPr>
          <w:rFonts w:ascii="Book Antiqua" w:hAnsi="Book Antiqua"/>
        </w:rPr>
        <w:t xml:space="preserve"> </w:t>
      </w:r>
      <w:r w:rsidRPr="00D149D6">
        <w:rPr>
          <w:rFonts w:ascii="Book Antiqua" w:hAnsi="Book Antiqua"/>
        </w:rPr>
        <w:t>PM2.5.</w:t>
      </w:r>
    </w:p>
    <w:p w14:paraId="25AE7ACA" w14:textId="77777777" w:rsidR="00693762" w:rsidRDefault="00C17230" w:rsidP="004C75AB">
      <w:pPr>
        <w:pStyle w:val="Heading2"/>
      </w:pPr>
      <w:bookmarkStart w:id="41" w:name="_Toc3803836"/>
      <w:r>
        <w:t>Overview of Disposition of Individual Plans</w:t>
      </w:r>
      <w:bookmarkEnd w:id="41"/>
    </w:p>
    <w:p w14:paraId="31A96157" w14:textId="77777777" w:rsidR="00F901B7" w:rsidRPr="00D149D6" w:rsidRDefault="00F901B7" w:rsidP="00693762">
      <w:pPr>
        <w:pStyle w:val="sub1"/>
        <w:rPr>
          <w:rFonts w:ascii="Book Antiqua" w:hAnsi="Book Antiqua"/>
        </w:rPr>
      </w:pPr>
      <w:r w:rsidRPr="00D149D6">
        <w:rPr>
          <w:rFonts w:ascii="Book Antiqua" w:hAnsi="Book Antiqua"/>
        </w:rPr>
        <w:t xml:space="preserve">Table </w:t>
      </w:r>
      <w:r w:rsidR="00247B02" w:rsidRPr="00D149D6">
        <w:rPr>
          <w:rFonts w:ascii="Book Antiqua" w:hAnsi="Book Antiqua"/>
        </w:rPr>
        <w:t>1</w:t>
      </w:r>
      <w:r w:rsidRPr="00D149D6">
        <w:rPr>
          <w:rFonts w:ascii="Book Antiqua" w:hAnsi="Book Antiqua"/>
        </w:rPr>
        <w:t xml:space="preserve"> below summarizes the disposition of the individual IRPs filed by all LSEs. </w:t>
      </w:r>
      <w:r w:rsidR="00E21DA5" w:rsidRPr="00D149D6">
        <w:rPr>
          <w:rFonts w:ascii="Book Antiqua" w:hAnsi="Book Antiqua"/>
        </w:rPr>
        <w:t xml:space="preserve"> </w:t>
      </w:r>
      <w:r w:rsidRPr="00D149D6">
        <w:rPr>
          <w:rFonts w:ascii="Book Antiqua" w:hAnsi="Book Antiqua"/>
        </w:rPr>
        <w:t xml:space="preserve">In the case of ESPs and IOUs, their IRPs are either “approved” or “not yet approved” pending the refiling of the IRPs with the missing </w:t>
      </w:r>
      <w:r w:rsidR="00A33BC9" w:rsidRPr="00D149D6">
        <w:rPr>
          <w:rFonts w:ascii="Book Antiqua" w:hAnsi="Book Antiqua"/>
        </w:rPr>
        <w:t xml:space="preserve">criteria pollutant </w:t>
      </w:r>
      <w:r w:rsidRPr="00D149D6">
        <w:rPr>
          <w:rFonts w:ascii="Book Antiqua" w:hAnsi="Book Antiqua"/>
        </w:rPr>
        <w:t xml:space="preserve">information via </w:t>
      </w:r>
      <w:r w:rsidR="001D4925">
        <w:rPr>
          <w:rFonts w:ascii="Book Antiqua" w:hAnsi="Book Antiqua"/>
        </w:rPr>
        <w:t xml:space="preserve">Tier 2 </w:t>
      </w:r>
      <w:r w:rsidR="00A33BC9" w:rsidRPr="00D149D6">
        <w:rPr>
          <w:rFonts w:ascii="Book Antiqua" w:hAnsi="Book Antiqua"/>
        </w:rPr>
        <w:t>A</w:t>
      </w:r>
      <w:r w:rsidRPr="00D149D6">
        <w:rPr>
          <w:rFonts w:ascii="Book Antiqua" w:hAnsi="Book Antiqua"/>
        </w:rPr>
        <w:t xml:space="preserve">dvice </w:t>
      </w:r>
      <w:r w:rsidR="00A33BC9" w:rsidRPr="00D149D6">
        <w:rPr>
          <w:rFonts w:ascii="Book Antiqua" w:hAnsi="Book Antiqua"/>
        </w:rPr>
        <w:t>L</w:t>
      </w:r>
      <w:r w:rsidRPr="00D149D6">
        <w:rPr>
          <w:rFonts w:ascii="Book Antiqua" w:hAnsi="Book Antiqua"/>
        </w:rPr>
        <w:t xml:space="preserve">etter as discussed in Section 2.3.1 below. </w:t>
      </w:r>
      <w:r w:rsidR="00E21DA5" w:rsidRPr="00D149D6">
        <w:rPr>
          <w:rFonts w:ascii="Book Antiqua" w:hAnsi="Book Antiqua"/>
        </w:rPr>
        <w:t xml:space="preserve"> </w:t>
      </w:r>
      <w:r w:rsidRPr="00D149D6">
        <w:rPr>
          <w:rFonts w:ascii="Book Antiqua" w:hAnsi="Book Antiqua"/>
        </w:rPr>
        <w:t>In the case of CCAs, their IRPs are either “certified” or “not yet certified,” also pending r</w:t>
      </w:r>
      <w:r w:rsidR="00A33BC9" w:rsidRPr="00D149D6">
        <w:rPr>
          <w:rFonts w:ascii="Book Antiqua" w:hAnsi="Book Antiqua"/>
        </w:rPr>
        <w:t xml:space="preserve">efiling of the IRPs with the missing criteria pollutant information via Advice Letter. </w:t>
      </w:r>
      <w:r w:rsidR="00E21DA5" w:rsidRPr="00D149D6">
        <w:rPr>
          <w:rFonts w:ascii="Book Antiqua" w:hAnsi="Book Antiqua"/>
        </w:rPr>
        <w:t xml:space="preserve"> </w:t>
      </w:r>
      <w:r w:rsidR="00A33BC9" w:rsidRPr="00D149D6">
        <w:rPr>
          <w:rFonts w:ascii="Book Antiqua" w:hAnsi="Book Antiqua"/>
        </w:rPr>
        <w:t>Also included are those LSEs whose filings are approved as “exempt” from the requirement to file an IRP</w:t>
      </w:r>
      <w:r w:rsidR="00E02511" w:rsidRPr="00D149D6">
        <w:rPr>
          <w:rFonts w:ascii="Book Antiqua" w:hAnsi="Book Antiqua"/>
        </w:rPr>
        <w:t xml:space="preserve">, though those entities are still required to file information substantiating their eligibility for an exemption on each required IRP filing date in the future. </w:t>
      </w:r>
    </w:p>
    <w:p w14:paraId="4A0804CC" w14:textId="77777777" w:rsidR="00E02511" w:rsidRPr="006C34C0" w:rsidRDefault="00E02511" w:rsidP="00E02511">
      <w:pPr>
        <w:pStyle w:val="Caption"/>
        <w:keepNext/>
        <w:rPr>
          <w:rFonts w:ascii="Book Antiqua" w:hAnsi="Book Antiqua"/>
          <w:color w:val="auto"/>
          <w:sz w:val="26"/>
          <w:szCs w:val="24"/>
        </w:rPr>
      </w:pPr>
      <w:r w:rsidRPr="006C34C0">
        <w:rPr>
          <w:rFonts w:ascii="Book Antiqua" w:hAnsi="Book Antiqua"/>
          <w:color w:val="auto"/>
          <w:sz w:val="26"/>
          <w:szCs w:val="24"/>
        </w:rPr>
        <w:t>Table</w:t>
      </w:r>
      <w:r w:rsidR="00247B02" w:rsidRPr="006C34C0">
        <w:rPr>
          <w:rFonts w:ascii="Book Antiqua" w:hAnsi="Book Antiqua"/>
          <w:color w:val="auto"/>
          <w:sz w:val="26"/>
          <w:szCs w:val="24"/>
        </w:rPr>
        <w:t xml:space="preserve"> 1</w:t>
      </w:r>
      <w:r w:rsidRPr="006C34C0">
        <w:rPr>
          <w:rFonts w:ascii="Book Antiqua" w:hAnsi="Book Antiqua"/>
          <w:color w:val="auto"/>
          <w:sz w:val="26"/>
          <w:szCs w:val="24"/>
        </w:rPr>
        <w:t xml:space="preserve">. </w:t>
      </w:r>
      <w:r w:rsidR="00E21DA5" w:rsidRPr="006C34C0">
        <w:rPr>
          <w:rFonts w:ascii="Book Antiqua" w:hAnsi="Book Antiqua"/>
          <w:color w:val="auto"/>
          <w:sz w:val="26"/>
          <w:szCs w:val="24"/>
        </w:rPr>
        <w:t xml:space="preserve"> </w:t>
      </w:r>
      <w:r w:rsidRPr="006C34C0">
        <w:rPr>
          <w:rFonts w:ascii="Book Antiqua" w:hAnsi="Book Antiqua"/>
          <w:color w:val="auto"/>
          <w:sz w:val="26"/>
          <w:szCs w:val="24"/>
        </w:rPr>
        <w:t>Summary of Disposition of Individual LSE 2018 IRP Filings</w:t>
      </w:r>
    </w:p>
    <w:tbl>
      <w:tblPr>
        <w:tblStyle w:val="TableGrid"/>
        <w:tblW w:w="9699" w:type="dxa"/>
        <w:tblLook w:val="04A0" w:firstRow="1" w:lastRow="0" w:firstColumn="1" w:lastColumn="0" w:noHBand="0" w:noVBand="1"/>
      </w:tblPr>
      <w:tblGrid>
        <w:gridCol w:w="4495"/>
        <w:gridCol w:w="1170"/>
        <w:gridCol w:w="1800"/>
        <w:gridCol w:w="2234"/>
      </w:tblGrid>
      <w:tr w:rsidR="00A33BC9" w:rsidRPr="00D149D6" w14:paraId="02CE2604" w14:textId="77777777" w:rsidTr="00F5514B">
        <w:trPr>
          <w:tblHeader/>
        </w:trPr>
        <w:tc>
          <w:tcPr>
            <w:tcW w:w="4495" w:type="dxa"/>
          </w:tcPr>
          <w:p w14:paraId="30ACD6CF" w14:textId="77777777" w:rsidR="00A33BC9" w:rsidRPr="00D149D6" w:rsidRDefault="00A33BC9" w:rsidP="00A33BC9">
            <w:pPr>
              <w:pStyle w:val="sub1"/>
              <w:spacing w:line="240" w:lineRule="auto"/>
              <w:ind w:firstLine="0"/>
              <w:rPr>
                <w:rFonts w:ascii="Book Antiqua" w:hAnsi="Book Antiqua"/>
                <w:b/>
                <w:sz w:val="24"/>
                <w:szCs w:val="24"/>
              </w:rPr>
            </w:pPr>
            <w:r w:rsidRPr="00D149D6">
              <w:rPr>
                <w:rFonts w:ascii="Book Antiqua" w:hAnsi="Book Antiqua"/>
                <w:b/>
                <w:sz w:val="24"/>
                <w:szCs w:val="24"/>
              </w:rPr>
              <w:t>LSE</w:t>
            </w:r>
          </w:p>
        </w:tc>
        <w:tc>
          <w:tcPr>
            <w:tcW w:w="1170" w:type="dxa"/>
          </w:tcPr>
          <w:p w14:paraId="71B98EB9" w14:textId="77777777" w:rsidR="00A33BC9" w:rsidRPr="00D149D6" w:rsidRDefault="00A33BC9" w:rsidP="00A33BC9">
            <w:pPr>
              <w:pStyle w:val="sub1"/>
              <w:spacing w:line="240" w:lineRule="auto"/>
              <w:ind w:firstLine="0"/>
              <w:rPr>
                <w:rFonts w:ascii="Book Antiqua" w:hAnsi="Book Antiqua"/>
                <w:b/>
                <w:sz w:val="24"/>
                <w:szCs w:val="24"/>
              </w:rPr>
            </w:pPr>
            <w:r w:rsidRPr="00D149D6">
              <w:rPr>
                <w:rFonts w:ascii="Book Antiqua" w:hAnsi="Book Antiqua"/>
                <w:b/>
                <w:sz w:val="24"/>
                <w:szCs w:val="24"/>
              </w:rPr>
              <w:t>LSE Type</w:t>
            </w:r>
          </w:p>
        </w:tc>
        <w:tc>
          <w:tcPr>
            <w:tcW w:w="1800" w:type="dxa"/>
          </w:tcPr>
          <w:p w14:paraId="76A55301" w14:textId="77777777" w:rsidR="00A33BC9" w:rsidRPr="00D149D6" w:rsidRDefault="00A33BC9" w:rsidP="00F5514B">
            <w:pPr>
              <w:pStyle w:val="sub1"/>
              <w:spacing w:line="240" w:lineRule="auto"/>
              <w:ind w:firstLine="0"/>
              <w:jc w:val="center"/>
              <w:rPr>
                <w:rFonts w:ascii="Book Antiqua" w:hAnsi="Book Antiqua"/>
                <w:b/>
                <w:sz w:val="24"/>
                <w:szCs w:val="24"/>
              </w:rPr>
            </w:pPr>
            <w:r w:rsidRPr="00D149D6">
              <w:rPr>
                <w:rFonts w:ascii="Book Antiqua" w:hAnsi="Book Antiqua"/>
                <w:b/>
                <w:sz w:val="24"/>
                <w:szCs w:val="24"/>
              </w:rPr>
              <w:t>Approved or Certified</w:t>
            </w:r>
          </w:p>
        </w:tc>
        <w:tc>
          <w:tcPr>
            <w:tcW w:w="2234" w:type="dxa"/>
          </w:tcPr>
          <w:p w14:paraId="3F6E3AAF" w14:textId="77777777" w:rsidR="00A33BC9" w:rsidRPr="00D149D6" w:rsidRDefault="00A33BC9" w:rsidP="00F5514B">
            <w:pPr>
              <w:pStyle w:val="sub1"/>
              <w:spacing w:line="240" w:lineRule="auto"/>
              <w:ind w:firstLine="0"/>
              <w:jc w:val="center"/>
              <w:rPr>
                <w:rFonts w:ascii="Book Antiqua" w:hAnsi="Book Antiqua"/>
                <w:b/>
                <w:sz w:val="24"/>
                <w:szCs w:val="24"/>
              </w:rPr>
            </w:pPr>
            <w:r w:rsidRPr="00D149D6">
              <w:rPr>
                <w:rFonts w:ascii="Book Antiqua" w:hAnsi="Book Antiqua"/>
                <w:b/>
                <w:sz w:val="24"/>
                <w:szCs w:val="24"/>
              </w:rPr>
              <w:t>Not Yet Approved or Certified</w:t>
            </w:r>
          </w:p>
        </w:tc>
      </w:tr>
      <w:tr w:rsidR="00A33BC9" w:rsidRPr="00D149D6" w14:paraId="335D83D3" w14:textId="77777777" w:rsidTr="00F5514B">
        <w:tc>
          <w:tcPr>
            <w:tcW w:w="4495" w:type="dxa"/>
          </w:tcPr>
          <w:p w14:paraId="39952425"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3 Phases Renewables</w:t>
            </w:r>
          </w:p>
        </w:tc>
        <w:tc>
          <w:tcPr>
            <w:tcW w:w="1170" w:type="dxa"/>
          </w:tcPr>
          <w:p w14:paraId="29987E3B"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5A2F5F4B"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6667B37C"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6B0B68C1" w14:textId="77777777" w:rsidTr="00F5514B">
        <w:tc>
          <w:tcPr>
            <w:tcW w:w="4495" w:type="dxa"/>
          </w:tcPr>
          <w:p w14:paraId="2596FF16"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Agera</w:t>
            </w:r>
          </w:p>
        </w:tc>
        <w:tc>
          <w:tcPr>
            <w:tcW w:w="1170" w:type="dxa"/>
          </w:tcPr>
          <w:p w14:paraId="2CC4A2C5"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0EA526C0"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70CC5CA7"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67421949" w14:textId="77777777" w:rsidTr="00F5514B">
        <w:tc>
          <w:tcPr>
            <w:tcW w:w="4495" w:type="dxa"/>
          </w:tcPr>
          <w:p w14:paraId="2FBE9825"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American PowerNet Management</w:t>
            </w:r>
          </w:p>
        </w:tc>
        <w:tc>
          <w:tcPr>
            <w:tcW w:w="1170" w:type="dxa"/>
          </w:tcPr>
          <w:p w14:paraId="3DDF89CD"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43B64674"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42B9A6D5"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089CDF34" w14:textId="77777777" w:rsidTr="00F5514B">
        <w:tc>
          <w:tcPr>
            <w:tcW w:w="4495" w:type="dxa"/>
          </w:tcPr>
          <w:p w14:paraId="6DD0F28A"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Anza Electric Cooperative</w:t>
            </w:r>
          </w:p>
        </w:tc>
        <w:tc>
          <w:tcPr>
            <w:tcW w:w="1170" w:type="dxa"/>
          </w:tcPr>
          <w:p w14:paraId="03F57CFE"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Coop</w:t>
            </w:r>
          </w:p>
        </w:tc>
        <w:tc>
          <w:tcPr>
            <w:tcW w:w="1800" w:type="dxa"/>
          </w:tcPr>
          <w:p w14:paraId="7BC8BC44" w14:textId="77777777" w:rsidR="00A33BC9" w:rsidRPr="00D149D6" w:rsidRDefault="00A33BC9"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Exempt</w:t>
            </w:r>
          </w:p>
        </w:tc>
        <w:tc>
          <w:tcPr>
            <w:tcW w:w="2234" w:type="dxa"/>
          </w:tcPr>
          <w:p w14:paraId="5EEB6C0C"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6E665DF6" w14:textId="77777777" w:rsidTr="00F5514B">
        <w:tc>
          <w:tcPr>
            <w:tcW w:w="4495" w:type="dxa"/>
          </w:tcPr>
          <w:p w14:paraId="052B9560"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Apple Valley Choice Energy</w:t>
            </w:r>
          </w:p>
        </w:tc>
        <w:tc>
          <w:tcPr>
            <w:tcW w:w="1170" w:type="dxa"/>
          </w:tcPr>
          <w:p w14:paraId="740E424A"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6211F67C" w14:textId="77777777" w:rsidR="00A33BC9" w:rsidRPr="00D149D6" w:rsidRDefault="00A33BC9" w:rsidP="00F5514B">
            <w:pPr>
              <w:pStyle w:val="sub1"/>
              <w:spacing w:line="240" w:lineRule="auto"/>
              <w:ind w:firstLine="0"/>
              <w:jc w:val="center"/>
              <w:rPr>
                <w:rFonts w:ascii="Book Antiqua" w:hAnsi="Book Antiqua"/>
                <w:sz w:val="24"/>
                <w:szCs w:val="24"/>
              </w:rPr>
            </w:pPr>
          </w:p>
        </w:tc>
        <w:tc>
          <w:tcPr>
            <w:tcW w:w="2234" w:type="dxa"/>
          </w:tcPr>
          <w:p w14:paraId="6629D893" w14:textId="77777777" w:rsidR="00A33BC9" w:rsidRPr="00D149D6" w:rsidRDefault="00F5514B"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28749F" w:rsidRPr="00D149D6" w14:paraId="7640F9B6" w14:textId="77777777" w:rsidTr="00F5514B">
        <w:tc>
          <w:tcPr>
            <w:tcW w:w="4495" w:type="dxa"/>
          </w:tcPr>
          <w:p w14:paraId="682F890C" w14:textId="77777777" w:rsidR="0028749F" w:rsidRPr="00D149D6" w:rsidRDefault="0028749F" w:rsidP="00A33BC9">
            <w:pPr>
              <w:pStyle w:val="sub1"/>
              <w:spacing w:line="240" w:lineRule="auto"/>
              <w:ind w:firstLine="0"/>
              <w:rPr>
                <w:rFonts w:ascii="Book Antiqua" w:hAnsi="Book Antiqua"/>
                <w:sz w:val="24"/>
                <w:szCs w:val="24"/>
              </w:rPr>
            </w:pPr>
            <w:r w:rsidRPr="00D149D6">
              <w:rPr>
                <w:rFonts w:ascii="Book Antiqua" w:hAnsi="Book Antiqua"/>
                <w:sz w:val="24"/>
                <w:szCs w:val="24"/>
              </w:rPr>
              <w:t>Bear Valley Electric</w:t>
            </w:r>
          </w:p>
        </w:tc>
        <w:tc>
          <w:tcPr>
            <w:tcW w:w="1170" w:type="dxa"/>
          </w:tcPr>
          <w:p w14:paraId="02A973BF" w14:textId="77777777" w:rsidR="0028749F" w:rsidRPr="00D149D6" w:rsidRDefault="0028749F" w:rsidP="00A33BC9">
            <w:pPr>
              <w:pStyle w:val="sub1"/>
              <w:spacing w:line="240" w:lineRule="auto"/>
              <w:ind w:firstLine="0"/>
              <w:rPr>
                <w:rFonts w:ascii="Book Antiqua" w:hAnsi="Book Antiqua"/>
                <w:sz w:val="24"/>
                <w:szCs w:val="24"/>
              </w:rPr>
            </w:pPr>
            <w:r w:rsidRPr="00D149D6">
              <w:rPr>
                <w:rFonts w:ascii="Book Antiqua" w:hAnsi="Book Antiqua"/>
                <w:sz w:val="24"/>
                <w:szCs w:val="24"/>
              </w:rPr>
              <w:t>IOU</w:t>
            </w:r>
          </w:p>
        </w:tc>
        <w:tc>
          <w:tcPr>
            <w:tcW w:w="1800" w:type="dxa"/>
          </w:tcPr>
          <w:p w14:paraId="39CA0675" w14:textId="77777777" w:rsidR="0028749F" w:rsidRPr="00D149D6" w:rsidRDefault="0028749F"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16668675" w14:textId="77777777" w:rsidR="0028749F" w:rsidRPr="00D149D6" w:rsidRDefault="0028749F" w:rsidP="00F5514B">
            <w:pPr>
              <w:pStyle w:val="sub1"/>
              <w:spacing w:line="240" w:lineRule="auto"/>
              <w:ind w:firstLine="0"/>
              <w:jc w:val="center"/>
              <w:rPr>
                <w:rFonts w:ascii="Book Antiqua" w:hAnsi="Book Antiqua"/>
                <w:sz w:val="24"/>
                <w:szCs w:val="24"/>
              </w:rPr>
            </w:pPr>
          </w:p>
        </w:tc>
      </w:tr>
      <w:tr w:rsidR="00A33BC9" w:rsidRPr="00D149D6" w14:paraId="2AC5C8BB" w14:textId="77777777" w:rsidTr="00F5514B">
        <w:tc>
          <w:tcPr>
            <w:tcW w:w="4495" w:type="dxa"/>
          </w:tcPr>
          <w:p w14:paraId="35B8B8B3"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Calpine Energy Solutions</w:t>
            </w:r>
          </w:p>
        </w:tc>
        <w:tc>
          <w:tcPr>
            <w:tcW w:w="1170" w:type="dxa"/>
          </w:tcPr>
          <w:p w14:paraId="0A926EFE"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2EB8B016"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7E47FD1A"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7F3B5349" w14:textId="77777777" w:rsidTr="00F5514B">
        <w:tc>
          <w:tcPr>
            <w:tcW w:w="4495" w:type="dxa"/>
          </w:tcPr>
          <w:p w14:paraId="00B27233"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Calpine PowerAmerica CA</w:t>
            </w:r>
          </w:p>
        </w:tc>
        <w:tc>
          <w:tcPr>
            <w:tcW w:w="1170" w:type="dxa"/>
          </w:tcPr>
          <w:p w14:paraId="58D3ADD9"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4BC134D3" w14:textId="77777777" w:rsidR="00A33BC9" w:rsidRPr="00D149D6" w:rsidRDefault="001B09F9" w:rsidP="00F5514B">
            <w:pPr>
              <w:pStyle w:val="sub1"/>
              <w:spacing w:line="240" w:lineRule="auto"/>
              <w:ind w:firstLine="0"/>
              <w:jc w:val="center"/>
              <w:rPr>
                <w:rFonts w:ascii="Book Antiqua" w:hAnsi="Book Antiqua"/>
                <w:sz w:val="24"/>
                <w:szCs w:val="24"/>
              </w:rPr>
            </w:pPr>
            <w:r>
              <w:rPr>
                <w:rFonts w:ascii="Book Antiqua" w:hAnsi="Book Antiqua"/>
                <w:sz w:val="24"/>
                <w:szCs w:val="24"/>
              </w:rPr>
              <w:t>X</w:t>
            </w:r>
          </w:p>
        </w:tc>
        <w:tc>
          <w:tcPr>
            <w:tcW w:w="2234" w:type="dxa"/>
          </w:tcPr>
          <w:p w14:paraId="4E146389"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01574F47" w14:textId="77777777" w:rsidTr="00F5514B">
        <w:tc>
          <w:tcPr>
            <w:tcW w:w="4495" w:type="dxa"/>
          </w:tcPr>
          <w:p w14:paraId="21F71387"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Clean Power Alliance</w:t>
            </w:r>
            <w:r w:rsidR="00F5514B" w:rsidRPr="00D149D6">
              <w:rPr>
                <w:rFonts w:ascii="Book Antiqua" w:hAnsi="Book Antiqua"/>
                <w:sz w:val="24"/>
                <w:szCs w:val="24"/>
              </w:rPr>
              <w:t xml:space="preserve"> of Southern California</w:t>
            </w:r>
          </w:p>
        </w:tc>
        <w:tc>
          <w:tcPr>
            <w:tcW w:w="1170" w:type="dxa"/>
          </w:tcPr>
          <w:p w14:paraId="1EB4ED33"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1DFC7820" w14:textId="77777777" w:rsidR="00A33BC9" w:rsidRPr="00D149D6" w:rsidRDefault="00A33BC9" w:rsidP="00F5514B">
            <w:pPr>
              <w:pStyle w:val="sub1"/>
              <w:spacing w:line="240" w:lineRule="auto"/>
              <w:ind w:firstLine="0"/>
              <w:jc w:val="center"/>
              <w:rPr>
                <w:rFonts w:ascii="Book Antiqua" w:hAnsi="Book Antiqua"/>
                <w:sz w:val="24"/>
                <w:szCs w:val="24"/>
              </w:rPr>
            </w:pPr>
          </w:p>
        </w:tc>
        <w:tc>
          <w:tcPr>
            <w:tcW w:w="2234" w:type="dxa"/>
          </w:tcPr>
          <w:p w14:paraId="799918BF" w14:textId="77777777" w:rsidR="00A33BC9" w:rsidRPr="00D149D6" w:rsidRDefault="00F5514B"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A33BC9" w:rsidRPr="00D149D6" w14:paraId="5A0FDB55" w14:textId="77777777" w:rsidTr="00F5514B">
        <w:tc>
          <w:tcPr>
            <w:tcW w:w="4495" w:type="dxa"/>
          </w:tcPr>
          <w:p w14:paraId="0D88FBE3"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CleanPower San Francisco</w:t>
            </w:r>
          </w:p>
        </w:tc>
        <w:tc>
          <w:tcPr>
            <w:tcW w:w="1170" w:type="dxa"/>
          </w:tcPr>
          <w:p w14:paraId="5B33E392"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70AE2E8B" w14:textId="77777777" w:rsidR="00A33BC9" w:rsidRPr="00D149D6" w:rsidRDefault="00A33BC9" w:rsidP="00F5514B">
            <w:pPr>
              <w:pStyle w:val="sub1"/>
              <w:spacing w:line="240" w:lineRule="auto"/>
              <w:ind w:firstLine="0"/>
              <w:jc w:val="center"/>
              <w:rPr>
                <w:rFonts w:ascii="Book Antiqua" w:hAnsi="Book Antiqua"/>
                <w:sz w:val="24"/>
                <w:szCs w:val="24"/>
              </w:rPr>
            </w:pPr>
          </w:p>
        </w:tc>
        <w:tc>
          <w:tcPr>
            <w:tcW w:w="2234" w:type="dxa"/>
          </w:tcPr>
          <w:p w14:paraId="653C6C33" w14:textId="77777777" w:rsidR="00A33BC9" w:rsidRPr="00D149D6" w:rsidRDefault="00F5514B"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F5514B" w:rsidRPr="00D149D6" w14:paraId="446F84DD" w14:textId="77777777" w:rsidTr="00F5514B">
        <w:tc>
          <w:tcPr>
            <w:tcW w:w="4495" w:type="dxa"/>
          </w:tcPr>
          <w:p w14:paraId="2D5E40EB"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Commercial Energy of CA</w:t>
            </w:r>
          </w:p>
        </w:tc>
        <w:tc>
          <w:tcPr>
            <w:tcW w:w="1170" w:type="dxa"/>
          </w:tcPr>
          <w:p w14:paraId="13ED4693"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10B928A8" w14:textId="77777777" w:rsidR="00F5514B" w:rsidRPr="00D149D6" w:rsidRDefault="00F5514B" w:rsidP="00F5514B">
            <w:pPr>
              <w:pStyle w:val="sub1"/>
              <w:spacing w:line="240" w:lineRule="auto"/>
              <w:ind w:firstLine="0"/>
              <w:jc w:val="center"/>
              <w:rPr>
                <w:rFonts w:ascii="Book Antiqua" w:hAnsi="Book Antiqua"/>
                <w:sz w:val="24"/>
                <w:szCs w:val="24"/>
              </w:rPr>
            </w:pPr>
          </w:p>
        </w:tc>
        <w:tc>
          <w:tcPr>
            <w:tcW w:w="2234" w:type="dxa"/>
          </w:tcPr>
          <w:p w14:paraId="2A5971CD" w14:textId="77777777" w:rsidR="00F5514B" w:rsidRPr="00D149D6" w:rsidRDefault="00F5514B"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Did not file</w:t>
            </w:r>
          </w:p>
        </w:tc>
      </w:tr>
      <w:tr w:rsidR="00A33BC9" w:rsidRPr="00D149D6" w14:paraId="750EF017" w14:textId="77777777" w:rsidTr="00F5514B">
        <w:tc>
          <w:tcPr>
            <w:tcW w:w="4495" w:type="dxa"/>
          </w:tcPr>
          <w:p w14:paraId="0548DF64"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Constellation NewEnergy</w:t>
            </w:r>
          </w:p>
        </w:tc>
        <w:tc>
          <w:tcPr>
            <w:tcW w:w="1170" w:type="dxa"/>
          </w:tcPr>
          <w:p w14:paraId="57AEAF48"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63874096" w14:textId="77777777" w:rsidR="00A33BC9" w:rsidRPr="00D149D6" w:rsidRDefault="00A33BC9" w:rsidP="00F5514B">
            <w:pPr>
              <w:pStyle w:val="sub1"/>
              <w:spacing w:line="240" w:lineRule="auto"/>
              <w:ind w:firstLine="0"/>
              <w:jc w:val="center"/>
              <w:rPr>
                <w:rFonts w:ascii="Book Antiqua" w:hAnsi="Book Antiqua"/>
                <w:sz w:val="24"/>
                <w:szCs w:val="24"/>
              </w:rPr>
            </w:pPr>
          </w:p>
        </w:tc>
        <w:tc>
          <w:tcPr>
            <w:tcW w:w="2234" w:type="dxa"/>
          </w:tcPr>
          <w:p w14:paraId="56C595C1" w14:textId="77777777" w:rsidR="00A33BC9" w:rsidRPr="00D149D6" w:rsidRDefault="00F5514B"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A33BC9" w:rsidRPr="00D149D6" w14:paraId="1C56D77C" w14:textId="77777777" w:rsidTr="00F5514B">
        <w:tc>
          <w:tcPr>
            <w:tcW w:w="4495" w:type="dxa"/>
          </w:tcPr>
          <w:p w14:paraId="591DA089"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Desert Community Energy</w:t>
            </w:r>
          </w:p>
        </w:tc>
        <w:tc>
          <w:tcPr>
            <w:tcW w:w="1170" w:type="dxa"/>
          </w:tcPr>
          <w:p w14:paraId="60A47D1C"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2160971B"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1191AAEC"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40520BAA" w14:textId="77777777" w:rsidTr="00F5514B">
        <w:tc>
          <w:tcPr>
            <w:tcW w:w="4495" w:type="dxa"/>
          </w:tcPr>
          <w:p w14:paraId="4A9568EB"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Direct Energy Business</w:t>
            </w:r>
          </w:p>
        </w:tc>
        <w:tc>
          <w:tcPr>
            <w:tcW w:w="1170" w:type="dxa"/>
          </w:tcPr>
          <w:p w14:paraId="60E6D40A"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12616737"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3DC16BD1"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233AFF56" w14:textId="77777777" w:rsidTr="00F5514B">
        <w:tc>
          <w:tcPr>
            <w:tcW w:w="4495" w:type="dxa"/>
          </w:tcPr>
          <w:p w14:paraId="26965153"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East Bay Community Energy</w:t>
            </w:r>
          </w:p>
        </w:tc>
        <w:tc>
          <w:tcPr>
            <w:tcW w:w="1170" w:type="dxa"/>
          </w:tcPr>
          <w:p w14:paraId="6FBAAB73"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675053DC" w14:textId="77777777" w:rsidR="00A33BC9" w:rsidRPr="00D149D6" w:rsidRDefault="00A33BC9" w:rsidP="00F5514B">
            <w:pPr>
              <w:pStyle w:val="sub1"/>
              <w:spacing w:line="240" w:lineRule="auto"/>
              <w:ind w:firstLine="0"/>
              <w:jc w:val="center"/>
              <w:rPr>
                <w:rFonts w:ascii="Book Antiqua" w:hAnsi="Book Antiqua"/>
                <w:sz w:val="24"/>
                <w:szCs w:val="24"/>
              </w:rPr>
            </w:pPr>
          </w:p>
        </w:tc>
        <w:tc>
          <w:tcPr>
            <w:tcW w:w="2234" w:type="dxa"/>
          </w:tcPr>
          <w:p w14:paraId="0FAE0D25"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A33BC9" w:rsidRPr="00D149D6" w14:paraId="7549ED4C" w14:textId="77777777" w:rsidTr="00F5514B">
        <w:tc>
          <w:tcPr>
            <w:tcW w:w="4495" w:type="dxa"/>
          </w:tcPr>
          <w:p w14:paraId="2962573E"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EDF Industrial Power Services</w:t>
            </w:r>
          </w:p>
        </w:tc>
        <w:tc>
          <w:tcPr>
            <w:tcW w:w="1170" w:type="dxa"/>
          </w:tcPr>
          <w:p w14:paraId="3CB9A690"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3937AF44"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284B8C16"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228A76D5" w14:textId="77777777" w:rsidTr="00F5514B">
        <w:tc>
          <w:tcPr>
            <w:tcW w:w="4495" w:type="dxa"/>
          </w:tcPr>
          <w:p w14:paraId="30217D7D"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EnergyCal USA (YEP Energy)</w:t>
            </w:r>
          </w:p>
        </w:tc>
        <w:tc>
          <w:tcPr>
            <w:tcW w:w="1170" w:type="dxa"/>
          </w:tcPr>
          <w:p w14:paraId="0FD7E813"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68EED533"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Exempt</w:t>
            </w:r>
          </w:p>
        </w:tc>
        <w:tc>
          <w:tcPr>
            <w:tcW w:w="2234" w:type="dxa"/>
          </w:tcPr>
          <w:p w14:paraId="2D75FD7D"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1C3E04E8" w14:textId="77777777" w:rsidTr="00F5514B">
        <w:tc>
          <w:tcPr>
            <w:tcW w:w="4495" w:type="dxa"/>
          </w:tcPr>
          <w:p w14:paraId="34FD9BBA"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Gexa Energy California</w:t>
            </w:r>
          </w:p>
        </w:tc>
        <w:tc>
          <w:tcPr>
            <w:tcW w:w="1170" w:type="dxa"/>
          </w:tcPr>
          <w:p w14:paraId="004BF9F4"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7DC0AEC6"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Exempt</w:t>
            </w:r>
          </w:p>
        </w:tc>
        <w:tc>
          <w:tcPr>
            <w:tcW w:w="2234" w:type="dxa"/>
          </w:tcPr>
          <w:p w14:paraId="63FDD76B"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571E9584" w14:textId="77777777" w:rsidTr="00F5514B">
        <w:tc>
          <w:tcPr>
            <w:tcW w:w="4495" w:type="dxa"/>
          </w:tcPr>
          <w:p w14:paraId="124EF460"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Just Energy Solutions</w:t>
            </w:r>
          </w:p>
        </w:tc>
        <w:tc>
          <w:tcPr>
            <w:tcW w:w="1170" w:type="dxa"/>
          </w:tcPr>
          <w:p w14:paraId="7A01D446"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3339739F"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3E156DB5"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3B385CF2" w14:textId="77777777" w:rsidTr="00F5514B">
        <w:tc>
          <w:tcPr>
            <w:tcW w:w="4495" w:type="dxa"/>
          </w:tcPr>
          <w:p w14:paraId="4B5ABDD9"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King City Community Power</w:t>
            </w:r>
          </w:p>
        </w:tc>
        <w:tc>
          <w:tcPr>
            <w:tcW w:w="1170" w:type="dxa"/>
          </w:tcPr>
          <w:p w14:paraId="7331FFF3"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6035107A" w14:textId="77777777" w:rsidR="00A33BC9" w:rsidRPr="00D149D6" w:rsidRDefault="00A33BC9" w:rsidP="00F5514B">
            <w:pPr>
              <w:pStyle w:val="sub1"/>
              <w:spacing w:line="240" w:lineRule="auto"/>
              <w:ind w:firstLine="0"/>
              <w:jc w:val="center"/>
              <w:rPr>
                <w:rFonts w:ascii="Book Antiqua" w:hAnsi="Book Antiqua"/>
                <w:sz w:val="24"/>
                <w:szCs w:val="24"/>
              </w:rPr>
            </w:pPr>
          </w:p>
        </w:tc>
        <w:tc>
          <w:tcPr>
            <w:tcW w:w="2234" w:type="dxa"/>
          </w:tcPr>
          <w:p w14:paraId="6EC5F441"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A33BC9" w:rsidRPr="00D149D6" w14:paraId="2D49853F" w14:textId="77777777" w:rsidTr="00F5514B">
        <w:tc>
          <w:tcPr>
            <w:tcW w:w="4495" w:type="dxa"/>
          </w:tcPr>
          <w:p w14:paraId="7C528926"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Lancaster Choice Energy</w:t>
            </w:r>
          </w:p>
        </w:tc>
        <w:tc>
          <w:tcPr>
            <w:tcW w:w="1170" w:type="dxa"/>
          </w:tcPr>
          <w:p w14:paraId="056483D3"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7C21E36E" w14:textId="77777777" w:rsidR="00A33BC9" w:rsidRPr="00D149D6" w:rsidRDefault="00A33BC9" w:rsidP="00F5514B">
            <w:pPr>
              <w:pStyle w:val="sub1"/>
              <w:spacing w:line="240" w:lineRule="auto"/>
              <w:ind w:firstLine="0"/>
              <w:jc w:val="center"/>
              <w:rPr>
                <w:rFonts w:ascii="Book Antiqua" w:hAnsi="Book Antiqua"/>
                <w:sz w:val="24"/>
                <w:szCs w:val="24"/>
              </w:rPr>
            </w:pPr>
          </w:p>
        </w:tc>
        <w:tc>
          <w:tcPr>
            <w:tcW w:w="2234" w:type="dxa"/>
          </w:tcPr>
          <w:p w14:paraId="3B1EF27D"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A33BC9" w:rsidRPr="00D149D6" w14:paraId="0F9515AA" w14:textId="77777777" w:rsidTr="00F5514B">
        <w:tc>
          <w:tcPr>
            <w:tcW w:w="4495" w:type="dxa"/>
          </w:tcPr>
          <w:p w14:paraId="78898193"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Liberty Power Delaware</w:t>
            </w:r>
          </w:p>
        </w:tc>
        <w:tc>
          <w:tcPr>
            <w:tcW w:w="1170" w:type="dxa"/>
          </w:tcPr>
          <w:p w14:paraId="4E3CCD60"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0D9FC826"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Exempt</w:t>
            </w:r>
          </w:p>
        </w:tc>
        <w:tc>
          <w:tcPr>
            <w:tcW w:w="2234" w:type="dxa"/>
          </w:tcPr>
          <w:p w14:paraId="45CE1F57"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0CADB981" w14:textId="77777777" w:rsidTr="00F5514B">
        <w:tc>
          <w:tcPr>
            <w:tcW w:w="4495" w:type="dxa"/>
          </w:tcPr>
          <w:p w14:paraId="656CD20E"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Liberty Power Holdings</w:t>
            </w:r>
          </w:p>
        </w:tc>
        <w:tc>
          <w:tcPr>
            <w:tcW w:w="1170" w:type="dxa"/>
          </w:tcPr>
          <w:p w14:paraId="1AC33EE0"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4F4FDE68"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Exempt</w:t>
            </w:r>
          </w:p>
        </w:tc>
        <w:tc>
          <w:tcPr>
            <w:tcW w:w="2234" w:type="dxa"/>
          </w:tcPr>
          <w:p w14:paraId="46141D1D"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5913442A" w14:textId="77777777" w:rsidTr="00F5514B">
        <w:tc>
          <w:tcPr>
            <w:tcW w:w="4495" w:type="dxa"/>
          </w:tcPr>
          <w:p w14:paraId="7FB246C7"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Liberty Utilities (CalPeco Electric)</w:t>
            </w:r>
          </w:p>
        </w:tc>
        <w:tc>
          <w:tcPr>
            <w:tcW w:w="1170" w:type="dxa"/>
          </w:tcPr>
          <w:p w14:paraId="755233FB" w14:textId="5FFC9DBF" w:rsidR="00A33BC9" w:rsidRPr="00D149D6" w:rsidRDefault="005D6EFE" w:rsidP="00A33BC9">
            <w:pPr>
              <w:pStyle w:val="sub1"/>
              <w:spacing w:line="240" w:lineRule="auto"/>
              <w:ind w:firstLine="0"/>
              <w:rPr>
                <w:rFonts w:ascii="Book Antiqua" w:hAnsi="Book Antiqua"/>
                <w:sz w:val="24"/>
                <w:szCs w:val="24"/>
              </w:rPr>
            </w:pPr>
            <w:r>
              <w:rPr>
                <w:rFonts w:ascii="Book Antiqua" w:hAnsi="Book Antiqua"/>
                <w:sz w:val="24"/>
                <w:szCs w:val="24"/>
              </w:rPr>
              <w:t>IOU</w:t>
            </w:r>
          </w:p>
        </w:tc>
        <w:tc>
          <w:tcPr>
            <w:tcW w:w="1800" w:type="dxa"/>
          </w:tcPr>
          <w:p w14:paraId="6DA10F67"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56D8DFEC"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4938971E" w14:textId="77777777" w:rsidTr="00F5514B">
        <w:tc>
          <w:tcPr>
            <w:tcW w:w="4495" w:type="dxa"/>
          </w:tcPr>
          <w:p w14:paraId="532ADA85"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Marin Clean Energy</w:t>
            </w:r>
          </w:p>
        </w:tc>
        <w:tc>
          <w:tcPr>
            <w:tcW w:w="1170" w:type="dxa"/>
          </w:tcPr>
          <w:p w14:paraId="2E0E034C"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6AA1526C" w14:textId="77777777" w:rsidR="00A33BC9" w:rsidRPr="00D149D6" w:rsidRDefault="00A33BC9" w:rsidP="00F5514B">
            <w:pPr>
              <w:pStyle w:val="sub1"/>
              <w:spacing w:line="240" w:lineRule="auto"/>
              <w:ind w:firstLine="0"/>
              <w:jc w:val="center"/>
              <w:rPr>
                <w:rFonts w:ascii="Book Antiqua" w:hAnsi="Book Antiqua"/>
                <w:sz w:val="24"/>
                <w:szCs w:val="24"/>
              </w:rPr>
            </w:pPr>
          </w:p>
        </w:tc>
        <w:tc>
          <w:tcPr>
            <w:tcW w:w="2234" w:type="dxa"/>
          </w:tcPr>
          <w:p w14:paraId="49E3F4F1"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A33BC9" w:rsidRPr="00D149D6" w14:paraId="1C173ACA" w14:textId="77777777" w:rsidTr="00F5514B">
        <w:tc>
          <w:tcPr>
            <w:tcW w:w="4495" w:type="dxa"/>
          </w:tcPr>
          <w:p w14:paraId="1B0A4460"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Monterey Bay Clean Power Authority</w:t>
            </w:r>
          </w:p>
        </w:tc>
        <w:tc>
          <w:tcPr>
            <w:tcW w:w="1170" w:type="dxa"/>
          </w:tcPr>
          <w:p w14:paraId="73EDCE9E"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051C8900" w14:textId="77777777" w:rsidR="00A33BC9" w:rsidRPr="00D149D6" w:rsidRDefault="00A33BC9" w:rsidP="00F5514B">
            <w:pPr>
              <w:pStyle w:val="sub1"/>
              <w:spacing w:line="240" w:lineRule="auto"/>
              <w:ind w:firstLine="0"/>
              <w:jc w:val="center"/>
              <w:rPr>
                <w:rFonts w:ascii="Book Antiqua" w:hAnsi="Book Antiqua"/>
                <w:sz w:val="24"/>
                <w:szCs w:val="24"/>
              </w:rPr>
            </w:pPr>
          </w:p>
        </w:tc>
        <w:tc>
          <w:tcPr>
            <w:tcW w:w="2234" w:type="dxa"/>
          </w:tcPr>
          <w:p w14:paraId="32C07362"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A33BC9" w:rsidRPr="00D149D6" w14:paraId="2060E1CF" w14:textId="77777777" w:rsidTr="00F5514B">
        <w:tc>
          <w:tcPr>
            <w:tcW w:w="4495" w:type="dxa"/>
          </w:tcPr>
          <w:p w14:paraId="42371619"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Pacific Gas and Electric</w:t>
            </w:r>
          </w:p>
        </w:tc>
        <w:tc>
          <w:tcPr>
            <w:tcW w:w="1170" w:type="dxa"/>
          </w:tcPr>
          <w:p w14:paraId="56579832"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IOU</w:t>
            </w:r>
          </w:p>
        </w:tc>
        <w:tc>
          <w:tcPr>
            <w:tcW w:w="1800" w:type="dxa"/>
          </w:tcPr>
          <w:p w14:paraId="79768B34"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53C75050"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5D7B974C" w14:textId="77777777" w:rsidTr="00F5514B">
        <w:tc>
          <w:tcPr>
            <w:tcW w:w="4495" w:type="dxa"/>
          </w:tcPr>
          <w:p w14:paraId="3FC38662" w14:textId="77777777" w:rsidR="00A33BC9" w:rsidRPr="00D149D6" w:rsidRDefault="00A33BC9" w:rsidP="00A33BC9">
            <w:pPr>
              <w:pStyle w:val="sub1"/>
              <w:spacing w:line="240" w:lineRule="auto"/>
              <w:ind w:firstLine="0"/>
              <w:rPr>
                <w:rFonts w:ascii="Book Antiqua" w:hAnsi="Book Antiqua"/>
                <w:sz w:val="24"/>
                <w:szCs w:val="24"/>
              </w:rPr>
            </w:pPr>
            <w:r w:rsidRPr="00D149D6">
              <w:rPr>
                <w:rFonts w:ascii="Book Antiqua" w:hAnsi="Book Antiqua"/>
                <w:sz w:val="24"/>
                <w:szCs w:val="24"/>
              </w:rPr>
              <w:t>PacifiCorp</w:t>
            </w:r>
          </w:p>
        </w:tc>
        <w:tc>
          <w:tcPr>
            <w:tcW w:w="1170" w:type="dxa"/>
          </w:tcPr>
          <w:p w14:paraId="4B0742AE"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IOU</w:t>
            </w:r>
          </w:p>
        </w:tc>
        <w:tc>
          <w:tcPr>
            <w:tcW w:w="1800" w:type="dxa"/>
          </w:tcPr>
          <w:p w14:paraId="7095E852"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41FE8D32"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3879E312" w14:textId="77777777" w:rsidTr="00F5514B">
        <w:tc>
          <w:tcPr>
            <w:tcW w:w="4495" w:type="dxa"/>
          </w:tcPr>
          <w:p w14:paraId="69681A2B"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Peninsula Clean Energy Authority</w:t>
            </w:r>
          </w:p>
        </w:tc>
        <w:tc>
          <w:tcPr>
            <w:tcW w:w="1170" w:type="dxa"/>
          </w:tcPr>
          <w:p w14:paraId="59C0E279"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57BD29A7"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0EF3C283"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2B69CBA3" w14:textId="77777777" w:rsidTr="00F5514B">
        <w:tc>
          <w:tcPr>
            <w:tcW w:w="4495" w:type="dxa"/>
          </w:tcPr>
          <w:p w14:paraId="37090E52"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Pico Rivera Innovative Municipal Energy</w:t>
            </w:r>
          </w:p>
        </w:tc>
        <w:tc>
          <w:tcPr>
            <w:tcW w:w="1170" w:type="dxa"/>
          </w:tcPr>
          <w:p w14:paraId="71771F07"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01EE3513" w14:textId="77777777" w:rsidR="00A33BC9" w:rsidRPr="00D149D6" w:rsidRDefault="00A33BC9" w:rsidP="00F5514B">
            <w:pPr>
              <w:pStyle w:val="sub1"/>
              <w:spacing w:line="240" w:lineRule="auto"/>
              <w:ind w:firstLine="0"/>
              <w:jc w:val="center"/>
              <w:rPr>
                <w:rFonts w:ascii="Book Antiqua" w:hAnsi="Book Antiqua"/>
                <w:sz w:val="24"/>
                <w:szCs w:val="24"/>
              </w:rPr>
            </w:pPr>
          </w:p>
        </w:tc>
        <w:tc>
          <w:tcPr>
            <w:tcW w:w="2234" w:type="dxa"/>
          </w:tcPr>
          <w:p w14:paraId="2A76D22D"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A33BC9" w:rsidRPr="00D149D6" w14:paraId="0FC336F7" w14:textId="77777777" w:rsidTr="00F5514B">
        <w:tc>
          <w:tcPr>
            <w:tcW w:w="4495" w:type="dxa"/>
          </w:tcPr>
          <w:p w14:paraId="14B5FB0B"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Pilot Power Group</w:t>
            </w:r>
          </w:p>
        </w:tc>
        <w:tc>
          <w:tcPr>
            <w:tcW w:w="1170" w:type="dxa"/>
          </w:tcPr>
          <w:p w14:paraId="246C8BC5"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733AD5F0" w14:textId="77777777" w:rsidR="00A33BC9" w:rsidRPr="00D149D6" w:rsidRDefault="00A33BC9" w:rsidP="00F5514B">
            <w:pPr>
              <w:pStyle w:val="sub1"/>
              <w:spacing w:line="240" w:lineRule="auto"/>
              <w:ind w:firstLine="0"/>
              <w:jc w:val="center"/>
              <w:rPr>
                <w:rFonts w:ascii="Book Antiqua" w:hAnsi="Book Antiqua"/>
                <w:sz w:val="24"/>
                <w:szCs w:val="24"/>
              </w:rPr>
            </w:pPr>
          </w:p>
        </w:tc>
        <w:tc>
          <w:tcPr>
            <w:tcW w:w="2234" w:type="dxa"/>
          </w:tcPr>
          <w:p w14:paraId="332E3C11"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A33BC9" w:rsidRPr="00D149D6" w14:paraId="7AE17288" w14:textId="77777777" w:rsidTr="00F5514B">
        <w:tc>
          <w:tcPr>
            <w:tcW w:w="4495" w:type="dxa"/>
          </w:tcPr>
          <w:p w14:paraId="4F204C97"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Pioneer Community Energy</w:t>
            </w:r>
          </w:p>
        </w:tc>
        <w:tc>
          <w:tcPr>
            <w:tcW w:w="1170" w:type="dxa"/>
          </w:tcPr>
          <w:p w14:paraId="252712CD"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6709030F" w14:textId="77777777" w:rsidR="00A33BC9" w:rsidRPr="00D149D6" w:rsidRDefault="00A33BC9" w:rsidP="00F5514B">
            <w:pPr>
              <w:pStyle w:val="sub1"/>
              <w:spacing w:line="240" w:lineRule="auto"/>
              <w:ind w:firstLine="0"/>
              <w:jc w:val="center"/>
              <w:rPr>
                <w:rFonts w:ascii="Book Antiqua" w:hAnsi="Book Antiqua"/>
                <w:sz w:val="24"/>
                <w:szCs w:val="24"/>
              </w:rPr>
            </w:pPr>
          </w:p>
        </w:tc>
        <w:tc>
          <w:tcPr>
            <w:tcW w:w="2234" w:type="dxa"/>
          </w:tcPr>
          <w:p w14:paraId="5FC74651"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F5514B" w:rsidRPr="00D149D6" w14:paraId="4915DD16" w14:textId="77777777" w:rsidTr="00F5514B">
        <w:tc>
          <w:tcPr>
            <w:tcW w:w="4495" w:type="dxa"/>
          </w:tcPr>
          <w:p w14:paraId="35F3B4D5"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Plumas Sierra Cooperative</w:t>
            </w:r>
          </w:p>
        </w:tc>
        <w:tc>
          <w:tcPr>
            <w:tcW w:w="1170" w:type="dxa"/>
          </w:tcPr>
          <w:p w14:paraId="616D18BB"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Coop</w:t>
            </w:r>
          </w:p>
        </w:tc>
        <w:tc>
          <w:tcPr>
            <w:tcW w:w="1800" w:type="dxa"/>
          </w:tcPr>
          <w:p w14:paraId="315AB778" w14:textId="77777777" w:rsidR="00F5514B"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Exempt</w:t>
            </w:r>
          </w:p>
        </w:tc>
        <w:tc>
          <w:tcPr>
            <w:tcW w:w="2234" w:type="dxa"/>
          </w:tcPr>
          <w:p w14:paraId="003D41E7" w14:textId="77777777" w:rsidR="00F5514B" w:rsidRPr="00D149D6" w:rsidRDefault="00F5514B" w:rsidP="00F5514B">
            <w:pPr>
              <w:pStyle w:val="sub1"/>
              <w:spacing w:line="240" w:lineRule="auto"/>
              <w:ind w:firstLine="0"/>
              <w:jc w:val="center"/>
              <w:rPr>
                <w:rFonts w:ascii="Book Antiqua" w:hAnsi="Book Antiqua"/>
                <w:sz w:val="24"/>
                <w:szCs w:val="24"/>
              </w:rPr>
            </w:pPr>
          </w:p>
        </w:tc>
      </w:tr>
      <w:tr w:rsidR="00F5514B" w:rsidRPr="00D149D6" w14:paraId="74579C0D" w14:textId="77777777" w:rsidTr="00F5514B">
        <w:tc>
          <w:tcPr>
            <w:tcW w:w="4495" w:type="dxa"/>
          </w:tcPr>
          <w:p w14:paraId="66CF683D"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Praxair Plainfield</w:t>
            </w:r>
          </w:p>
        </w:tc>
        <w:tc>
          <w:tcPr>
            <w:tcW w:w="1170" w:type="dxa"/>
          </w:tcPr>
          <w:p w14:paraId="3DDECCD1"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276453E8" w14:textId="77777777" w:rsidR="00F5514B"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Exempt</w:t>
            </w:r>
          </w:p>
        </w:tc>
        <w:tc>
          <w:tcPr>
            <w:tcW w:w="2234" w:type="dxa"/>
          </w:tcPr>
          <w:p w14:paraId="4EF3A6EC" w14:textId="77777777" w:rsidR="00F5514B" w:rsidRPr="00D149D6" w:rsidRDefault="00F5514B" w:rsidP="00F5514B">
            <w:pPr>
              <w:pStyle w:val="sub1"/>
              <w:spacing w:line="240" w:lineRule="auto"/>
              <w:ind w:firstLine="0"/>
              <w:jc w:val="center"/>
              <w:rPr>
                <w:rFonts w:ascii="Book Antiqua" w:hAnsi="Book Antiqua"/>
                <w:sz w:val="24"/>
                <w:szCs w:val="24"/>
              </w:rPr>
            </w:pPr>
          </w:p>
        </w:tc>
      </w:tr>
      <w:tr w:rsidR="00A33BC9" w:rsidRPr="00D149D6" w14:paraId="53D39A6E" w14:textId="77777777" w:rsidTr="00F5514B">
        <w:tc>
          <w:tcPr>
            <w:tcW w:w="4495" w:type="dxa"/>
          </w:tcPr>
          <w:p w14:paraId="600A8346"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Rancho Mirage Energy Authority</w:t>
            </w:r>
          </w:p>
        </w:tc>
        <w:tc>
          <w:tcPr>
            <w:tcW w:w="1170" w:type="dxa"/>
          </w:tcPr>
          <w:p w14:paraId="0E5B0BA5"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55DA6C0B" w14:textId="77777777" w:rsidR="00A33BC9" w:rsidRPr="00D149D6" w:rsidRDefault="00A33BC9" w:rsidP="00F5514B">
            <w:pPr>
              <w:pStyle w:val="sub1"/>
              <w:spacing w:line="240" w:lineRule="auto"/>
              <w:ind w:firstLine="0"/>
              <w:jc w:val="center"/>
              <w:rPr>
                <w:rFonts w:ascii="Book Antiqua" w:hAnsi="Book Antiqua"/>
                <w:sz w:val="24"/>
                <w:szCs w:val="24"/>
              </w:rPr>
            </w:pPr>
          </w:p>
        </w:tc>
        <w:tc>
          <w:tcPr>
            <w:tcW w:w="2234" w:type="dxa"/>
          </w:tcPr>
          <w:p w14:paraId="376FB731"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A33BC9" w:rsidRPr="00D149D6" w14:paraId="0A0E8A5A" w14:textId="77777777" w:rsidTr="00F5514B">
        <w:tc>
          <w:tcPr>
            <w:tcW w:w="4495" w:type="dxa"/>
          </w:tcPr>
          <w:p w14:paraId="77D860AC"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Redwood Coast Energy Authority</w:t>
            </w:r>
          </w:p>
        </w:tc>
        <w:tc>
          <w:tcPr>
            <w:tcW w:w="1170" w:type="dxa"/>
          </w:tcPr>
          <w:p w14:paraId="4301AA35"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31EB99AF"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36738DAA"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A33BC9" w:rsidRPr="00D149D6" w14:paraId="375FED38" w14:textId="77777777" w:rsidTr="00F5514B">
        <w:tc>
          <w:tcPr>
            <w:tcW w:w="4495" w:type="dxa"/>
          </w:tcPr>
          <w:p w14:paraId="6ADE5F22"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Regents of the University of California</w:t>
            </w:r>
          </w:p>
        </w:tc>
        <w:tc>
          <w:tcPr>
            <w:tcW w:w="1170" w:type="dxa"/>
          </w:tcPr>
          <w:p w14:paraId="6FF47D48" w14:textId="77777777" w:rsidR="00A33BC9"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11771C95" w14:textId="77777777" w:rsidR="00A33BC9"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2190497C" w14:textId="77777777" w:rsidR="00A33BC9" w:rsidRPr="00D149D6" w:rsidRDefault="00A33BC9" w:rsidP="00F5514B">
            <w:pPr>
              <w:pStyle w:val="sub1"/>
              <w:spacing w:line="240" w:lineRule="auto"/>
              <w:ind w:firstLine="0"/>
              <w:jc w:val="center"/>
              <w:rPr>
                <w:rFonts w:ascii="Book Antiqua" w:hAnsi="Book Antiqua"/>
                <w:sz w:val="24"/>
                <w:szCs w:val="24"/>
              </w:rPr>
            </w:pPr>
          </w:p>
        </w:tc>
      </w:tr>
      <w:tr w:rsidR="00F5514B" w:rsidRPr="00D149D6" w14:paraId="54082F7C" w14:textId="77777777" w:rsidTr="00F5514B">
        <w:tc>
          <w:tcPr>
            <w:tcW w:w="4495" w:type="dxa"/>
          </w:tcPr>
          <w:p w14:paraId="761C48A5"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San Diego Gas &amp; Electric</w:t>
            </w:r>
          </w:p>
        </w:tc>
        <w:tc>
          <w:tcPr>
            <w:tcW w:w="1170" w:type="dxa"/>
          </w:tcPr>
          <w:p w14:paraId="361BD0D6"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IOU</w:t>
            </w:r>
          </w:p>
        </w:tc>
        <w:tc>
          <w:tcPr>
            <w:tcW w:w="1800" w:type="dxa"/>
          </w:tcPr>
          <w:p w14:paraId="642774FC" w14:textId="77777777" w:rsidR="00F5514B"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58BFE02E" w14:textId="77777777" w:rsidR="00F5514B" w:rsidRPr="00D149D6" w:rsidRDefault="00F5514B" w:rsidP="00F5514B">
            <w:pPr>
              <w:pStyle w:val="sub1"/>
              <w:spacing w:line="240" w:lineRule="auto"/>
              <w:ind w:firstLine="0"/>
              <w:jc w:val="center"/>
              <w:rPr>
                <w:rFonts w:ascii="Book Antiqua" w:hAnsi="Book Antiqua"/>
                <w:sz w:val="24"/>
                <w:szCs w:val="24"/>
              </w:rPr>
            </w:pPr>
          </w:p>
        </w:tc>
      </w:tr>
      <w:tr w:rsidR="00F5514B" w:rsidRPr="00D149D6" w14:paraId="1A6CDA66" w14:textId="77777777" w:rsidTr="00F5514B">
        <w:tc>
          <w:tcPr>
            <w:tcW w:w="4495" w:type="dxa"/>
          </w:tcPr>
          <w:p w14:paraId="59127BAA"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San Jacinto Power</w:t>
            </w:r>
          </w:p>
        </w:tc>
        <w:tc>
          <w:tcPr>
            <w:tcW w:w="1170" w:type="dxa"/>
          </w:tcPr>
          <w:p w14:paraId="351F1DDF"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05C9CA2F" w14:textId="77777777" w:rsidR="00F5514B" w:rsidRPr="00D149D6" w:rsidRDefault="00F5514B" w:rsidP="00F5514B">
            <w:pPr>
              <w:pStyle w:val="sub1"/>
              <w:spacing w:line="240" w:lineRule="auto"/>
              <w:ind w:firstLine="0"/>
              <w:jc w:val="center"/>
              <w:rPr>
                <w:rFonts w:ascii="Book Antiqua" w:hAnsi="Book Antiqua"/>
                <w:sz w:val="24"/>
                <w:szCs w:val="24"/>
              </w:rPr>
            </w:pPr>
          </w:p>
        </w:tc>
        <w:tc>
          <w:tcPr>
            <w:tcW w:w="2234" w:type="dxa"/>
          </w:tcPr>
          <w:p w14:paraId="295E1C35" w14:textId="77777777" w:rsidR="00F5514B"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F5514B" w:rsidRPr="00D149D6" w14:paraId="13043D0F" w14:textId="77777777" w:rsidTr="00F5514B">
        <w:tc>
          <w:tcPr>
            <w:tcW w:w="4495" w:type="dxa"/>
          </w:tcPr>
          <w:p w14:paraId="5D0336EC"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San Jose Clean Energy</w:t>
            </w:r>
          </w:p>
        </w:tc>
        <w:tc>
          <w:tcPr>
            <w:tcW w:w="1170" w:type="dxa"/>
          </w:tcPr>
          <w:p w14:paraId="5F5EDA98"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54F4D169" w14:textId="77777777" w:rsidR="00F5514B" w:rsidRPr="00D149D6" w:rsidRDefault="00F5514B" w:rsidP="00F5514B">
            <w:pPr>
              <w:pStyle w:val="sub1"/>
              <w:spacing w:line="240" w:lineRule="auto"/>
              <w:ind w:firstLine="0"/>
              <w:jc w:val="center"/>
              <w:rPr>
                <w:rFonts w:ascii="Book Antiqua" w:hAnsi="Book Antiqua"/>
                <w:sz w:val="24"/>
                <w:szCs w:val="24"/>
              </w:rPr>
            </w:pPr>
          </w:p>
        </w:tc>
        <w:tc>
          <w:tcPr>
            <w:tcW w:w="2234" w:type="dxa"/>
          </w:tcPr>
          <w:p w14:paraId="4F127AF7" w14:textId="77777777" w:rsidR="00F5514B"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F5514B" w:rsidRPr="00D149D6" w14:paraId="5A4E4254" w14:textId="77777777" w:rsidTr="00F5514B">
        <w:tc>
          <w:tcPr>
            <w:tcW w:w="4495" w:type="dxa"/>
          </w:tcPr>
          <w:p w14:paraId="24A72E6F"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Shell Energy</w:t>
            </w:r>
          </w:p>
        </w:tc>
        <w:tc>
          <w:tcPr>
            <w:tcW w:w="1170" w:type="dxa"/>
          </w:tcPr>
          <w:p w14:paraId="3CAD24D4"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596A9DF3" w14:textId="77777777" w:rsidR="00F5514B" w:rsidRPr="00D149D6" w:rsidRDefault="00F5514B" w:rsidP="00F5514B">
            <w:pPr>
              <w:pStyle w:val="sub1"/>
              <w:spacing w:line="240" w:lineRule="auto"/>
              <w:ind w:firstLine="0"/>
              <w:jc w:val="center"/>
              <w:rPr>
                <w:rFonts w:ascii="Book Antiqua" w:hAnsi="Book Antiqua"/>
                <w:sz w:val="24"/>
                <w:szCs w:val="24"/>
              </w:rPr>
            </w:pPr>
          </w:p>
        </w:tc>
        <w:tc>
          <w:tcPr>
            <w:tcW w:w="2234" w:type="dxa"/>
          </w:tcPr>
          <w:p w14:paraId="6A3A514F" w14:textId="77777777" w:rsidR="00F5514B"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F5514B" w:rsidRPr="00D149D6" w14:paraId="4F4CF8D3" w14:textId="77777777" w:rsidTr="00F5514B">
        <w:tc>
          <w:tcPr>
            <w:tcW w:w="4495" w:type="dxa"/>
          </w:tcPr>
          <w:p w14:paraId="0753694F"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Silicon Valley Clean Energy Authority</w:t>
            </w:r>
          </w:p>
        </w:tc>
        <w:tc>
          <w:tcPr>
            <w:tcW w:w="1170" w:type="dxa"/>
          </w:tcPr>
          <w:p w14:paraId="25FBB88B"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44E372DB" w14:textId="77777777" w:rsidR="00F5514B" w:rsidRPr="00D149D6" w:rsidRDefault="00F5514B" w:rsidP="00F5514B">
            <w:pPr>
              <w:pStyle w:val="sub1"/>
              <w:spacing w:line="240" w:lineRule="auto"/>
              <w:ind w:firstLine="0"/>
              <w:jc w:val="center"/>
              <w:rPr>
                <w:rFonts w:ascii="Book Antiqua" w:hAnsi="Book Antiqua"/>
                <w:sz w:val="24"/>
                <w:szCs w:val="24"/>
              </w:rPr>
            </w:pPr>
          </w:p>
        </w:tc>
        <w:tc>
          <w:tcPr>
            <w:tcW w:w="2234" w:type="dxa"/>
          </w:tcPr>
          <w:p w14:paraId="64BA0489" w14:textId="77777777" w:rsidR="00F5514B"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F5514B" w:rsidRPr="00D149D6" w14:paraId="6C231C74" w14:textId="77777777" w:rsidTr="00F5514B">
        <w:tc>
          <w:tcPr>
            <w:tcW w:w="4495" w:type="dxa"/>
          </w:tcPr>
          <w:p w14:paraId="56F2968F"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Solana Energy Alliance</w:t>
            </w:r>
          </w:p>
        </w:tc>
        <w:tc>
          <w:tcPr>
            <w:tcW w:w="1170" w:type="dxa"/>
          </w:tcPr>
          <w:p w14:paraId="3386D8F9"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573E86F2" w14:textId="77777777" w:rsidR="00F5514B"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14CBDE7D" w14:textId="77777777" w:rsidR="00F5514B" w:rsidRPr="00D149D6" w:rsidRDefault="00F5514B" w:rsidP="00F5514B">
            <w:pPr>
              <w:pStyle w:val="sub1"/>
              <w:spacing w:line="240" w:lineRule="auto"/>
              <w:ind w:firstLine="0"/>
              <w:jc w:val="center"/>
              <w:rPr>
                <w:rFonts w:ascii="Book Antiqua" w:hAnsi="Book Antiqua"/>
                <w:sz w:val="24"/>
                <w:szCs w:val="24"/>
              </w:rPr>
            </w:pPr>
          </w:p>
        </w:tc>
      </w:tr>
      <w:tr w:rsidR="00F5514B" w:rsidRPr="00D149D6" w14:paraId="261BB4EA" w14:textId="77777777" w:rsidTr="00F5514B">
        <w:tc>
          <w:tcPr>
            <w:tcW w:w="4495" w:type="dxa"/>
          </w:tcPr>
          <w:p w14:paraId="1A076D14"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Sonoma Clean Power Authority</w:t>
            </w:r>
          </w:p>
        </w:tc>
        <w:tc>
          <w:tcPr>
            <w:tcW w:w="1170" w:type="dxa"/>
          </w:tcPr>
          <w:p w14:paraId="29F05123"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03658063" w14:textId="77777777" w:rsidR="00F5514B" w:rsidRPr="00D149D6" w:rsidRDefault="00F5514B" w:rsidP="00F5514B">
            <w:pPr>
              <w:pStyle w:val="sub1"/>
              <w:spacing w:line="240" w:lineRule="auto"/>
              <w:ind w:firstLine="0"/>
              <w:jc w:val="center"/>
              <w:rPr>
                <w:rFonts w:ascii="Book Antiqua" w:hAnsi="Book Antiqua"/>
                <w:sz w:val="24"/>
                <w:szCs w:val="24"/>
              </w:rPr>
            </w:pPr>
          </w:p>
        </w:tc>
        <w:tc>
          <w:tcPr>
            <w:tcW w:w="2234" w:type="dxa"/>
          </w:tcPr>
          <w:p w14:paraId="67FB132E" w14:textId="77777777" w:rsidR="00F5514B"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F5514B" w:rsidRPr="00D149D6" w14:paraId="3F41585C" w14:textId="77777777" w:rsidTr="00F5514B">
        <w:tc>
          <w:tcPr>
            <w:tcW w:w="4495" w:type="dxa"/>
          </w:tcPr>
          <w:p w14:paraId="0FF82963"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Southern California Edison</w:t>
            </w:r>
          </w:p>
        </w:tc>
        <w:tc>
          <w:tcPr>
            <w:tcW w:w="1170" w:type="dxa"/>
          </w:tcPr>
          <w:p w14:paraId="3E586D2B"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IOU</w:t>
            </w:r>
          </w:p>
        </w:tc>
        <w:tc>
          <w:tcPr>
            <w:tcW w:w="1800" w:type="dxa"/>
          </w:tcPr>
          <w:p w14:paraId="6160D8EB" w14:textId="77777777" w:rsidR="00F5514B"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5B6EA874" w14:textId="77777777" w:rsidR="00F5514B" w:rsidRPr="00D149D6" w:rsidRDefault="00F5514B" w:rsidP="00F5514B">
            <w:pPr>
              <w:pStyle w:val="sub1"/>
              <w:spacing w:line="240" w:lineRule="auto"/>
              <w:ind w:firstLine="0"/>
              <w:jc w:val="center"/>
              <w:rPr>
                <w:rFonts w:ascii="Book Antiqua" w:hAnsi="Book Antiqua"/>
                <w:sz w:val="24"/>
                <w:szCs w:val="24"/>
              </w:rPr>
            </w:pPr>
          </w:p>
        </w:tc>
      </w:tr>
      <w:tr w:rsidR="00F5514B" w:rsidRPr="00D149D6" w14:paraId="36F54EEE" w14:textId="77777777" w:rsidTr="00F5514B">
        <w:tc>
          <w:tcPr>
            <w:tcW w:w="4495" w:type="dxa"/>
          </w:tcPr>
          <w:p w14:paraId="48E7A2AE"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Surprise Valley Electric Cooperative</w:t>
            </w:r>
          </w:p>
        </w:tc>
        <w:tc>
          <w:tcPr>
            <w:tcW w:w="1170" w:type="dxa"/>
          </w:tcPr>
          <w:p w14:paraId="7958BE35"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Coop</w:t>
            </w:r>
          </w:p>
        </w:tc>
        <w:tc>
          <w:tcPr>
            <w:tcW w:w="1800" w:type="dxa"/>
          </w:tcPr>
          <w:p w14:paraId="5C85DEA7" w14:textId="77777777" w:rsidR="00F5514B"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Exempt</w:t>
            </w:r>
          </w:p>
        </w:tc>
        <w:tc>
          <w:tcPr>
            <w:tcW w:w="2234" w:type="dxa"/>
          </w:tcPr>
          <w:p w14:paraId="16BB9FFC" w14:textId="77777777" w:rsidR="00F5514B" w:rsidRPr="00D149D6" w:rsidRDefault="00F5514B" w:rsidP="00F5514B">
            <w:pPr>
              <w:pStyle w:val="sub1"/>
              <w:spacing w:line="240" w:lineRule="auto"/>
              <w:ind w:firstLine="0"/>
              <w:jc w:val="center"/>
              <w:rPr>
                <w:rFonts w:ascii="Book Antiqua" w:hAnsi="Book Antiqua"/>
                <w:sz w:val="24"/>
                <w:szCs w:val="24"/>
              </w:rPr>
            </w:pPr>
          </w:p>
        </w:tc>
      </w:tr>
      <w:tr w:rsidR="00F5514B" w:rsidRPr="00D149D6" w14:paraId="3285FF75" w14:textId="77777777" w:rsidTr="00F5514B">
        <w:tc>
          <w:tcPr>
            <w:tcW w:w="4495" w:type="dxa"/>
          </w:tcPr>
          <w:p w14:paraId="7BE1C5C4"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Tiger Natural Gas</w:t>
            </w:r>
          </w:p>
        </w:tc>
        <w:tc>
          <w:tcPr>
            <w:tcW w:w="1170" w:type="dxa"/>
          </w:tcPr>
          <w:p w14:paraId="1F6CF115"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ESP</w:t>
            </w:r>
          </w:p>
        </w:tc>
        <w:tc>
          <w:tcPr>
            <w:tcW w:w="1800" w:type="dxa"/>
          </w:tcPr>
          <w:p w14:paraId="3169764A" w14:textId="77777777" w:rsidR="00F5514B"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c>
          <w:tcPr>
            <w:tcW w:w="2234" w:type="dxa"/>
          </w:tcPr>
          <w:p w14:paraId="35EBCF8C" w14:textId="77777777" w:rsidR="00F5514B" w:rsidRPr="00D149D6" w:rsidRDefault="00F5514B" w:rsidP="00F5514B">
            <w:pPr>
              <w:pStyle w:val="sub1"/>
              <w:spacing w:line="240" w:lineRule="auto"/>
              <w:ind w:firstLine="0"/>
              <w:jc w:val="center"/>
              <w:rPr>
                <w:rFonts w:ascii="Book Antiqua" w:hAnsi="Book Antiqua"/>
                <w:sz w:val="24"/>
                <w:szCs w:val="24"/>
              </w:rPr>
            </w:pPr>
          </w:p>
        </w:tc>
      </w:tr>
      <w:tr w:rsidR="00F5514B" w:rsidRPr="00D149D6" w14:paraId="23D1CA03" w14:textId="77777777" w:rsidTr="00F5514B">
        <w:tc>
          <w:tcPr>
            <w:tcW w:w="4495" w:type="dxa"/>
          </w:tcPr>
          <w:p w14:paraId="59A5FDEC"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Valley Clean Energy Alliance</w:t>
            </w:r>
          </w:p>
        </w:tc>
        <w:tc>
          <w:tcPr>
            <w:tcW w:w="1170" w:type="dxa"/>
          </w:tcPr>
          <w:p w14:paraId="500B3F71"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CCA</w:t>
            </w:r>
          </w:p>
        </w:tc>
        <w:tc>
          <w:tcPr>
            <w:tcW w:w="1800" w:type="dxa"/>
          </w:tcPr>
          <w:p w14:paraId="5A8DC3CA" w14:textId="77777777" w:rsidR="00F5514B" w:rsidRPr="00D149D6" w:rsidRDefault="00F5514B" w:rsidP="00F5514B">
            <w:pPr>
              <w:pStyle w:val="sub1"/>
              <w:spacing w:line="240" w:lineRule="auto"/>
              <w:ind w:firstLine="0"/>
              <w:jc w:val="center"/>
              <w:rPr>
                <w:rFonts w:ascii="Book Antiqua" w:hAnsi="Book Antiqua"/>
                <w:sz w:val="24"/>
                <w:szCs w:val="24"/>
              </w:rPr>
            </w:pPr>
          </w:p>
        </w:tc>
        <w:tc>
          <w:tcPr>
            <w:tcW w:w="2234" w:type="dxa"/>
          </w:tcPr>
          <w:p w14:paraId="0B9D1240" w14:textId="77777777" w:rsidR="00F5514B"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X</w:t>
            </w:r>
          </w:p>
        </w:tc>
      </w:tr>
      <w:tr w:rsidR="00F5514B" w:rsidRPr="00D149D6" w14:paraId="7E231D93" w14:textId="77777777" w:rsidTr="00F5514B">
        <w:tc>
          <w:tcPr>
            <w:tcW w:w="4495" w:type="dxa"/>
          </w:tcPr>
          <w:p w14:paraId="423FA7BC"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Valley Electric Association</w:t>
            </w:r>
          </w:p>
        </w:tc>
        <w:tc>
          <w:tcPr>
            <w:tcW w:w="1170" w:type="dxa"/>
          </w:tcPr>
          <w:p w14:paraId="1F12BE8D" w14:textId="77777777" w:rsidR="00F5514B" w:rsidRPr="00D149D6" w:rsidRDefault="00F5514B" w:rsidP="00A33BC9">
            <w:pPr>
              <w:pStyle w:val="sub1"/>
              <w:spacing w:line="240" w:lineRule="auto"/>
              <w:ind w:firstLine="0"/>
              <w:rPr>
                <w:rFonts w:ascii="Book Antiqua" w:hAnsi="Book Antiqua"/>
                <w:sz w:val="24"/>
                <w:szCs w:val="24"/>
              </w:rPr>
            </w:pPr>
            <w:r w:rsidRPr="00D149D6">
              <w:rPr>
                <w:rFonts w:ascii="Book Antiqua" w:hAnsi="Book Antiqua"/>
                <w:sz w:val="24"/>
                <w:szCs w:val="24"/>
              </w:rPr>
              <w:t>Coop</w:t>
            </w:r>
          </w:p>
        </w:tc>
        <w:tc>
          <w:tcPr>
            <w:tcW w:w="1800" w:type="dxa"/>
          </w:tcPr>
          <w:p w14:paraId="2D24E63D" w14:textId="77777777" w:rsidR="00F5514B" w:rsidRPr="00D149D6" w:rsidRDefault="00E02511" w:rsidP="00F5514B">
            <w:pPr>
              <w:pStyle w:val="sub1"/>
              <w:spacing w:line="240" w:lineRule="auto"/>
              <w:ind w:firstLine="0"/>
              <w:jc w:val="center"/>
              <w:rPr>
                <w:rFonts w:ascii="Book Antiqua" w:hAnsi="Book Antiqua"/>
                <w:sz w:val="24"/>
                <w:szCs w:val="24"/>
              </w:rPr>
            </w:pPr>
            <w:r w:rsidRPr="00D149D6">
              <w:rPr>
                <w:rFonts w:ascii="Book Antiqua" w:hAnsi="Book Antiqua"/>
                <w:sz w:val="24"/>
                <w:szCs w:val="24"/>
              </w:rPr>
              <w:t>Exempt</w:t>
            </w:r>
          </w:p>
        </w:tc>
        <w:tc>
          <w:tcPr>
            <w:tcW w:w="2234" w:type="dxa"/>
          </w:tcPr>
          <w:p w14:paraId="7BA182C8" w14:textId="77777777" w:rsidR="00F5514B" w:rsidRPr="00D149D6" w:rsidRDefault="00F5514B" w:rsidP="00F5514B">
            <w:pPr>
              <w:pStyle w:val="sub1"/>
              <w:spacing w:line="240" w:lineRule="auto"/>
              <w:ind w:firstLine="0"/>
              <w:jc w:val="center"/>
              <w:rPr>
                <w:rFonts w:ascii="Book Antiqua" w:hAnsi="Book Antiqua"/>
                <w:sz w:val="24"/>
                <w:szCs w:val="24"/>
              </w:rPr>
            </w:pPr>
          </w:p>
        </w:tc>
      </w:tr>
    </w:tbl>
    <w:p w14:paraId="24329866" w14:textId="77777777" w:rsidR="007525E0" w:rsidRPr="00D149D6" w:rsidRDefault="007525E0" w:rsidP="00693762">
      <w:pPr>
        <w:pStyle w:val="sub1"/>
        <w:rPr>
          <w:rFonts w:ascii="Book Antiqua" w:hAnsi="Book Antiqua"/>
        </w:rPr>
      </w:pPr>
    </w:p>
    <w:p w14:paraId="440D4E9B" w14:textId="77777777" w:rsidR="00693762" w:rsidRDefault="00693762" w:rsidP="001A7699">
      <w:pPr>
        <w:pStyle w:val="Heading3"/>
      </w:pPr>
      <w:bookmarkStart w:id="42" w:name="_Toc3803837"/>
      <w:r>
        <w:t>Resubmission Process for 2018 IRPs</w:t>
      </w:r>
      <w:bookmarkEnd w:id="42"/>
    </w:p>
    <w:p w14:paraId="4D8D6A12" w14:textId="77777777" w:rsidR="00693762" w:rsidRPr="00D149D6" w:rsidRDefault="001D727D" w:rsidP="00693762">
      <w:pPr>
        <w:pStyle w:val="sub2"/>
        <w:rPr>
          <w:rFonts w:ascii="Book Antiqua" w:hAnsi="Book Antiqua"/>
        </w:rPr>
      </w:pPr>
      <w:r w:rsidRPr="00D149D6">
        <w:rPr>
          <w:rFonts w:ascii="Book Antiqua" w:hAnsi="Book Antiqua"/>
        </w:rPr>
        <w:t xml:space="preserve">For those entities who have parts of their </w:t>
      </w:r>
      <w:r w:rsidR="00D32725" w:rsidRPr="00D149D6">
        <w:rPr>
          <w:rFonts w:ascii="Book Antiqua" w:hAnsi="Book Antiqua"/>
        </w:rPr>
        <w:t>IRPs that are determined to be “not adequate,” their plans are not approved (in the case of IOUs and ESPs) or certified (in the case of CCAs) in this decision</w:t>
      </w:r>
      <w:r w:rsidR="00916E3B" w:rsidRPr="00D149D6">
        <w:rPr>
          <w:rFonts w:ascii="Book Antiqua" w:hAnsi="Book Antiqua"/>
        </w:rPr>
        <w:t>, as summarized in the table above</w:t>
      </w:r>
      <w:r w:rsidR="00D32725" w:rsidRPr="00D149D6">
        <w:rPr>
          <w:rFonts w:ascii="Book Antiqua" w:hAnsi="Book Antiqua"/>
        </w:rPr>
        <w:t xml:space="preserve">. </w:t>
      </w:r>
    </w:p>
    <w:p w14:paraId="452B259B" w14:textId="25BDCA4F" w:rsidR="00693762" w:rsidRPr="00D149D6" w:rsidRDefault="00D32725" w:rsidP="00CA1B56">
      <w:pPr>
        <w:pStyle w:val="sub2"/>
        <w:rPr>
          <w:rFonts w:ascii="Book Antiqua" w:hAnsi="Book Antiqua"/>
        </w:rPr>
      </w:pPr>
      <w:r w:rsidRPr="00D149D6">
        <w:rPr>
          <w:rFonts w:ascii="Book Antiqua" w:hAnsi="Book Antiqua"/>
        </w:rPr>
        <w:t>In order to remedy these deficiencies, we will require that the LSE file a Tier 2 Advice Letter by no later than June 14, 2019, providing</w:t>
      </w:r>
      <w:r w:rsidR="00820C84">
        <w:rPr>
          <w:rFonts w:ascii="Book Antiqua" w:hAnsi="Book Antiqua"/>
        </w:rPr>
        <w:t>, at a minimum, an appendix or supplement to</w:t>
      </w:r>
      <w:r w:rsidRPr="00D149D6">
        <w:rPr>
          <w:rFonts w:ascii="Book Antiqua" w:hAnsi="Book Antiqua"/>
        </w:rPr>
        <w:t xml:space="preserve"> its IRP, with the missing or inadequate information from the August 2018 version. </w:t>
      </w:r>
      <w:r w:rsidR="00E21DA5" w:rsidRPr="00D149D6">
        <w:rPr>
          <w:rFonts w:ascii="Book Antiqua" w:hAnsi="Book Antiqua"/>
        </w:rPr>
        <w:t xml:space="preserve"> </w:t>
      </w:r>
      <w:r w:rsidR="009E6885">
        <w:rPr>
          <w:rFonts w:ascii="Book Antiqua" w:hAnsi="Book Antiqua"/>
        </w:rPr>
        <w:t xml:space="preserve">New data templates or other attachments are not required. </w:t>
      </w:r>
      <w:r w:rsidR="000E00E5">
        <w:rPr>
          <w:rFonts w:ascii="Book Antiqua" w:hAnsi="Book Antiqua"/>
        </w:rPr>
        <w:t xml:space="preserve"> </w:t>
      </w:r>
      <w:r w:rsidR="007525E0" w:rsidRPr="00D149D6">
        <w:rPr>
          <w:rFonts w:ascii="Book Antiqua" w:hAnsi="Book Antiqua"/>
        </w:rPr>
        <w:t>The next section includes more detailed guidance to each LSE about the information it needs to improve in order to have its IRP approved or certified</w:t>
      </w:r>
      <w:r w:rsidR="00716470" w:rsidRPr="00D149D6">
        <w:rPr>
          <w:rFonts w:ascii="Book Antiqua" w:hAnsi="Book Antiqua"/>
        </w:rPr>
        <w:t xml:space="preserve"> by Commission staff</w:t>
      </w:r>
      <w:r w:rsidR="000E5E00" w:rsidRPr="00D149D6">
        <w:rPr>
          <w:rFonts w:ascii="Book Antiqua" w:hAnsi="Book Antiqua"/>
        </w:rPr>
        <w:t xml:space="preserve"> via the Advice Letter process</w:t>
      </w:r>
      <w:r w:rsidR="007525E0" w:rsidRPr="00D149D6">
        <w:rPr>
          <w:rFonts w:ascii="Book Antiqua" w:hAnsi="Book Antiqua"/>
        </w:rPr>
        <w:t>.</w:t>
      </w:r>
    </w:p>
    <w:p w14:paraId="234E88D2" w14:textId="77777777" w:rsidR="00716470" w:rsidRPr="00D149D6" w:rsidRDefault="000E5E00" w:rsidP="00CA1B56">
      <w:pPr>
        <w:pStyle w:val="sub2"/>
        <w:rPr>
          <w:rFonts w:ascii="Book Antiqua" w:hAnsi="Book Antiqua"/>
        </w:rPr>
      </w:pPr>
      <w:r w:rsidRPr="00D149D6">
        <w:rPr>
          <w:rFonts w:ascii="Book Antiqua" w:hAnsi="Book Antiqua"/>
        </w:rPr>
        <w:t xml:space="preserve">In particular, all of the entities whose IRPs are not certified or approved herein failed to provide adequate information about criteria pollutant emissions associated with their portfolios or planned portfolios. </w:t>
      </w:r>
      <w:r w:rsidR="00E21DA5" w:rsidRPr="00D149D6">
        <w:rPr>
          <w:rFonts w:ascii="Book Antiqua" w:hAnsi="Book Antiqua"/>
        </w:rPr>
        <w:t xml:space="preserve"> </w:t>
      </w:r>
      <w:r w:rsidRPr="00D149D6">
        <w:rPr>
          <w:rFonts w:ascii="Book Antiqua" w:hAnsi="Book Antiqua"/>
        </w:rPr>
        <w:t>D.18</w:t>
      </w:r>
      <w:r w:rsidR="00D84A09" w:rsidRPr="00D149D6">
        <w:rPr>
          <w:rFonts w:ascii="Book Antiqua" w:hAnsi="Book Antiqua"/>
        </w:rPr>
        <w:noBreakHyphen/>
      </w:r>
      <w:r w:rsidRPr="00D149D6">
        <w:rPr>
          <w:rFonts w:ascii="Book Antiqua" w:hAnsi="Book Antiqua"/>
        </w:rPr>
        <w:t>02</w:t>
      </w:r>
      <w:r w:rsidR="00D84A09" w:rsidRPr="00D149D6">
        <w:rPr>
          <w:rFonts w:ascii="Book Antiqua" w:hAnsi="Book Antiqua"/>
        </w:rPr>
        <w:noBreakHyphen/>
      </w:r>
      <w:r w:rsidRPr="00D149D6">
        <w:rPr>
          <w:rFonts w:ascii="Book Antiqua" w:hAnsi="Book Antiqua"/>
        </w:rPr>
        <w:t>018</w:t>
      </w:r>
      <w:r w:rsidR="00561121" w:rsidRPr="00D149D6">
        <w:rPr>
          <w:rFonts w:ascii="Book Antiqua" w:hAnsi="Book Antiqua"/>
        </w:rPr>
        <w:t xml:space="preserve">, specifically Section 6 and Ordering Paragraph 7, required provision of this numerical information on an annual basis. </w:t>
      </w:r>
      <w:r w:rsidR="00E21DA5" w:rsidRPr="00D149D6">
        <w:rPr>
          <w:rFonts w:ascii="Book Antiqua" w:hAnsi="Book Antiqua"/>
        </w:rPr>
        <w:t xml:space="preserve"> </w:t>
      </w:r>
      <w:r w:rsidR="00561121" w:rsidRPr="00D149D6">
        <w:rPr>
          <w:rFonts w:ascii="Book Antiqua" w:hAnsi="Book Antiqua"/>
        </w:rPr>
        <w:t>For this first set of IRPs, many LSEs who provided adequate response to these requirements only provided the information for the four study years (2018, 2022, 2026, and 2030).</w:t>
      </w:r>
      <w:r w:rsidR="00E21DA5" w:rsidRPr="00D149D6">
        <w:rPr>
          <w:rFonts w:ascii="Book Antiqua" w:hAnsi="Book Antiqua"/>
        </w:rPr>
        <w:t xml:space="preserve"> </w:t>
      </w:r>
      <w:r w:rsidR="00561121" w:rsidRPr="00D149D6">
        <w:rPr>
          <w:rFonts w:ascii="Book Antiqua" w:hAnsi="Book Antiqua"/>
        </w:rPr>
        <w:t xml:space="preserve"> That level of information will be acceptable for this round, but in future IRPs, we will require the information annually. </w:t>
      </w:r>
      <w:r w:rsidR="00E21DA5" w:rsidRPr="00D149D6">
        <w:rPr>
          <w:rFonts w:ascii="Book Antiqua" w:hAnsi="Book Antiqua"/>
        </w:rPr>
        <w:t xml:space="preserve"> </w:t>
      </w:r>
      <w:r w:rsidR="00561121" w:rsidRPr="00D149D6">
        <w:rPr>
          <w:rFonts w:ascii="Book Antiqua" w:hAnsi="Book Antiqua"/>
        </w:rPr>
        <w:t>And to be clear, the criteria pollutant information must be numerical</w:t>
      </w:r>
      <w:r w:rsidR="009E6885">
        <w:rPr>
          <w:rFonts w:ascii="Book Antiqua" w:hAnsi="Book Antiqua"/>
        </w:rPr>
        <w:t xml:space="preserve"> and provided in a table format</w:t>
      </w:r>
      <w:r w:rsidR="00561121" w:rsidRPr="00D149D6">
        <w:rPr>
          <w:rFonts w:ascii="Book Antiqua" w:hAnsi="Book Antiqua"/>
        </w:rPr>
        <w:t>, for both NOx and PM2.5, and the emissions must comport with or be proportional to the GHG</w:t>
      </w:r>
      <w:r w:rsidR="00D84A09" w:rsidRPr="00D149D6">
        <w:rPr>
          <w:rFonts w:ascii="Book Antiqua" w:hAnsi="Book Antiqua"/>
        </w:rPr>
        <w:noBreakHyphen/>
      </w:r>
      <w:r w:rsidR="00561121" w:rsidRPr="00D149D6">
        <w:rPr>
          <w:rFonts w:ascii="Book Antiqua" w:hAnsi="Book Antiqua"/>
        </w:rPr>
        <w:t>related emissions information otherwise provided by the LSE.</w:t>
      </w:r>
      <w:r w:rsidR="00E21DA5" w:rsidRPr="00D149D6">
        <w:rPr>
          <w:rFonts w:ascii="Book Antiqua" w:hAnsi="Book Antiqua"/>
        </w:rPr>
        <w:t xml:space="preserve"> </w:t>
      </w:r>
      <w:r w:rsidR="00561121" w:rsidRPr="00D149D6">
        <w:rPr>
          <w:rFonts w:ascii="Book Antiqua" w:hAnsi="Book Antiqua"/>
        </w:rPr>
        <w:t xml:space="preserve"> </w:t>
      </w:r>
      <w:r w:rsidR="00CB59EB" w:rsidRPr="00D149D6">
        <w:rPr>
          <w:rFonts w:ascii="Book Antiqua" w:hAnsi="Book Antiqua"/>
        </w:rPr>
        <w:t xml:space="preserve">If these criteria are met, Commission staff will approve or certify the refiled IRPs via the Advice Letter process. </w:t>
      </w:r>
    </w:p>
    <w:p w14:paraId="16E3AE24" w14:textId="77777777" w:rsidR="00693762" w:rsidRDefault="00693762" w:rsidP="004C75AB">
      <w:pPr>
        <w:pStyle w:val="Heading2"/>
      </w:pPr>
      <w:bookmarkStart w:id="43" w:name="_Toc3803838"/>
      <w:r>
        <w:t>Review of Individual LSE Plans</w:t>
      </w:r>
      <w:bookmarkEnd w:id="43"/>
    </w:p>
    <w:p w14:paraId="379C6A5A" w14:textId="77777777" w:rsidR="00693762" w:rsidRPr="00D149D6" w:rsidRDefault="00BD702C" w:rsidP="00693762">
      <w:pPr>
        <w:pStyle w:val="sub2"/>
        <w:rPr>
          <w:rFonts w:ascii="Book Antiqua" w:hAnsi="Book Antiqua"/>
        </w:rPr>
      </w:pPr>
      <w:r w:rsidRPr="00D149D6">
        <w:rPr>
          <w:rFonts w:ascii="Book Antiqua" w:hAnsi="Book Antiqua"/>
        </w:rPr>
        <w:t xml:space="preserve">This section includes the scorecards for each LSE. </w:t>
      </w:r>
      <w:r w:rsidR="00E21DA5" w:rsidRPr="00D149D6">
        <w:rPr>
          <w:rFonts w:ascii="Book Antiqua" w:hAnsi="Book Antiqua"/>
        </w:rPr>
        <w:t xml:space="preserve"> </w:t>
      </w:r>
      <w:r w:rsidRPr="00D149D6">
        <w:rPr>
          <w:rFonts w:ascii="Book Antiqua" w:hAnsi="Book Antiqua"/>
        </w:rPr>
        <w:t>Below the scorecard is a summary of the next steps required for that LSE, plus any guidance for plan development for the next IRP cycle.</w:t>
      </w:r>
    </w:p>
    <w:p w14:paraId="06A8DF48" w14:textId="77777777" w:rsidR="00693762" w:rsidRDefault="00BD702C" w:rsidP="001A7699">
      <w:pPr>
        <w:pStyle w:val="Heading3"/>
      </w:pPr>
      <w:bookmarkStart w:id="44" w:name="_Toc3803839"/>
      <w:r>
        <w:t>Standard Plans</w:t>
      </w:r>
      <w:bookmarkEnd w:id="44"/>
    </w:p>
    <w:p w14:paraId="178A85CE" w14:textId="77777777" w:rsidR="00BD702C" w:rsidRPr="006C34C0" w:rsidRDefault="00BD702C" w:rsidP="00BD702C">
      <w:pPr>
        <w:keepNext/>
        <w:keepLines/>
        <w:spacing w:before="240" w:after="120" w:line="276" w:lineRule="auto"/>
        <w:outlineLvl w:val="2"/>
        <w:rPr>
          <w:rFonts w:ascii="Book Antiqua" w:eastAsiaTheme="majorEastAsia" w:hAnsi="Book Antiqua" w:cstheme="majorBidi"/>
          <w:b/>
          <w:szCs w:val="26"/>
        </w:rPr>
      </w:pPr>
      <w:bookmarkStart w:id="45" w:name="_Toc868757"/>
      <w:r w:rsidRPr="006C34C0">
        <w:rPr>
          <w:rFonts w:ascii="Book Antiqua" w:eastAsiaTheme="majorEastAsia" w:hAnsi="Book Antiqua" w:cstheme="majorBidi"/>
          <w:b/>
          <w:szCs w:val="26"/>
        </w:rPr>
        <w:t>Apple Valley Choice Energy</w:t>
      </w:r>
      <w:bookmarkEnd w:id="45"/>
    </w:p>
    <w:tbl>
      <w:tblPr>
        <w:tblStyle w:val="TableGrid3"/>
        <w:tblW w:w="0" w:type="auto"/>
        <w:tblLook w:val="04A0" w:firstRow="1" w:lastRow="0" w:firstColumn="1" w:lastColumn="0" w:noHBand="0" w:noVBand="1"/>
      </w:tblPr>
      <w:tblGrid>
        <w:gridCol w:w="2898"/>
        <w:gridCol w:w="6589"/>
      </w:tblGrid>
      <w:tr w:rsidR="00BD702C" w:rsidRPr="00D149D6" w14:paraId="0177ECC2" w14:textId="77777777" w:rsidTr="00BD702C">
        <w:tc>
          <w:tcPr>
            <w:tcW w:w="2898" w:type="dxa"/>
          </w:tcPr>
          <w:p w14:paraId="383BEF9A" w14:textId="77777777" w:rsidR="00BD702C" w:rsidRPr="00D149D6" w:rsidRDefault="00BD702C" w:rsidP="00580E1C">
            <w:pPr>
              <w:spacing w:before="60" w:after="60"/>
              <w:jc w:val="center"/>
              <w:rPr>
                <w:rFonts w:ascii="Book Antiqua" w:hAnsi="Book Antiqua"/>
                <w:b/>
                <w:sz w:val="24"/>
                <w:szCs w:val="24"/>
              </w:rPr>
            </w:pPr>
            <w:bookmarkStart w:id="46" w:name="_Hlk534025430"/>
            <w:r w:rsidRPr="00D149D6">
              <w:rPr>
                <w:rFonts w:ascii="Book Antiqua" w:hAnsi="Book Antiqua"/>
                <w:b/>
                <w:sz w:val="24"/>
                <w:szCs w:val="24"/>
              </w:rPr>
              <w:t>Requirement</w:t>
            </w:r>
          </w:p>
        </w:tc>
        <w:tc>
          <w:tcPr>
            <w:tcW w:w="6589" w:type="dxa"/>
          </w:tcPr>
          <w:p w14:paraId="6E63B086" w14:textId="77777777" w:rsidR="00BD702C" w:rsidRPr="00D149D6" w:rsidRDefault="00BD702C" w:rsidP="00580E1C">
            <w:pPr>
              <w:spacing w:before="60" w:after="60"/>
              <w:jc w:val="center"/>
              <w:rPr>
                <w:rFonts w:ascii="Book Antiqua" w:hAnsi="Book Antiqua"/>
                <w:b/>
                <w:sz w:val="24"/>
                <w:szCs w:val="24"/>
              </w:rPr>
            </w:pPr>
            <w:r w:rsidRPr="00D149D6">
              <w:rPr>
                <w:rFonts w:ascii="Book Antiqua" w:hAnsi="Book Antiqua"/>
                <w:b/>
                <w:sz w:val="24"/>
                <w:szCs w:val="24"/>
              </w:rPr>
              <w:t>Assessment</w:t>
            </w:r>
          </w:p>
        </w:tc>
      </w:tr>
      <w:tr w:rsidR="00BD702C" w:rsidRPr="00D149D6" w14:paraId="07E57828" w14:textId="77777777" w:rsidTr="00BD702C">
        <w:tc>
          <w:tcPr>
            <w:tcW w:w="2898" w:type="dxa"/>
          </w:tcPr>
          <w:p w14:paraId="70C28D7D"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Study Design</w:t>
            </w:r>
          </w:p>
        </w:tc>
        <w:tc>
          <w:tcPr>
            <w:tcW w:w="6589" w:type="dxa"/>
          </w:tcPr>
          <w:p w14:paraId="72BAEB65" w14:textId="77777777" w:rsidR="00BD702C" w:rsidRPr="00D149D6" w:rsidRDefault="00BD702C" w:rsidP="00580E1C">
            <w:pPr>
              <w:spacing w:before="60" w:after="60"/>
              <w:rPr>
                <w:rFonts w:ascii="Book Antiqua" w:hAnsi="Book Antiqua"/>
                <w:sz w:val="24"/>
                <w:szCs w:val="24"/>
              </w:rPr>
            </w:pPr>
            <w:bookmarkStart w:id="47" w:name="_Hlk538797"/>
            <w:r w:rsidRPr="00D149D6">
              <w:rPr>
                <w:rFonts w:ascii="Book Antiqua" w:hAnsi="Book Antiqua"/>
                <w:sz w:val="24"/>
                <w:szCs w:val="24"/>
              </w:rPr>
              <w:t xml:space="preserve">Apple Valley Choice Energy (AVCE) </w:t>
            </w:r>
            <w:bookmarkEnd w:id="47"/>
            <w:r w:rsidRPr="00D149D6">
              <w:rPr>
                <w:rFonts w:ascii="Book Antiqua" w:hAnsi="Book Antiqua"/>
                <w:sz w:val="24"/>
                <w:szCs w:val="24"/>
              </w:rPr>
              <w:t>provided an adequate description of modeling tools and approach used to develop its portfolios.</w:t>
            </w:r>
          </w:p>
        </w:tc>
      </w:tr>
      <w:tr w:rsidR="00BD702C" w:rsidRPr="00D149D6" w14:paraId="36B56FE4" w14:textId="77777777" w:rsidTr="00BD702C">
        <w:tc>
          <w:tcPr>
            <w:tcW w:w="2898" w:type="dxa"/>
          </w:tcPr>
          <w:p w14:paraId="093F50C1"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Preferred and Conforming Portfolios</w:t>
            </w:r>
          </w:p>
        </w:tc>
        <w:tc>
          <w:tcPr>
            <w:tcW w:w="6589" w:type="dxa"/>
          </w:tcPr>
          <w:p w14:paraId="5D09B4C2"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AVCE provided a Conforming Portfolio and an Alternative (Preferred) Portfolio showing both existing resources and new resources that </w:t>
            </w:r>
            <w:r w:rsidR="00AB0177">
              <w:rPr>
                <w:rFonts w:ascii="Book Antiqua" w:hAnsi="Book Antiqua"/>
                <w:sz w:val="24"/>
                <w:szCs w:val="24"/>
              </w:rPr>
              <w:t>it</w:t>
            </w:r>
            <w:r w:rsidRPr="00D149D6">
              <w:rPr>
                <w:rFonts w:ascii="Book Antiqua" w:hAnsi="Book Antiqua"/>
                <w:sz w:val="24"/>
                <w:szCs w:val="24"/>
              </w:rPr>
              <w:t xml:space="preserve"> plans to invest in or contract with. </w:t>
            </w:r>
            <w:r w:rsidR="00E21DA5" w:rsidRPr="00D149D6">
              <w:rPr>
                <w:rFonts w:ascii="Book Antiqua" w:hAnsi="Book Antiqua"/>
                <w:sz w:val="24"/>
                <w:szCs w:val="24"/>
              </w:rPr>
              <w:t xml:space="preserve"> </w:t>
            </w:r>
            <w:r w:rsidRPr="00D149D6">
              <w:rPr>
                <w:rFonts w:ascii="Book Antiqua" w:hAnsi="Book Antiqua"/>
                <w:sz w:val="24"/>
                <w:szCs w:val="24"/>
              </w:rPr>
              <w:t xml:space="preserve">It provided an adequate explanation of the reasons for its preference, but it did not explain how its Preferred Portfolio is consistent with each relevant statutory and administrative requirement. </w:t>
            </w:r>
            <w:r w:rsidR="00E21DA5" w:rsidRPr="00D149D6">
              <w:rPr>
                <w:rFonts w:ascii="Book Antiqua" w:hAnsi="Book Antiqua"/>
                <w:sz w:val="24"/>
                <w:szCs w:val="24"/>
              </w:rPr>
              <w:t xml:space="preserve"> </w:t>
            </w:r>
            <w:r w:rsidRPr="00D149D6">
              <w:rPr>
                <w:rFonts w:ascii="Book Antiqua" w:hAnsi="Book Antiqua"/>
                <w:sz w:val="24"/>
                <w:szCs w:val="24"/>
              </w:rPr>
              <w:t>Its portfolios differ by load forecast but otherwise use the same planning assumptions.</w:t>
            </w:r>
          </w:p>
          <w:p w14:paraId="58685C9A"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AVCE’s Conforming Portfolio used an incorrect load forecast for the years 2018, 2022, and 2026, but the load forecast used for year 2030 was correct and met its assigned GHG Benchmark. </w:t>
            </w:r>
            <w:r w:rsidR="00E21DA5" w:rsidRPr="00D149D6">
              <w:rPr>
                <w:rFonts w:ascii="Book Antiqua" w:hAnsi="Book Antiqua"/>
                <w:sz w:val="24"/>
                <w:szCs w:val="24"/>
              </w:rPr>
              <w:t xml:space="preserve"> </w:t>
            </w:r>
            <w:r w:rsidRPr="00D149D6">
              <w:rPr>
                <w:rFonts w:ascii="Book Antiqua" w:hAnsi="Book Antiqua"/>
                <w:sz w:val="24"/>
                <w:szCs w:val="24"/>
              </w:rPr>
              <w:t>AVCE did not explain why its load forecast for pre</w:t>
            </w:r>
            <w:r w:rsidR="00D84A09" w:rsidRPr="00D149D6">
              <w:rPr>
                <w:rFonts w:ascii="Book Antiqua" w:hAnsi="Book Antiqua"/>
                <w:sz w:val="24"/>
                <w:szCs w:val="24"/>
              </w:rPr>
              <w:noBreakHyphen/>
            </w:r>
            <w:r w:rsidRPr="00D149D6">
              <w:rPr>
                <w:rFonts w:ascii="Book Antiqua" w:hAnsi="Book Antiqua"/>
                <w:sz w:val="24"/>
                <w:szCs w:val="24"/>
              </w:rPr>
              <w:t>2030 years deviated from its assigned forecast.</w:t>
            </w:r>
          </w:p>
        </w:tc>
      </w:tr>
      <w:tr w:rsidR="00BD702C" w:rsidRPr="00D149D6" w14:paraId="4F787057" w14:textId="77777777" w:rsidTr="00BD702C">
        <w:tc>
          <w:tcPr>
            <w:tcW w:w="2898" w:type="dxa"/>
          </w:tcPr>
          <w:p w14:paraId="69923F8A"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Local Air Pollutant Minimization</w:t>
            </w:r>
          </w:p>
        </w:tc>
        <w:tc>
          <w:tcPr>
            <w:tcW w:w="6589" w:type="dxa"/>
          </w:tcPr>
          <w:p w14:paraId="2A9C7670" w14:textId="77777777" w:rsidR="00BD702C" w:rsidRPr="00D149D6" w:rsidRDefault="00BD702C" w:rsidP="00580E1C">
            <w:pPr>
              <w:spacing w:before="60" w:after="60"/>
              <w:rPr>
                <w:rFonts w:ascii="Book Antiqua" w:hAnsi="Book Antiqua"/>
                <w:sz w:val="24"/>
                <w:szCs w:val="24"/>
              </w:rPr>
            </w:pPr>
            <w:bookmarkStart w:id="48" w:name="_Hlk536108275"/>
            <w:r w:rsidRPr="00D149D6">
              <w:rPr>
                <w:rFonts w:ascii="Book Antiqua" w:hAnsi="Book Antiqua"/>
                <w:sz w:val="24"/>
                <w:szCs w:val="24"/>
              </w:rPr>
              <w:t xml:space="preserve">AVCE stated that it minimizes localized air pollutants with early priority on disadvantaged communities but did not provide any quantitative evidence to back the claim. </w:t>
            </w:r>
            <w:r w:rsidR="00E21DA5" w:rsidRPr="00D149D6">
              <w:rPr>
                <w:rFonts w:ascii="Book Antiqua" w:hAnsi="Book Antiqua"/>
                <w:sz w:val="24"/>
                <w:szCs w:val="24"/>
              </w:rPr>
              <w:t xml:space="preserve"> </w:t>
            </w:r>
            <w:r w:rsidRPr="00D149D6">
              <w:rPr>
                <w:rFonts w:ascii="Book Antiqua" w:hAnsi="Book Antiqua"/>
                <w:sz w:val="24"/>
                <w:szCs w:val="24"/>
              </w:rPr>
              <w:t xml:space="preserve">No attempt to provide best available estimates of emissions of nitrogen oxides and particulate matter was made. </w:t>
            </w:r>
            <w:r w:rsidR="00E21DA5" w:rsidRPr="00D149D6">
              <w:rPr>
                <w:rFonts w:ascii="Book Antiqua" w:hAnsi="Book Antiqua"/>
                <w:sz w:val="24"/>
                <w:szCs w:val="24"/>
              </w:rPr>
              <w:t xml:space="preserve"> </w:t>
            </w:r>
            <w:r w:rsidRPr="00D149D6">
              <w:rPr>
                <w:rFonts w:ascii="Book Antiqua" w:hAnsi="Book Antiqua"/>
                <w:sz w:val="24"/>
                <w:szCs w:val="24"/>
              </w:rPr>
              <w:t>Identification of disadvantaged communities was adequate.</w:t>
            </w:r>
            <w:bookmarkEnd w:id="48"/>
            <w:r w:rsidRPr="00D149D6">
              <w:rPr>
                <w:rFonts w:ascii="Book Antiqua" w:hAnsi="Book Antiqua"/>
                <w:sz w:val="24"/>
                <w:szCs w:val="24"/>
              </w:rPr>
              <w:t xml:space="preserve"> </w:t>
            </w:r>
          </w:p>
        </w:tc>
      </w:tr>
      <w:tr w:rsidR="00BD702C" w:rsidRPr="00D149D6" w14:paraId="02D28A72" w14:textId="77777777" w:rsidTr="00BD702C">
        <w:tc>
          <w:tcPr>
            <w:tcW w:w="2898" w:type="dxa"/>
          </w:tcPr>
          <w:p w14:paraId="5A7AA8A6"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Cost and Rate Analysis</w:t>
            </w:r>
          </w:p>
        </w:tc>
        <w:tc>
          <w:tcPr>
            <w:tcW w:w="6589" w:type="dxa"/>
          </w:tcPr>
          <w:p w14:paraId="2EA4C97D"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AVCE provided an adequate description of its approach in considering cost and rate impacts on its customers.</w:t>
            </w:r>
          </w:p>
        </w:tc>
      </w:tr>
      <w:tr w:rsidR="00BD702C" w:rsidRPr="00D149D6" w14:paraId="57A63B11" w14:textId="77777777" w:rsidTr="00BD702C">
        <w:tc>
          <w:tcPr>
            <w:tcW w:w="2898" w:type="dxa"/>
          </w:tcPr>
          <w:p w14:paraId="6215D635"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Deviations from Current Resource Plans</w:t>
            </w:r>
          </w:p>
        </w:tc>
        <w:tc>
          <w:tcPr>
            <w:tcW w:w="6589" w:type="dxa"/>
          </w:tcPr>
          <w:p w14:paraId="7AC7A231"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AVCE stated that its LSE plan does not deviate from any currently filed or authorized resource plans. </w:t>
            </w:r>
          </w:p>
        </w:tc>
      </w:tr>
      <w:tr w:rsidR="00BD702C" w:rsidRPr="00D149D6" w14:paraId="3561E628" w14:textId="77777777" w:rsidTr="00BD702C">
        <w:tc>
          <w:tcPr>
            <w:tcW w:w="2898" w:type="dxa"/>
          </w:tcPr>
          <w:p w14:paraId="1F34F264" w14:textId="77777777" w:rsidR="00BD702C" w:rsidRPr="00D149D6" w:rsidRDefault="00BD702C" w:rsidP="00580E1C">
            <w:pPr>
              <w:spacing w:before="60" w:after="60"/>
              <w:rPr>
                <w:rFonts w:ascii="Book Antiqua" w:hAnsi="Book Antiqua"/>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Activities</w:t>
            </w:r>
          </w:p>
        </w:tc>
        <w:tc>
          <w:tcPr>
            <w:tcW w:w="6589" w:type="dxa"/>
          </w:tcPr>
          <w:p w14:paraId="4D43996E"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AVCE did not provide an explicit connection to its Preferred Portfolio findings, but its statements are consistent with its study results.</w:t>
            </w:r>
          </w:p>
        </w:tc>
      </w:tr>
      <w:tr w:rsidR="00BD702C" w:rsidRPr="00D149D6" w14:paraId="37028D09" w14:textId="77777777" w:rsidTr="00BD702C">
        <w:tc>
          <w:tcPr>
            <w:tcW w:w="2898" w:type="dxa"/>
          </w:tcPr>
          <w:p w14:paraId="07C7542B" w14:textId="77777777" w:rsidR="00BD702C" w:rsidRPr="00D149D6" w:rsidRDefault="00BD702C" w:rsidP="00580E1C">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Barrier Analysis</w:t>
            </w:r>
          </w:p>
        </w:tc>
        <w:tc>
          <w:tcPr>
            <w:tcW w:w="6589" w:type="dxa"/>
          </w:tcPr>
          <w:p w14:paraId="04F49B9D"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AVCE provided an adequate description of the market, regulatory, financial, and other barriers associated with its Preferred Portfolio.</w:t>
            </w:r>
          </w:p>
        </w:tc>
      </w:tr>
      <w:tr w:rsidR="00BD702C" w:rsidRPr="00D149D6" w14:paraId="7AA3FCAF" w14:textId="77777777" w:rsidTr="00BD702C">
        <w:tc>
          <w:tcPr>
            <w:tcW w:w="2898" w:type="dxa"/>
          </w:tcPr>
          <w:p w14:paraId="77E9522E" w14:textId="77777777" w:rsidR="00BD702C" w:rsidRPr="00D149D6" w:rsidRDefault="00BD702C" w:rsidP="00580E1C">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Commission Direction</w:t>
            </w:r>
          </w:p>
        </w:tc>
        <w:tc>
          <w:tcPr>
            <w:tcW w:w="6589" w:type="dxa"/>
          </w:tcPr>
          <w:p w14:paraId="4D02AC97"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AVCE did not describe any direction sought from the Commission.</w:t>
            </w:r>
          </w:p>
        </w:tc>
      </w:tr>
      <w:tr w:rsidR="00BD702C" w:rsidRPr="00D149D6" w14:paraId="08B0ED0B" w14:textId="77777777" w:rsidTr="00BD702C">
        <w:tc>
          <w:tcPr>
            <w:tcW w:w="2898" w:type="dxa"/>
          </w:tcPr>
          <w:p w14:paraId="0021D1FE" w14:textId="77777777" w:rsidR="00BD702C" w:rsidRPr="00D149D6" w:rsidRDefault="00BD702C" w:rsidP="00580E1C">
            <w:pPr>
              <w:spacing w:before="60" w:after="60"/>
              <w:rPr>
                <w:rFonts w:ascii="Book Antiqua" w:hAnsi="Book Antiqua"/>
                <w:color w:val="000000"/>
                <w:sz w:val="24"/>
                <w:szCs w:val="24"/>
              </w:rPr>
            </w:pPr>
            <w:r w:rsidRPr="00D149D6">
              <w:rPr>
                <w:rFonts w:ascii="Book Antiqua" w:hAnsi="Book Antiqua"/>
                <w:color w:val="000000"/>
                <w:sz w:val="24"/>
                <w:szCs w:val="24"/>
              </w:rPr>
              <w:t>Lessons Learned</w:t>
            </w:r>
          </w:p>
        </w:tc>
        <w:tc>
          <w:tcPr>
            <w:tcW w:w="6589" w:type="dxa"/>
          </w:tcPr>
          <w:p w14:paraId="2C81C009"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AVCE provided an adequate description of lessons learned.</w:t>
            </w:r>
          </w:p>
        </w:tc>
      </w:tr>
    </w:tbl>
    <w:bookmarkEnd w:id="46"/>
    <w:p w14:paraId="068283B6" w14:textId="77777777" w:rsidR="00BD702C" w:rsidRPr="00AF5CC4" w:rsidRDefault="00BD702C" w:rsidP="00580E1C">
      <w:pPr>
        <w:keepNext/>
        <w:keepLines/>
        <w:spacing w:before="240" w:after="120" w:line="276" w:lineRule="auto"/>
        <w:outlineLvl w:val="3"/>
        <w:rPr>
          <w:rFonts w:ascii="Book Antiqua" w:eastAsiaTheme="majorEastAsia" w:hAnsi="Book Antiqua" w:cstheme="majorBidi"/>
          <w:b/>
          <w:i/>
          <w:iCs/>
          <w:szCs w:val="26"/>
        </w:rPr>
      </w:pPr>
      <w:r w:rsidRPr="00AF5CC4">
        <w:rPr>
          <w:rFonts w:ascii="Book Antiqua" w:eastAsiaTheme="majorEastAsia" w:hAnsi="Book Antiqua" w:cstheme="majorBidi"/>
          <w:b/>
          <w:i/>
          <w:iCs/>
          <w:szCs w:val="26"/>
        </w:rPr>
        <w:t>Next Steps for AVCE</w:t>
      </w:r>
    </w:p>
    <w:p w14:paraId="58037FE2" w14:textId="77777777" w:rsidR="00BD702C" w:rsidRPr="00580E1C" w:rsidRDefault="00BD702C" w:rsidP="00BD702C">
      <w:pPr>
        <w:spacing w:after="200" w:line="276" w:lineRule="auto"/>
        <w:rPr>
          <w:rFonts w:ascii="Book Antiqua" w:hAnsi="Book Antiqua" w:cstheme="minorBidi"/>
          <w:szCs w:val="26"/>
        </w:rPr>
      </w:pPr>
      <w:bookmarkStart w:id="49" w:name="_Hlk534975745"/>
      <w:r w:rsidRPr="00580E1C">
        <w:rPr>
          <w:rFonts w:ascii="Book Antiqua" w:hAnsi="Book Antiqua" w:cstheme="minorBidi"/>
          <w:b/>
          <w:szCs w:val="26"/>
        </w:rPr>
        <w:t>Action required in this IRP 2017</w:t>
      </w:r>
      <w:r w:rsidR="00D84A09" w:rsidRPr="00580E1C">
        <w:rPr>
          <w:rFonts w:ascii="Book Antiqua" w:hAnsi="Book Antiqua" w:cstheme="minorBidi"/>
          <w:b/>
          <w:szCs w:val="26"/>
        </w:rPr>
        <w:noBreakHyphen/>
      </w:r>
      <w:r w:rsidRPr="00580E1C">
        <w:rPr>
          <w:rFonts w:ascii="Book Antiqua" w:hAnsi="Book Antiqua" w:cstheme="minorBidi"/>
          <w:b/>
          <w:szCs w:val="26"/>
        </w:rPr>
        <w:t>18 cycle</w:t>
      </w:r>
      <w:r w:rsidRPr="00580E1C">
        <w:rPr>
          <w:rFonts w:ascii="Book Antiqua" w:hAnsi="Book Antiqua" w:cstheme="minorBidi"/>
          <w:szCs w:val="26"/>
        </w:rPr>
        <w:t xml:space="preserve">: </w:t>
      </w:r>
      <w:r w:rsidR="00DC47F2" w:rsidRPr="00580E1C">
        <w:rPr>
          <w:rFonts w:ascii="Book Antiqua" w:hAnsi="Book Antiqua" w:cstheme="minorBidi"/>
          <w:szCs w:val="26"/>
        </w:rPr>
        <w:t xml:space="preserve"> </w:t>
      </w:r>
      <w:r w:rsidRPr="00580E1C">
        <w:rPr>
          <w:rFonts w:ascii="Book Antiqua" w:hAnsi="Book Antiqua" w:cstheme="minorBidi"/>
          <w:szCs w:val="26"/>
        </w:rPr>
        <w:t>Provide best available estimates of emissions of nitrogen oxides and particulate matter associated with all emitting resources used to serve load, including system power.</w:t>
      </w:r>
      <w:r w:rsidR="00E21DA5" w:rsidRPr="00580E1C">
        <w:rPr>
          <w:rFonts w:ascii="Book Antiqua" w:hAnsi="Book Antiqua" w:cstheme="minorBidi"/>
          <w:szCs w:val="26"/>
        </w:rPr>
        <w:t xml:space="preserve"> </w:t>
      </w:r>
      <w:r w:rsidRPr="00580E1C">
        <w:rPr>
          <w:rFonts w:ascii="Book Antiqua" w:hAnsi="Book Antiqua" w:cstheme="minorBidi"/>
          <w:szCs w:val="26"/>
        </w:rPr>
        <w:t xml:space="preserve"> Refer to pages 19</w:t>
      </w:r>
      <w:r w:rsidR="00D84A09" w:rsidRPr="00580E1C">
        <w:rPr>
          <w:rFonts w:ascii="Book Antiqua" w:hAnsi="Book Antiqua" w:cstheme="minorBidi"/>
          <w:szCs w:val="26"/>
        </w:rPr>
        <w:noBreakHyphen/>
      </w:r>
      <w:r w:rsidRPr="00580E1C">
        <w:rPr>
          <w:rFonts w:ascii="Book Antiqua" w:hAnsi="Book Antiqua" w:cstheme="minorBidi"/>
          <w:szCs w:val="26"/>
        </w:rPr>
        <w:t xml:space="preserve">22 of Desert Community Energy’s IRP filing for </w:t>
      </w:r>
      <w:r w:rsidR="009E6885">
        <w:rPr>
          <w:rFonts w:ascii="Book Antiqua" w:hAnsi="Book Antiqua" w:cstheme="minorBidi"/>
          <w:szCs w:val="26"/>
        </w:rPr>
        <w:t xml:space="preserve">an </w:t>
      </w:r>
      <w:r w:rsidRPr="00580E1C">
        <w:rPr>
          <w:rFonts w:ascii="Book Antiqua" w:hAnsi="Book Antiqua" w:cstheme="minorBidi"/>
          <w:szCs w:val="26"/>
        </w:rPr>
        <w:t xml:space="preserve">example of the type of information a CCA can provide to fulfill this specific filing requirement. </w:t>
      </w:r>
    </w:p>
    <w:p w14:paraId="194DE5BC" w14:textId="77777777" w:rsidR="00BD702C" w:rsidRPr="00580E1C" w:rsidRDefault="00BD702C" w:rsidP="00BD702C">
      <w:pPr>
        <w:spacing w:after="200" w:line="276" w:lineRule="auto"/>
        <w:rPr>
          <w:rFonts w:ascii="Book Antiqua" w:hAnsi="Book Antiqua" w:cstheme="minorBidi"/>
          <w:szCs w:val="26"/>
        </w:rPr>
      </w:pPr>
      <w:bookmarkStart w:id="50" w:name="_Hlk534976053"/>
      <w:r w:rsidRPr="00580E1C">
        <w:rPr>
          <w:rFonts w:ascii="Book Antiqua" w:hAnsi="Book Antiqua" w:cstheme="minorBidi"/>
          <w:b/>
          <w:szCs w:val="26"/>
        </w:rPr>
        <w:t>Guidance for LSE Plan development in the next IRP cycle</w:t>
      </w:r>
      <w:r w:rsidRPr="00580E1C">
        <w:rPr>
          <w:rFonts w:ascii="Book Antiqua" w:hAnsi="Book Antiqua" w:cstheme="minorBidi"/>
          <w:szCs w:val="26"/>
        </w:rPr>
        <w:t>:</w:t>
      </w:r>
    </w:p>
    <w:p w14:paraId="5C730E99" w14:textId="77777777" w:rsidR="00BD702C" w:rsidRPr="00580E1C" w:rsidRDefault="00BD702C" w:rsidP="00894BE0">
      <w:pPr>
        <w:numPr>
          <w:ilvl w:val="0"/>
          <w:numId w:val="16"/>
        </w:numPr>
        <w:spacing w:after="200" w:line="276" w:lineRule="auto"/>
        <w:rPr>
          <w:rFonts w:ascii="Book Antiqua" w:hAnsi="Book Antiqua"/>
          <w:szCs w:val="26"/>
        </w:rPr>
      </w:pPr>
      <w:r w:rsidRPr="00580E1C">
        <w:rPr>
          <w:rFonts w:ascii="Book Antiqua" w:hAnsi="Book Antiqua"/>
          <w:szCs w:val="26"/>
        </w:rPr>
        <w:t>Use the correct assigned load forecast when developing the Conforming Portfolio.</w:t>
      </w:r>
    </w:p>
    <w:p w14:paraId="4503F15A" w14:textId="77777777" w:rsidR="003038F3" w:rsidRPr="00580E1C" w:rsidRDefault="00BD702C" w:rsidP="00580E1C">
      <w:pPr>
        <w:numPr>
          <w:ilvl w:val="0"/>
          <w:numId w:val="16"/>
        </w:numPr>
        <w:spacing w:before="240" w:after="120" w:line="276" w:lineRule="auto"/>
        <w:outlineLvl w:val="2"/>
        <w:rPr>
          <w:rFonts w:ascii="Book Antiqua" w:eastAsiaTheme="majorEastAsia" w:hAnsi="Book Antiqua" w:cstheme="majorBidi"/>
          <w:color w:val="243F60" w:themeColor="accent1" w:themeShade="7F"/>
          <w:szCs w:val="26"/>
        </w:rPr>
      </w:pPr>
      <w:r w:rsidRPr="00580E1C">
        <w:rPr>
          <w:rFonts w:ascii="Book Antiqua" w:hAnsi="Book Antiqua"/>
          <w:szCs w:val="26"/>
        </w:rPr>
        <w:t>Draw clearer connections between proposed near</w:t>
      </w:r>
      <w:r w:rsidR="00D84A09" w:rsidRPr="00580E1C">
        <w:rPr>
          <w:rFonts w:ascii="Book Antiqua" w:hAnsi="Book Antiqua"/>
          <w:szCs w:val="26"/>
        </w:rPr>
        <w:noBreakHyphen/>
      </w:r>
      <w:r w:rsidRPr="00580E1C">
        <w:rPr>
          <w:rFonts w:ascii="Book Antiqua" w:hAnsi="Book Antiqua"/>
          <w:szCs w:val="26"/>
        </w:rPr>
        <w:t>term activities and the portfolio study result</w:t>
      </w:r>
      <w:r w:rsidR="00313EFF" w:rsidRPr="00580E1C">
        <w:rPr>
          <w:rFonts w:ascii="Book Antiqua" w:hAnsi="Book Antiqua"/>
          <w:szCs w:val="26"/>
        </w:rPr>
        <w:t>.</w:t>
      </w:r>
      <w:bookmarkStart w:id="51" w:name="_Toc868758"/>
      <w:bookmarkEnd w:id="49"/>
      <w:bookmarkEnd w:id="50"/>
    </w:p>
    <w:p w14:paraId="434EE781" w14:textId="77777777" w:rsidR="00BD702C" w:rsidRPr="00580E1C" w:rsidRDefault="00BD702C" w:rsidP="00313EFF">
      <w:pPr>
        <w:keepNext/>
        <w:keepLines/>
        <w:spacing w:before="240" w:after="120" w:line="276" w:lineRule="auto"/>
        <w:outlineLvl w:val="2"/>
        <w:rPr>
          <w:rFonts w:ascii="Book Antiqua" w:eastAsiaTheme="majorEastAsia" w:hAnsi="Book Antiqua" w:cstheme="majorBidi"/>
          <w:b/>
          <w:szCs w:val="26"/>
        </w:rPr>
      </w:pPr>
      <w:r w:rsidRPr="00580E1C">
        <w:rPr>
          <w:rFonts w:ascii="Book Antiqua" w:eastAsiaTheme="majorEastAsia" w:hAnsi="Book Antiqua" w:cstheme="majorBidi"/>
          <w:b/>
          <w:szCs w:val="26"/>
        </w:rPr>
        <w:t>Calpine Energy Solutions, LLC</w:t>
      </w:r>
      <w:bookmarkEnd w:id="51"/>
    </w:p>
    <w:tbl>
      <w:tblPr>
        <w:tblStyle w:val="TableGrid3"/>
        <w:tblW w:w="0" w:type="auto"/>
        <w:tblLook w:val="04A0" w:firstRow="1" w:lastRow="0" w:firstColumn="1" w:lastColumn="0" w:noHBand="0" w:noVBand="1"/>
      </w:tblPr>
      <w:tblGrid>
        <w:gridCol w:w="2898"/>
        <w:gridCol w:w="6589"/>
      </w:tblGrid>
      <w:tr w:rsidR="00BD702C" w:rsidRPr="00D149D6" w14:paraId="6D325005" w14:textId="77777777" w:rsidTr="00BD702C">
        <w:tc>
          <w:tcPr>
            <w:tcW w:w="2898" w:type="dxa"/>
          </w:tcPr>
          <w:p w14:paraId="45142996" w14:textId="77777777" w:rsidR="00BD702C" w:rsidRPr="00D149D6" w:rsidRDefault="00BD702C" w:rsidP="00580E1C">
            <w:pPr>
              <w:spacing w:before="60" w:after="60"/>
              <w:jc w:val="center"/>
              <w:rPr>
                <w:rFonts w:ascii="Book Antiqua" w:hAnsi="Book Antiqua"/>
                <w:b/>
                <w:sz w:val="24"/>
                <w:szCs w:val="24"/>
              </w:rPr>
            </w:pPr>
            <w:r w:rsidRPr="00D149D6">
              <w:rPr>
                <w:rFonts w:ascii="Book Antiqua" w:hAnsi="Book Antiqua"/>
                <w:b/>
                <w:sz w:val="24"/>
                <w:szCs w:val="24"/>
              </w:rPr>
              <w:t>Requirement</w:t>
            </w:r>
          </w:p>
        </w:tc>
        <w:tc>
          <w:tcPr>
            <w:tcW w:w="6589" w:type="dxa"/>
          </w:tcPr>
          <w:p w14:paraId="318C44A6" w14:textId="77777777" w:rsidR="00BD702C" w:rsidRPr="00D149D6" w:rsidRDefault="00BD702C" w:rsidP="00580E1C">
            <w:pPr>
              <w:spacing w:before="60" w:after="60"/>
              <w:jc w:val="center"/>
              <w:rPr>
                <w:rFonts w:ascii="Book Antiqua" w:hAnsi="Book Antiqua"/>
                <w:b/>
                <w:sz w:val="24"/>
                <w:szCs w:val="24"/>
              </w:rPr>
            </w:pPr>
            <w:r w:rsidRPr="00D149D6">
              <w:rPr>
                <w:rFonts w:ascii="Book Antiqua" w:hAnsi="Book Antiqua"/>
                <w:b/>
                <w:sz w:val="24"/>
                <w:szCs w:val="24"/>
              </w:rPr>
              <w:t>Assessment</w:t>
            </w:r>
          </w:p>
        </w:tc>
      </w:tr>
      <w:tr w:rsidR="00BD702C" w:rsidRPr="00D149D6" w14:paraId="34DF58D0" w14:textId="77777777" w:rsidTr="00BD702C">
        <w:tc>
          <w:tcPr>
            <w:tcW w:w="2898" w:type="dxa"/>
          </w:tcPr>
          <w:p w14:paraId="3E34C71A"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Study Design</w:t>
            </w:r>
          </w:p>
        </w:tc>
        <w:tc>
          <w:tcPr>
            <w:tcW w:w="6589" w:type="dxa"/>
          </w:tcPr>
          <w:p w14:paraId="09C710E2"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Energy Solutions, LLC (Calpine Solutions) provided an adequate description of modeling tools and approach used to develop its portfolios.</w:t>
            </w:r>
          </w:p>
        </w:tc>
      </w:tr>
      <w:tr w:rsidR="00BD702C" w:rsidRPr="00D149D6" w14:paraId="7FF3165A" w14:textId="77777777" w:rsidTr="00BD702C">
        <w:tc>
          <w:tcPr>
            <w:tcW w:w="2898" w:type="dxa"/>
          </w:tcPr>
          <w:p w14:paraId="775EEB91"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Preferred and Conforming Portfolios</w:t>
            </w:r>
          </w:p>
        </w:tc>
        <w:tc>
          <w:tcPr>
            <w:tcW w:w="6589" w:type="dxa"/>
          </w:tcPr>
          <w:p w14:paraId="0F8008DF"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Calpine Solutions provided a Conforming Portfolio and an Alternative (Preferred) Portfolio showing both existing resources and new resources that </w:t>
            </w:r>
            <w:r w:rsidR="00AB0177">
              <w:rPr>
                <w:rFonts w:ascii="Book Antiqua" w:hAnsi="Book Antiqua"/>
                <w:sz w:val="24"/>
                <w:szCs w:val="24"/>
              </w:rPr>
              <w:t xml:space="preserve">it </w:t>
            </w:r>
            <w:r w:rsidRPr="00D149D6">
              <w:rPr>
                <w:rFonts w:ascii="Book Antiqua" w:hAnsi="Book Antiqua"/>
                <w:sz w:val="24"/>
                <w:szCs w:val="24"/>
              </w:rPr>
              <w:t>plans to invest in or contract with.</w:t>
            </w:r>
            <w:r w:rsidR="00E21DA5" w:rsidRPr="00D149D6">
              <w:rPr>
                <w:rFonts w:ascii="Book Antiqua" w:hAnsi="Book Antiqua"/>
                <w:sz w:val="24"/>
                <w:szCs w:val="24"/>
              </w:rPr>
              <w:t xml:space="preserve"> </w:t>
            </w:r>
            <w:r w:rsidRPr="00D149D6">
              <w:rPr>
                <w:rFonts w:ascii="Book Antiqua" w:hAnsi="Book Antiqua"/>
                <w:sz w:val="24"/>
                <w:szCs w:val="24"/>
              </w:rPr>
              <w:t xml:space="preserve"> It provided an adequate explanation of the reasons for its preference; however, it did not explain how its Preferred Portfolio is consistent with each relevant statutory and administrative requirement.</w:t>
            </w:r>
          </w:p>
          <w:p w14:paraId="3DE11BC4"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Solutions calculated its LSE</w:t>
            </w:r>
            <w:r w:rsidR="00D84A09" w:rsidRPr="00D149D6">
              <w:rPr>
                <w:rFonts w:ascii="Book Antiqua" w:hAnsi="Book Antiqua"/>
                <w:sz w:val="24"/>
                <w:szCs w:val="24"/>
              </w:rPr>
              <w:noBreakHyphen/>
            </w:r>
            <w:r w:rsidRPr="00D149D6">
              <w:rPr>
                <w:rFonts w:ascii="Book Antiqua" w:hAnsi="Book Antiqua"/>
                <w:sz w:val="24"/>
                <w:szCs w:val="24"/>
              </w:rPr>
              <w:t>specific GHG Benchmark using incorrect direct access 2030 load estimates for each IOU service territory, resulting in a benchmark that is approximately 7% lower (more stringent) than its actual benchmark.</w:t>
            </w:r>
            <w:r w:rsidR="00E21DA5" w:rsidRPr="00D149D6">
              <w:rPr>
                <w:rFonts w:ascii="Book Antiqua" w:hAnsi="Book Antiqua"/>
                <w:sz w:val="24"/>
                <w:szCs w:val="24"/>
              </w:rPr>
              <w:t xml:space="preserve"> </w:t>
            </w:r>
            <w:r w:rsidRPr="00D149D6">
              <w:rPr>
                <w:rFonts w:ascii="Book Antiqua" w:hAnsi="Book Antiqua"/>
                <w:sz w:val="24"/>
                <w:szCs w:val="24"/>
              </w:rPr>
              <w:t xml:space="preserve"> Nevertheless, both its Conforming and Preferred Portfolios achieve the 2030 GHG Benchmark.</w:t>
            </w:r>
          </w:p>
        </w:tc>
      </w:tr>
      <w:tr w:rsidR="00BD702C" w:rsidRPr="00D149D6" w14:paraId="4F38B26A" w14:textId="77777777" w:rsidTr="00BD702C">
        <w:tc>
          <w:tcPr>
            <w:tcW w:w="2898" w:type="dxa"/>
          </w:tcPr>
          <w:p w14:paraId="2BAD66F8"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Local Air Pollutant Minimization</w:t>
            </w:r>
          </w:p>
        </w:tc>
        <w:tc>
          <w:tcPr>
            <w:tcW w:w="6589" w:type="dxa"/>
          </w:tcPr>
          <w:p w14:paraId="3653FDB4" w14:textId="77777777" w:rsidR="00BD702C" w:rsidRPr="00D149D6" w:rsidRDefault="00BD702C" w:rsidP="00580E1C">
            <w:pPr>
              <w:spacing w:before="60" w:after="60"/>
              <w:rPr>
                <w:rFonts w:ascii="Book Antiqua" w:hAnsi="Book Antiqua"/>
                <w:sz w:val="24"/>
                <w:szCs w:val="24"/>
              </w:rPr>
            </w:pPr>
            <w:bookmarkStart w:id="52" w:name="_Hlk536110779"/>
            <w:r w:rsidRPr="00D149D6">
              <w:rPr>
                <w:rFonts w:ascii="Book Antiqua" w:hAnsi="Book Antiqua"/>
                <w:sz w:val="24"/>
                <w:szCs w:val="24"/>
              </w:rPr>
              <w:t xml:space="preserve">Calpine Solutions provided exemplary estimates of emissions of nitrogen oxides and particulate matter. </w:t>
            </w:r>
            <w:r w:rsidR="00E21DA5" w:rsidRPr="00D149D6">
              <w:rPr>
                <w:rFonts w:ascii="Book Antiqua" w:hAnsi="Book Antiqua"/>
                <w:sz w:val="24"/>
                <w:szCs w:val="24"/>
              </w:rPr>
              <w:t xml:space="preserve"> </w:t>
            </w:r>
            <w:r w:rsidRPr="00D149D6">
              <w:rPr>
                <w:rFonts w:ascii="Book Antiqua" w:hAnsi="Book Antiqua"/>
                <w:sz w:val="24"/>
                <w:szCs w:val="24"/>
              </w:rPr>
              <w:t>Identification of disadvantaged communities and emissions impact on them was adequate.</w:t>
            </w:r>
            <w:bookmarkEnd w:id="52"/>
          </w:p>
        </w:tc>
      </w:tr>
      <w:tr w:rsidR="00BD702C" w:rsidRPr="00D149D6" w14:paraId="6DEAF630" w14:textId="77777777" w:rsidTr="00BD702C">
        <w:tc>
          <w:tcPr>
            <w:tcW w:w="2898" w:type="dxa"/>
          </w:tcPr>
          <w:p w14:paraId="4D21660C"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Cost and Rate Analysis</w:t>
            </w:r>
          </w:p>
        </w:tc>
        <w:tc>
          <w:tcPr>
            <w:tcW w:w="6589" w:type="dxa"/>
          </w:tcPr>
          <w:p w14:paraId="1554B686"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Solutions provided an adequate description of its approach in considering cost and rate impacts on its customers.</w:t>
            </w:r>
          </w:p>
        </w:tc>
      </w:tr>
      <w:tr w:rsidR="00BD702C" w:rsidRPr="00D149D6" w14:paraId="545605C6" w14:textId="77777777" w:rsidTr="00BD702C">
        <w:tc>
          <w:tcPr>
            <w:tcW w:w="2898" w:type="dxa"/>
          </w:tcPr>
          <w:p w14:paraId="69F38286"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Deviations from Current Resource Plans</w:t>
            </w:r>
          </w:p>
        </w:tc>
        <w:tc>
          <w:tcPr>
            <w:tcW w:w="6589" w:type="dxa"/>
          </w:tcPr>
          <w:p w14:paraId="3DE34EE2"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Solutions marked this section as not applicable, stating that it has not filed any other resource plans.</w:t>
            </w:r>
          </w:p>
        </w:tc>
      </w:tr>
      <w:tr w:rsidR="00BD702C" w:rsidRPr="00D149D6" w14:paraId="18E4A336" w14:textId="77777777" w:rsidTr="00BD702C">
        <w:tc>
          <w:tcPr>
            <w:tcW w:w="2898" w:type="dxa"/>
          </w:tcPr>
          <w:p w14:paraId="03285653" w14:textId="77777777" w:rsidR="00BD702C" w:rsidRPr="00D149D6" w:rsidRDefault="00BD702C" w:rsidP="00580E1C">
            <w:pPr>
              <w:spacing w:before="60" w:after="60"/>
              <w:rPr>
                <w:rFonts w:ascii="Book Antiqua" w:hAnsi="Book Antiqua"/>
                <w:sz w:val="24"/>
                <w:szCs w:val="24"/>
              </w:rPr>
            </w:pPr>
            <w:bookmarkStart w:id="53" w:name="_Hlk534203576"/>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Activities</w:t>
            </w:r>
          </w:p>
        </w:tc>
        <w:tc>
          <w:tcPr>
            <w:tcW w:w="6589" w:type="dxa"/>
          </w:tcPr>
          <w:p w14:paraId="3D845604"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Solutions provided an adequate description of its proposed near</w:t>
            </w:r>
            <w:r w:rsidR="00D84A09" w:rsidRPr="00D149D6">
              <w:rPr>
                <w:rFonts w:ascii="Book Antiqua" w:hAnsi="Book Antiqua"/>
                <w:sz w:val="24"/>
                <w:szCs w:val="24"/>
              </w:rPr>
              <w:noBreakHyphen/>
            </w:r>
            <w:r w:rsidRPr="00D149D6">
              <w:rPr>
                <w:rFonts w:ascii="Book Antiqua" w:hAnsi="Book Antiqua"/>
                <w:sz w:val="24"/>
                <w:szCs w:val="24"/>
              </w:rPr>
              <w:t>term activities to implement its LSE Plan along with links to its Preferred Portfolio study results.</w:t>
            </w:r>
          </w:p>
        </w:tc>
      </w:tr>
      <w:tr w:rsidR="00BD702C" w:rsidRPr="00D149D6" w14:paraId="745E6060" w14:textId="77777777" w:rsidTr="00BD702C">
        <w:tc>
          <w:tcPr>
            <w:tcW w:w="2898" w:type="dxa"/>
          </w:tcPr>
          <w:p w14:paraId="16560B3D" w14:textId="77777777" w:rsidR="00BD702C" w:rsidRPr="00D149D6" w:rsidRDefault="00BD702C" w:rsidP="00580E1C">
            <w:pPr>
              <w:spacing w:before="60" w:after="60"/>
              <w:rPr>
                <w:rFonts w:ascii="Book Antiqua" w:hAnsi="Book Antiqua"/>
                <w:color w:val="000000"/>
                <w:sz w:val="24"/>
                <w:szCs w:val="24"/>
              </w:rPr>
            </w:pPr>
            <w:bookmarkStart w:id="54" w:name="_Hlk534203604"/>
            <w:bookmarkEnd w:id="53"/>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Barrier Analysis</w:t>
            </w:r>
          </w:p>
        </w:tc>
        <w:tc>
          <w:tcPr>
            <w:tcW w:w="6589" w:type="dxa"/>
          </w:tcPr>
          <w:p w14:paraId="7DF9D49C"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Solutions did not describe any market, regulatory, financial, or other barriers or risks associated with its Preferred Portfolio.</w:t>
            </w:r>
          </w:p>
        </w:tc>
      </w:tr>
      <w:tr w:rsidR="00BD702C" w:rsidRPr="00D149D6" w14:paraId="27DAB193" w14:textId="77777777" w:rsidTr="00BD702C">
        <w:tc>
          <w:tcPr>
            <w:tcW w:w="2898" w:type="dxa"/>
          </w:tcPr>
          <w:p w14:paraId="63A43EE1" w14:textId="77777777" w:rsidR="00BD702C" w:rsidRPr="00D149D6" w:rsidRDefault="00BD702C" w:rsidP="00580E1C">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Commission Direction</w:t>
            </w:r>
          </w:p>
        </w:tc>
        <w:tc>
          <w:tcPr>
            <w:tcW w:w="6589" w:type="dxa"/>
          </w:tcPr>
          <w:p w14:paraId="2F0D2F42"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Solutions stated that it is not seeking any Commission direction at this time.</w:t>
            </w:r>
          </w:p>
        </w:tc>
      </w:tr>
      <w:bookmarkEnd w:id="54"/>
      <w:tr w:rsidR="00BD702C" w:rsidRPr="00D149D6" w14:paraId="198AF322" w14:textId="77777777" w:rsidTr="00BD702C">
        <w:tc>
          <w:tcPr>
            <w:tcW w:w="2898" w:type="dxa"/>
          </w:tcPr>
          <w:p w14:paraId="0BDB0988" w14:textId="77777777" w:rsidR="00BD702C" w:rsidRPr="00D149D6" w:rsidRDefault="00BD702C" w:rsidP="00580E1C">
            <w:pPr>
              <w:spacing w:before="60" w:after="60"/>
              <w:rPr>
                <w:rFonts w:ascii="Book Antiqua" w:hAnsi="Book Antiqua"/>
                <w:color w:val="000000"/>
                <w:sz w:val="24"/>
                <w:szCs w:val="24"/>
              </w:rPr>
            </w:pPr>
            <w:r w:rsidRPr="00D149D6">
              <w:rPr>
                <w:rFonts w:ascii="Book Antiqua" w:hAnsi="Book Antiqua"/>
                <w:color w:val="000000"/>
                <w:sz w:val="24"/>
                <w:szCs w:val="24"/>
              </w:rPr>
              <w:t>Lessons Learned</w:t>
            </w:r>
          </w:p>
        </w:tc>
        <w:tc>
          <w:tcPr>
            <w:tcW w:w="6589" w:type="dxa"/>
          </w:tcPr>
          <w:p w14:paraId="6D095190"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Solutions provided an adequate description of lessons learned.</w:t>
            </w:r>
          </w:p>
        </w:tc>
      </w:tr>
    </w:tbl>
    <w:p w14:paraId="029E0F89" w14:textId="77777777" w:rsidR="00BD702C" w:rsidRPr="00AF5CC4" w:rsidRDefault="00BD702C" w:rsidP="00580E1C">
      <w:pPr>
        <w:keepNext/>
        <w:keepLines/>
        <w:spacing w:before="240" w:after="120" w:line="276" w:lineRule="auto"/>
        <w:outlineLvl w:val="3"/>
        <w:rPr>
          <w:rFonts w:ascii="Book Antiqua" w:eastAsiaTheme="majorEastAsia" w:hAnsi="Book Antiqua" w:cstheme="majorBidi"/>
          <w:b/>
          <w:i/>
          <w:iCs/>
          <w:szCs w:val="26"/>
        </w:rPr>
      </w:pPr>
      <w:r w:rsidRPr="00AF5CC4">
        <w:rPr>
          <w:rFonts w:ascii="Book Antiqua" w:eastAsiaTheme="majorEastAsia" w:hAnsi="Book Antiqua" w:cstheme="majorBidi"/>
          <w:b/>
          <w:i/>
          <w:iCs/>
          <w:szCs w:val="26"/>
        </w:rPr>
        <w:t>Next Steps for Calpine Solutions</w:t>
      </w:r>
    </w:p>
    <w:p w14:paraId="04C6A662" w14:textId="77777777" w:rsidR="00BD702C" w:rsidRPr="00580E1C" w:rsidRDefault="00BD702C" w:rsidP="00BD702C">
      <w:pPr>
        <w:spacing w:after="200" w:line="276" w:lineRule="auto"/>
        <w:rPr>
          <w:rFonts w:ascii="Book Antiqua" w:hAnsi="Book Antiqua" w:cstheme="minorBidi"/>
          <w:szCs w:val="26"/>
        </w:rPr>
      </w:pPr>
      <w:r w:rsidRPr="00580E1C">
        <w:rPr>
          <w:rFonts w:ascii="Book Antiqua" w:hAnsi="Book Antiqua" w:cstheme="minorBidi"/>
          <w:b/>
          <w:szCs w:val="26"/>
        </w:rPr>
        <w:t>Action required in this IRP 2017</w:t>
      </w:r>
      <w:r w:rsidR="00D84A09" w:rsidRPr="00580E1C">
        <w:rPr>
          <w:rFonts w:ascii="Book Antiqua" w:hAnsi="Book Antiqua" w:cstheme="minorBidi"/>
          <w:b/>
          <w:szCs w:val="26"/>
        </w:rPr>
        <w:noBreakHyphen/>
      </w:r>
      <w:r w:rsidRPr="00580E1C">
        <w:rPr>
          <w:rFonts w:ascii="Book Antiqua" w:hAnsi="Book Antiqua" w:cstheme="minorBidi"/>
          <w:b/>
          <w:szCs w:val="26"/>
        </w:rPr>
        <w:t>18 cycle</w:t>
      </w:r>
      <w:r w:rsidRPr="00580E1C">
        <w:rPr>
          <w:rFonts w:ascii="Book Antiqua" w:hAnsi="Book Antiqua" w:cstheme="minorBidi"/>
          <w:szCs w:val="26"/>
        </w:rPr>
        <w:t xml:space="preserve">: </w:t>
      </w:r>
      <w:r w:rsidR="00DC47F2" w:rsidRPr="00580E1C">
        <w:rPr>
          <w:rFonts w:ascii="Book Antiqua" w:hAnsi="Book Antiqua" w:cstheme="minorBidi"/>
          <w:szCs w:val="26"/>
        </w:rPr>
        <w:t xml:space="preserve"> </w:t>
      </w:r>
      <w:r w:rsidRPr="00580E1C">
        <w:rPr>
          <w:rFonts w:ascii="Book Antiqua" w:hAnsi="Book Antiqua" w:cstheme="minorBidi"/>
          <w:szCs w:val="26"/>
        </w:rPr>
        <w:t>None at this time.</w:t>
      </w:r>
    </w:p>
    <w:p w14:paraId="53E9A624" w14:textId="77777777" w:rsidR="00BD702C" w:rsidRPr="00580E1C" w:rsidRDefault="00BD702C" w:rsidP="00BD702C">
      <w:pPr>
        <w:spacing w:after="200" w:line="276" w:lineRule="auto"/>
        <w:rPr>
          <w:rFonts w:ascii="Book Antiqua" w:hAnsi="Book Antiqua" w:cstheme="minorBidi"/>
          <w:szCs w:val="26"/>
        </w:rPr>
      </w:pPr>
      <w:r w:rsidRPr="00580E1C">
        <w:rPr>
          <w:rFonts w:ascii="Book Antiqua" w:hAnsi="Book Antiqua" w:cstheme="minorBidi"/>
          <w:b/>
          <w:szCs w:val="26"/>
        </w:rPr>
        <w:t>Guidance for LSE Plan development in the next IRP cycle</w:t>
      </w:r>
      <w:r w:rsidRPr="00580E1C">
        <w:rPr>
          <w:rFonts w:ascii="Book Antiqua" w:hAnsi="Book Antiqua" w:cstheme="minorBidi"/>
          <w:szCs w:val="26"/>
        </w:rPr>
        <w:t>:</w:t>
      </w:r>
    </w:p>
    <w:p w14:paraId="459787D0" w14:textId="77777777" w:rsidR="00BD702C" w:rsidRPr="00580E1C" w:rsidRDefault="00BD702C" w:rsidP="00894BE0">
      <w:pPr>
        <w:numPr>
          <w:ilvl w:val="0"/>
          <w:numId w:val="16"/>
        </w:numPr>
        <w:spacing w:after="200" w:line="276" w:lineRule="auto"/>
        <w:rPr>
          <w:rFonts w:ascii="Book Antiqua" w:hAnsi="Book Antiqua"/>
          <w:szCs w:val="26"/>
        </w:rPr>
      </w:pPr>
      <w:bookmarkStart w:id="55" w:name="_Hlk534982171"/>
      <w:bookmarkStart w:id="56" w:name="_Hlk534976576"/>
      <w:r w:rsidRPr="00580E1C">
        <w:rPr>
          <w:rFonts w:ascii="Book Antiqua" w:hAnsi="Book Antiqua"/>
          <w:szCs w:val="26"/>
        </w:rPr>
        <w:t>Use the correct methodology and values when calculating the LSE</w:t>
      </w:r>
      <w:r w:rsidR="00D84A09" w:rsidRPr="00580E1C">
        <w:rPr>
          <w:rFonts w:ascii="Book Antiqua" w:hAnsi="Book Antiqua"/>
          <w:szCs w:val="26"/>
        </w:rPr>
        <w:noBreakHyphen/>
      </w:r>
      <w:r w:rsidRPr="00580E1C">
        <w:rPr>
          <w:rFonts w:ascii="Book Antiqua" w:hAnsi="Book Antiqua"/>
          <w:szCs w:val="26"/>
        </w:rPr>
        <w:t>specific 2030 GHG Benchmark.</w:t>
      </w:r>
    </w:p>
    <w:bookmarkEnd w:id="55"/>
    <w:p w14:paraId="614211D3" w14:textId="77777777" w:rsidR="00BD702C" w:rsidRPr="00580E1C" w:rsidRDefault="00BD702C" w:rsidP="00894BE0">
      <w:pPr>
        <w:numPr>
          <w:ilvl w:val="0"/>
          <w:numId w:val="16"/>
        </w:numPr>
        <w:spacing w:after="200" w:line="276" w:lineRule="auto"/>
        <w:rPr>
          <w:rFonts w:ascii="Book Antiqua" w:hAnsi="Book Antiqua"/>
          <w:szCs w:val="26"/>
        </w:rPr>
      </w:pPr>
      <w:r w:rsidRPr="00580E1C">
        <w:rPr>
          <w:rFonts w:ascii="Book Antiqua" w:hAnsi="Book Antiqua"/>
          <w:szCs w:val="26"/>
        </w:rPr>
        <w:t xml:space="preserve">Complete the Barrier Analysis section (or its equivalent) so that the </w:t>
      </w:r>
      <w:r w:rsidR="00C31396" w:rsidRPr="00580E1C">
        <w:rPr>
          <w:rFonts w:ascii="Book Antiqua" w:hAnsi="Book Antiqua"/>
          <w:szCs w:val="26"/>
        </w:rPr>
        <w:t>Commission</w:t>
      </w:r>
      <w:r w:rsidRPr="00580E1C">
        <w:rPr>
          <w:rFonts w:ascii="Book Antiqua" w:hAnsi="Book Antiqua"/>
          <w:szCs w:val="26"/>
        </w:rPr>
        <w:t xml:space="preserve"> may evaluate the LSE’s consideration of market, regulatory, financial, and other barriers or risks associated with the LSE’s Preferred Portfolio.</w:t>
      </w:r>
    </w:p>
    <w:p w14:paraId="3EB2AEA2" w14:textId="77777777" w:rsidR="00BD702C" w:rsidRPr="00580E1C" w:rsidRDefault="00BD702C" w:rsidP="00BD702C">
      <w:pPr>
        <w:keepNext/>
        <w:keepLines/>
        <w:spacing w:before="240" w:after="120" w:line="276" w:lineRule="auto"/>
        <w:outlineLvl w:val="2"/>
        <w:rPr>
          <w:rFonts w:ascii="Book Antiqua" w:eastAsiaTheme="majorEastAsia" w:hAnsi="Book Antiqua" w:cstheme="majorBidi"/>
          <w:b/>
          <w:szCs w:val="26"/>
        </w:rPr>
      </w:pPr>
      <w:bookmarkStart w:id="57" w:name="_Toc868759"/>
      <w:bookmarkEnd w:id="56"/>
      <w:r w:rsidRPr="00580E1C">
        <w:rPr>
          <w:rFonts w:ascii="Book Antiqua" w:eastAsiaTheme="majorEastAsia" w:hAnsi="Book Antiqua" w:cstheme="majorBidi"/>
          <w:b/>
          <w:szCs w:val="26"/>
        </w:rPr>
        <w:t>Calpine PowerAmerica</w:t>
      </w:r>
      <w:r w:rsidR="00D84A09" w:rsidRPr="00580E1C">
        <w:rPr>
          <w:rFonts w:ascii="Book Antiqua" w:eastAsiaTheme="majorEastAsia" w:hAnsi="Book Antiqua" w:cstheme="majorBidi"/>
          <w:b/>
          <w:szCs w:val="26"/>
        </w:rPr>
        <w:noBreakHyphen/>
      </w:r>
      <w:r w:rsidRPr="00580E1C">
        <w:rPr>
          <w:rFonts w:ascii="Book Antiqua" w:eastAsiaTheme="majorEastAsia" w:hAnsi="Book Antiqua" w:cstheme="majorBidi"/>
          <w:b/>
          <w:szCs w:val="26"/>
        </w:rPr>
        <w:t>CA, LLC</w:t>
      </w:r>
      <w:bookmarkEnd w:id="57"/>
    </w:p>
    <w:tbl>
      <w:tblPr>
        <w:tblStyle w:val="TableGrid3"/>
        <w:tblW w:w="0" w:type="auto"/>
        <w:tblLook w:val="04A0" w:firstRow="1" w:lastRow="0" w:firstColumn="1" w:lastColumn="0" w:noHBand="0" w:noVBand="1"/>
      </w:tblPr>
      <w:tblGrid>
        <w:gridCol w:w="2898"/>
        <w:gridCol w:w="6589"/>
      </w:tblGrid>
      <w:tr w:rsidR="00BD702C" w:rsidRPr="00D149D6" w14:paraId="022D1FCD" w14:textId="77777777" w:rsidTr="00BD702C">
        <w:tc>
          <w:tcPr>
            <w:tcW w:w="2898" w:type="dxa"/>
          </w:tcPr>
          <w:p w14:paraId="67E254AA" w14:textId="77777777" w:rsidR="00BD702C" w:rsidRPr="00D149D6" w:rsidRDefault="00BD702C" w:rsidP="00580E1C">
            <w:pPr>
              <w:spacing w:before="60" w:after="60"/>
              <w:jc w:val="center"/>
              <w:rPr>
                <w:rFonts w:ascii="Book Antiqua" w:hAnsi="Book Antiqua"/>
                <w:b/>
                <w:sz w:val="24"/>
                <w:szCs w:val="24"/>
              </w:rPr>
            </w:pPr>
            <w:r w:rsidRPr="00D149D6">
              <w:rPr>
                <w:rFonts w:ascii="Book Antiqua" w:hAnsi="Book Antiqua"/>
                <w:b/>
                <w:sz w:val="24"/>
                <w:szCs w:val="24"/>
              </w:rPr>
              <w:t>Requirement</w:t>
            </w:r>
          </w:p>
        </w:tc>
        <w:tc>
          <w:tcPr>
            <w:tcW w:w="6589" w:type="dxa"/>
          </w:tcPr>
          <w:p w14:paraId="70D6F976" w14:textId="77777777" w:rsidR="00BD702C" w:rsidRPr="00D149D6" w:rsidRDefault="00BD702C" w:rsidP="00580E1C">
            <w:pPr>
              <w:spacing w:before="60" w:after="60"/>
              <w:jc w:val="center"/>
              <w:rPr>
                <w:rFonts w:ascii="Book Antiqua" w:hAnsi="Book Antiqua"/>
                <w:b/>
                <w:sz w:val="24"/>
                <w:szCs w:val="24"/>
              </w:rPr>
            </w:pPr>
            <w:r w:rsidRPr="00D149D6">
              <w:rPr>
                <w:rFonts w:ascii="Book Antiqua" w:hAnsi="Book Antiqua"/>
                <w:b/>
                <w:sz w:val="24"/>
                <w:szCs w:val="24"/>
              </w:rPr>
              <w:t>Assessment</w:t>
            </w:r>
          </w:p>
        </w:tc>
      </w:tr>
      <w:tr w:rsidR="00BD702C" w:rsidRPr="00D149D6" w14:paraId="58A20F2D" w14:textId="77777777" w:rsidTr="00BD702C">
        <w:tc>
          <w:tcPr>
            <w:tcW w:w="2898" w:type="dxa"/>
          </w:tcPr>
          <w:p w14:paraId="1829BFBC"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Study Design</w:t>
            </w:r>
          </w:p>
        </w:tc>
        <w:tc>
          <w:tcPr>
            <w:tcW w:w="6589" w:type="dxa"/>
          </w:tcPr>
          <w:p w14:paraId="14AD54FC"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PowerAmerica provided an adequate description of modeling tools and approach used to develop its portfolios.</w:t>
            </w:r>
          </w:p>
        </w:tc>
      </w:tr>
      <w:tr w:rsidR="00BD702C" w:rsidRPr="00D149D6" w14:paraId="1353F6DC" w14:textId="77777777" w:rsidTr="00BD702C">
        <w:tc>
          <w:tcPr>
            <w:tcW w:w="2898" w:type="dxa"/>
          </w:tcPr>
          <w:p w14:paraId="5C2D2410"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Preferred and Conforming Portfolios</w:t>
            </w:r>
          </w:p>
        </w:tc>
        <w:tc>
          <w:tcPr>
            <w:tcW w:w="6589" w:type="dxa"/>
          </w:tcPr>
          <w:p w14:paraId="4ACD572C"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Calpine PowerAmerica provided a Conforming Portfolio and an Alternative (Preferred) Portfolio showing both existing resources and new resources that </w:t>
            </w:r>
            <w:r w:rsidR="00FA2300">
              <w:rPr>
                <w:rFonts w:ascii="Book Antiqua" w:hAnsi="Book Antiqua"/>
                <w:sz w:val="24"/>
                <w:szCs w:val="24"/>
              </w:rPr>
              <w:t>it</w:t>
            </w:r>
            <w:r w:rsidRPr="00D149D6">
              <w:rPr>
                <w:rFonts w:ascii="Book Antiqua" w:hAnsi="Book Antiqua"/>
                <w:sz w:val="24"/>
                <w:szCs w:val="24"/>
              </w:rPr>
              <w:t xml:space="preserve"> plans to invest in or contract with.</w:t>
            </w:r>
            <w:r w:rsidR="00E21DA5" w:rsidRPr="00D149D6">
              <w:rPr>
                <w:rFonts w:ascii="Book Antiqua" w:hAnsi="Book Antiqua"/>
                <w:sz w:val="24"/>
                <w:szCs w:val="24"/>
              </w:rPr>
              <w:t xml:space="preserve"> </w:t>
            </w:r>
            <w:r w:rsidRPr="00D149D6">
              <w:rPr>
                <w:rFonts w:ascii="Book Antiqua" w:hAnsi="Book Antiqua"/>
                <w:sz w:val="24"/>
                <w:szCs w:val="24"/>
              </w:rPr>
              <w:t xml:space="preserve"> It provided an adequate explanation of the reasons for its preference; however, it did not explain how its Preferred Portfolio is consistent with each relevant statutory and administrative requirement.</w:t>
            </w:r>
          </w:p>
          <w:p w14:paraId="42961943"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PowerAmerica calculated its LSE</w:t>
            </w:r>
            <w:r w:rsidR="00D84A09" w:rsidRPr="00D149D6">
              <w:rPr>
                <w:rFonts w:ascii="Book Antiqua" w:hAnsi="Book Antiqua"/>
                <w:sz w:val="24"/>
                <w:szCs w:val="24"/>
              </w:rPr>
              <w:noBreakHyphen/>
            </w:r>
            <w:r w:rsidRPr="00D149D6">
              <w:rPr>
                <w:rFonts w:ascii="Book Antiqua" w:hAnsi="Book Antiqua"/>
                <w:sz w:val="24"/>
                <w:szCs w:val="24"/>
              </w:rPr>
              <w:t xml:space="preserve">specific GHG Benchmark using incorrect direct access 2030 load estimates for each IOU service territory, resulting in a benchmark that is approximately 7% lower (more stringent) than its actual benchmark. </w:t>
            </w:r>
            <w:r w:rsidR="00E21DA5" w:rsidRPr="00D149D6">
              <w:rPr>
                <w:rFonts w:ascii="Book Antiqua" w:hAnsi="Book Antiqua"/>
                <w:sz w:val="24"/>
                <w:szCs w:val="24"/>
              </w:rPr>
              <w:t xml:space="preserve"> </w:t>
            </w:r>
            <w:r w:rsidRPr="00D149D6">
              <w:rPr>
                <w:rFonts w:ascii="Book Antiqua" w:hAnsi="Book Antiqua"/>
                <w:sz w:val="24"/>
                <w:szCs w:val="24"/>
              </w:rPr>
              <w:t>Nevertheless, both its Conforming and Preferred Portfolios achieve the 2030 GHG Benchmark.</w:t>
            </w:r>
          </w:p>
        </w:tc>
      </w:tr>
      <w:tr w:rsidR="00BD702C" w:rsidRPr="00D149D6" w14:paraId="74295336" w14:textId="77777777" w:rsidTr="00BD702C">
        <w:tc>
          <w:tcPr>
            <w:tcW w:w="2898" w:type="dxa"/>
          </w:tcPr>
          <w:p w14:paraId="17320F65"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Local Air Pollutant Minimization</w:t>
            </w:r>
          </w:p>
        </w:tc>
        <w:tc>
          <w:tcPr>
            <w:tcW w:w="6589" w:type="dxa"/>
          </w:tcPr>
          <w:p w14:paraId="76855561"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Calpine PowerAmerica provided exemplary estimates of emissions of nitrogen oxides and particulate matter. </w:t>
            </w:r>
            <w:r w:rsidR="00E21DA5" w:rsidRPr="00D149D6">
              <w:rPr>
                <w:rFonts w:ascii="Book Antiqua" w:hAnsi="Book Antiqua"/>
                <w:sz w:val="24"/>
                <w:szCs w:val="24"/>
              </w:rPr>
              <w:t xml:space="preserve"> </w:t>
            </w:r>
            <w:r w:rsidRPr="00D149D6">
              <w:rPr>
                <w:rFonts w:ascii="Book Antiqua" w:hAnsi="Book Antiqua"/>
                <w:sz w:val="24"/>
                <w:szCs w:val="24"/>
              </w:rPr>
              <w:t>Identification of disadvantaged communities and emissions impact on them was adequate.</w:t>
            </w:r>
          </w:p>
        </w:tc>
      </w:tr>
      <w:tr w:rsidR="00BD702C" w:rsidRPr="00D149D6" w14:paraId="6D27C2C9" w14:textId="77777777" w:rsidTr="00BD702C">
        <w:tc>
          <w:tcPr>
            <w:tcW w:w="2898" w:type="dxa"/>
          </w:tcPr>
          <w:p w14:paraId="706A2AE3"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Cost and Rate Analysis</w:t>
            </w:r>
          </w:p>
        </w:tc>
        <w:tc>
          <w:tcPr>
            <w:tcW w:w="6589" w:type="dxa"/>
          </w:tcPr>
          <w:p w14:paraId="33FC3270"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PowerAmerica provided an adequate description of its approach in considering cost and rate impacts on its customers.</w:t>
            </w:r>
          </w:p>
        </w:tc>
      </w:tr>
      <w:tr w:rsidR="00BD702C" w:rsidRPr="00D149D6" w14:paraId="4A41F7E0" w14:textId="77777777" w:rsidTr="00BD702C">
        <w:tc>
          <w:tcPr>
            <w:tcW w:w="2898" w:type="dxa"/>
          </w:tcPr>
          <w:p w14:paraId="29687987"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Deviations from Current Resource Plans</w:t>
            </w:r>
          </w:p>
        </w:tc>
        <w:tc>
          <w:tcPr>
            <w:tcW w:w="6589" w:type="dxa"/>
          </w:tcPr>
          <w:p w14:paraId="280B0816"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PowerAmerica marked this section as not applicable, stating that it has not filed any other resource plans.</w:t>
            </w:r>
          </w:p>
        </w:tc>
      </w:tr>
      <w:tr w:rsidR="00BD702C" w:rsidRPr="00D149D6" w14:paraId="007D1D5B" w14:textId="77777777" w:rsidTr="00BD702C">
        <w:tc>
          <w:tcPr>
            <w:tcW w:w="2898" w:type="dxa"/>
          </w:tcPr>
          <w:p w14:paraId="5FCF3BF1" w14:textId="77777777" w:rsidR="00BD702C" w:rsidRPr="00D149D6" w:rsidRDefault="00BD702C" w:rsidP="00580E1C">
            <w:pPr>
              <w:spacing w:before="60" w:after="60"/>
              <w:rPr>
                <w:rFonts w:ascii="Book Antiqua" w:hAnsi="Book Antiqua"/>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Activities</w:t>
            </w:r>
          </w:p>
        </w:tc>
        <w:tc>
          <w:tcPr>
            <w:tcW w:w="6589" w:type="dxa"/>
          </w:tcPr>
          <w:p w14:paraId="2C3B7826"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PowerAmerica provided an adequate description of its proposed near</w:t>
            </w:r>
            <w:r w:rsidR="00D84A09" w:rsidRPr="00D149D6">
              <w:rPr>
                <w:rFonts w:ascii="Book Antiqua" w:hAnsi="Book Antiqua"/>
                <w:sz w:val="24"/>
                <w:szCs w:val="24"/>
              </w:rPr>
              <w:noBreakHyphen/>
            </w:r>
            <w:r w:rsidRPr="00D149D6">
              <w:rPr>
                <w:rFonts w:ascii="Book Antiqua" w:hAnsi="Book Antiqua"/>
                <w:sz w:val="24"/>
                <w:szCs w:val="24"/>
              </w:rPr>
              <w:t>term activities to implement its LSE Plan along with links to its Preferred Portfolio findings.</w:t>
            </w:r>
          </w:p>
        </w:tc>
      </w:tr>
      <w:tr w:rsidR="00BD702C" w:rsidRPr="00D149D6" w14:paraId="246C9042" w14:textId="77777777" w:rsidTr="00BD702C">
        <w:tc>
          <w:tcPr>
            <w:tcW w:w="2898" w:type="dxa"/>
          </w:tcPr>
          <w:p w14:paraId="5ADBCD7A" w14:textId="77777777" w:rsidR="00BD702C" w:rsidRPr="00D149D6" w:rsidRDefault="00BD702C" w:rsidP="00580E1C">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Barrier Analysis</w:t>
            </w:r>
          </w:p>
        </w:tc>
        <w:tc>
          <w:tcPr>
            <w:tcW w:w="6589" w:type="dxa"/>
          </w:tcPr>
          <w:p w14:paraId="3D669B9C"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PowerAmerica did not describe any market, regulatory, financial, or other barriers or risks associated with its Preferred Portfolio.</w:t>
            </w:r>
          </w:p>
        </w:tc>
      </w:tr>
      <w:tr w:rsidR="00BD702C" w:rsidRPr="00D149D6" w14:paraId="7B87757B" w14:textId="77777777" w:rsidTr="00BD702C">
        <w:tc>
          <w:tcPr>
            <w:tcW w:w="2898" w:type="dxa"/>
          </w:tcPr>
          <w:p w14:paraId="73E6EC9F" w14:textId="77777777" w:rsidR="00BD702C" w:rsidRPr="00D149D6" w:rsidRDefault="00BD702C" w:rsidP="00580E1C">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Commission Direction</w:t>
            </w:r>
          </w:p>
        </w:tc>
        <w:tc>
          <w:tcPr>
            <w:tcW w:w="6589" w:type="dxa"/>
          </w:tcPr>
          <w:p w14:paraId="7D1075E3"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PowerAmerica stated that it is not seeking any Commission direction at this time.</w:t>
            </w:r>
          </w:p>
        </w:tc>
      </w:tr>
      <w:tr w:rsidR="00BD702C" w:rsidRPr="00D149D6" w14:paraId="76170DE7" w14:textId="77777777" w:rsidTr="00BD702C">
        <w:tc>
          <w:tcPr>
            <w:tcW w:w="2898" w:type="dxa"/>
          </w:tcPr>
          <w:p w14:paraId="16B2DECE" w14:textId="77777777" w:rsidR="00BD702C" w:rsidRPr="00D149D6" w:rsidRDefault="00BD702C" w:rsidP="00580E1C">
            <w:pPr>
              <w:spacing w:before="60" w:after="60"/>
              <w:rPr>
                <w:rFonts w:ascii="Book Antiqua" w:hAnsi="Book Antiqua"/>
                <w:color w:val="000000"/>
                <w:sz w:val="24"/>
                <w:szCs w:val="24"/>
              </w:rPr>
            </w:pPr>
            <w:r w:rsidRPr="00D149D6">
              <w:rPr>
                <w:rFonts w:ascii="Book Antiqua" w:hAnsi="Book Antiqua"/>
                <w:color w:val="000000"/>
                <w:sz w:val="24"/>
                <w:szCs w:val="24"/>
              </w:rPr>
              <w:t>Lessons Learned</w:t>
            </w:r>
          </w:p>
        </w:tc>
        <w:tc>
          <w:tcPr>
            <w:tcW w:w="6589" w:type="dxa"/>
          </w:tcPr>
          <w:p w14:paraId="671A46B2"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Calpine PowerAmerica provided an adequate description of lessons learned.</w:t>
            </w:r>
          </w:p>
        </w:tc>
      </w:tr>
    </w:tbl>
    <w:p w14:paraId="6D7D3EB1" w14:textId="77777777" w:rsidR="00BD702C" w:rsidRPr="00580E1C" w:rsidRDefault="00BD702C" w:rsidP="00580E1C">
      <w:pPr>
        <w:keepNext/>
        <w:keepLines/>
        <w:spacing w:before="240" w:after="120" w:line="276" w:lineRule="auto"/>
        <w:outlineLvl w:val="3"/>
        <w:rPr>
          <w:rFonts w:ascii="Book Antiqua" w:eastAsiaTheme="majorEastAsia" w:hAnsi="Book Antiqua" w:cstheme="majorBidi"/>
          <w:b/>
          <w:iCs/>
          <w:szCs w:val="26"/>
        </w:rPr>
      </w:pPr>
      <w:r w:rsidRPr="00580E1C">
        <w:rPr>
          <w:rFonts w:ascii="Book Antiqua" w:eastAsiaTheme="majorEastAsia" w:hAnsi="Book Antiqua" w:cstheme="majorBidi"/>
          <w:b/>
          <w:iCs/>
          <w:szCs w:val="26"/>
        </w:rPr>
        <w:t>Next Steps for Calpine PowerAmerica</w:t>
      </w:r>
    </w:p>
    <w:p w14:paraId="78DAFC2A" w14:textId="77777777" w:rsidR="00BD702C" w:rsidRPr="00580E1C" w:rsidRDefault="00BD702C" w:rsidP="00BD702C">
      <w:pPr>
        <w:spacing w:after="200" w:line="276" w:lineRule="auto"/>
        <w:rPr>
          <w:rFonts w:ascii="Book Antiqua" w:hAnsi="Book Antiqua" w:cstheme="minorBidi"/>
          <w:szCs w:val="26"/>
        </w:rPr>
      </w:pPr>
      <w:r w:rsidRPr="00580E1C">
        <w:rPr>
          <w:rFonts w:ascii="Book Antiqua" w:hAnsi="Book Antiqua" w:cstheme="minorBidi"/>
          <w:b/>
          <w:szCs w:val="26"/>
        </w:rPr>
        <w:t>Action required in this IRP 2017</w:t>
      </w:r>
      <w:r w:rsidR="00D84A09" w:rsidRPr="00580E1C">
        <w:rPr>
          <w:rFonts w:ascii="Book Antiqua" w:hAnsi="Book Antiqua" w:cstheme="minorBidi"/>
          <w:b/>
          <w:szCs w:val="26"/>
        </w:rPr>
        <w:noBreakHyphen/>
      </w:r>
      <w:r w:rsidRPr="00580E1C">
        <w:rPr>
          <w:rFonts w:ascii="Book Antiqua" w:hAnsi="Book Antiqua" w:cstheme="minorBidi"/>
          <w:b/>
          <w:szCs w:val="26"/>
        </w:rPr>
        <w:t>18 cycle</w:t>
      </w:r>
      <w:r w:rsidRPr="00580E1C">
        <w:rPr>
          <w:rFonts w:ascii="Book Antiqua" w:hAnsi="Book Antiqua" w:cstheme="minorBidi"/>
          <w:szCs w:val="26"/>
        </w:rPr>
        <w:t xml:space="preserve">: </w:t>
      </w:r>
      <w:r w:rsidR="00DC47F2" w:rsidRPr="00580E1C">
        <w:rPr>
          <w:rFonts w:ascii="Book Antiqua" w:hAnsi="Book Antiqua" w:cstheme="minorBidi"/>
          <w:szCs w:val="26"/>
        </w:rPr>
        <w:t xml:space="preserve"> </w:t>
      </w:r>
      <w:r w:rsidRPr="00580E1C">
        <w:rPr>
          <w:rFonts w:ascii="Book Antiqua" w:hAnsi="Book Antiqua" w:cstheme="minorBidi"/>
          <w:szCs w:val="26"/>
        </w:rPr>
        <w:t>None at this time.</w:t>
      </w:r>
    </w:p>
    <w:p w14:paraId="0408DECF" w14:textId="77777777" w:rsidR="00BD702C" w:rsidRPr="00580E1C" w:rsidRDefault="00BD702C" w:rsidP="00BD702C">
      <w:pPr>
        <w:spacing w:after="200" w:line="276" w:lineRule="auto"/>
        <w:rPr>
          <w:rFonts w:ascii="Book Antiqua" w:hAnsi="Book Antiqua" w:cstheme="minorBidi"/>
          <w:szCs w:val="26"/>
        </w:rPr>
      </w:pPr>
      <w:r w:rsidRPr="00580E1C">
        <w:rPr>
          <w:rFonts w:ascii="Book Antiqua" w:hAnsi="Book Antiqua" w:cstheme="minorBidi"/>
          <w:b/>
          <w:szCs w:val="26"/>
        </w:rPr>
        <w:t>Guidance for LSE Plan development in the next IRP cycle</w:t>
      </w:r>
      <w:r w:rsidRPr="00580E1C">
        <w:rPr>
          <w:rFonts w:ascii="Book Antiqua" w:hAnsi="Book Antiqua" w:cstheme="minorBidi"/>
          <w:szCs w:val="26"/>
        </w:rPr>
        <w:t>:</w:t>
      </w:r>
    </w:p>
    <w:p w14:paraId="63584EF0" w14:textId="77777777" w:rsidR="00BD702C" w:rsidRPr="00580E1C" w:rsidRDefault="00BD702C" w:rsidP="00894BE0">
      <w:pPr>
        <w:numPr>
          <w:ilvl w:val="0"/>
          <w:numId w:val="16"/>
        </w:numPr>
        <w:spacing w:after="200" w:line="276" w:lineRule="auto"/>
        <w:rPr>
          <w:rFonts w:ascii="Book Antiqua" w:hAnsi="Book Antiqua"/>
          <w:szCs w:val="26"/>
        </w:rPr>
      </w:pPr>
      <w:r w:rsidRPr="00580E1C">
        <w:rPr>
          <w:rFonts w:ascii="Book Antiqua" w:hAnsi="Book Antiqua"/>
          <w:szCs w:val="26"/>
        </w:rPr>
        <w:t>Use the correct methodology and values when calculating the LSE</w:t>
      </w:r>
      <w:r w:rsidR="00D84A09" w:rsidRPr="00580E1C">
        <w:rPr>
          <w:rFonts w:ascii="Book Antiqua" w:hAnsi="Book Antiqua"/>
          <w:szCs w:val="26"/>
        </w:rPr>
        <w:noBreakHyphen/>
      </w:r>
      <w:r w:rsidRPr="00580E1C">
        <w:rPr>
          <w:rFonts w:ascii="Book Antiqua" w:hAnsi="Book Antiqua"/>
          <w:szCs w:val="26"/>
        </w:rPr>
        <w:t>specific 2030 GHG Benchmark.</w:t>
      </w:r>
    </w:p>
    <w:p w14:paraId="4DD93FAD" w14:textId="77777777" w:rsidR="00BD702C" w:rsidRPr="00580E1C" w:rsidRDefault="00BD702C" w:rsidP="00894BE0">
      <w:pPr>
        <w:numPr>
          <w:ilvl w:val="0"/>
          <w:numId w:val="16"/>
        </w:numPr>
        <w:spacing w:after="200" w:line="276" w:lineRule="auto"/>
        <w:rPr>
          <w:rFonts w:ascii="Book Antiqua" w:hAnsi="Book Antiqua"/>
          <w:szCs w:val="26"/>
        </w:rPr>
      </w:pPr>
      <w:r w:rsidRPr="00580E1C">
        <w:rPr>
          <w:rFonts w:ascii="Book Antiqua" w:hAnsi="Book Antiqua"/>
          <w:szCs w:val="26"/>
        </w:rPr>
        <w:t xml:space="preserve">Complete the Barrier Analysis section (or its equivalent) so that the </w:t>
      </w:r>
      <w:r w:rsidR="00C31396" w:rsidRPr="00580E1C">
        <w:rPr>
          <w:rFonts w:ascii="Book Antiqua" w:hAnsi="Book Antiqua"/>
          <w:szCs w:val="26"/>
        </w:rPr>
        <w:t>Commission</w:t>
      </w:r>
      <w:r w:rsidRPr="00580E1C">
        <w:rPr>
          <w:rFonts w:ascii="Book Antiqua" w:hAnsi="Book Antiqua"/>
          <w:szCs w:val="26"/>
        </w:rPr>
        <w:t xml:space="preserve"> may evaluate the LSE’s consideration of market, regulatory, financial, and other barriers or risks associated with the LSE’s Preferred Portfolio.</w:t>
      </w:r>
    </w:p>
    <w:p w14:paraId="226CBEAB" w14:textId="77777777" w:rsidR="00BD702C" w:rsidRPr="00580E1C" w:rsidRDefault="00BD702C" w:rsidP="00AF5CC4">
      <w:pPr>
        <w:keepNext/>
        <w:keepLines/>
        <w:spacing w:before="240" w:after="120" w:line="276" w:lineRule="auto"/>
        <w:outlineLvl w:val="2"/>
        <w:rPr>
          <w:rFonts w:ascii="Book Antiqua" w:eastAsiaTheme="majorEastAsia" w:hAnsi="Book Antiqua" w:cstheme="majorBidi"/>
          <w:b/>
          <w:szCs w:val="26"/>
        </w:rPr>
      </w:pPr>
      <w:bookmarkStart w:id="58" w:name="_Toc868760"/>
      <w:r w:rsidRPr="00580E1C">
        <w:rPr>
          <w:rFonts w:ascii="Book Antiqua" w:eastAsiaTheme="majorEastAsia" w:hAnsi="Book Antiqua" w:cstheme="majorBidi"/>
          <w:b/>
          <w:szCs w:val="26"/>
        </w:rPr>
        <w:t>Clean Power Alliance of Southern California</w:t>
      </w:r>
      <w:bookmarkEnd w:id="58"/>
    </w:p>
    <w:tbl>
      <w:tblPr>
        <w:tblStyle w:val="TableGrid3"/>
        <w:tblW w:w="0" w:type="auto"/>
        <w:tblLook w:val="04A0" w:firstRow="1" w:lastRow="0" w:firstColumn="1" w:lastColumn="0" w:noHBand="0" w:noVBand="1"/>
      </w:tblPr>
      <w:tblGrid>
        <w:gridCol w:w="2898"/>
        <w:gridCol w:w="6452"/>
      </w:tblGrid>
      <w:tr w:rsidR="00BD702C" w:rsidRPr="00BD702C" w14:paraId="1E65C4D1" w14:textId="77777777" w:rsidTr="00BD702C">
        <w:tc>
          <w:tcPr>
            <w:tcW w:w="2898" w:type="dxa"/>
          </w:tcPr>
          <w:p w14:paraId="40DB7266" w14:textId="77777777" w:rsidR="00BD702C" w:rsidRPr="00BD702C" w:rsidRDefault="00BD702C" w:rsidP="00AF5CC4">
            <w:pPr>
              <w:keepNext/>
              <w:keepLines/>
              <w:spacing w:before="60" w:after="60"/>
              <w:jc w:val="center"/>
              <w:rPr>
                <w:rFonts w:ascii="Book Antiqua" w:hAnsi="Book Antiqua"/>
                <w:b/>
                <w:sz w:val="24"/>
                <w:szCs w:val="24"/>
              </w:rPr>
            </w:pPr>
            <w:r w:rsidRPr="00BD702C">
              <w:rPr>
                <w:rFonts w:ascii="Book Antiqua" w:hAnsi="Book Antiqua"/>
                <w:b/>
                <w:sz w:val="24"/>
                <w:szCs w:val="24"/>
              </w:rPr>
              <w:t>Requirement</w:t>
            </w:r>
          </w:p>
        </w:tc>
        <w:tc>
          <w:tcPr>
            <w:tcW w:w="6452" w:type="dxa"/>
          </w:tcPr>
          <w:p w14:paraId="3DC08973" w14:textId="77777777" w:rsidR="00BD702C" w:rsidRPr="00BD702C" w:rsidRDefault="00BD702C" w:rsidP="00AF5CC4">
            <w:pPr>
              <w:keepNext/>
              <w:keepLines/>
              <w:spacing w:before="60" w:after="60"/>
              <w:jc w:val="center"/>
              <w:rPr>
                <w:rFonts w:ascii="Book Antiqua" w:hAnsi="Book Antiqua"/>
                <w:b/>
                <w:sz w:val="24"/>
                <w:szCs w:val="24"/>
              </w:rPr>
            </w:pPr>
            <w:r w:rsidRPr="00BD702C">
              <w:rPr>
                <w:rFonts w:ascii="Book Antiqua" w:hAnsi="Book Antiqua"/>
                <w:b/>
                <w:sz w:val="24"/>
                <w:szCs w:val="24"/>
              </w:rPr>
              <w:t>Assessment</w:t>
            </w:r>
          </w:p>
        </w:tc>
      </w:tr>
      <w:tr w:rsidR="00BD702C" w:rsidRPr="00BD702C" w14:paraId="5970C5AE" w14:textId="77777777" w:rsidTr="00BD702C">
        <w:tc>
          <w:tcPr>
            <w:tcW w:w="2898" w:type="dxa"/>
          </w:tcPr>
          <w:p w14:paraId="413C36B4" w14:textId="77777777" w:rsidR="00BD702C" w:rsidRPr="00BD702C" w:rsidRDefault="00BD702C" w:rsidP="00580E1C">
            <w:pPr>
              <w:spacing w:before="60" w:after="60"/>
              <w:rPr>
                <w:rFonts w:ascii="Book Antiqua" w:hAnsi="Book Antiqua"/>
                <w:sz w:val="24"/>
                <w:szCs w:val="24"/>
              </w:rPr>
            </w:pPr>
            <w:r w:rsidRPr="00BD702C">
              <w:rPr>
                <w:rFonts w:ascii="Book Antiqua" w:hAnsi="Book Antiqua"/>
                <w:sz w:val="24"/>
                <w:szCs w:val="24"/>
              </w:rPr>
              <w:t>Study Design</w:t>
            </w:r>
          </w:p>
        </w:tc>
        <w:tc>
          <w:tcPr>
            <w:tcW w:w="6452" w:type="dxa"/>
          </w:tcPr>
          <w:p w14:paraId="3E0B7ABF" w14:textId="77777777" w:rsidR="00BD702C" w:rsidRPr="00BD702C" w:rsidRDefault="00BD702C" w:rsidP="00580E1C">
            <w:pPr>
              <w:spacing w:before="60" w:after="60"/>
              <w:rPr>
                <w:rFonts w:ascii="Book Antiqua" w:hAnsi="Book Antiqua"/>
                <w:sz w:val="24"/>
                <w:szCs w:val="24"/>
              </w:rPr>
            </w:pPr>
            <w:bookmarkStart w:id="59" w:name="_Hlk538813"/>
            <w:r w:rsidRPr="00BD702C">
              <w:rPr>
                <w:rFonts w:ascii="Book Antiqua" w:hAnsi="Book Antiqua"/>
                <w:sz w:val="24"/>
                <w:szCs w:val="24"/>
              </w:rPr>
              <w:t xml:space="preserve">Clean Power Alliance of Southern California (CPA) </w:t>
            </w:r>
            <w:bookmarkEnd w:id="59"/>
            <w:r w:rsidRPr="00BD702C">
              <w:rPr>
                <w:rFonts w:ascii="Book Antiqua" w:hAnsi="Book Antiqua"/>
                <w:sz w:val="24"/>
                <w:szCs w:val="24"/>
              </w:rPr>
              <w:t>provided an adequate description of modeling tools and approach used to develop its portfolio.</w:t>
            </w:r>
          </w:p>
        </w:tc>
      </w:tr>
      <w:tr w:rsidR="00BD702C" w:rsidRPr="00BD702C" w14:paraId="6DE35AB2" w14:textId="77777777" w:rsidTr="00BD702C">
        <w:tc>
          <w:tcPr>
            <w:tcW w:w="2898" w:type="dxa"/>
          </w:tcPr>
          <w:p w14:paraId="565C8B50" w14:textId="77777777" w:rsidR="00BD702C" w:rsidRPr="00BD702C" w:rsidRDefault="00BD702C" w:rsidP="00580E1C">
            <w:pPr>
              <w:spacing w:before="60" w:after="60"/>
              <w:rPr>
                <w:rFonts w:ascii="Book Antiqua" w:hAnsi="Book Antiqua"/>
                <w:sz w:val="24"/>
                <w:szCs w:val="24"/>
              </w:rPr>
            </w:pPr>
            <w:r w:rsidRPr="00BD702C">
              <w:rPr>
                <w:rFonts w:ascii="Book Antiqua" w:hAnsi="Book Antiqua"/>
                <w:sz w:val="24"/>
                <w:szCs w:val="24"/>
              </w:rPr>
              <w:t xml:space="preserve">Study Results: </w:t>
            </w:r>
            <w:r w:rsidR="00DC47F2">
              <w:rPr>
                <w:rFonts w:ascii="Book Antiqua" w:hAnsi="Book Antiqua"/>
                <w:sz w:val="24"/>
                <w:szCs w:val="24"/>
              </w:rPr>
              <w:t xml:space="preserve"> </w:t>
            </w:r>
            <w:r w:rsidRPr="00BD702C">
              <w:rPr>
                <w:rFonts w:ascii="Book Antiqua" w:hAnsi="Book Antiqua"/>
                <w:sz w:val="24"/>
                <w:szCs w:val="24"/>
              </w:rPr>
              <w:t>Preferred and Conforming Portfolios</w:t>
            </w:r>
          </w:p>
        </w:tc>
        <w:tc>
          <w:tcPr>
            <w:tcW w:w="6452" w:type="dxa"/>
          </w:tcPr>
          <w:p w14:paraId="37595381" w14:textId="77777777" w:rsidR="00BD702C" w:rsidRPr="00BD702C" w:rsidRDefault="00BD702C" w:rsidP="00580E1C">
            <w:pPr>
              <w:spacing w:before="60" w:after="60"/>
              <w:rPr>
                <w:rFonts w:ascii="Book Antiqua" w:hAnsi="Book Antiqua"/>
                <w:sz w:val="24"/>
                <w:szCs w:val="24"/>
              </w:rPr>
            </w:pPr>
            <w:r w:rsidRPr="00BD702C">
              <w:rPr>
                <w:rFonts w:ascii="Book Antiqua" w:hAnsi="Book Antiqua"/>
                <w:sz w:val="24"/>
                <w:szCs w:val="24"/>
              </w:rPr>
              <w:t xml:space="preserve">CPA provided a Conforming Portfolio as its Preferred Portfolio showing both existing resources and new resources that it plans to invest in or contract with. </w:t>
            </w:r>
            <w:r w:rsidR="00E21DA5">
              <w:rPr>
                <w:rFonts w:ascii="Book Antiqua" w:hAnsi="Book Antiqua"/>
                <w:sz w:val="24"/>
                <w:szCs w:val="24"/>
              </w:rPr>
              <w:t xml:space="preserve"> </w:t>
            </w:r>
            <w:r w:rsidRPr="00BD702C">
              <w:rPr>
                <w:rFonts w:ascii="Book Antiqua" w:hAnsi="Book Antiqua"/>
                <w:sz w:val="24"/>
                <w:szCs w:val="24"/>
              </w:rPr>
              <w:t>It provided an adequate explanation of the reasons for its preference, but it did not explain how its Preferred Portfolio is consistent with each relevant statutory and administrative requirement.</w:t>
            </w:r>
            <w:r w:rsidR="00E21DA5">
              <w:rPr>
                <w:rFonts w:ascii="Book Antiqua" w:hAnsi="Book Antiqua"/>
                <w:sz w:val="24"/>
                <w:szCs w:val="24"/>
              </w:rPr>
              <w:t xml:space="preserve"> </w:t>
            </w:r>
            <w:r w:rsidRPr="00BD702C">
              <w:rPr>
                <w:rFonts w:ascii="Book Antiqua" w:hAnsi="Book Antiqua"/>
                <w:sz w:val="24"/>
                <w:szCs w:val="24"/>
              </w:rPr>
              <w:t xml:space="preserve"> CPA did not submit an optional Alternative Portfolio.</w:t>
            </w:r>
          </w:p>
          <w:p w14:paraId="78E554BA" w14:textId="77777777" w:rsidR="00BD702C" w:rsidRPr="00BD702C" w:rsidRDefault="00BD702C" w:rsidP="00580E1C">
            <w:pPr>
              <w:spacing w:before="60" w:after="60"/>
              <w:rPr>
                <w:rFonts w:ascii="Book Antiqua" w:hAnsi="Book Antiqua"/>
                <w:sz w:val="24"/>
                <w:szCs w:val="24"/>
              </w:rPr>
            </w:pPr>
            <w:r w:rsidRPr="00BD702C">
              <w:rPr>
                <w:rFonts w:ascii="Book Antiqua" w:hAnsi="Book Antiqua"/>
                <w:sz w:val="24"/>
                <w:szCs w:val="24"/>
              </w:rPr>
              <w:t>CPA included a custom GHG</w:t>
            </w:r>
            <w:r w:rsidR="00D84A09">
              <w:rPr>
                <w:rFonts w:ascii="Book Antiqua" w:hAnsi="Book Antiqua"/>
                <w:sz w:val="24"/>
                <w:szCs w:val="24"/>
              </w:rPr>
              <w:noBreakHyphen/>
            </w:r>
            <w:r w:rsidRPr="00BD702C">
              <w:rPr>
                <w:rFonts w:ascii="Book Antiqua" w:hAnsi="Book Antiqua"/>
                <w:sz w:val="24"/>
                <w:szCs w:val="24"/>
              </w:rPr>
              <w:t xml:space="preserve">free generating resource in its CNS Calculator, but it did not identify the resource type, nor did it provide supporting evidence or rationale for including this resource during the specified hours at these volumes. </w:t>
            </w:r>
          </w:p>
          <w:p w14:paraId="10F04DBF" w14:textId="77777777" w:rsidR="00BD702C" w:rsidRPr="00BD702C" w:rsidRDefault="00BD702C" w:rsidP="00580E1C">
            <w:pPr>
              <w:spacing w:before="60" w:after="60"/>
              <w:rPr>
                <w:rFonts w:ascii="Book Antiqua" w:hAnsi="Book Antiqua"/>
                <w:sz w:val="24"/>
                <w:szCs w:val="24"/>
              </w:rPr>
            </w:pPr>
            <w:r w:rsidRPr="00BD702C">
              <w:rPr>
                <w:rFonts w:ascii="Book Antiqua" w:hAnsi="Book Antiqua"/>
                <w:sz w:val="24"/>
                <w:szCs w:val="24"/>
              </w:rPr>
              <w:t xml:space="preserve">CPA’s Conforming Portfolio used an incorrect load forecast for the years 2022, 2026, and 2030, but the correct 2030 load forecast would meet its assigned GHG Benchmark. </w:t>
            </w:r>
            <w:r w:rsidR="00E21DA5">
              <w:rPr>
                <w:rFonts w:ascii="Book Antiqua" w:hAnsi="Book Antiqua"/>
                <w:sz w:val="24"/>
                <w:szCs w:val="24"/>
              </w:rPr>
              <w:t xml:space="preserve"> </w:t>
            </w:r>
            <w:r w:rsidRPr="00BD702C">
              <w:rPr>
                <w:rFonts w:ascii="Book Antiqua" w:hAnsi="Book Antiqua"/>
                <w:sz w:val="24"/>
                <w:szCs w:val="24"/>
              </w:rPr>
              <w:t>Though the variation was less than 1% in each year, CPA did not explain why its load forecast deviated from its assigned forecast.</w:t>
            </w:r>
          </w:p>
        </w:tc>
      </w:tr>
      <w:tr w:rsidR="00BD702C" w:rsidRPr="00BD702C" w14:paraId="7F0F6710" w14:textId="77777777" w:rsidTr="00BD702C">
        <w:tc>
          <w:tcPr>
            <w:tcW w:w="2898" w:type="dxa"/>
          </w:tcPr>
          <w:p w14:paraId="461B555A" w14:textId="77777777" w:rsidR="00BD702C" w:rsidRPr="00BD702C" w:rsidRDefault="00BD702C" w:rsidP="00580E1C">
            <w:pPr>
              <w:spacing w:before="60" w:after="60"/>
              <w:rPr>
                <w:rFonts w:ascii="Book Antiqua" w:hAnsi="Book Antiqua"/>
                <w:sz w:val="24"/>
                <w:szCs w:val="24"/>
              </w:rPr>
            </w:pPr>
            <w:bookmarkStart w:id="60" w:name="_Hlk534027700"/>
            <w:r w:rsidRPr="00BD702C">
              <w:rPr>
                <w:rFonts w:ascii="Book Antiqua" w:hAnsi="Book Antiqua"/>
                <w:sz w:val="24"/>
                <w:szCs w:val="24"/>
              </w:rPr>
              <w:t>Study Results:</w:t>
            </w:r>
            <w:r w:rsidR="00DC47F2">
              <w:rPr>
                <w:rFonts w:ascii="Book Antiqua" w:hAnsi="Book Antiqua"/>
                <w:sz w:val="24"/>
                <w:szCs w:val="24"/>
              </w:rPr>
              <w:t xml:space="preserve"> </w:t>
            </w:r>
            <w:r w:rsidRPr="00BD702C">
              <w:rPr>
                <w:rFonts w:ascii="Book Antiqua" w:hAnsi="Book Antiqua"/>
                <w:sz w:val="24"/>
                <w:szCs w:val="24"/>
              </w:rPr>
              <w:t xml:space="preserve"> Local Air Pollutant Minimization</w:t>
            </w:r>
          </w:p>
        </w:tc>
        <w:tc>
          <w:tcPr>
            <w:tcW w:w="6452" w:type="dxa"/>
          </w:tcPr>
          <w:p w14:paraId="21A62CBF" w14:textId="77777777" w:rsidR="00BD702C" w:rsidRPr="00BD702C" w:rsidRDefault="00BD702C" w:rsidP="00580E1C">
            <w:pPr>
              <w:spacing w:before="60" w:after="60"/>
              <w:rPr>
                <w:rFonts w:ascii="Book Antiqua" w:hAnsi="Book Antiqua"/>
                <w:sz w:val="24"/>
                <w:szCs w:val="24"/>
              </w:rPr>
            </w:pPr>
            <w:r w:rsidRPr="00BD702C">
              <w:rPr>
                <w:rFonts w:ascii="Book Antiqua" w:hAnsi="Book Antiqua"/>
                <w:sz w:val="24"/>
                <w:szCs w:val="24"/>
              </w:rPr>
              <w:t xml:space="preserve">CPA made no attempt to provide best available estimates of emissions of nitrogen oxides and particulate matter. </w:t>
            </w:r>
            <w:r w:rsidR="00E21DA5">
              <w:rPr>
                <w:rFonts w:ascii="Book Antiqua" w:hAnsi="Book Antiqua"/>
                <w:sz w:val="24"/>
                <w:szCs w:val="24"/>
              </w:rPr>
              <w:t xml:space="preserve"> </w:t>
            </w:r>
            <w:r w:rsidRPr="00BD702C">
              <w:rPr>
                <w:rFonts w:ascii="Book Antiqua" w:hAnsi="Book Antiqua"/>
                <w:sz w:val="24"/>
                <w:szCs w:val="24"/>
              </w:rPr>
              <w:t xml:space="preserve">Identification of disadvantaged communities was adequate. </w:t>
            </w:r>
            <w:r w:rsidR="00E21DA5">
              <w:rPr>
                <w:rFonts w:ascii="Book Antiqua" w:hAnsi="Book Antiqua"/>
                <w:sz w:val="24"/>
                <w:szCs w:val="24"/>
              </w:rPr>
              <w:t xml:space="preserve"> </w:t>
            </w:r>
            <w:r w:rsidRPr="00BD702C">
              <w:rPr>
                <w:rFonts w:ascii="Book Antiqua" w:hAnsi="Book Antiqua"/>
                <w:sz w:val="24"/>
                <w:szCs w:val="24"/>
              </w:rPr>
              <w:t xml:space="preserve">CPA provided the number of conventional power plants in its territory but did not provide specific facility names or their emissions. </w:t>
            </w:r>
          </w:p>
        </w:tc>
      </w:tr>
      <w:bookmarkEnd w:id="60"/>
      <w:tr w:rsidR="00BD702C" w:rsidRPr="00BD702C" w14:paraId="4C897F48" w14:textId="77777777" w:rsidTr="00BD702C">
        <w:tc>
          <w:tcPr>
            <w:tcW w:w="2898" w:type="dxa"/>
          </w:tcPr>
          <w:p w14:paraId="0CF1BC30" w14:textId="77777777" w:rsidR="00BD702C" w:rsidRPr="00BD702C" w:rsidRDefault="00BD702C" w:rsidP="00580E1C">
            <w:pPr>
              <w:spacing w:before="60" w:after="60"/>
              <w:rPr>
                <w:rFonts w:ascii="Book Antiqua" w:hAnsi="Book Antiqua"/>
                <w:sz w:val="24"/>
                <w:szCs w:val="24"/>
              </w:rPr>
            </w:pPr>
            <w:r w:rsidRPr="00BD702C">
              <w:rPr>
                <w:rFonts w:ascii="Book Antiqua" w:hAnsi="Book Antiqua"/>
                <w:sz w:val="24"/>
                <w:szCs w:val="24"/>
              </w:rPr>
              <w:t xml:space="preserve">Study Results: </w:t>
            </w:r>
            <w:r w:rsidR="00DC47F2">
              <w:rPr>
                <w:rFonts w:ascii="Book Antiqua" w:hAnsi="Book Antiqua"/>
                <w:sz w:val="24"/>
                <w:szCs w:val="24"/>
              </w:rPr>
              <w:t xml:space="preserve"> </w:t>
            </w:r>
            <w:r w:rsidRPr="00BD702C">
              <w:rPr>
                <w:rFonts w:ascii="Book Antiqua" w:hAnsi="Book Antiqua"/>
                <w:sz w:val="24"/>
                <w:szCs w:val="24"/>
              </w:rPr>
              <w:t>Cost and Rate Analysis</w:t>
            </w:r>
          </w:p>
        </w:tc>
        <w:tc>
          <w:tcPr>
            <w:tcW w:w="6452" w:type="dxa"/>
          </w:tcPr>
          <w:p w14:paraId="30CD3C27" w14:textId="77777777" w:rsidR="00BD702C" w:rsidRPr="00BD702C" w:rsidRDefault="00BD702C" w:rsidP="00580E1C">
            <w:pPr>
              <w:spacing w:before="60" w:after="60"/>
              <w:rPr>
                <w:rFonts w:ascii="Book Antiqua" w:hAnsi="Book Antiqua"/>
                <w:sz w:val="24"/>
                <w:szCs w:val="24"/>
              </w:rPr>
            </w:pPr>
            <w:r w:rsidRPr="00BD702C">
              <w:rPr>
                <w:rFonts w:ascii="Book Antiqua" w:hAnsi="Book Antiqua"/>
                <w:sz w:val="24"/>
                <w:szCs w:val="24"/>
              </w:rPr>
              <w:t>CPA provided an adequate description of its approach in considering cost and rate impacts on its customers.</w:t>
            </w:r>
          </w:p>
        </w:tc>
      </w:tr>
      <w:tr w:rsidR="00BD702C" w:rsidRPr="00BD702C" w14:paraId="6B059515" w14:textId="77777777" w:rsidTr="00BD702C">
        <w:tc>
          <w:tcPr>
            <w:tcW w:w="2898" w:type="dxa"/>
          </w:tcPr>
          <w:p w14:paraId="51E4C233" w14:textId="77777777" w:rsidR="00BD702C" w:rsidRPr="00BD702C" w:rsidRDefault="00BD702C" w:rsidP="00580E1C">
            <w:pPr>
              <w:spacing w:before="60" w:after="60"/>
              <w:rPr>
                <w:rFonts w:ascii="Book Antiqua" w:hAnsi="Book Antiqua"/>
                <w:sz w:val="24"/>
                <w:szCs w:val="24"/>
              </w:rPr>
            </w:pPr>
            <w:r w:rsidRPr="00BD702C">
              <w:rPr>
                <w:rFonts w:ascii="Book Antiqua" w:hAnsi="Book Antiqua"/>
                <w:sz w:val="24"/>
                <w:szCs w:val="24"/>
              </w:rPr>
              <w:t xml:space="preserve">Study Results: </w:t>
            </w:r>
            <w:r w:rsidR="00DC47F2">
              <w:rPr>
                <w:rFonts w:ascii="Book Antiqua" w:hAnsi="Book Antiqua"/>
                <w:sz w:val="24"/>
                <w:szCs w:val="24"/>
              </w:rPr>
              <w:t xml:space="preserve"> </w:t>
            </w:r>
            <w:r w:rsidRPr="00BD702C">
              <w:rPr>
                <w:rFonts w:ascii="Book Antiqua" w:hAnsi="Book Antiqua"/>
                <w:sz w:val="24"/>
                <w:szCs w:val="24"/>
              </w:rPr>
              <w:t>Deviations from Current Resource Plans</w:t>
            </w:r>
          </w:p>
        </w:tc>
        <w:tc>
          <w:tcPr>
            <w:tcW w:w="6452" w:type="dxa"/>
          </w:tcPr>
          <w:p w14:paraId="4FFAFE96" w14:textId="77777777" w:rsidR="00BD702C" w:rsidRPr="00BD702C" w:rsidRDefault="00BD702C" w:rsidP="00580E1C">
            <w:pPr>
              <w:spacing w:before="60" w:after="60"/>
              <w:rPr>
                <w:rFonts w:ascii="Book Antiqua" w:hAnsi="Book Antiqua"/>
                <w:sz w:val="24"/>
                <w:szCs w:val="24"/>
              </w:rPr>
            </w:pPr>
            <w:r w:rsidRPr="00BD702C">
              <w:rPr>
                <w:rFonts w:ascii="Book Antiqua" w:hAnsi="Book Antiqua"/>
                <w:sz w:val="24"/>
                <w:szCs w:val="24"/>
              </w:rPr>
              <w:t>CPA marked this section as not applicable, stating that it has not filed any other resource plans.</w:t>
            </w:r>
          </w:p>
        </w:tc>
      </w:tr>
      <w:tr w:rsidR="00BD702C" w:rsidRPr="00BD702C" w14:paraId="170CB912" w14:textId="77777777" w:rsidTr="00BD702C">
        <w:tc>
          <w:tcPr>
            <w:tcW w:w="2898" w:type="dxa"/>
          </w:tcPr>
          <w:p w14:paraId="5035499A" w14:textId="77777777" w:rsidR="00BD702C" w:rsidRPr="00BD702C" w:rsidRDefault="00BD702C" w:rsidP="00580E1C">
            <w:pPr>
              <w:spacing w:before="60" w:after="60"/>
              <w:rPr>
                <w:rFonts w:ascii="Book Antiqua" w:hAnsi="Book Antiqua"/>
                <w:sz w:val="24"/>
                <w:szCs w:val="24"/>
              </w:rPr>
            </w:pPr>
            <w:r w:rsidRPr="00BD702C">
              <w:rPr>
                <w:rFonts w:ascii="Book Antiqua" w:hAnsi="Book Antiqua"/>
                <w:color w:val="000000"/>
                <w:sz w:val="24"/>
                <w:szCs w:val="24"/>
              </w:rPr>
              <w:t xml:space="preserve">Action Plan: </w:t>
            </w:r>
            <w:r w:rsidR="00DC47F2">
              <w:rPr>
                <w:rFonts w:ascii="Book Antiqua" w:hAnsi="Book Antiqua"/>
                <w:color w:val="000000"/>
                <w:sz w:val="24"/>
                <w:szCs w:val="24"/>
              </w:rPr>
              <w:t xml:space="preserve"> </w:t>
            </w:r>
            <w:r w:rsidRPr="00BD702C">
              <w:rPr>
                <w:rFonts w:ascii="Book Antiqua" w:hAnsi="Book Antiqua"/>
                <w:sz w:val="24"/>
                <w:szCs w:val="24"/>
              </w:rPr>
              <w:t>Proposed Activities</w:t>
            </w:r>
          </w:p>
        </w:tc>
        <w:tc>
          <w:tcPr>
            <w:tcW w:w="6452" w:type="dxa"/>
          </w:tcPr>
          <w:p w14:paraId="27558644" w14:textId="77777777" w:rsidR="00BD702C" w:rsidRPr="00BD702C" w:rsidRDefault="00BD702C" w:rsidP="00580E1C">
            <w:pPr>
              <w:spacing w:before="60" w:after="60"/>
              <w:rPr>
                <w:rFonts w:ascii="Book Antiqua" w:hAnsi="Book Antiqua"/>
                <w:sz w:val="24"/>
                <w:szCs w:val="24"/>
              </w:rPr>
            </w:pPr>
            <w:r w:rsidRPr="00BD702C">
              <w:rPr>
                <w:rFonts w:ascii="Book Antiqua" w:hAnsi="Book Antiqua"/>
                <w:sz w:val="24"/>
                <w:szCs w:val="24"/>
              </w:rPr>
              <w:t>CPA provided an adequate description of its proposed near</w:t>
            </w:r>
            <w:r w:rsidR="00D84A09">
              <w:rPr>
                <w:rFonts w:ascii="Book Antiqua" w:hAnsi="Book Antiqua"/>
                <w:sz w:val="24"/>
                <w:szCs w:val="24"/>
              </w:rPr>
              <w:noBreakHyphen/>
            </w:r>
            <w:r w:rsidRPr="00BD702C">
              <w:rPr>
                <w:rFonts w:ascii="Book Antiqua" w:hAnsi="Book Antiqua"/>
                <w:sz w:val="24"/>
                <w:szCs w:val="24"/>
              </w:rPr>
              <w:t>term activities to implement its LSE Plan along with links to its Preferred Portfolio study findings.</w:t>
            </w:r>
            <w:r w:rsidR="00E21DA5">
              <w:rPr>
                <w:rFonts w:ascii="Book Antiqua" w:hAnsi="Book Antiqua"/>
                <w:sz w:val="24"/>
                <w:szCs w:val="24"/>
              </w:rPr>
              <w:t xml:space="preserve"> </w:t>
            </w:r>
            <w:r w:rsidRPr="00BD702C">
              <w:rPr>
                <w:rFonts w:ascii="Book Antiqua" w:hAnsi="Book Antiqua"/>
                <w:sz w:val="24"/>
                <w:szCs w:val="24"/>
              </w:rPr>
              <w:t xml:space="preserve"> However, CPA provided only a vague description of outreach or plans to seek input from disadvantaged communities.</w:t>
            </w:r>
          </w:p>
        </w:tc>
      </w:tr>
      <w:tr w:rsidR="00BD702C" w:rsidRPr="00BD702C" w14:paraId="6F409FBB" w14:textId="77777777" w:rsidTr="00BD702C">
        <w:tc>
          <w:tcPr>
            <w:tcW w:w="2898" w:type="dxa"/>
          </w:tcPr>
          <w:p w14:paraId="5E249D43" w14:textId="77777777" w:rsidR="00BD702C" w:rsidRPr="00BD702C" w:rsidRDefault="00BD702C" w:rsidP="00580E1C">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DC47F2">
              <w:rPr>
                <w:rFonts w:ascii="Book Antiqua" w:hAnsi="Book Antiqua"/>
                <w:color w:val="000000"/>
                <w:sz w:val="24"/>
                <w:szCs w:val="24"/>
              </w:rPr>
              <w:t xml:space="preserve"> </w:t>
            </w:r>
            <w:r w:rsidRPr="00BD702C">
              <w:rPr>
                <w:rFonts w:ascii="Book Antiqua" w:hAnsi="Book Antiqua"/>
                <w:sz w:val="24"/>
                <w:szCs w:val="24"/>
              </w:rPr>
              <w:t>Barrier Analysis</w:t>
            </w:r>
          </w:p>
        </w:tc>
        <w:tc>
          <w:tcPr>
            <w:tcW w:w="6452" w:type="dxa"/>
          </w:tcPr>
          <w:p w14:paraId="3DB1F63F" w14:textId="77777777" w:rsidR="00BD702C" w:rsidRPr="00BD702C" w:rsidRDefault="00BD702C" w:rsidP="00580E1C">
            <w:pPr>
              <w:spacing w:before="60" w:after="60"/>
              <w:rPr>
                <w:rFonts w:ascii="Book Antiqua" w:hAnsi="Book Antiqua"/>
                <w:sz w:val="24"/>
                <w:szCs w:val="24"/>
              </w:rPr>
            </w:pPr>
            <w:r w:rsidRPr="00BD702C">
              <w:rPr>
                <w:rFonts w:ascii="Book Antiqua" w:hAnsi="Book Antiqua"/>
                <w:sz w:val="24"/>
                <w:szCs w:val="24"/>
              </w:rPr>
              <w:t>CPA provided an adequate description of the market, regulatory, financial, or other barriers or risks associated with its Preferred Portfolio.</w:t>
            </w:r>
          </w:p>
        </w:tc>
      </w:tr>
      <w:tr w:rsidR="00BD702C" w:rsidRPr="00BD702C" w14:paraId="573604D5" w14:textId="77777777" w:rsidTr="00BD702C">
        <w:tc>
          <w:tcPr>
            <w:tcW w:w="2898" w:type="dxa"/>
          </w:tcPr>
          <w:p w14:paraId="1D3CC8C4" w14:textId="77777777" w:rsidR="00BD702C" w:rsidRPr="00BD702C" w:rsidRDefault="00BD702C" w:rsidP="00580E1C">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DC47F2">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452" w:type="dxa"/>
          </w:tcPr>
          <w:p w14:paraId="3FEEB62F" w14:textId="77777777" w:rsidR="00BD702C" w:rsidRPr="00BD702C" w:rsidRDefault="00BD702C" w:rsidP="00580E1C">
            <w:pPr>
              <w:spacing w:before="60" w:after="60"/>
              <w:rPr>
                <w:rFonts w:ascii="Book Antiqua" w:hAnsi="Book Antiqua"/>
                <w:sz w:val="24"/>
                <w:szCs w:val="24"/>
              </w:rPr>
            </w:pPr>
            <w:r w:rsidRPr="00BD702C">
              <w:rPr>
                <w:rFonts w:ascii="Book Antiqua" w:hAnsi="Book Antiqua"/>
                <w:sz w:val="24"/>
                <w:szCs w:val="24"/>
              </w:rPr>
              <w:t>CPA proposed the following:</w:t>
            </w:r>
          </w:p>
          <w:p w14:paraId="43CFFEA4" w14:textId="77777777" w:rsidR="00BD702C" w:rsidRPr="00BD702C" w:rsidRDefault="00BD702C" w:rsidP="00580E1C">
            <w:pPr>
              <w:numPr>
                <w:ilvl w:val="0"/>
                <w:numId w:val="18"/>
              </w:numPr>
              <w:spacing w:before="60" w:after="60"/>
              <w:rPr>
                <w:rFonts w:ascii="Book Antiqua" w:hAnsi="Book Antiqua"/>
                <w:sz w:val="24"/>
                <w:szCs w:val="24"/>
              </w:rPr>
            </w:pPr>
            <w:r w:rsidRPr="00BD702C">
              <w:rPr>
                <w:rFonts w:ascii="Book Antiqua" w:hAnsi="Book Antiqua"/>
                <w:sz w:val="24"/>
                <w:szCs w:val="24"/>
              </w:rPr>
              <w:t xml:space="preserve">Requests that SCE provide more than 2 years of historical load data to CCAs and generally improve its data access.  </w:t>
            </w:r>
          </w:p>
          <w:p w14:paraId="1D68C40E" w14:textId="77777777" w:rsidR="00BD702C" w:rsidRPr="00BD702C" w:rsidRDefault="00BD702C" w:rsidP="00580E1C">
            <w:pPr>
              <w:numPr>
                <w:ilvl w:val="0"/>
                <w:numId w:val="18"/>
              </w:numPr>
              <w:spacing w:before="60" w:after="60"/>
              <w:rPr>
                <w:rFonts w:ascii="Book Antiqua" w:hAnsi="Book Antiqua"/>
                <w:sz w:val="24"/>
                <w:szCs w:val="24"/>
              </w:rPr>
            </w:pPr>
            <w:r w:rsidRPr="00BD702C">
              <w:rPr>
                <w:rFonts w:ascii="Book Antiqua" w:hAnsi="Book Antiqua"/>
                <w:sz w:val="24"/>
                <w:szCs w:val="24"/>
              </w:rPr>
              <w:t>Requests revision of D.06</w:t>
            </w:r>
            <w:r w:rsidR="00D84A09">
              <w:rPr>
                <w:rFonts w:ascii="Book Antiqua" w:hAnsi="Book Antiqua"/>
                <w:sz w:val="24"/>
                <w:szCs w:val="24"/>
              </w:rPr>
              <w:noBreakHyphen/>
            </w:r>
            <w:r w:rsidRPr="00BD702C">
              <w:rPr>
                <w:rFonts w:ascii="Book Antiqua" w:hAnsi="Book Antiqua"/>
                <w:sz w:val="24"/>
                <w:szCs w:val="24"/>
              </w:rPr>
              <w:t>06</w:t>
            </w:r>
            <w:r w:rsidR="00D84A09">
              <w:rPr>
                <w:rFonts w:ascii="Book Antiqua" w:hAnsi="Book Antiqua"/>
                <w:sz w:val="24"/>
                <w:szCs w:val="24"/>
              </w:rPr>
              <w:noBreakHyphen/>
            </w:r>
            <w:r w:rsidRPr="00BD702C">
              <w:rPr>
                <w:rFonts w:ascii="Book Antiqua" w:hAnsi="Book Antiqua"/>
                <w:sz w:val="24"/>
                <w:szCs w:val="24"/>
              </w:rPr>
              <w:t>066 to include the same confidentiality treatment for CCA customers as provided for IOUs and ESPs.</w:t>
            </w:r>
          </w:p>
        </w:tc>
      </w:tr>
      <w:tr w:rsidR="00BD702C" w:rsidRPr="00BD702C" w14:paraId="2D5999F9" w14:textId="77777777" w:rsidTr="00BD702C">
        <w:tc>
          <w:tcPr>
            <w:tcW w:w="2898" w:type="dxa"/>
          </w:tcPr>
          <w:p w14:paraId="4E643E9D" w14:textId="77777777" w:rsidR="00BD702C" w:rsidRPr="00BD702C" w:rsidRDefault="00BD702C" w:rsidP="00580E1C">
            <w:pPr>
              <w:spacing w:before="60" w:after="60"/>
              <w:rPr>
                <w:rFonts w:ascii="Book Antiqua" w:hAnsi="Book Antiqua"/>
                <w:color w:val="000000"/>
                <w:sz w:val="24"/>
                <w:szCs w:val="24"/>
              </w:rPr>
            </w:pPr>
            <w:r w:rsidRPr="00BD702C">
              <w:rPr>
                <w:rFonts w:ascii="Book Antiqua" w:hAnsi="Book Antiqua"/>
                <w:color w:val="000000"/>
                <w:sz w:val="24"/>
                <w:szCs w:val="24"/>
              </w:rPr>
              <w:t>Lessons Learned</w:t>
            </w:r>
          </w:p>
        </w:tc>
        <w:tc>
          <w:tcPr>
            <w:tcW w:w="6452" w:type="dxa"/>
          </w:tcPr>
          <w:p w14:paraId="76C2E1B3" w14:textId="77777777" w:rsidR="00BD702C" w:rsidRPr="00BD702C" w:rsidRDefault="00BD702C" w:rsidP="00580E1C">
            <w:pPr>
              <w:spacing w:before="60" w:after="60"/>
              <w:rPr>
                <w:rFonts w:ascii="Book Antiqua" w:hAnsi="Book Antiqua"/>
                <w:sz w:val="24"/>
                <w:szCs w:val="24"/>
              </w:rPr>
            </w:pPr>
            <w:r w:rsidRPr="00BD702C">
              <w:rPr>
                <w:rFonts w:ascii="Book Antiqua" w:hAnsi="Book Antiqua"/>
                <w:sz w:val="24"/>
                <w:szCs w:val="24"/>
              </w:rPr>
              <w:t>CPA provided an adequate description of lessons learned.</w:t>
            </w:r>
          </w:p>
        </w:tc>
      </w:tr>
    </w:tbl>
    <w:p w14:paraId="6174A85E" w14:textId="77777777" w:rsidR="00BD702C" w:rsidRPr="00AF5CC4" w:rsidRDefault="00BD702C" w:rsidP="00580E1C">
      <w:pPr>
        <w:keepNext/>
        <w:keepLines/>
        <w:spacing w:before="240" w:after="120" w:line="276" w:lineRule="auto"/>
        <w:outlineLvl w:val="3"/>
        <w:rPr>
          <w:rFonts w:ascii="Book Antiqua" w:eastAsiaTheme="majorEastAsia" w:hAnsi="Book Antiqua" w:cstheme="majorBidi"/>
          <w:b/>
          <w:i/>
          <w:iCs/>
          <w:szCs w:val="26"/>
        </w:rPr>
      </w:pPr>
      <w:r w:rsidRPr="00AF5CC4">
        <w:rPr>
          <w:rFonts w:ascii="Book Antiqua" w:eastAsiaTheme="majorEastAsia" w:hAnsi="Book Antiqua" w:cstheme="majorBidi"/>
          <w:b/>
          <w:i/>
          <w:iCs/>
          <w:szCs w:val="26"/>
        </w:rPr>
        <w:t>Next Steps for CPA</w:t>
      </w:r>
    </w:p>
    <w:p w14:paraId="536BFFDB" w14:textId="77777777" w:rsidR="00BD702C" w:rsidRPr="00580E1C" w:rsidRDefault="00BD702C" w:rsidP="00BD702C">
      <w:pPr>
        <w:spacing w:after="200" w:line="276" w:lineRule="auto"/>
        <w:rPr>
          <w:rFonts w:ascii="Book Antiqua" w:hAnsi="Book Antiqua" w:cstheme="minorBidi"/>
          <w:szCs w:val="26"/>
        </w:rPr>
      </w:pPr>
      <w:r w:rsidRPr="00580E1C">
        <w:rPr>
          <w:rFonts w:ascii="Book Antiqua" w:hAnsi="Book Antiqua" w:cstheme="minorBidi"/>
          <w:b/>
          <w:szCs w:val="26"/>
        </w:rPr>
        <w:t>Action required in this IRP 2017</w:t>
      </w:r>
      <w:r w:rsidR="00D84A09" w:rsidRPr="00580E1C">
        <w:rPr>
          <w:rFonts w:ascii="Book Antiqua" w:hAnsi="Book Antiqua" w:cstheme="minorBidi"/>
          <w:b/>
          <w:szCs w:val="26"/>
        </w:rPr>
        <w:noBreakHyphen/>
      </w:r>
      <w:r w:rsidRPr="00580E1C">
        <w:rPr>
          <w:rFonts w:ascii="Book Antiqua" w:hAnsi="Book Antiqua" w:cstheme="minorBidi"/>
          <w:b/>
          <w:szCs w:val="26"/>
        </w:rPr>
        <w:t>18 cycle</w:t>
      </w:r>
      <w:r w:rsidRPr="00580E1C">
        <w:rPr>
          <w:rFonts w:ascii="Book Antiqua" w:hAnsi="Book Antiqua" w:cstheme="minorBidi"/>
          <w:szCs w:val="26"/>
        </w:rPr>
        <w:t xml:space="preserve">: </w:t>
      </w:r>
      <w:r w:rsidR="00DC47F2" w:rsidRPr="00580E1C">
        <w:rPr>
          <w:rFonts w:ascii="Book Antiqua" w:hAnsi="Book Antiqua" w:cstheme="minorBidi"/>
          <w:szCs w:val="26"/>
        </w:rPr>
        <w:t xml:space="preserve"> </w:t>
      </w:r>
      <w:r w:rsidRPr="00580E1C">
        <w:rPr>
          <w:rFonts w:ascii="Book Antiqua" w:hAnsi="Book Antiqua" w:cstheme="minorBidi"/>
          <w:szCs w:val="26"/>
        </w:rPr>
        <w:t xml:space="preserve">Provide best available estimates of emissions of nitrogen oxides and particulate matter associated with all emitting resources used to serve load, including system power. </w:t>
      </w:r>
      <w:r w:rsidR="00E21DA5" w:rsidRPr="00580E1C">
        <w:rPr>
          <w:rFonts w:ascii="Book Antiqua" w:hAnsi="Book Antiqua" w:cstheme="minorBidi"/>
          <w:szCs w:val="26"/>
        </w:rPr>
        <w:t xml:space="preserve"> </w:t>
      </w:r>
      <w:r w:rsidRPr="00580E1C">
        <w:rPr>
          <w:rFonts w:ascii="Book Antiqua" w:hAnsi="Book Antiqua" w:cstheme="minorBidi"/>
          <w:szCs w:val="26"/>
        </w:rPr>
        <w:t>Refer to pages 19</w:t>
      </w:r>
      <w:r w:rsidR="00D84A09" w:rsidRPr="00580E1C">
        <w:rPr>
          <w:rFonts w:ascii="Book Antiqua" w:hAnsi="Book Antiqua" w:cstheme="minorBidi"/>
          <w:szCs w:val="26"/>
        </w:rPr>
        <w:noBreakHyphen/>
      </w:r>
      <w:r w:rsidRPr="00580E1C">
        <w:rPr>
          <w:rFonts w:ascii="Book Antiqua" w:hAnsi="Book Antiqua" w:cstheme="minorBidi"/>
          <w:szCs w:val="26"/>
        </w:rPr>
        <w:t xml:space="preserve">22 of Desert Community Energy’s IRP filing for </w:t>
      </w:r>
      <w:r w:rsidR="009E6885">
        <w:rPr>
          <w:rFonts w:ascii="Book Antiqua" w:hAnsi="Book Antiqua" w:cstheme="minorBidi"/>
          <w:szCs w:val="26"/>
        </w:rPr>
        <w:t xml:space="preserve">an </w:t>
      </w:r>
      <w:r w:rsidRPr="00580E1C">
        <w:rPr>
          <w:rFonts w:ascii="Book Antiqua" w:hAnsi="Book Antiqua" w:cstheme="minorBidi"/>
          <w:szCs w:val="26"/>
        </w:rPr>
        <w:t>example of the type of information a CCA can provide to fulfill this specific filing requirement.</w:t>
      </w:r>
    </w:p>
    <w:p w14:paraId="71434900" w14:textId="77777777" w:rsidR="00BD702C" w:rsidRPr="00580E1C" w:rsidRDefault="00BD702C" w:rsidP="00E21DA5">
      <w:pPr>
        <w:keepNext/>
        <w:keepLines/>
        <w:spacing w:after="200" w:line="276" w:lineRule="auto"/>
        <w:rPr>
          <w:rFonts w:ascii="Book Antiqua" w:hAnsi="Book Antiqua" w:cstheme="minorBidi"/>
          <w:szCs w:val="26"/>
        </w:rPr>
      </w:pPr>
      <w:r w:rsidRPr="00580E1C">
        <w:rPr>
          <w:rFonts w:ascii="Book Antiqua" w:hAnsi="Book Antiqua" w:cstheme="minorBidi"/>
          <w:b/>
          <w:szCs w:val="26"/>
        </w:rPr>
        <w:t>Guidance for LSE Plan development in the next IRP cycle</w:t>
      </w:r>
      <w:r w:rsidRPr="00580E1C">
        <w:rPr>
          <w:rFonts w:ascii="Book Antiqua" w:hAnsi="Book Antiqua" w:cstheme="minorBidi"/>
          <w:szCs w:val="26"/>
        </w:rPr>
        <w:t>:</w:t>
      </w:r>
    </w:p>
    <w:p w14:paraId="3D547A0A" w14:textId="77777777" w:rsidR="00BD702C" w:rsidRPr="00580E1C" w:rsidRDefault="00BD702C" w:rsidP="00894BE0">
      <w:pPr>
        <w:numPr>
          <w:ilvl w:val="0"/>
          <w:numId w:val="16"/>
        </w:numPr>
        <w:spacing w:after="200" w:line="276" w:lineRule="auto"/>
        <w:rPr>
          <w:rFonts w:ascii="Book Antiqua" w:hAnsi="Book Antiqua"/>
          <w:szCs w:val="26"/>
        </w:rPr>
      </w:pPr>
      <w:r w:rsidRPr="00580E1C">
        <w:rPr>
          <w:rFonts w:ascii="Book Antiqua" w:hAnsi="Book Antiqua"/>
          <w:szCs w:val="26"/>
        </w:rPr>
        <w:t>Use the correct assigned load forecast when developing the Conforming Portfolio.</w:t>
      </w:r>
    </w:p>
    <w:p w14:paraId="6CDAA0FB" w14:textId="77777777" w:rsidR="00BD702C" w:rsidRPr="00580E1C" w:rsidRDefault="00BD702C" w:rsidP="00894BE0">
      <w:pPr>
        <w:numPr>
          <w:ilvl w:val="0"/>
          <w:numId w:val="16"/>
        </w:numPr>
        <w:spacing w:after="200" w:line="276" w:lineRule="auto"/>
        <w:rPr>
          <w:rFonts w:ascii="Book Antiqua" w:hAnsi="Book Antiqua"/>
          <w:szCs w:val="26"/>
        </w:rPr>
      </w:pPr>
      <w:bookmarkStart w:id="61" w:name="_Hlk534976901"/>
      <w:r w:rsidRPr="00580E1C">
        <w:rPr>
          <w:rFonts w:ascii="Book Antiqua" w:hAnsi="Book Antiqua"/>
          <w:szCs w:val="26"/>
        </w:rPr>
        <w:t>When entering a custom GHG</w:t>
      </w:r>
      <w:r w:rsidR="00D84A09" w:rsidRPr="00580E1C">
        <w:rPr>
          <w:rFonts w:ascii="Book Antiqua" w:hAnsi="Book Antiqua"/>
          <w:szCs w:val="26"/>
        </w:rPr>
        <w:noBreakHyphen/>
      </w:r>
      <w:r w:rsidRPr="00580E1C">
        <w:rPr>
          <w:rFonts w:ascii="Book Antiqua" w:hAnsi="Book Antiqua"/>
          <w:szCs w:val="26"/>
        </w:rPr>
        <w:t>free generating resource in the CNS Calculator, identify the specific resource type and provide supporting evidence or rationale for including this resource during the specified hours at these volumes.</w:t>
      </w:r>
    </w:p>
    <w:p w14:paraId="1A5EA4BD" w14:textId="77777777" w:rsidR="00BD702C" w:rsidRPr="00580E1C" w:rsidRDefault="00BD702C" w:rsidP="00AF5CC4">
      <w:pPr>
        <w:keepNext/>
        <w:keepLines/>
        <w:spacing w:before="240" w:after="120" w:line="276" w:lineRule="auto"/>
        <w:outlineLvl w:val="2"/>
        <w:rPr>
          <w:rFonts w:ascii="Book Antiqua" w:eastAsiaTheme="majorEastAsia" w:hAnsi="Book Antiqua" w:cstheme="majorBidi"/>
          <w:b/>
          <w:szCs w:val="26"/>
        </w:rPr>
      </w:pPr>
      <w:bookmarkStart w:id="62" w:name="_Toc868761"/>
      <w:bookmarkEnd w:id="61"/>
      <w:r w:rsidRPr="00580E1C">
        <w:rPr>
          <w:rFonts w:ascii="Book Antiqua" w:eastAsiaTheme="majorEastAsia" w:hAnsi="Book Antiqua" w:cstheme="majorBidi"/>
          <w:b/>
          <w:szCs w:val="26"/>
        </w:rPr>
        <w:t>CleanPowerSF</w:t>
      </w:r>
      <w:bookmarkEnd w:id="62"/>
    </w:p>
    <w:tbl>
      <w:tblPr>
        <w:tblStyle w:val="TableGrid3"/>
        <w:tblW w:w="0" w:type="auto"/>
        <w:tblLook w:val="04A0" w:firstRow="1" w:lastRow="0" w:firstColumn="1" w:lastColumn="0" w:noHBand="0" w:noVBand="1"/>
      </w:tblPr>
      <w:tblGrid>
        <w:gridCol w:w="2898"/>
        <w:gridCol w:w="6452"/>
      </w:tblGrid>
      <w:tr w:rsidR="00BD702C" w:rsidRPr="00D149D6" w14:paraId="3A0F079B" w14:textId="77777777" w:rsidTr="00BD702C">
        <w:tc>
          <w:tcPr>
            <w:tcW w:w="2898" w:type="dxa"/>
          </w:tcPr>
          <w:p w14:paraId="3BE29B56" w14:textId="77777777" w:rsidR="00BD702C" w:rsidRPr="00D149D6" w:rsidRDefault="00BD702C" w:rsidP="00AF5CC4">
            <w:pPr>
              <w:keepNext/>
              <w:keepLines/>
              <w:spacing w:before="60" w:after="60"/>
              <w:jc w:val="center"/>
              <w:rPr>
                <w:rFonts w:ascii="Book Antiqua" w:hAnsi="Book Antiqua"/>
                <w:b/>
                <w:sz w:val="24"/>
                <w:szCs w:val="24"/>
              </w:rPr>
            </w:pPr>
            <w:r w:rsidRPr="00D149D6">
              <w:rPr>
                <w:rFonts w:ascii="Book Antiqua" w:hAnsi="Book Antiqua"/>
                <w:b/>
                <w:sz w:val="24"/>
                <w:szCs w:val="24"/>
              </w:rPr>
              <w:t>Requirement</w:t>
            </w:r>
          </w:p>
        </w:tc>
        <w:tc>
          <w:tcPr>
            <w:tcW w:w="6452" w:type="dxa"/>
          </w:tcPr>
          <w:p w14:paraId="7F6E0050" w14:textId="77777777" w:rsidR="00BD702C" w:rsidRPr="00D149D6" w:rsidRDefault="00BD702C" w:rsidP="00AF5CC4">
            <w:pPr>
              <w:keepNext/>
              <w:keepLines/>
              <w:spacing w:before="60" w:after="60"/>
              <w:jc w:val="center"/>
              <w:rPr>
                <w:rFonts w:ascii="Book Antiqua" w:hAnsi="Book Antiqua"/>
                <w:b/>
                <w:sz w:val="24"/>
                <w:szCs w:val="24"/>
              </w:rPr>
            </w:pPr>
            <w:r w:rsidRPr="00D149D6">
              <w:rPr>
                <w:rFonts w:ascii="Book Antiqua" w:hAnsi="Book Antiqua"/>
                <w:b/>
                <w:sz w:val="24"/>
                <w:szCs w:val="24"/>
              </w:rPr>
              <w:t>Assessment</w:t>
            </w:r>
          </w:p>
        </w:tc>
      </w:tr>
      <w:tr w:rsidR="00BD702C" w:rsidRPr="00D149D6" w14:paraId="52CAF3CD" w14:textId="77777777" w:rsidTr="00BD702C">
        <w:tc>
          <w:tcPr>
            <w:tcW w:w="2898" w:type="dxa"/>
          </w:tcPr>
          <w:p w14:paraId="6DA3999A" w14:textId="77777777" w:rsidR="00BD702C" w:rsidRPr="00D149D6" w:rsidRDefault="00BD702C" w:rsidP="00AF5CC4">
            <w:pPr>
              <w:keepNext/>
              <w:keepLines/>
              <w:spacing w:before="60" w:after="60"/>
              <w:rPr>
                <w:rFonts w:ascii="Book Antiqua" w:hAnsi="Book Antiqua"/>
                <w:sz w:val="24"/>
                <w:szCs w:val="24"/>
              </w:rPr>
            </w:pPr>
            <w:r w:rsidRPr="00D149D6">
              <w:rPr>
                <w:rFonts w:ascii="Book Antiqua" w:hAnsi="Book Antiqua"/>
                <w:sz w:val="24"/>
                <w:szCs w:val="24"/>
              </w:rPr>
              <w:t>Study Design</w:t>
            </w:r>
          </w:p>
        </w:tc>
        <w:tc>
          <w:tcPr>
            <w:tcW w:w="6452" w:type="dxa"/>
          </w:tcPr>
          <w:p w14:paraId="3848900C" w14:textId="77777777" w:rsidR="00BD702C" w:rsidRPr="00D149D6" w:rsidRDefault="00BD702C" w:rsidP="00AF5CC4">
            <w:pPr>
              <w:keepNext/>
              <w:keepLines/>
              <w:spacing w:before="60" w:after="60"/>
              <w:rPr>
                <w:rFonts w:ascii="Book Antiqua" w:hAnsi="Book Antiqua"/>
                <w:sz w:val="24"/>
                <w:szCs w:val="24"/>
              </w:rPr>
            </w:pPr>
            <w:r w:rsidRPr="00D149D6">
              <w:rPr>
                <w:rFonts w:ascii="Book Antiqua" w:hAnsi="Book Antiqua"/>
                <w:sz w:val="24"/>
                <w:szCs w:val="24"/>
              </w:rPr>
              <w:t>CleanPowerSF provided an adequate description of modeling tools and approach used to develop its portfolios.</w:t>
            </w:r>
          </w:p>
        </w:tc>
      </w:tr>
      <w:tr w:rsidR="00BD702C" w:rsidRPr="00D149D6" w14:paraId="6AFADC1B" w14:textId="77777777" w:rsidTr="00BD702C">
        <w:tc>
          <w:tcPr>
            <w:tcW w:w="2898" w:type="dxa"/>
          </w:tcPr>
          <w:p w14:paraId="4EF7D856" w14:textId="77777777" w:rsidR="00BD702C" w:rsidRPr="00D149D6" w:rsidRDefault="00BD702C" w:rsidP="00580E1C">
            <w:pPr>
              <w:spacing w:before="60" w:after="60"/>
              <w:rPr>
                <w:rFonts w:ascii="Book Antiqua" w:hAnsi="Book Antiqua"/>
                <w:sz w:val="24"/>
                <w:szCs w:val="24"/>
              </w:rPr>
            </w:pPr>
            <w:bookmarkStart w:id="63" w:name="_Hlk534025590"/>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Preferred and Conforming Portfolios</w:t>
            </w:r>
          </w:p>
        </w:tc>
        <w:tc>
          <w:tcPr>
            <w:tcW w:w="6452" w:type="dxa"/>
          </w:tcPr>
          <w:p w14:paraId="1533456B"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CleanPowerSF provided a Conforming Portfolio as its Preferred Portfolio showing both existing resources and new resources that it plans to invest in or contract with.</w:t>
            </w:r>
            <w:r w:rsidR="00E21DA5" w:rsidRPr="00D149D6">
              <w:rPr>
                <w:rFonts w:ascii="Book Antiqua" w:hAnsi="Book Antiqua"/>
                <w:sz w:val="24"/>
                <w:szCs w:val="24"/>
              </w:rPr>
              <w:t xml:space="preserve"> </w:t>
            </w:r>
            <w:r w:rsidRPr="00D149D6">
              <w:rPr>
                <w:rFonts w:ascii="Book Antiqua" w:hAnsi="Book Antiqua"/>
                <w:sz w:val="24"/>
                <w:szCs w:val="24"/>
              </w:rPr>
              <w:t xml:space="preserve"> It provided an adequate explanation of the reasons for its preference and how its Preferred Portfolio is consistent with each relevant statutory and administrative requirement.</w:t>
            </w:r>
            <w:r w:rsidR="00E21DA5" w:rsidRPr="00D149D6">
              <w:rPr>
                <w:rFonts w:ascii="Book Antiqua" w:hAnsi="Book Antiqua"/>
                <w:sz w:val="24"/>
                <w:szCs w:val="24"/>
              </w:rPr>
              <w:t xml:space="preserve"> </w:t>
            </w:r>
            <w:r w:rsidRPr="00D149D6">
              <w:rPr>
                <w:rFonts w:ascii="Book Antiqua" w:hAnsi="Book Antiqua"/>
                <w:sz w:val="24"/>
                <w:szCs w:val="24"/>
              </w:rPr>
              <w:t xml:space="preserve"> CleanPowerSF did not submit an optional Alternative Portfolio.</w:t>
            </w:r>
          </w:p>
        </w:tc>
      </w:tr>
      <w:bookmarkEnd w:id="63"/>
      <w:tr w:rsidR="00BD702C" w:rsidRPr="00D149D6" w14:paraId="53985E27" w14:textId="77777777" w:rsidTr="00BD702C">
        <w:tc>
          <w:tcPr>
            <w:tcW w:w="2898" w:type="dxa"/>
          </w:tcPr>
          <w:p w14:paraId="34DAE787"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Local Air Pollutant Minimization</w:t>
            </w:r>
          </w:p>
        </w:tc>
        <w:tc>
          <w:tcPr>
            <w:tcW w:w="6452" w:type="dxa"/>
          </w:tcPr>
          <w:p w14:paraId="4CF0F94A"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CleanPowerSF made no attempt to provide best available estimates of emissions of nitrogen oxides and particulate matter. </w:t>
            </w:r>
            <w:r w:rsidR="00E21DA5" w:rsidRPr="00D149D6">
              <w:rPr>
                <w:rFonts w:ascii="Book Antiqua" w:hAnsi="Book Antiqua"/>
                <w:sz w:val="24"/>
                <w:szCs w:val="24"/>
              </w:rPr>
              <w:t xml:space="preserve"> </w:t>
            </w:r>
            <w:r w:rsidRPr="00D149D6">
              <w:rPr>
                <w:rFonts w:ascii="Book Antiqua" w:hAnsi="Book Antiqua"/>
                <w:sz w:val="24"/>
                <w:szCs w:val="24"/>
              </w:rPr>
              <w:t xml:space="preserve">Identification of disadvantaged communities needs clarification. </w:t>
            </w:r>
          </w:p>
        </w:tc>
      </w:tr>
      <w:tr w:rsidR="00BD702C" w:rsidRPr="00D149D6" w14:paraId="3DFF1BBC" w14:textId="77777777" w:rsidTr="00BD702C">
        <w:tc>
          <w:tcPr>
            <w:tcW w:w="2898" w:type="dxa"/>
          </w:tcPr>
          <w:p w14:paraId="1760E8F2"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Study Results:</w:t>
            </w:r>
            <w:r w:rsidR="00DC47F2" w:rsidRPr="00D149D6">
              <w:rPr>
                <w:rFonts w:ascii="Book Antiqua" w:hAnsi="Book Antiqua"/>
                <w:sz w:val="24"/>
                <w:szCs w:val="24"/>
              </w:rPr>
              <w:t xml:space="preserve"> </w:t>
            </w:r>
            <w:r w:rsidRPr="00D149D6">
              <w:rPr>
                <w:rFonts w:ascii="Book Antiqua" w:hAnsi="Book Antiqua"/>
                <w:sz w:val="24"/>
                <w:szCs w:val="24"/>
              </w:rPr>
              <w:t xml:space="preserve"> Cost and Rate Analysis</w:t>
            </w:r>
          </w:p>
        </w:tc>
        <w:tc>
          <w:tcPr>
            <w:tcW w:w="6452" w:type="dxa"/>
          </w:tcPr>
          <w:p w14:paraId="7BD5392B"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CleanPowerSF provided an adequate description of its approach in considering cost and rate impacts on its customers.</w:t>
            </w:r>
          </w:p>
        </w:tc>
      </w:tr>
      <w:tr w:rsidR="00BD702C" w:rsidRPr="00D149D6" w14:paraId="4C8EE1C0" w14:textId="77777777" w:rsidTr="00BD702C">
        <w:tc>
          <w:tcPr>
            <w:tcW w:w="2898" w:type="dxa"/>
          </w:tcPr>
          <w:p w14:paraId="7ED7D189" w14:textId="77777777" w:rsidR="00BD702C" w:rsidRPr="00D149D6" w:rsidRDefault="00BD702C" w:rsidP="00580E1C">
            <w:pPr>
              <w:spacing w:before="60" w:after="60"/>
              <w:rPr>
                <w:rFonts w:ascii="Book Antiqua" w:hAnsi="Book Antiqua"/>
                <w:sz w:val="24"/>
                <w:szCs w:val="24"/>
              </w:rPr>
            </w:pPr>
            <w:bookmarkStart w:id="64" w:name="_Hlk534204266"/>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Deviations from Current Resource Plans</w:t>
            </w:r>
          </w:p>
        </w:tc>
        <w:tc>
          <w:tcPr>
            <w:tcW w:w="6452" w:type="dxa"/>
          </w:tcPr>
          <w:p w14:paraId="388E7798"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CleanPowerSF provided an adequate description of the differences in quantities and budgets for procurement between its Preferred Plan and currently filed or authorized resource plans.</w:t>
            </w:r>
          </w:p>
        </w:tc>
      </w:tr>
      <w:tr w:rsidR="00BD702C" w:rsidRPr="00D149D6" w14:paraId="7FE80F4D" w14:textId="77777777" w:rsidTr="00BD702C">
        <w:tc>
          <w:tcPr>
            <w:tcW w:w="2898" w:type="dxa"/>
          </w:tcPr>
          <w:p w14:paraId="2077734B" w14:textId="77777777" w:rsidR="00BD702C" w:rsidRPr="00D149D6" w:rsidRDefault="00BD702C" w:rsidP="00580E1C">
            <w:pPr>
              <w:spacing w:before="60" w:after="60"/>
              <w:rPr>
                <w:rFonts w:ascii="Book Antiqua" w:hAnsi="Book Antiqua"/>
                <w:sz w:val="24"/>
                <w:szCs w:val="24"/>
              </w:rPr>
            </w:pPr>
            <w:bookmarkStart w:id="65" w:name="_Hlk534204427"/>
            <w:bookmarkEnd w:id="64"/>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Activities</w:t>
            </w:r>
          </w:p>
        </w:tc>
        <w:tc>
          <w:tcPr>
            <w:tcW w:w="6452" w:type="dxa"/>
          </w:tcPr>
          <w:p w14:paraId="218ED758"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CleanPowerSF did not provide an adequate description of its proposed near</w:t>
            </w:r>
            <w:r w:rsidR="00D84A09" w:rsidRPr="00D149D6">
              <w:rPr>
                <w:rFonts w:ascii="Book Antiqua" w:hAnsi="Book Antiqua"/>
                <w:sz w:val="24"/>
                <w:szCs w:val="24"/>
              </w:rPr>
              <w:noBreakHyphen/>
            </w:r>
            <w:r w:rsidRPr="00D149D6">
              <w:rPr>
                <w:rFonts w:ascii="Book Antiqua" w:hAnsi="Book Antiqua"/>
                <w:sz w:val="24"/>
                <w:szCs w:val="24"/>
              </w:rPr>
              <w:t>term activities to implement its LSE Plan, as it did not provide clear links to its Preferred Portfolio findings.</w:t>
            </w:r>
          </w:p>
        </w:tc>
      </w:tr>
      <w:bookmarkEnd w:id="65"/>
      <w:tr w:rsidR="00BD702C" w:rsidRPr="00D149D6" w14:paraId="0A89A153" w14:textId="77777777" w:rsidTr="00BD702C">
        <w:tc>
          <w:tcPr>
            <w:tcW w:w="2898" w:type="dxa"/>
          </w:tcPr>
          <w:p w14:paraId="049FEFFE" w14:textId="77777777" w:rsidR="00BD702C" w:rsidRPr="00D149D6" w:rsidRDefault="00BD702C" w:rsidP="00580E1C">
            <w:pPr>
              <w:spacing w:before="60" w:after="60"/>
              <w:rPr>
                <w:rFonts w:ascii="Book Antiqua" w:hAnsi="Book Antiqua"/>
                <w:color w:val="000000"/>
                <w:sz w:val="24"/>
                <w:szCs w:val="24"/>
              </w:rPr>
            </w:pPr>
            <w:r w:rsidRPr="00D149D6">
              <w:rPr>
                <w:rFonts w:ascii="Book Antiqua" w:hAnsi="Book Antiqua"/>
                <w:color w:val="000000"/>
                <w:sz w:val="24"/>
                <w:szCs w:val="24"/>
              </w:rPr>
              <w:t>Action Plan:</w:t>
            </w:r>
            <w:r w:rsidR="00DC47F2" w:rsidRPr="00D149D6">
              <w:rPr>
                <w:rFonts w:ascii="Book Antiqua" w:hAnsi="Book Antiqua"/>
                <w:color w:val="000000"/>
                <w:sz w:val="24"/>
                <w:szCs w:val="24"/>
              </w:rPr>
              <w:t xml:space="preserve"> </w:t>
            </w:r>
            <w:r w:rsidRPr="00D149D6">
              <w:rPr>
                <w:rFonts w:ascii="Book Antiqua" w:hAnsi="Book Antiqua"/>
                <w:color w:val="000000"/>
                <w:sz w:val="24"/>
                <w:szCs w:val="24"/>
              </w:rPr>
              <w:t xml:space="preserve"> </w:t>
            </w:r>
            <w:r w:rsidRPr="00D149D6">
              <w:rPr>
                <w:rFonts w:ascii="Book Antiqua" w:hAnsi="Book Antiqua"/>
                <w:sz w:val="24"/>
                <w:szCs w:val="24"/>
              </w:rPr>
              <w:t>Barrier Analysis</w:t>
            </w:r>
          </w:p>
        </w:tc>
        <w:tc>
          <w:tcPr>
            <w:tcW w:w="6452" w:type="dxa"/>
          </w:tcPr>
          <w:p w14:paraId="06C68FDC"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CleanPowerSF provided an adequate description of the market, regulatory, financial, or other barriers or risks associated with its Preferred Portfolio.</w:t>
            </w:r>
          </w:p>
        </w:tc>
      </w:tr>
      <w:tr w:rsidR="00BD702C" w:rsidRPr="00D149D6" w14:paraId="4DDA74B0" w14:textId="77777777" w:rsidTr="00BD702C">
        <w:tc>
          <w:tcPr>
            <w:tcW w:w="2898" w:type="dxa"/>
          </w:tcPr>
          <w:p w14:paraId="5CFE9BAE" w14:textId="77777777" w:rsidR="00BD702C" w:rsidRPr="00D149D6" w:rsidRDefault="00BD702C" w:rsidP="00580E1C">
            <w:pPr>
              <w:spacing w:before="60" w:after="60"/>
              <w:rPr>
                <w:rFonts w:ascii="Book Antiqua" w:hAnsi="Book Antiqua"/>
                <w:color w:val="000000"/>
                <w:sz w:val="24"/>
                <w:szCs w:val="24"/>
              </w:rPr>
            </w:pPr>
            <w:r w:rsidRPr="00D149D6">
              <w:rPr>
                <w:rFonts w:ascii="Book Antiqua" w:hAnsi="Book Antiqua"/>
                <w:color w:val="000000"/>
                <w:sz w:val="24"/>
                <w:szCs w:val="24"/>
              </w:rPr>
              <w:t>Action Plan:</w:t>
            </w:r>
            <w:r w:rsidR="00DC47F2" w:rsidRPr="00D149D6">
              <w:rPr>
                <w:rFonts w:ascii="Book Antiqua" w:hAnsi="Book Antiqua"/>
                <w:color w:val="000000"/>
                <w:sz w:val="24"/>
                <w:szCs w:val="24"/>
              </w:rPr>
              <w:t xml:space="preserve"> </w:t>
            </w:r>
            <w:r w:rsidRPr="00D149D6">
              <w:rPr>
                <w:rFonts w:ascii="Book Antiqua" w:hAnsi="Book Antiqua"/>
                <w:color w:val="000000"/>
                <w:sz w:val="24"/>
                <w:szCs w:val="24"/>
              </w:rPr>
              <w:t xml:space="preserve"> </w:t>
            </w:r>
            <w:r w:rsidRPr="00D149D6">
              <w:rPr>
                <w:rFonts w:ascii="Book Antiqua" w:hAnsi="Book Antiqua"/>
                <w:sz w:val="24"/>
                <w:szCs w:val="24"/>
              </w:rPr>
              <w:t>Proposed Commission Direction</w:t>
            </w:r>
          </w:p>
        </w:tc>
        <w:tc>
          <w:tcPr>
            <w:tcW w:w="6452" w:type="dxa"/>
          </w:tcPr>
          <w:p w14:paraId="2EA75AB2"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CleanPowerSF requested that </w:t>
            </w:r>
            <w:r w:rsidR="00C31396" w:rsidRPr="00D149D6">
              <w:rPr>
                <w:rFonts w:ascii="Book Antiqua" w:hAnsi="Book Antiqua"/>
                <w:sz w:val="24"/>
                <w:szCs w:val="24"/>
              </w:rPr>
              <w:t>Commission</w:t>
            </w:r>
            <w:r w:rsidRPr="00D149D6">
              <w:rPr>
                <w:rFonts w:ascii="Book Antiqua" w:hAnsi="Book Antiqua"/>
                <w:sz w:val="24"/>
                <w:szCs w:val="24"/>
              </w:rPr>
              <w:t xml:space="preserve"> do the following:</w:t>
            </w:r>
          </w:p>
          <w:p w14:paraId="654F3B80" w14:textId="77777777" w:rsidR="00BD702C" w:rsidRPr="00D149D6" w:rsidRDefault="00BD702C" w:rsidP="00580E1C">
            <w:pPr>
              <w:numPr>
                <w:ilvl w:val="0"/>
                <w:numId w:val="16"/>
              </w:numPr>
              <w:spacing w:before="60" w:after="60"/>
              <w:rPr>
                <w:rFonts w:ascii="Book Antiqua" w:hAnsi="Book Antiqua"/>
                <w:sz w:val="24"/>
                <w:szCs w:val="24"/>
              </w:rPr>
            </w:pPr>
            <w:r w:rsidRPr="00D149D6">
              <w:rPr>
                <w:rFonts w:ascii="Book Antiqua" w:hAnsi="Book Antiqua"/>
                <w:sz w:val="24"/>
                <w:szCs w:val="24"/>
              </w:rPr>
              <w:t>Establish a schedule providing sufficient time to accommodate the planning and approval processes of all LSEs</w:t>
            </w:r>
          </w:p>
          <w:p w14:paraId="2BAA795D" w14:textId="77777777" w:rsidR="00BD702C" w:rsidRPr="00D149D6" w:rsidRDefault="00BD702C" w:rsidP="00580E1C">
            <w:pPr>
              <w:numPr>
                <w:ilvl w:val="0"/>
                <w:numId w:val="16"/>
              </w:numPr>
              <w:spacing w:before="60" w:after="60"/>
              <w:rPr>
                <w:rFonts w:ascii="Book Antiqua" w:hAnsi="Book Antiqua"/>
                <w:sz w:val="24"/>
                <w:szCs w:val="24"/>
              </w:rPr>
            </w:pPr>
            <w:r w:rsidRPr="00D149D6">
              <w:rPr>
                <w:rFonts w:ascii="Book Antiqua" w:hAnsi="Book Antiqua"/>
                <w:sz w:val="24"/>
                <w:szCs w:val="24"/>
              </w:rPr>
              <w:t>Correct limitations of RESOLVE model to adequately plan at LSE level</w:t>
            </w:r>
          </w:p>
          <w:p w14:paraId="45FEB2C9" w14:textId="77777777" w:rsidR="00BD702C" w:rsidRPr="00D149D6" w:rsidRDefault="00BD702C" w:rsidP="00580E1C">
            <w:pPr>
              <w:numPr>
                <w:ilvl w:val="0"/>
                <w:numId w:val="16"/>
              </w:numPr>
              <w:spacing w:before="60" w:after="60"/>
              <w:rPr>
                <w:rFonts w:ascii="Book Antiqua" w:hAnsi="Book Antiqua"/>
                <w:sz w:val="24"/>
                <w:szCs w:val="24"/>
              </w:rPr>
            </w:pPr>
            <w:r w:rsidRPr="00D149D6">
              <w:rPr>
                <w:rFonts w:ascii="Book Antiqua" w:hAnsi="Book Antiqua"/>
                <w:sz w:val="24"/>
                <w:szCs w:val="24"/>
              </w:rPr>
              <w:t>Increase the transparency of the RESOLVE model</w:t>
            </w:r>
          </w:p>
          <w:p w14:paraId="571DA63B" w14:textId="77777777" w:rsidR="00BD702C" w:rsidRPr="00D149D6" w:rsidRDefault="00BD702C" w:rsidP="00580E1C">
            <w:pPr>
              <w:numPr>
                <w:ilvl w:val="0"/>
                <w:numId w:val="16"/>
              </w:numPr>
              <w:spacing w:before="60" w:after="60"/>
              <w:rPr>
                <w:rFonts w:ascii="Book Antiqua" w:hAnsi="Book Antiqua"/>
                <w:sz w:val="24"/>
                <w:szCs w:val="24"/>
              </w:rPr>
            </w:pPr>
            <w:r w:rsidRPr="00D149D6">
              <w:rPr>
                <w:rFonts w:ascii="Book Antiqua" w:hAnsi="Book Antiqua"/>
                <w:sz w:val="24"/>
                <w:szCs w:val="24"/>
              </w:rPr>
              <w:t>Correct the assumption that RA capacity procurement is not included in RESOLVE</w:t>
            </w:r>
          </w:p>
          <w:p w14:paraId="277EFDC7"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CleanPowerSF also stated that the use of the CNS hourly GHG accounting method is inconsistent with </w:t>
            </w:r>
            <w:r w:rsidR="006175D2" w:rsidRPr="00D149D6">
              <w:rPr>
                <w:rFonts w:ascii="Book Antiqua" w:hAnsi="Book Antiqua"/>
                <w:sz w:val="24"/>
                <w:szCs w:val="24"/>
              </w:rPr>
              <w:t>the California Air Resources Board’s (</w:t>
            </w:r>
            <w:r w:rsidRPr="00D149D6">
              <w:rPr>
                <w:rFonts w:ascii="Book Antiqua" w:hAnsi="Book Antiqua"/>
                <w:sz w:val="24"/>
                <w:szCs w:val="24"/>
              </w:rPr>
              <w:t>CARB’s</w:t>
            </w:r>
            <w:r w:rsidR="006175D2" w:rsidRPr="00D149D6">
              <w:rPr>
                <w:rFonts w:ascii="Book Antiqua" w:hAnsi="Book Antiqua"/>
                <w:sz w:val="24"/>
                <w:szCs w:val="24"/>
              </w:rPr>
              <w:t>)</w:t>
            </w:r>
            <w:r w:rsidRPr="00D149D6">
              <w:rPr>
                <w:rFonts w:ascii="Book Antiqua" w:hAnsi="Book Antiqua"/>
                <w:sz w:val="24"/>
                <w:szCs w:val="24"/>
              </w:rPr>
              <w:t xml:space="preserve"> annual GHG targets, and that further disaggregation of GHG Emissions Benchmarks may be necessary to ensure an appropriate contribution of different resource types toward statewide GHG reduction goals.</w:t>
            </w:r>
          </w:p>
        </w:tc>
      </w:tr>
      <w:tr w:rsidR="00BD702C" w:rsidRPr="00D149D6" w14:paraId="0EE70D78" w14:textId="77777777" w:rsidTr="00BD702C">
        <w:tc>
          <w:tcPr>
            <w:tcW w:w="2898" w:type="dxa"/>
          </w:tcPr>
          <w:p w14:paraId="50BB6305" w14:textId="77777777" w:rsidR="00BD702C" w:rsidRPr="00D149D6" w:rsidRDefault="00BD702C" w:rsidP="00580E1C">
            <w:pPr>
              <w:spacing w:before="60" w:after="60"/>
              <w:rPr>
                <w:rFonts w:ascii="Book Antiqua" w:hAnsi="Book Antiqua"/>
                <w:color w:val="000000"/>
                <w:sz w:val="24"/>
                <w:szCs w:val="24"/>
              </w:rPr>
            </w:pPr>
            <w:r w:rsidRPr="00D149D6">
              <w:rPr>
                <w:rFonts w:ascii="Book Antiqua" w:hAnsi="Book Antiqua"/>
                <w:color w:val="000000"/>
                <w:sz w:val="24"/>
                <w:szCs w:val="24"/>
              </w:rPr>
              <w:t>Lessons Learned</w:t>
            </w:r>
          </w:p>
        </w:tc>
        <w:tc>
          <w:tcPr>
            <w:tcW w:w="6452" w:type="dxa"/>
          </w:tcPr>
          <w:p w14:paraId="3FD2A3EA"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CleanPowerSF provided an adequate description of lessons learned.</w:t>
            </w:r>
          </w:p>
        </w:tc>
      </w:tr>
    </w:tbl>
    <w:p w14:paraId="50FC76AE" w14:textId="77777777" w:rsidR="00BD702C" w:rsidRPr="00AF5CC4" w:rsidRDefault="00BD702C" w:rsidP="00580E1C">
      <w:pPr>
        <w:keepNext/>
        <w:keepLines/>
        <w:spacing w:before="240" w:after="120" w:line="276" w:lineRule="auto"/>
        <w:outlineLvl w:val="3"/>
        <w:rPr>
          <w:rFonts w:ascii="Book Antiqua" w:eastAsiaTheme="majorEastAsia" w:hAnsi="Book Antiqua" w:cstheme="majorBidi"/>
          <w:b/>
          <w:i/>
          <w:iCs/>
          <w:szCs w:val="24"/>
        </w:rPr>
      </w:pPr>
      <w:r w:rsidRPr="00AF5CC4">
        <w:rPr>
          <w:rFonts w:ascii="Book Antiqua" w:eastAsiaTheme="majorEastAsia" w:hAnsi="Book Antiqua" w:cstheme="majorBidi"/>
          <w:b/>
          <w:i/>
          <w:iCs/>
          <w:szCs w:val="24"/>
        </w:rPr>
        <w:t>Next Steps for CleanPowerSF</w:t>
      </w:r>
    </w:p>
    <w:p w14:paraId="0061D2FF" w14:textId="77777777" w:rsidR="00BD702C" w:rsidRPr="00580E1C" w:rsidRDefault="00BD702C" w:rsidP="00BD702C">
      <w:pPr>
        <w:spacing w:after="200" w:line="276" w:lineRule="auto"/>
        <w:rPr>
          <w:rFonts w:ascii="Book Antiqua" w:hAnsi="Book Antiqua" w:cstheme="minorBidi"/>
          <w:szCs w:val="26"/>
        </w:rPr>
      </w:pPr>
      <w:r w:rsidRPr="00580E1C">
        <w:rPr>
          <w:rFonts w:ascii="Book Antiqua" w:hAnsi="Book Antiqua" w:cstheme="minorBidi"/>
          <w:b/>
          <w:szCs w:val="26"/>
        </w:rPr>
        <w:t>Action required in this IRP 2017</w:t>
      </w:r>
      <w:r w:rsidR="00D84A09" w:rsidRPr="00580E1C">
        <w:rPr>
          <w:rFonts w:ascii="Book Antiqua" w:hAnsi="Book Antiqua" w:cstheme="minorBidi"/>
          <w:b/>
          <w:szCs w:val="26"/>
        </w:rPr>
        <w:noBreakHyphen/>
      </w:r>
      <w:r w:rsidRPr="00580E1C">
        <w:rPr>
          <w:rFonts w:ascii="Book Antiqua" w:hAnsi="Book Antiqua" w:cstheme="minorBidi"/>
          <w:b/>
          <w:szCs w:val="26"/>
        </w:rPr>
        <w:t>18 cycle</w:t>
      </w:r>
      <w:r w:rsidRPr="00580E1C">
        <w:rPr>
          <w:rFonts w:ascii="Book Antiqua" w:hAnsi="Book Antiqua" w:cstheme="minorBidi"/>
          <w:szCs w:val="26"/>
        </w:rPr>
        <w:t>:</w:t>
      </w:r>
    </w:p>
    <w:p w14:paraId="43E835B0" w14:textId="77777777" w:rsidR="00BD702C" w:rsidRPr="00580E1C" w:rsidRDefault="00BD702C" w:rsidP="00894BE0">
      <w:pPr>
        <w:numPr>
          <w:ilvl w:val="0"/>
          <w:numId w:val="16"/>
        </w:numPr>
        <w:spacing w:after="120" w:line="276" w:lineRule="auto"/>
        <w:rPr>
          <w:rFonts w:ascii="Book Antiqua" w:hAnsi="Book Antiqua"/>
          <w:szCs w:val="26"/>
        </w:rPr>
      </w:pPr>
      <w:bookmarkStart w:id="66" w:name="_Hlk536180106"/>
      <w:r w:rsidRPr="00580E1C">
        <w:rPr>
          <w:rFonts w:ascii="Book Antiqua" w:hAnsi="Book Antiqua"/>
          <w:szCs w:val="26"/>
        </w:rPr>
        <w:t xml:space="preserve">Provide best available estimates of emissions of nitrogen oxides and particulate matter associated with all emitting resources used to serve load, including system power. </w:t>
      </w:r>
      <w:bookmarkStart w:id="67" w:name="_Hlk885143"/>
      <w:r w:rsidR="00E21DA5" w:rsidRPr="00580E1C">
        <w:rPr>
          <w:rFonts w:ascii="Book Antiqua" w:hAnsi="Book Antiqua"/>
          <w:szCs w:val="26"/>
        </w:rPr>
        <w:t xml:space="preserve"> </w:t>
      </w:r>
      <w:r w:rsidRPr="00580E1C">
        <w:rPr>
          <w:rFonts w:ascii="Book Antiqua" w:hAnsi="Book Antiqua"/>
          <w:szCs w:val="26"/>
        </w:rPr>
        <w:t>Refer to pages 19</w:t>
      </w:r>
      <w:r w:rsidR="00D84A09" w:rsidRPr="00580E1C">
        <w:rPr>
          <w:rFonts w:ascii="Book Antiqua" w:hAnsi="Book Antiqua"/>
          <w:szCs w:val="26"/>
        </w:rPr>
        <w:noBreakHyphen/>
      </w:r>
      <w:r w:rsidRPr="00580E1C">
        <w:rPr>
          <w:rFonts w:ascii="Book Antiqua" w:hAnsi="Book Antiqua"/>
          <w:szCs w:val="26"/>
        </w:rPr>
        <w:t xml:space="preserve">22 of Desert Community Energy’s IRP filing for </w:t>
      </w:r>
      <w:r w:rsidR="009E6885">
        <w:rPr>
          <w:rFonts w:ascii="Book Antiqua" w:hAnsi="Book Antiqua"/>
          <w:szCs w:val="26"/>
        </w:rPr>
        <w:t xml:space="preserve">an </w:t>
      </w:r>
      <w:r w:rsidRPr="00580E1C">
        <w:rPr>
          <w:rFonts w:ascii="Book Antiqua" w:hAnsi="Book Antiqua"/>
          <w:szCs w:val="26"/>
        </w:rPr>
        <w:t xml:space="preserve">example of the type of information a CCA can provide to fulfill this specific filing requirement. </w:t>
      </w:r>
    </w:p>
    <w:bookmarkEnd w:id="67"/>
    <w:p w14:paraId="3E606B7E" w14:textId="77777777" w:rsidR="00BD702C" w:rsidRPr="00580E1C" w:rsidRDefault="00BD702C" w:rsidP="00894BE0">
      <w:pPr>
        <w:numPr>
          <w:ilvl w:val="0"/>
          <w:numId w:val="16"/>
        </w:numPr>
        <w:spacing w:after="120" w:line="276" w:lineRule="auto"/>
        <w:rPr>
          <w:rFonts w:ascii="Book Antiqua" w:hAnsi="Book Antiqua"/>
          <w:szCs w:val="26"/>
        </w:rPr>
      </w:pPr>
      <w:r w:rsidRPr="00580E1C">
        <w:rPr>
          <w:rFonts w:ascii="Book Antiqua" w:hAnsi="Book Antiqua"/>
          <w:szCs w:val="26"/>
        </w:rPr>
        <w:t>Clarify what percentage of disadvantaged communities in CleanPowerSF’s territory are not completely served by Hetch Hetchy Power.</w:t>
      </w:r>
      <w:bookmarkEnd w:id="66"/>
    </w:p>
    <w:p w14:paraId="14089EBD" w14:textId="77777777" w:rsidR="00BD702C" w:rsidRPr="00580E1C" w:rsidRDefault="00BD702C" w:rsidP="00BD702C">
      <w:pPr>
        <w:spacing w:after="200" w:line="276" w:lineRule="auto"/>
        <w:rPr>
          <w:rFonts w:ascii="Book Antiqua" w:hAnsi="Book Antiqua" w:cstheme="minorBidi"/>
          <w:szCs w:val="26"/>
        </w:rPr>
      </w:pPr>
      <w:r w:rsidRPr="00580E1C">
        <w:rPr>
          <w:rFonts w:ascii="Book Antiqua" w:hAnsi="Book Antiqua" w:cstheme="minorBidi"/>
          <w:b/>
          <w:szCs w:val="26"/>
        </w:rPr>
        <w:t>Guidance for LSE Plan development in the next IRP cycle</w:t>
      </w:r>
      <w:r w:rsidRPr="00580E1C">
        <w:rPr>
          <w:rFonts w:ascii="Book Antiqua" w:hAnsi="Book Antiqua" w:cstheme="minorBidi"/>
          <w:szCs w:val="26"/>
        </w:rPr>
        <w:t xml:space="preserve">: </w:t>
      </w:r>
      <w:r w:rsidR="00DC47F2" w:rsidRPr="00580E1C">
        <w:rPr>
          <w:rFonts w:ascii="Book Antiqua" w:hAnsi="Book Antiqua" w:cstheme="minorBidi"/>
          <w:szCs w:val="26"/>
        </w:rPr>
        <w:t xml:space="preserve"> </w:t>
      </w:r>
      <w:r w:rsidRPr="00580E1C">
        <w:rPr>
          <w:rFonts w:ascii="Book Antiqua" w:hAnsi="Book Antiqua" w:cstheme="minorBidi"/>
          <w:szCs w:val="26"/>
        </w:rPr>
        <w:t>Draw clearer connections between proposed near</w:t>
      </w:r>
      <w:r w:rsidR="00D84A09" w:rsidRPr="00580E1C">
        <w:rPr>
          <w:rFonts w:ascii="Book Antiqua" w:hAnsi="Book Antiqua" w:cstheme="minorBidi"/>
          <w:szCs w:val="26"/>
        </w:rPr>
        <w:noBreakHyphen/>
      </w:r>
      <w:r w:rsidRPr="00580E1C">
        <w:rPr>
          <w:rFonts w:ascii="Book Antiqua" w:hAnsi="Book Antiqua" w:cstheme="minorBidi"/>
          <w:szCs w:val="26"/>
        </w:rPr>
        <w:t xml:space="preserve">term activities and the portfolio study results. </w:t>
      </w:r>
    </w:p>
    <w:p w14:paraId="29BE6399" w14:textId="77777777" w:rsidR="00BD702C" w:rsidRPr="00580E1C" w:rsidRDefault="00BD702C" w:rsidP="000E00E5">
      <w:pPr>
        <w:keepNext/>
        <w:keepLines/>
        <w:spacing w:before="240" w:after="120" w:line="276" w:lineRule="auto"/>
        <w:outlineLvl w:val="2"/>
        <w:rPr>
          <w:rFonts w:ascii="Book Antiqua" w:eastAsiaTheme="majorEastAsia" w:hAnsi="Book Antiqua" w:cstheme="majorBidi"/>
          <w:b/>
          <w:szCs w:val="26"/>
        </w:rPr>
      </w:pPr>
      <w:bookmarkStart w:id="68" w:name="_Toc868762"/>
      <w:r w:rsidRPr="00580E1C">
        <w:rPr>
          <w:rFonts w:ascii="Book Antiqua" w:eastAsiaTheme="majorEastAsia" w:hAnsi="Book Antiqua" w:cstheme="majorBidi"/>
          <w:b/>
          <w:szCs w:val="26"/>
        </w:rPr>
        <w:t>Constellation NewEnergy, Inc.</w:t>
      </w:r>
      <w:bookmarkEnd w:id="68"/>
    </w:p>
    <w:tbl>
      <w:tblPr>
        <w:tblStyle w:val="TableGrid3"/>
        <w:tblW w:w="0" w:type="auto"/>
        <w:tblLook w:val="04A0" w:firstRow="1" w:lastRow="0" w:firstColumn="1" w:lastColumn="0" w:noHBand="0" w:noVBand="1"/>
      </w:tblPr>
      <w:tblGrid>
        <w:gridCol w:w="2761"/>
        <w:gridCol w:w="6589"/>
      </w:tblGrid>
      <w:tr w:rsidR="00BD702C" w:rsidRPr="00D149D6" w14:paraId="383DF92B" w14:textId="77777777" w:rsidTr="00BD702C">
        <w:tc>
          <w:tcPr>
            <w:tcW w:w="2761" w:type="dxa"/>
          </w:tcPr>
          <w:p w14:paraId="07FF9B22" w14:textId="77777777" w:rsidR="00BD702C" w:rsidRPr="00D149D6" w:rsidRDefault="00BD702C" w:rsidP="000E00E5">
            <w:pPr>
              <w:keepLines/>
              <w:spacing w:before="60" w:after="60"/>
              <w:jc w:val="center"/>
              <w:rPr>
                <w:rFonts w:ascii="Book Antiqua" w:hAnsi="Book Antiqua"/>
                <w:b/>
                <w:sz w:val="24"/>
                <w:szCs w:val="24"/>
              </w:rPr>
            </w:pPr>
            <w:r w:rsidRPr="00D149D6">
              <w:rPr>
                <w:rFonts w:ascii="Book Antiqua" w:hAnsi="Book Antiqua"/>
                <w:b/>
                <w:sz w:val="24"/>
                <w:szCs w:val="24"/>
              </w:rPr>
              <w:t>Requirement</w:t>
            </w:r>
          </w:p>
        </w:tc>
        <w:tc>
          <w:tcPr>
            <w:tcW w:w="6589" w:type="dxa"/>
          </w:tcPr>
          <w:p w14:paraId="73EF23D1" w14:textId="77777777" w:rsidR="00BD702C" w:rsidRPr="00D149D6" w:rsidRDefault="00BD702C" w:rsidP="000E00E5">
            <w:pPr>
              <w:keepLines/>
              <w:spacing w:before="60" w:after="60"/>
              <w:jc w:val="center"/>
              <w:rPr>
                <w:rFonts w:ascii="Book Antiqua" w:hAnsi="Book Antiqua"/>
                <w:b/>
                <w:sz w:val="24"/>
                <w:szCs w:val="24"/>
              </w:rPr>
            </w:pPr>
            <w:r w:rsidRPr="00D149D6">
              <w:rPr>
                <w:rFonts w:ascii="Book Antiqua" w:hAnsi="Book Antiqua"/>
                <w:b/>
                <w:sz w:val="24"/>
                <w:szCs w:val="24"/>
              </w:rPr>
              <w:t>Assessment</w:t>
            </w:r>
          </w:p>
        </w:tc>
      </w:tr>
      <w:tr w:rsidR="00BD702C" w:rsidRPr="00D149D6" w14:paraId="16C649D7" w14:textId="77777777" w:rsidTr="00BD702C">
        <w:tc>
          <w:tcPr>
            <w:tcW w:w="2761" w:type="dxa"/>
          </w:tcPr>
          <w:p w14:paraId="3C8CC45B" w14:textId="77777777" w:rsidR="00BD702C" w:rsidRPr="00D149D6" w:rsidRDefault="00BD702C" w:rsidP="000E00E5">
            <w:pPr>
              <w:keepLines/>
              <w:spacing w:before="60" w:after="60"/>
              <w:rPr>
                <w:rFonts w:ascii="Book Antiqua" w:hAnsi="Book Antiqua"/>
                <w:sz w:val="24"/>
                <w:szCs w:val="24"/>
              </w:rPr>
            </w:pPr>
            <w:r w:rsidRPr="00D149D6">
              <w:rPr>
                <w:rFonts w:ascii="Book Antiqua" w:hAnsi="Book Antiqua"/>
                <w:sz w:val="24"/>
                <w:szCs w:val="24"/>
              </w:rPr>
              <w:t>Study Design</w:t>
            </w:r>
          </w:p>
        </w:tc>
        <w:tc>
          <w:tcPr>
            <w:tcW w:w="6589" w:type="dxa"/>
          </w:tcPr>
          <w:p w14:paraId="7F55B9CF" w14:textId="77777777" w:rsidR="00BD702C" w:rsidRPr="00D149D6" w:rsidRDefault="00BD702C" w:rsidP="000E00E5">
            <w:pPr>
              <w:keepLines/>
              <w:spacing w:before="60" w:after="60"/>
              <w:rPr>
                <w:rFonts w:ascii="Book Antiqua" w:hAnsi="Book Antiqua"/>
                <w:sz w:val="24"/>
                <w:szCs w:val="24"/>
              </w:rPr>
            </w:pPr>
            <w:bookmarkStart w:id="69" w:name="_Hlk538824"/>
            <w:r w:rsidRPr="00D149D6">
              <w:rPr>
                <w:rFonts w:ascii="Book Antiqua" w:hAnsi="Book Antiqua"/>
                <w:sz w:val="24"/>
                <w:szCs w:val="24"/>
              </w:rPr>
              <w:t>Constellation NewEnergy, Inc. (</w:t>
            </w:r>
            <w:r w:rsidR="003D6BF5" w:rsidRPr="00D149D6">
              <w:rPr>
                <w:rFonts w:ascii="Book Antiqua" w:hAnsi="Book Antiqua"/>
                <w:sz w:val="24"/>
                <w:szCs w:val="24"/>
              </w:rPr>
              <w:t>Constellation</w:t>
            </w:r>
            <w:r w:rsidRPr="00D149D6">
              <w:rPr>
                <w:rFonts w:ascii="Book Antiqua" w:hAnsi="Book Antiqua"/>
                <w:sz w:val="24"/>
                <w:szCs w:val="24"/>
              </w:rPr>
              <w:t xml:space="preserve">) </w:t>
            </w:r>
            <w:bookmarkEnd w:id="69"/>
            <w:r w:rsidRPr="00D149D6">
              <w:rPr>
                <w:rFonts w:ascii="Book Antiqua" w:hAnsi="Book Antiqua"/>
                <w:sz w:val="24"/>
                <w:szCs w:val="24"/>
              </w:rPr>
              <w:t>provided an adequate description of modeling tools and approach used to develop its portfolios.</w:t>
            </w:r>
          </w:p>
        </w:tc>
      </w:tr>
      <w:tr w:rsidR="00BD702C" w:rsidRPr="00D149D6" w14:paraId="7AC30C00" w14:textId="77777777" w:rsidTr="00BD702C">
        <w:tc>
          <w:tcPr>
            <w:tcW w:w="2761" w:type="dxa"/>
          </w:tcPr>
          <w:p w14:paraId="500B7886" w14:textId="77777777" w:rsidR="00BD702C" w:rsidRPr="00D149D6" w:rsidRDefault="00BD702C" w:rsidP="00AF5CC4">
            <w:pPr>
              <w:keepNext/>
              <w:keepLines/>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Preferred and Conforming Portfolios</w:t>
            </w:r>
          </w:p>
        </w:tc>
        <w:tc>
          <w:tcPr>
            <w:tcW w:w="6589" w:type="dxa"/>
          </w:tcPr>
          <w:p w14:paraId="631B8817" w14:textId="77777777" w:rsidR="00BD702C" w:rsidRPr="00D149D6" w:rsidRDefault="003D6BF5" w:rsidP="00AF5CC4">
            <w:pPr>
              <w:keepNext/>
              <w:keepLines/>
              <w:spacing w:before="60" w:after="60"/>
              <w:rPr>
                <w:rFonts w:ascii="Book Antiqua" w:hAnsi="Book Antiqua"/>
                <w:sz w:val="24"/>
                <w:szCs w:val="24"/>
              </w:rPr>
            </w:pPr>
            <w:r w:rsidRPr="00D149D6">
              <w:rPr>
                <w:rFonts w:ascii="Book Antiqua" w:hAnsi="Book Antiqua"/>
                <w:sz w:val="24"/>
                <w:szCs w:val="24"/>
              </w:rPr>
              <w:t>Constellation</w:t>
            </w:r>
            <w:r w:rsidR="00BD702C" w:rsidRPr="00D149D6">
              <w:rPr>
                <w:rFonts w:ascii="Book Antiqua" w:hAnsi="Book Antiqua"/>
                <w:sz w:val="24"/>
                <w:szCs w:val="24"/>
              </w:rPr>
              <w:t xml:space="preserve"> provided a Conforming Portfolio and an Alternative (Preferred) Portfolio showing both existing resources and new resources that it plans to invest in or contract with. </w:t>
            </w:r>
            <w:r w:rsidR="00E21DA5" w:rsidRPr="00D149D6">
              <w:rPr>
                <w:rFonts w:ascii="Book Antiqua" w:hAnsi="Book Antiqua"/>
                <w:sz w:val="24"/>
                <w:szCs w:val="24"/>
              </w:rPr>
              <w:t xml:space="preserve"> </w:t>
            </w:r>
            <w:r w:rsidR="00BD702C" w:rsidRPr="00D149D6">
              <w:rPr>
                <w:rFonts w:ascii="Book Antiqua" w:hAnsi="Book Antiqua"/>
                <w:sz w:val="24"/>
                <w:szCs w:val="24"/>
              </w:rPr>
              <w:t>It provided an exemplary explanation of the reasons for its preference and how its Preferred Portfolio is consistent with each relevant statutory and administrative requirement, supported by a clear showing of how its load forecast was derived and how its LSE</w:t>
            </w:r>
            <w:r w:rsidR="00D84A09" w:rsidRPr="00D149D6">
              <w:rPr>
                <w:rFonts w:ascii="Book Antiqua" w:hAnsi="Book Antiqua"/>
                <w:sz w:val="24"/>
                <w:szCs w:val="24"/>
              </w:rPr>
              <w:noBreakHyphen/>
            </w:r>
            <w:r w:rsidR="00BD702C" w:rsidRPr="00D149D6">
              <w:rPr>
                <w:rFonts w:ascii="Book Antiqua" w:hAnsi="Book Antiqua"/>
                <w:sz w:val="24"/>
                <w:szCs w:val="24"/>
              </w:rPr>
              <w:t>specific GHG benchmark was calculated.</w:t>
            </w:r>
          </w:p>
          <w:p w14:paraId="3240CB46" w14:textId="77777777" w:rsidR="00BD702C" w:rsidRPr="00D149D6" w:rsidRDefault="00BD702C" w:rsidP="00AF5CC4">
            <w:pPr>
              <w:keepNext/>
              <w:keepLines/>
              <w:spacing w:before="60" w:after="60"/>
              <w:rPr>
                <w:rFonts w:ascii="Book Antiqua" w:hAnsi="Book Antiqua"/>
                <w:sz w:val="24"/>
                <w:szCs w:val="24"/>
              </w:rPr>
            </w:pPr>
            <w:r w:rsidRPr="00D149D6">
              <w:rPr>
                <w:rFonts w:ascii="Book Antiqua" w:hAnsi="Book Antiqua"/>
                <w:sz w:val="24"/>
                <w:szCs w:val="24"/>
              </w:rPr>
              <w:t xml:space="preserve">In its CNS Calculator submissions, </w:t>
            </w:r>
            <w:r w:rsidR="003D6BF5" w:rsidRPr="00D149D6">
              <w:rPr>
                <w:rFonts w:ascii="Book Antiqua" w:hAnsi="Book Antiqua"/>
                <w:sz w:val="24"/>
                <w:szCs w:val="24"/>
              </w:rPr>
              <w:t>Constellation</w:t>
            </w:r>
            <w:r w:rsidRPr="00D149D6">
              <w:rPr>
                <w:rFonts w:ascii="Book Antiqua" w:hAnsi="Book Antiqua"/>
                <w:sz w:val="24"/>
                <w:szCs w:val="24"/>
              </w:rPr>
              <w:t xml:space="preserve"> zeroed out “Fraction of EV owners that can charge at work” without any explanation. </w:t>
            </w:r>
            <w:r w:rsidR="00E21DA5" w:rsidRPr="00D149D6">
              <w:rPr>
                <w:rFonts w:ascii="Book Antiqua" w:hAnsi="Book Antiqua"/>
                <w:sz w:val="24"/>
                <w:szCs w:val="24"/>
              </w:rPr>
              <w:t xml:space="preserve"> </w:t>
            </w:r>
            <w:r w:rsidRPr="00D149D6">
              <w:rPr>
                <w:rFonts w:ascii="Book Antiqua" w:hAnsi="Book Antiqua"/>
                <w:sz w:val="24"/>
                <w:szCs w:val="24"/>
              </w:rPr>
              <w:t>The effect of zeroing out those values was to increase reported portfolio emissions across the planning horizon.</w:t>
            </w:r>
          </w:p>
        </w:tc>
      </w:tr>
      <w:tr w:rsidR="00BD702C" w:rsidRPr="00D149D6" w14:paraId="786D8709" w14:textId="77777777" w:rsidTr="00BD702C">
        <w:tc>
          <w:tcPr>
            <w:tcW w:w="2761" w:type="dxa"/>
          </w:tcPr>
          <w:p w14:paraId="27B05875"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Study Results:</w:t>
            </w:r>
            <w:r w:rsidR="00DC47F2" w:rsidRPr="00D149D6">
              <w:rPr>
                <w:rFonts w:ascii="Book Antiqua" w:hAnsi="Book Antiqua"/>
                <w:sz w:val="24"/>
                <w:szCs w:val="24"/>
              </w:rPr>
              <w:t xml:space="preserve"> </w:t>
            </w:r>
            <w:r w:rsidRPr="00D149D6">
              <w:rPr>
                <w:rFonts w:ascii="Book Antiqua" w:hAnsi="Book Antiqua"/>
                <w:sz w:val="24"/>
                <w:szCs w:val="24"/>
              </w:rPr>
              <w:t xml:space="preserve"> Local Air Pollutant Minimization</w:t>
            </w:r>
          </w:p>
        </w:tc>
        <w:tc>
          <w:tcPr>
            <w:tcW w:w="6589" w:type="dxa"/>
          </w:tcPr>
          <w:p w14:paraId="333E4F1B" w14:textId="77777777" w:rsidR="00BD702C" w:rsidRPr="00D149D6" w:rsidRDefault="003D6BF5" w:rsidP="00580E1C">
            <w:pPr>
              <w:spacing w:before="60" w:after="60"/>
              <w:rPr>
                <w:rFonts w:ascii="Book Antiqua" w:hAnsi="Book Antiqua"/>
                <w:sz w:val="24"/>
                <w:szCs w:val="24"/>
              </w:rPr>
            </w:pPr>
            <w:r w:rsidRPr="00D149D6">
              <w:rPr>
                <w:rFonts w:ascii="Book Antiqua" w:hAnsi="Book Antiqua"/>
                <w:sz w:val="24"/>
                <w:szCs w:val="24"/>
              </w:rPr>
              <w:t>Constellation</w:t>
            </w:r>
            <w:r w:rsidR="00BD702C" w:rsidRPr="00D149D6">
              <w:rPr>
                <w:rFonts w:ascii="Book Antiqua" w:hAnsi="Book Antiqua"/>
                <w:sz w:val="24"/>
                <w:szCs w:val="24"/>
              </w:rPr>
              <w:t xml:space="preserve"> stated that it minimizes localized air pollutants by prioritizing renewable energy but made no attempt to provide best available estimates of emissions of nitrogen oxides and particulate matter for the fossil fuel capacity it has under contract.</w:t>
            </w:r>
            <w:r w:rsidR="00E21DA5" w:rsidRPr="00D149D6">
              <w:rPr>
                <w:rFonts w:ascii="Book Antiqua" w:hAnsi="Book Antiqua"/>
                <w:sz w:val="24"/>
                <w:szCs w:val="24"/>
              </w:rPr>
              <w:t xml:space="preserve"> </w:t>
            </w:r>
            <w:r w:rsidR="00BD702C" w:rsidRPr="00D149D6">
              <w:rPr>
                <w:rFonts w:ascii="Book Antiqua" w:hAnsi="Book Antiqua"/>
                <w:sz w:val="24"/>
                <w:szCs w:val="24"/>
              </w:rPr>
              <w:t xml:space="preserve"> Identification of disadvantaged communities was adequate.</w:t>
            </w:r>
          </w:p>
        </w:tc>
      </w:tr>
      <w:tr w:rsidR="00BD702C" w:rsidRPr="00D149D6" w14:paraId="615A2710" w14:textId="77777777" w:rsidTr="00BD702C">
        <w:tc>
          <w:tcPr>
            <w:tcW w:w="2761" w:type="dxa"/>
          </w:tcPr>
          <w:p w14:paraId="1CE2685F" w14:textId="77777777" w:rsidR="00BD702C" w:rsidRPr="00D149D6" w:rsidRDefault="00BD702C" w:rsidP="00580E1C">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Cost and Rate Analysis</w:t>
            </w:r>
          </w:p>
        </w:tc>
        <w:tc>
          <w:tcPr>
            <w:tcW w:w="6589" w:type="dxa"/>
          </w:tcPr>
          <w:p w14:paraId="34CAC0FB" w14:textId="77777777" w:rsidR="00BD702C" w:rsidRPr="00D149D6" w:rsidRDefault="003D6BF5" w:rsidP="00580E1C">
            <w:pPr>
              <w:spacing w:before="60" w:after="60"/>
              <w:rPr>
                <w:rFonts w:ascii="Book Antiqua" w:hAnsi="Book Antiqua"/>
                <w:sz w:val="24"/>
                <w:szCs w:val="24"/>
              </w:rPr>
            </w:pPr>
            <w:r w:rsidRPr="00D149D6">
              <w:rPr>
                <w:rFonts w:ascii="Book Antiqua" w:hAnsi="Book Antiqua"/>
                <w:sz w:val="24"/>
                <w:szCs w:val="24"/>
              </w:rPr>
              <w:t>Constellation</w:t>
            </w:r>
            <w:r w:rsidR="00BD702C" w:rsidRPr="00D149D6">
              <w:rPr>
                <w:rFonts w:ascii="Book Antiqua" w:hAnsi="Book Antiqua"/>
                <w:sz w:val="24"/>
                <w:szCs w:val="24"/>
              </w:rPr>
              <w:t xml:space="preserve"> provided an adequate description of its approach in considering cost and rate impacts on its customers.</w:t>
            </w:r>
          </w:p>
        </w:tc>
      </w:tr>
      <w:tr w:rsidR="00BD702C" w:rsidRPr="00D149D6" w14:paraId="1B604388" w14:textId="77777777" w:rsidTr="00BD702C">
        <w:tc>
          <w:tcPr>
            <w:tcW w:w="2761" w:type="dxa"/>
          </w:tcPr>
          <w:p w14:paraId="5A996E66" w14:textId="77777777" w:rsidR="00BD702C" w:rsidRPr="00D149D6" w:rsidRDefault="00BD702C" w:rsidP="00580E1C">
            <w:pPr>
              <w:spacing w:before="60" w:after="60"/>
              <w:rPr>
                <w:rFonts w:ascii="Book Antiqua" w:hAnsi="Book Antiqua"/>
                <w:sz w:val="24"/>
                <w:szCs w:val="24"/>
              </w:rPr>
            </w:pPr>
            <w:bookmarkStart w:id="70" w:name="_Hlk534206465"/>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Deviations from Current Resource Plans</w:t>
            </w:r>
          </w:p>
        </w:tc>
        <w:tc>
          <w:tcPr>
            <w:tcW w:w="6589" w:type="dxa"/>
          </w:tcPr>
          <w:p w14:paraId="4B2D13E0" w14:textId="77777777" w:rsidR="00BD702C" w:rsidRPr="00D149D6" w:rsidRDefault="003D6BF5" w:rsidP="00580E1C">
            <w:pPr>
              <w:spacing w:before="60" w:after="60"/>
              <w:rPr>
                <w:rFonts w:ascii="Book Antiqua" w:hAnsi="Book Antiqua"/>
                <w:sz w:val="24"/>
                <w:szCs w:val="24"/>
              </w:rPr>
            </w:pPr>
            <w:r w:rsidRPr="00D149D6">
              <w:rPr>
                <w:rFonts w:ascii="Book Antiqua" w:hAnsi="Book Antiqua"/>
                <w:sz w:val="24"/>
                <w:szCs w:val="24"/>
              </w:rPr>
              <w:t>Constellation</w:t>
            </w:r>
            <w:r w:rsidR="00BD702C" w:rsidRPr="00D149D6">
              <w:rPr>
                <w:rFonts w:ascii="Book Antiqua" w:hAnsi="Book Antiqua"/>
                <w:sz w:val="24"/>
                <w:szCs w:val="24"/>
              </w:rPr>
              <w:t xml:space="preserve"> provided an adequate description of the differences in quantities and budgets for procurement between its Preferred Plan and currently filed or authorized resource plans, stating that although its Conforming and Alternative Portfolios are not identical, they are each consistent with </w:t>
            </w:r>
            <w:r w:rsidR="006175D2" w:rsidRPr="00D149D6">
              <w:rPr>
                <w:rFonts w:ascii="Book Antiqua" w:hAnsi="Book Antiqua"/>
                <w:sz w:val="24"/>
                <w:szCs w:val="24"/>
              </w:rPr>
              <w:t>Constellation’s</w:t>
            </w:r>
            <w:r w:rsidR="00BD702C" w:rsidRPr="00D149D6">
              <w:rPr>
                <w:rFonts w:ascii="Book Antiqua" w:hAnsi="Book Antiqua"/>
                <w:sz w:val="24"/>
                <w:szCs w:val="24"/>
              </w:rPr>
              <w:t xml:space="preserve"> </w:t>
            </w:r>
            <w:r w:rsidR="006175D2" w:rsidRPr="00D149D6">
              <w:rPr>
                <w:rFonts w:ascii="Book Antiqua" w:hAnsi="Book Antiqua"/>
                <w:sz w:val="24"/>
                <w:szCs w:val="24"/>
              </w:rPr>
              <w:t>Renewables Portfolio Standard (R</w:t>
            </w:r>
            <w:r w:rsidR="00BD702C" w:rsidRPr="00D149D6">
              <w:rPr>
                <w:rFonts w:ascii="Book Antiqua" w:hAnsi="Book Antiqua"/>
                <w:sz w:val="24"/>
                <w:szCs w:val="24"/>
              </w:rPr>
              <w:t>PS</w:t>
            </w:r>
            <w:r w:rsidR="006175D2" w:rsidRPr="00D149D6">
              <w:rPr>
                <w:rFonts w:ascii="Book Antiqua" w:hAnsi="Book Antiqua"/>
                <w:sz w:val="24"/>
                <w:szCs w:val="24"/>
              </w:rPr>
              <w:t>)</w:t>
            </w:r>
            <w:r w:rsidR="00BD702C" w:rsidRPr="00D149D6">
              <w:rPr>
                <w:rFonts w:ascii="Book Antiqua" w:hAnsi="Book Antiqua"/>
                <w:sz w:val="24"/>
                <w:szCs w:val="24"/>
              </w:rPr>
              <w:t xml:space="preserve"> Procurement Plan.</w:t>
            </w:r>
          </w:p>
        </w:tc>
      </w:tr>
      <w:bookmarkEnd w:id="70"/>
      <w:tr w:rsidR="00BD702C" w:rsidRPr="00D149D6" w14:paraId="703166EE" w14:textId="77777777" w:rsidTr="00BD702C">
        <w:tc>
          <w:tcPr>
            <w:tcW w:w="2761" w:type="dxa"/>
          </w:tcPr>
          <w:p w14:paraId="570B7300" w14:textId="77777777" w:rsidR="00BD702C" w:rsidRPr="00D149D6" w:rsidRDefault="00BD702C" w:rsidP="00580E1C">
            <w:pPr>
              <w:spacing w:before="60" w:after="60"/>
              <w:rPr>
                <w:rFonts w:ascii="Book Antiqua" w:hAnsi="Book Antiqua"/>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Activities</w:t>
            </w:r>
          </w:p>
        </w:tc>
        <w:tc>
          <w:tcPr>
            <w:tcW w:w="6589" w:type="dxa"/>
          </w:tcPr>
          <w:p w14:paraId="6D47A27C" w14:textId="77777777" w:rsidR="00BD702C" w:rsidRPr="00D149D6" w:rsidRDefault="003D6BF5" w:rsidP="00580E1C">
            <w:pPr>
              <w:spacing w:before="60" w:after="60"/>
              <w:rPr>
                <w:rFonts w:ascii="Book Antiqua" w:hAnsi="Book Antiqua"/>
                <w:sz w:val="24"/>
                <w:szCs w:val="24"/>
              </w:rPr>
            </w:pPr>
            <w:r w:rsidRPr="00D149D6">
              <w:rPr>
                <w:rFonts w:ascii="Book Antiqua" w:hAnsi="Book Antiqua"/>
                <w:sz w:val="24"/>
                <w:szCs w:val="24"/>
              </w:rPr>
              <w:t>Constellation</w:t>
            </w:r>
            <w:r w:rsidR="00BD702C" w:rsidRPr="00D149D6">
              <w:rPr>
                <w:rFonts w:ascii="Book Antiqua" w:hAnsi="Book Antiqua"/>
                <w:sz w:val="24"/>
                <w:szCs w:val="24"/>
              </w:rPr>
              <w:t xml:space="preserve"> provided an adequate description of its proposed near</w:t>
            </w:r>
            <w:r w:rsidR="00D84A09" w:rsidRPr="00D149D6">
              <w:rPr>
                <w:rFonts w:ascii="Book Antiqua" w:hAnsi="Book Antiqua"/>
                <w:sz w:val="24"/>
                <w:szCs w:val="24"/>
              </w:rPr>
              <w:noBreakHyphen/>
            </w:r>
            <w:r w:rsidR="00BD702C" w:rsidRPr="00D149D6">
              <w:rPr>
                <w:rFonts w:ascii="Book Antiqua" w:hAnsi="Book Antiqua"/>
                <w:sz w:val="24"/>
                <w:szCs w:val="24"/>
              </w:rPr>
              <w:t>term activities to implement its LSE Plan along with links to its Preferred Portfolio study results.</w:t>
            </w:r>
          </w:p>
        </w:tc>
      </w:tr>
      <w:tr w:rsidR="00BD702C" w:rsidRPr="00D149D6" w14:paraId="69BA8136" w14:textId="77777777" w:rsidTr="00BD702C">
        <w:tc>
          <w:tcPr>
            <w:tcW w:w="2761" w:type="dxa"/>
          </w:tcPr>
          <w:p w14:paraId="3246AA47" w14:textId="77777777" w:rsidR="00BD702C" w:rsidRPr="00D149D6" w:rsidRDefault="00BD702C" w:rsidP="00580E1C">
            <w:pPr>
              <w:spacing w:before="60" w:after="60"/>
              <w:rPr>
                <w:rFonts w:ascii="Book Antiqua" w:hAnsi="Book Antiqua"/>
                <w:color w:val="000000"/>
                <w:sz w:val="24"/>
                <w:szCs w:val="24"/>
              </w:rPr>
            </w:pPr>
            <w:r w:rsidRPr="00D149D6">
              <w:rPr>
                <w:rFonts w:ascii="Book Antiqua" w:hAnsi="Book Antiqua"/>
                <w:color w:val="000000"/>
                <w:sz w:val="24"/>
                <w:szCs w:val="24"/>
              </w:rPr>
              <w:t>Action Plan:</w:t>
            </w:r>
            <w:r w:rsidR="00DC47F2" w:rsidRPr="00D149D6">
              <w:rPr>
                <w:rFonts w:ascii="Book Antiqua" w:hAnsi="Book Antiqua"/>
                <w:color w:val="000000"/>
                <w:sz w:val="24"/>
                <w:szCs w:val="24"/>
              </w:rPr>
              <w:t xml:space="preserve"> </w:t>
            </w:r>
            <w:r w:rsidRPr="00D149D6">
              <w:rPr>
                <w:rFonts w:ascii="Book Antiqua" w:hAnsi="Book Antiqua"/>
                <w:color w:val="000000"/>
                <w:sz w:val="24"/>
                <w:szCs w:val="24"/>
              </w:rPr>
              <w:t xml:space="preserve"> </w:t>
            </w:r>
            <w:r w:rsidRPr="00D149D6">
              <w:rPr>
                <w:rFonts w:ascii="Book Antiqua" w:hAnsi="Book Antiqua"/>
                <w:sz w:val="24"/>
                <w:szCs w:val="24"/>
              </w:rPr>
              <w:t>Barrier Analysis</w:t>
            </w:r>
          </w:p>
        </w:tc>
        <w:tc>
          <w:tcPr>
            <w:tcW w:w="6589" w:type="dxa"/>
          </w:tcPr>
          <w:p w14:paraId="5BFF3C55" w14:textId="77777777" w:rsidR="00BD702C" w:rsidRPr="00D149D6" w:rsidRDefault="003D6BF5" w:rsidP="00580E1C">
            <w:pPr>
              <w:spacing w:before="60" w:after="60"/>
              <w:rPr>
                <w:rFonts w:ascii="Book Antiqua" w:hAnsi="Book Antiqua"/>
                <w:sz w:val="24"/>
                <w:szCs w:val="24"/>
              </w:rPr>
            </w:pPr>
            <w:r w:rsidRPr="00D149D6">
              <w:rPr>
                <w:rFonts w:ascii="Book Antiqua" w:hAnsi="Book Antiqua"/>
                <w:sz w:val="24"/>
                <w:szCs w:val="24"/>
              </w:rPr>
              <w:t>Constellation</w:t>
            </w:r>
            <w:r w:rsidR="00BD702C" w:rsidRPr="00D149D6">
              <w:rPr>
                <w:rFonts w:ascii="Book Antiqua" w:hAnsi="Book Antiqua"/>
                <w:sz w:val="24"/>
                <w:szCs w:val="24"/>
              </w:rPr>
              <w:t xml:space="preserve"> provided an adequate description of the market, regulatory, financial, or other barriers or risks associated with its Preferred Portfolio.</w:t>
            </w:r>
          </w:p>
        </w:tc>
      </w:tr>
    </w:tbl>
    <w:p w14:paraId="25C4DF4D" w14:textId="77777777" w:rsidR="000E00E5" w:rsidRPr="000E00E5" w:rsidRDefault="000E00E5">
      <w:pPr>
        <w:rPr>
          <w:sz w:val="2"/>
        </w:rPr>
      </w:pPr>
    </w:p>
    <w:tbl>
      <w:tblPr>
        <w:tblStyle w:val="TableGrid3"/>
        <w:tblW w:w="0" w:type="auto"/>
        <w:tblLook w:val="04A0" w:firstRow="1" w:lastRow="0" w:firstColumn="1" w:lastColumn="0" w:noHBand="0" w:noVBand="1"/>
      </w:tblPr>
      <w:tblGrid>
        <w:gridCol w:w="2761"/>
        <w:gridCol w:w="6589"/>
      </w:tblGrid>
      <w:tr w:rsidR="00BD702C" w:rsidRPr="00D149D6" w14:paraId="3FEC6BB8" w14:textId="77777777" w:rsidTr="00BD702C">
        <w:tc>
          <w:tcPr>
            <w:tcW w:w="2761" w:type="dxa"/>
          </w:tcPr>
          <w:p w14:paraId="32FBE9E2" w14:textId="77777777" w:rsidR="00BD702C" w:rsidRPr="00D149D6" w:rsidRDefault="00BD702C" w:rsidP="000E00E5">
            <w:pPr>
              <w:keepNext/>
              <w:keepLines/>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Commission Direction</w:t>
            </w:r>
          </w:p>
        </w:tc>
        <w:tc>
          <w:tcPr>
            <w:tcW w:w="6589" w:type="dxa"/>
          </w:tcPr>
          <w:p w14:paraId="054840D9" w14:textId="77777777" w:rsidR="00BD702C" w:rsidRPr="00D149D6" w:rsidRDefault="003D6BF5" w:rsidP="000E00E5">
            <w:pPr>
              <w:keepNext/>
              <w:keepLines/>
              <w:spacing w:before="60" w:after="60"/>
              <w:rPr>
                <w:rFonts w:ascii="Book Antiqua" w:hAnsi="Book Antiqua"/>
                <w:sz w:val="24"/>
                <w:szCs w:val="24"/>
              </w:rPr>
            </w:pPr>
            <w:r w:rsidRPr="00D149D6">
              <w:rPr>
                <w:rFonts w:ascii="Book Antiqua" w:hAnsi="Book Antiqua"/>
                <w:sz w:val="24"/>
                <w:szCs w:val="24"/>
              </w:rPr>
              <w:t>Constellation</w:t>
            </w:r>
            <w:r w:rsidR="00BD702C" w:rsidRPr="00D149D6">
              <w:rPr>
                <w:rFonts w:ascii="Book Antiqua" w:hAnsi="Book Antiqua"/>
                <w:sz w:val="24"/>
                <w:szCs w:val="24"/>
              </w:rPr>
              <w:t xml:space="preserve"> stated that it is not seeking any Commission direction at this time.</w:t>
            </w:r>
          </w:p>
        </w:tc>
      </w:tr>
      <w:tr w:rsidR="00BD702C" w:rsidRPr="00D149D6" w14:paraId="06D1AB28" w14:textId="77777777" w:rsidTr="00BD702C">
        <w:tc>
          <w:tcPr>
            <w:tcW w:w="2761" w:type="dxa"/>
          </w:tcPr>
          <w:p w14:paraId="6BED5618" w14:textId="77777777" w:rsidR="00BD702C" w:rsidRPr="00D149D6" w:rsidRDefault="00BD702C" w:rsidP="00580E1C">
            <w:pPr>
              <w:spacing w:before="60" w:after="60"/>
              <w:rPr>
                <w:rFonts w:ascii="Book Antiqua" w:hAnsi="Book Antiqua"/>
                <w:color w:val="000000"/>
                <w:sz w:val="24"/>
                <w:szCs w:val="24"/>
              </w:rPr>
            </w:pPr>
            <w:r w:rsidRPr="00D149D6">
              <w:rPr>
                <w:rFonts w:ascii="Book Antiqua" w:hAnsi="Book Antiqua"/>
                <w:color w:val="000000"/>
                <w:sz w:val="24"/>
                <w:szCs w:val="24"/>
              </w:rPr>
              <w:t>Lessons Learned</w:t>
            </w:r>
          </w:p>
        </w:tc>
        <w:tc>
          <w:tcPr>
            <w:tcW w:w="6589" w:type="dxa"/>
          </w:tcPr>
          <w:p w14:paraId="0B0CD846" w14:textId="77777777" w:rsidR="00BD702C" w:rsidRPr="00D149D6" w:rsidRDefault="003D6BF5" w:rsidP="00580E1C">
            <w:pPr>
              <w:spacing w:before="60" w:after="60"/>
              <w:rPr>
                <w:rFonts w:ascii="Book Antiqua" w:hAnsi="Book Antiqua"/>
                <w:sz w:val="24"/>
                <w:szCs w:val="24"/>
              </w:rPr>
            </w:pPr>
            <w:r w:rsidRPr="00D149D6">
              <w:rPr>
                <w:rFonts w:ascii="Book Antiqua" w:hAnsi="Book Antiqua"/>
                <w:sz w:val="24"/>
                <w:szCs w:val="24"/>
              </w:rPr>
              <w:t>Constellation</w:t>
            </w:r>
            <w:r w:rsidR="00BD702C" w:rsidRPr="00D149D6">
              <w:rPr>
                <w:rFonts w:ascii="Book Antiqua" w:hAnsi="Book Antiqua"/>
                <w:sz w:val="24"/>
                <w:szCs w:val="24"/>
              </w:rPr>
              <w:t xml:space="preserve"> provided an adequate description of lessons learned.</w:t>
            </w:r>
          </w:p>
        </w:tc>
      </w:tr>
    </w:tbl>
    <w:p w14:paraId="349FDA13" w14:textId="77777777" w:rsidR="00BD702C" w:rsidRPr="00AF5CC4" w:rsidRDefault="00BD702C" w:rsidP="00580E1C">
      <w:pPr>
        <w:keepNext/>
        <w:keepLines/>
        <w:spacing w:before="240" w:after="120" w:line="276" w:lineRule="auto"/>
        <w:outlineLvl w:val="3"/>
        <w:rPr>
          <w:rFonts w:ascii="Book Antiqua" w:eastAsiaTheme="majorEastAsia" w:hAnsi="Book Antiqua" w:cstheme="majorBidi"/>
          <w:b/>
          <w:i/>
          <w:iCs/>
          <w:szCs w:val="24"/>
        </w:rPr>
      </w:pPr>
      <w:r w:rsidRPr="00AF5CC4">
        <w:rPr>
          <w:rFonts w:ascii="Book Antiqua" w:eastAsiaTheme="majorEastAsia" w:hAnsi="Book Antiqua" w:cstheme="majorBidi"/>
          <w:b/>
          <w:i/>
          <w:iCs/>
          <w:szCs w:val="24"/>
        </w:rPr>
        <w:t xml:space="preserve">Next Steps for </w:t>
      </w:r>
      <w:r w:rsidR="003D6BF5" w:rsidRPr="00AF5CC4">
        <w:rPr>
          <w:rFonts w:ascii="Book Antiqua" w:eastAsiaTheme="majorEastAsia" w:hAnsi="Book Antiqua" w:cstheme="majorBidi"/>
          <w:b/>
          <w:i/>
          <w:iCs/>
          <w:szCs w:val="24"/>
        </w:rPr>
        <w:t>Constellation</w:t>
      </w:r>
    </w:p>
    <w:p w14:paraId="737DDBBF" w14:textId="77777777" w:rsidR="00BD702C" w:rsidRPr="00580E1C" w:rsidRDefault="00BD702C" w:rsidP="00BD702C">
      <w:pPr>
        <w:spacing w:after="200" w:line="276" w:lineRule="auto"/>
        <w:rPr>
          <w:rFonts w:ascii="Book Antiqua" w:hAnsi="Book Antiqua" w:cstheme="minorBidi"/>
          <w:szCs w:val="26"/>
        </w:rPr>
      </w:pPr>
      <w:r w:rsidRPr="00580E1C">
        <w:rPr>
          <w:rFonts w:ascii="Book Antiqua" w:hAnsi="Book Antiqua" w:cstheme="minorBidi"/>
          <w:b/>
          <w:szCs w:val="26"/>
        </w:rPr>
        <w:t>Action required in this IRP 2017</w:t>
      </w:r>
      <w:r w:rsidR="00D84A09" w:rsidRPr="00580E1C">
        <w:rPr>
          <w:rFonts w:ascii="Book Antiqua" w:hAnsi="Book Antiqua" w:cstheme="minorBidi"/>
          <w:b/>
          <w:szCs w:val="26"/>
        </w:rPr>
        <w:noBreakHyphen/>
      </w:r>
      <w:r w:rsidRPr="00580E1C">
        <w:rPr>
          <w:rFonts w:ascii="Book Antiqua" w:hAnsi="Book Antiqua" w:cstheme="minorBidi"/>
          <w:b/>
          <w:szCs w:val="26"/>
        </w:rPr>
        <w:t>18 cycle</w:t>
      </w:r>
      <w:r w:rsidRPr="00580E1C">
        <w:rPr>
          <w:rFonts w:ascii="Book Antiqua" w:hAnsi="Book Antiqua" w:cstheme="minorBidi"/>
          <w:szCs w:val="26"/>
        </w:rPr>
        <w:t xml:space="preserve">: </w:t>
      </w:r>
      <w:r w:rsidR="00DC47F2" w:rsidRPr="00580E1C">
        <w:rPr>
          <w:rFonts w:ascii="Book Antiqua" w:hAnsi="Book Antiqua" w:cstheme="minorBidi"/>
          <w:szCs w:val="26"/>
        </w:rPr>
        <w:t xml:space="preserve"> </w:t>
      </w:r>
      <w:r w:rsidRPr="00580E1C">
        <w:rPr>
          <w:rFonts w:ascii="Book Antiqua" w:hAnsi="Book Antiqua" w:cstheme="minorBidi"/>
          <w:szCs w:val="26"/>
        </w:rPr>
        <w:t xml:space="preserve">Provide best available estimates of emissions of nitrogen oxides and particulate matter associated with all emitting resources used to serve load, including system power. </w:t>
      </w:r>
      <w:r w:rsidR="00E21DA5" w:rsidRPr="00580E1C">
        <w:rPr>
          <w:rFonts w:ascii="Book Antiqua" w:hAnsi="Book Antiqua" w:cstheme="minorBidi"/>
          <w:szCs w:val="26"/>
        </w:rPr>
        <w:t xml:space="preserve"> </w:t>
      </w:r>
      <w:r w:rsidRPr="00580E1C">
        <w:rPr>
          <w:rFonts w:ascii="Book Antiqua" w:hAnsi="Book Antiqua" w:cstheme="minorBidi"/>
          <w:i/>
          <w:szCs w:val="26"/>
        </w:rPr>
        <w:t>See</w:t>
      </w:r>
      <w:r w:rsidRPr="00580E1C">
        <w:rPr>
          <w:rFonts w:ascii="Book Antiqua" w:hAnsi="Book Antiqua" w:cstheme="minorBidi"/>
          <w:szCs w:val="26"/>
        </w:rPr>
        <w:t xml:space="preserve"> page 16 of Calpine Energy Solutions’ plan for an example of the type of information an ESP can provide to fulfill this specific filing requirement.</w:t>
      </w:r>
    </w:p>
    <w:p w14:paraId="3E642E37" w14:textId="77777777" w:rsidR="00BD702C" w:rsidRPr="00580E1C" w:rsidRDefault="00BD702C" w:rsidP="00BD702C">
      <w:pPr>
        <w:spacing w:after="200" w:line="276" w:lineRule="auto"/>
        <w:rPr>
          <w:rFonts w:ascii="Book Antiqua" w:hAnsi="Book Antiqua" w:cstheme="minorBidi"/>
          <w:szCs w:val="26"/>
        </w:rPr>
      </w:pPr>
      <w:r w:rsidRPr="00580E1C">
        <w:rPr>
          <w:rFonts w:ascii="Book Antiqua" w:hAnsi="Book Antiqua" w:cstheme="minorBidi"/>
          <w:b/>
          <w:szCs w:val="26"/>
        </w:rPr>
        <w:t>Guidance for LSE Plan development in the next IRP cycle</w:t>
      </w:r>
      <w:r w:rsidRPr="00580E1C">
        <w:rPr>
          <w:rFonts w:ascii="Book Antiqua" w:hAnsi="Book Antiqua" w:cstheme="minorBidi"/>
          <w:szCs w:val="26"/>
        </w:rPr>
        <w:t xml:space="preserve">: </w:t>
      </w:r>
      <w:r w:rsidR="00DC47F2" w:rsidRPr="00580E1C">
        <w:rPr>
          <w:rFonts w:ascii="Book Antiqua" w:hAnsi="Book Antiqua" w:cstheme="minorBidi"/>
          <w:szCs w:val="26"/>
        </w:rPr>
        <w:t xml:space="preserve"> </w:t>
      </w:r>
      <w:r w:rsidRPr="00580E1C">
        <w:rPr>
          <w:rFonts w:ascii="Book Antiqua" w:hAnsi="Book Antiqua" w:cstheme="minorBidi"/>
          <w:szCs w:val="26"/>
        </w:rPr>
        <w:t>When modifying default load modifier inputs in the CNS Calculator, provide supporting evidence or rationale for making those modifications.</w:t>
      </w:r>
    </w:p>
    <w:p w14:paraId="244DC953" w14:textId="77777777" w:rsidR="00BD702C" w:rsidRPr="00580E1C" w:rsidRDefault="00BD702C" w:rsidP="00671FAB">
      <w:pPr>
        <w:keepNext/>
        <w:keepLines/>
        <w:spacing w:before="240" w:after="120" w:line="276" w:lineRule="auto"/>
        <w:outlineLvl w:val="2"/>
        <w:rPr>
          <w:rFonts w:ascii="Book Antiqua" w:eastAsiaTheme="majorEastAsia" w:hAnsi="Book Antiqua" w:cstheme="majorBidi"/>
          <w:b/>
          <w:szCs w:val="26"/>
        </w:rPr>
      </w:pPr>
      <w:bookmarkStart w:id="71" w:name="_Toc868763"/>
      <w:r w:rsidRPr="00580E1C">
        <w:rPr>
          <w:rFonts w:ascii="Book Antiqua" w:eastAsiaTheme="majorEastAsia" w:hAnsi="Book Antiqua" w:cstheme="majorBidi"/>
          <w:b/>
          <w:szCs w:val="26"/>
        </w:rPr>
        <w:t>Desert Community Energy</w:t>
      </w:r>
      <w:bookmarkEnd w:id="71"/>
    </w:p>
    <w:tbl>
      <w:tblPr>
        <w:tblStyle w:val="TableGrid3"/>
        <w:tblW w:w="0" w:type="auto"/>
        <w:tblLook w:val="04A0" w:firstRow="1" w:lastRow="0" w:firstColumn="1" w:lastColumn="0" w:noHBand="0" w:noVBand="1"/>
      </w:tblPr>
      <w:tblGrid>
        <w:gridCol w:w="2898"/>
        <w:gridCol w:w="6452"/>
      </w:tblGrid>
      <w:tr w:rsidR="00BD702C" w:rsidRPr="00D149D6" w14:paraId="0AB1848A" w14:textId="77777777" w:rsidTr="00BD702C">
        <w:tc>
          <w:tcPr>
            <w:tcW w:w="2898" w:type="dxa"/>
          </w:tcPr>
          <w:p w14:paraId="57314AB8" w14:textId="77777777" w:rsidR="00BD702C" w:rsidRPr="00D149D6" w:rsidRDefault="00BD702C" w:rsidP="005821A1">
            <w:pPr>
              <w:keepNext/>
              <w:keepLines/>
              <w:spacing w:before="60" w:after="60"/>
              <w:jc w:val="center"/>
              <w:rPr>
                <w:rFonts w:ascii="Book Antiqua" w:hAnsi="Book Antiqua"/>
                <w:b/>
                <w:sz w:val="24"/>
                <w:szCs w:val="24"/>
              </w:rPr>
            </w:pPr>
            <w:r w:rsidRPr="00D149D6">
              <w:rPr>
                <w:rFonts w:ascii="Book Antiqua" w:hAnsi="Book Antiqua"/>
                <w:b/>
                <w:sz w:val="24"/>
                <w:szCs w:val="24"/>
              </w:rPr>
              <w:t>Requirement</w:t>
            </w:r>
          </w:p>
        </w:tc>
        <w:tc>
          <w:tcPr>
            <w:tcW w:w="6452" w:type="dxa"/>
          </w:tcPr>
          <w:p w14:paraId="190C5F52" w14:textId="77777777" w:rsidR="00BD702C" w:rsidRPr="00D149D6" w:rsidRDefault="00BD702C" w:rsidP="005821A1">
            <w:pPr>
              <w:keepNext/>
              <w:keepLines/>
              <w:spacing w:before="60" w:after="60"/>
              <w:jc w:val="center"/>
              <w:rPr>
                <w:rFonts w:ascii="Book Antiqua" w:hAnsi="Book Antiqua"/>
                <w:b/>
                <w:sz w:val="24"/>
                <w:szCs w:val="24"/>
              </w:rPr>
            </w:pPr>
            <w:r w:rsidRPr="00D149D6">
              <w:rPr>
                <w:rFonts w:ascii="Book Antiqua" w:hAnsi="Book Antiqua"/>
                <w:b/>
                <w:sz w:val="24"/>
                <w:szCs w:val="24"/>
              </w:rPr>
              <w:t>Assessment</w:t>
            </w:r>
          </w:p>
        </w:tc>
      </w:tr>
      <w:tr w:rsidR="00BD702C" w:rsidRPr="00D149D6" w14:paraId="5BE3B87C" w14:textId="77777777" w:rsidTr="00BD702C">
        <w:tc>
          <w:tcPr>
            <w:tcW w:w="2898" w:type="dxa"/>
          </w:tcPr>
          <w:p w14:paraId="57365B01"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Study Design</w:t>
            </w:r>
          </w:p>
        </w:tc>
        <w:tc>
          <w:tcPr>
            <w:tcW w:w="6452" w:type="dxa"/>
          </w:tcPr>
          <w:p w14:paraId="5B4E0A08" w14:textId="77777777" w:rsidR="00BD702C" w:rsidRPr="00D149D6" w:rsidRDefault="00BD702C" w:rsidP="005821A1">
            <w:pPr>
              <w:spacing w:before="60" w:after="60"/>
              <w:rPr>
                <w:rFonts w:ascii="Book Antiqua" w:hAnsi="Book Antiqua"/>
                <w:sz w:val="24"/>
                <w:szCs w:val="24"/>
              </w:rPr>
            </w:pPr>
            <w:bookmarkStart w:id="72" w:name="_Hlk538831"/>
            <w:r w:rsidRPr="00D149D6">
              <w:rPr>
                <w:rFonts w:ascii="Book Antiqua" w:hAnsi="Book Antiqua"/>
                <w:sz w:val="24"/>
                <w:szCs w:val="24"/>
              </w:rPr>
              <w:t>Desert Community Energy (</w:t>
            </w:r>
            <w:r w:rsidR="003D6BF5" w:rsidRPr="00D149D6">
              <w:rPr>
                <w:rFonts w:ascii="Book Antiqua" w:hAnsi="Book Antiqua"/>
                <w:sz w:val="24"/>
                <w:szCs w:val="24"/>
              </w:rPr>
              <w:t>Desert</w:t>
            </w:r>
            <w:r w:rsidRPr="00D149D6">
              <w:rPr>
                <w:rFonts w:ascii="Book Antiqua" w:hAnsi="Book Antiqua"/>
                <w:sz w:val="24"/>
                <w:szCs w:val="24"/>
              </w:rPr>
              <w:t xml:space="preserve">) </w:t>
            </w:r>
            <w:bookmarkEnd w:id="72"/>
            <w:r w:rsidRPr="00D149D6">
              <w:rPr>
                <w:rFonts w:ascii="Book Antiqua" w:hAnsi="Book Antiqua"/>
                <w:sz w:val="24"/>
                <w:szCs w:val="24"/>
              </w:rPr>
              <w:t>provided an adequate description of modeling tools and approach used to develop its portfolios.</w:t>
            </w:r>
          </w:p>
        </w:tc>
      </w:tr>
      <w:tr w:rsidR="00BD702C" w:rsidRPr="00D149D6" w14:paraId="3D922F9A" w14:textId="77777777" w:rsidTr="00BD702C">
        <w:tc>
          <w:tcPr>
            <w:tcW w:w="2898" w:type="dxa"/>
          </w:tcPr>
          <w:p w14:paraId="4A29563F"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Study Results:</w:t>
            </w:r>
            <w:r w:rsidR="00DC47F2" w:rsidRPr="00D149D6">
              <w:rPr>
                <w:rFonts w:ascii="Book Antiqua" w:hAnsi="Book Antiqua"/>
                <w:sz w:val="24"/>
                <w:szCs w:val="24"/>
              </w:rPr>
              <w:t xml:space="preserve"> </w:t>
            </w:r>
            <w:r w:rsidRPr="00D149D6">
              <w:rPr>
                <w:rFonts w:ascii="Book Antiqua" w:hAnsi="Book Antiqua"/>
                <w:sz w:val="24"/>
                <w:szCs w:val="24"/>
              </w:rPr>
              <w:t xml:space="preserve"> Preferred and Conforming Portfolios</w:t>
            </w:r>
          </w:p>
        </w:tc>
        <w:tc>
          <w:tcPr>
            <w:tcW w:w="6452" w:type="dxa"/>
          </w:tcPr>
          <w:p w14:paraId="2EDE89A0"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Desert</w:t>
            </w:r>
            <w:r w:rsidR="00BD702C" w:rsidRPr="00D149D6">
              <w:rPr>
                <w:rFonts w:ascii="Book Antiqua" w:hAnsi="Book Antiqua"/>
                <w:sz w:val="24"/>
                <w:szCs w:val="24"/>
              </w:rPr>
              <w:t xml:space="preserve"> provided a Conforming Portfolio and an Alternative (Preferred) Portfolio showing both existing resources and new resources that it plans to invest in or contract with. </w:t>
            </w:r>
            <w:r w:rsidR="00E21DA5" w:rsidRPr="00D149D6">
              <w:rPr>
                <w:rFonts w:ascii="Book Antiqua" w:hAnsi="Book Antiqua"/>
                <w:sz w:val="24"/>
                <w:szCs w:val="24"/>
              </w:rPr>
              <w:t xml:space="preserve"> </w:t>
            </w:r>
            <w:r w:rsidR="00BD702C" w:rsidRPr="00D149D6">
              <w:rPr>
                <w:rFonts w:ascii="Book Antiqua" w:hAnsi="Book Antiqua"/>
                <w:sz w:val="24"/>
                <w:szCs w:val="24"/>
              </w:rPr>
              <w:t>It provided an adequate explanation of the reasons for its preference and how its Preferred Portfolio is consistent with each relevant statutory and administrative requirement.</w:t>
            </w:r>
          </w:p>
          <w:p w14:paraId="2A5297B1"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 xml:space="preserve">Desert </w:t>
            </w:r>
            <w:r w:rsidR="00BD702C" w:rsidRPr="00D149D6">
              <w:rPr>
                <w:rFonts w:ascii="Book Antiqua" w:hAnsi="Book Antiqua"/>
                <w:sz w:val="24"/>
                <w:szCs w:val="24"/>
              </w:rPr>
              <w:t>incorrectly assumed that its Conforming Portfolio must contain a proportional load</w:t>
            </w:r>
            <w:r w:rsidR="00D84A09" w:rsidRPr="00D149D6">
              <w:rPr>
                <w:rFonts w:ascii="Book Antiqua" w:hAnsi="Book Antiqua"/>
                <w:sz w:val="24"/>
                <w:szCs w:val="24"/>
              </w:rPr>
              <w:noBreakHyphen/>
            </w:r>
            <w:r w:rsidR="00BD702C" w:rsidRPr="00D149D6">
              <w:rPr>
                <w:rFonts w:ascii="Book Antiqua" w:hAnsi="Book Antiqua"/>
                <w:sz w:val="24"/>
                <w:szCs w:val="24"/>
              </w:rPr>
              <w:t xml:space="preserve">weighted share of the Reference System Portfolio adopted by the Commission. </w:t>
            </w:r>
            <w:r w:rsidR="00E21DA5" w:rsidRPr="00D149D6">
              <w:rPr>
                <w:rFonts w:ascii="Book Antiqua" w:hAnsi="Book Antiqua"/>
                <w:sz w:val="24"/>
                <w:szCs w:val="24"/>
              </w:rPr>
              <w:t xml:space="preserve"> </w:t>
            </w:r>
            <w:r w:rsidR="00BD702C" w:rsidRPr="00D149D6">
              <w:rPr>
                <w:rFonts w:ascii="Book Antiqua" w:hAnsi="Book Antiqua"/>
                <w:sz w:val="24"/>
                <w:szCs w:val="24"/>
              </w:rPr>
              <w:t xml:space="preserve">Although </w:t>
            </w:r>
            <w:r w:rsidRPr="00D149D6">
              <w:rPr>
                <w:rFonts w:ascii="Book Antiqua" w:hAnsi="Book Antiqua"/>
                <w:sz w:val="24"/>
                <w:szCs w:val="24"/>
              </w:rPr>
              <w:t>Desert’s</w:t>
            </w:r>
            <w:r w:rsidR="00BD702C" w:rsidRPr="00D149D6">
              <w:rPr>
                <w:rFonts w:ascii="Book Antiqua" w:hAnsi="Book Antiqua"/>
                <w:sz w:val="24"/>
                <w:szCs w:val="24"/>
              </w:rPr>
              <w:t xml:space="preserve"> Conforming Portfolio does not meet its GHG Benchmark, its Preferred Portfolio does.</w:t>
            </w:r>
          </w:p>
        </w:tc>
      </w:tr>
      <w:tr w:rsidR="00BD702C" w:rsidRPr="00D149D6" w14:paraId="3B004414" w14:textId="77777777" w:rsidTr="00BD702C">
        <w:tc>
          <w:tcPr>
            <w:tcW w:w="2898" w:type="dxa"/>
          </w:tcPr>
          <w:p w14:paraId="2C38F9AB" w14:textId="77777777" w:rsidR="00BD702C" w:rsidRPr="00D149D6" w:rsidRDefault="00BD702C" w:rsidP="000E00E5">
            <w:pPr>
              <w:keepNext/>
              <w:keepLines/>
              <w:spacing w:before="60" w:after="60"/>
              <w:rPr>
                <w:rFonts w:ascii="Book Antiqua" w:hAnsi="Book Antiqua"/>
                <w:sz w:val="24"/>
                <w:szCs w:val="24"/>
              </w:rPr>
            </w:pPr>
            <w:r w:rsidRPr="00D149D6">
              <w:rPr>
                <w:rFonts w:ascii="Book Antiqua" w:hAnsi="Book Antiqua"/>
                <w:sz w:val="24"/>
                <w:szCs w:val="24"/>
              </w:rPr>
              <w:t>Study Results:</w:t>
            </w:r>
            <w:r w:rsidR="00DC47F2" w:rsidRPr="00D149D6">
              <w:rPr>
                <w:rFonts w:ascii="Book Antiqua" w:hAnsi="Book Antiqua"/>
                <w:sz w:val="24"/>
                <w:szCs w:val="24"/>
              </w:rPr>
              <w:t xml:space="preserve"> </w:t>
            </w:r>
            <w:r w:rsidRPr="00D149D6">
              <w:rPr>
                <w:rFonts w:ascii="Book Antiqua" w:hAnsi="Book Antiqua"/>
                <w:sz w:val="24"/>
                <w:szCs w:val="24"/>
              </w:rPr>
              <w:t xml:space="preserve"> Local Air Pollutant Minimization</w:t>
            </w:r>
          </w:p>
        </w:tc>
        <w:tc>
          <w:tcPr>
            <w:tcW w:w="6452" w:type="dxa"/>
          </w:tcPr>
          <w:p w14:paraId="20CEDCFB" w14:textId="77777777" w:rsidR="00BD702C" w:rsidRPr="00D149D6" w:rsidRDefault="00BD702C" w:rsidP="000E00E5">
            <w:pPr>
              <w:keepNext/>
              <w:keepLines/>
              <w:spacing w:before="60" w:after="60"/>
              <w:rPr>
                <w:rFonts w:ascii="Book Antiqua" w:hAnsi="Book Antiqua"/>
                <w:sz w:val="24"/>
                <w:szCs w:val="24"/>
              </w:rPr>
            </w:pPr>
            <w:r w:rsidRPr="00D149D6">
              <w:rPr>
                <w:rFonts w:ascii="Book Antiqua" w:hAnsi="Book Antiqua"/>
                <w:sz w:val="24"/>
                <w:szCs w:val="24"/>
              </w:rPr>
              <w:t>D</w:t>
            </w:r>
            <w:r w:rsidR="003D6BF5" w:rsidRPr="00D149D6">
              <w:rPr>
                <w:rFonts w:ascii="Book Antiqua" w:hAnsi="Book Antiqua"/>
                <w:sz w:val="24"/>
                <w:szCs w:val="24"/>
              </w:rPr>
              <w:t>esert</w:t>
            </w:r>
            <w:r w:rsidRPr="00D149D6">
              <w:rPr>
                <w:rFonts w:ascii="Book Antiqua" w:hAnsi="Book Antiqua"/>
                <w:sz w:val="24"/>
                <w:szCs w:val="24"/>
              </w:rPr>
              <w:t xml:space="preserve"> provided an exemplary description of how its Preferred Portfolio minimizes localized air pollutants. </w:t>
            </w:r>
            <w:r w:rsidR="00E21DA5" w:rsidRPr="00D149D6">
              <w:rPr>
                <w:rFonts w:ascii="Book Antiqua" w:hAnsi="Book Antiqua"/>
                <w:sz w:val="24"/>
                <w:szCs w:val="24"/>
              </w:rPr>
              <w:t xml:space="preserve"> </w:t>
            </w:r>
            <w:r w:rsidR="003D6BF5" w:rsidRPr="00D149D6">
              <w:rPr>
                <w:rFonts w:ascii="Book Antiqua" w:hAnsi="Book Antiqua"/>
                <w:sz w:val="24"/>
                <w:szCs w:val="24"/>
              </w:rPr>
              <w:t>Desert</w:t>
            </w:r>
            <w:r w:rsidRPr="00D149D6">
              <w:rPr>
                <w:rFonts w:ascii="Book Antiqua" w:hAnsi="Book Antiqua"/>
                <w:sz w:val="24"/>
                <w:szCs w:val="24"/>
              </w:rPr>
              <w:t xml:space="preserve"> exceeded requirements for disadvantaged community identification by specifying low</w:t>
            </w:r>
            <w:r w:rsidR="00D84A09" w:rsidRPr="00D149D6">
              <w:rPr>
                <w:rFonts w:ascii="Book Antiqua" w:hAnsi="Book Antiqua"/>
                <w:sz w:val="24"/>
                <w:szCs w:val="24"/>
              </w:rPr>
              <w:noBreakHyphen/>
            </w:r>
            <w:r w:rsidRPr="00D149D6">
              <w:rPr>
                <w:rFonts w:ascii="Book Antiqua" w:hAnsi="Book Antiqua"/>
                <w:sz w:val="24"/>
                <w:szCs w:val="24"/>
              </w:rPr>
              <w:t xml:space="preserve">income and tribal communities, which were not necessarily marked as </w:t>
            </w:r>
            <w:r w:rsidR="008A7EEE" w:rsidRPr="00D149D6">
              <w:rPr>
                <w:rFonts w:ascii="Book Antiqua" w:hAnsi="Book Antiqua"/>
                <w:sz w:val="24"/>
                <w:szCs w:val="24"/>
              </w:rPr>
              <w:t>disadvantaged communities</w:t>
            </w:r>
            <w:r w:rsidRPr="00D149D6">
              <w:rPr>
                <w:rFonts w:ascii="Book Antiqua" w:hAnsi="Book Antiqua"/>
                <w:sz w:val="24"/>
                <w:szCs w:val="24"/>
              </w:rPr>
              <w:t xml:space="preserve"> by the ranking definition.</w:t>
            </w:r>
          </w:p>
        </w:tc>
      </w:tr>
      <w:tr w:rsidR="00BD702C" w:rsidRPr="00D149D6" w14:paraId="5E6076F9" w14:textId="77777777" w:rsidTr="00BD702C">
        <w:tc>
          <w:tcPr>
            <w:tcW w:w="2898" w:type="dxa"/>
          </w:tcPr>
          <w:p w14:paraId="14408444"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Cost and Rate Analysis</w:t>
            </w:r>
          </w:p>
        </w:tc>
        <w:tc>
          <w:tcPr>
            <w:tcW w:w="6452" w:type="dxa"/>
          </w:tcPr>
          <w:p w14:paraId="0A1EE5BF"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Desert</w:t>
            </w:r>
            <w:r w:rsidR="00BD702C" w:rsidRPr="00D149D6">
              <w:rPr>
                <w:rFonts w:ascii="Book Antiqua" w:hAnsi="Book Antiqua"/>
                <w:sz w:val="24"/>
                <w:szCs w:val="24"/>
              </w:rPr>
              <w:t xml:space="preserve"> provided an exemplary description of its approach in considering cost and rate impacts on its customers, including information on its rate setting method and schedule, current rate, and planned offerings, along with links to more information.</w:t>
            </w:r>
          </w:p>
        </w:tc>
      </w:tr>
      <w:tr w:rsidR="00BD702C" w:rsidRPr="00D149D6" w14:paraId="68F5940A" w14:textId="77777777" w:rsidTr="00BD702C">
        <w:tc>
          <w:tcPr>
            <w:tcW w:w="2898" w:type="dxa"/>
          </w:tcPr>
          <w:p w14:paraId="35C11D34"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Deviations from Current Resource Plans</w:t>
            </w:r>
          </w:p>
        </w:tc>
        <w:tc>
          <w:tcPr>
            <w:tcW w:w="6452" w:type="dxa"/>
          </w:tcPr>
          <w:p w14:paraId="4C8A1933"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Desert</w:t>
            </w:r>
            <w:r w:rsidR="00BD702C" w:rsidRPr="00D149D6">
              <w:rPr>
                <w:rFonts w:ascii="Book Antiqua" w:hAnsi="Book Antiqua"/>
                <w:sz w:val="24"/>
                <w:szCs w:val="24"/>
              </w:rPr>
              <w:t xml:space="preserve"> provided an adequate description of the differences in quantities and budgets for procurement between its Preferred Plan and currently filed or authorized resource plans, stating that it has not filed any other sort of resource plan other than that described in its implementation plan, and that its Preferred Portfolio is consistent with its implementation plan.</w:t>
            </w:r>
          </w:p>
        </w:tc>
      </w:tr>
      <w:tr w:rsidR="00BD702C" w:rsidRPr="00D149D6" w14:paraId="3A435E43" w14:textId="77777777" w:rsidTr="00BD702C">
        <w:tc>
          <w:tcPr>
            <w:tcW w:w="2898" w:type="dxa"/>
          </w:tcPr>
          <w:p w14:paraId="303D2DA8" w14:textId="77777777" w:rsidR="00BD702C" w:rsidRPr="00D149D6" w:rsidRDefault="00BD702C" w:rsidP="005821A1">
            <w:pPr>
              <w:spacing w:before="60" w:after="60"/>
              <w:rPr>
                <w:rFonts w:ascii="Book Antiqua" w:hAnsi="Book Antiqua"/>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Activities</w:t>
            </w:r>
          </w:p>
        </w:tc>
        <w:tc>
          <w:tcPr>
            <w:tcW w:w="6452" w:type="dxa"/>
          </w:tcPr>
          <w:p w14:paraId="360D60B2"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Desert</w:t>
            </w:r>
            <w:r w:rsidR="00BD702C" w:rsidRPr="00D149D6">
              <w:rPr>
                <w:rFonts w:ascii="Book Antiqua" w:hAnsi="Book Antiqua"/>
                <w:sz w:val="24"/>
                <w:szCs w:val="24"/>
              </w:rPr>
              <w:t xml:space="preserve"> provided an adequate description of its proposed near</w:t>
            </w:r>
            <w:r w:rsidR="00D84A09" w:rsidRPr="00D149D6">
              <w:rPr>
                <w:rFonts w:ascii="Book Antiqua" w:hAnsi="Book Antiqua"/>
                <w:sz w:val="24"/>
                <w:szCs w:val="24"/>
              </w:rPr>
              <w:noBreakHyphen/>
            </w:r>
            <w:r w:rsidR="00BD702C" w:rsidRPr="00D149D6">
              <w:rPr>
                <w:rFonts w:ascii="Book Antiqua" w:hAnsi="Book Antiqua"/>
                <w:sz w:val="24"/>
                <w:szCs w:val="24"/>
              </w:rPr>
              <w:t>term activities to implement its LSE Plan along with links to its Preferred Portfolio findings.</w:t>
            </w:r>
          </w:p>
        </w:tc>
      </w:tr>
      <w:tr w:rsidR="00BD702C" w:rsidRPr="00D149D6" w14:paraId="3F1B8DD1" w14:textId="77777777" w:rsidTr="00BD702C">
        <w:tc>
          <w:tcPr>
            <w:tcW w:w="2898" w:type="dxa"/>
          </w:tcPr>
          <w:p w14:paraId="458402C3"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Barrier Analysis</w:t>
            </w:r>
          </w:p>
        </w:tc>
        <w:tc>
          <w:tcPr>
            <w:tcW w:w="6452" w:type="dxa"/>
          </w:tcPr>
          <w:p w14:paraId="746AC52F"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Desert</w:t>
            </w:r>
            <w:r w:rsidR="00BD702C" w:rsidRPr="00D149D6">
              <w:rPr>
                <w:rFonts w:ascii="Book Antiqua" w:hAnsi="Book Antiqua"/>
                <w:sz w:val="24"/>
                <w:szCs w:val="24"/>
              </w:rPr>
              <w:t xml:space="preserve"> provided an adequate description of the market, regulatory, financial, or other barriers or risks associated with its Preferred Portfolio.</w:t>
            </w:r>
          </w:p>
        </w:tc>
      </w:tr>
      <w:tr w:rsidR="00BD702C" w:rsidRPr="00D149D6" w14:paraId="26581DA3" w14:textId="77777777" w:rsidTr="00BD702C">
        <w:tc>
          <w:tcPr>
            <w:tcW w:w="2898" w:type="dxa"/>
          </w:tcPr>
          <w:p w14:paraId="1F1C5A94"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Commission Direction</w:t>
            </w:r>
          </w:p>
        </w:tc>
        <w:tc>
          <w:tcPr>
            <w:tcW w:w="6452" w:type="dxa"/>
          </w:tcPr>
          <w:p w14:paraId="1DCB9677"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Desert</w:t>
            </w:r>
            <w:r w:rsidR="00BD702C" w:rsidRPr="00D149D6">
              <w:rPr>
                <w:rFonts w:ascii="Book Antiqua" w:hAnsi="Book Antiqua"/>
                <w:sz w:val="24"/>
                <w:szCs w:val="24"/>
              </w:rPr>
              <w:t xml:space="preserve"> stated that it is not seeking any Commission direction at this time.</w:t>
            </w:r>
          </w:p>
        </w:tc>
      </w:tr>
      <w:tr w:rsidR="00BD702C" w:rsidRPr="00D149D6" w14:paraId="4F89A32E" w14:textId="77777777" w:rsidTr="00BD702C">
        <w:tc>
          <w:tcPr>
            <w:tcW w:w="2898" w:type="dxa"/>
          </w:tcPr>
          <w:p w14:paraId="1D75B7DB"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Lessons Learned</w:t>
            </w:r>
          </w:p>
        </w:tc>
        <w:tc>
          <w:tcPr>
            <w:tcW w:w="6452" w:type="dxa"/>
          </w:tcPr>
          <w:p w14:paraId="481B0488"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Desert</w:t>
            </w:r>
            <w:r w:rsidR="00BD702C" w:rsidRPr="00D149D6">
              <w:rPr>
                <w:rFonts w:ascii="Book Antiqua" w:hAnsi="Book Antiqua"/>
                <w:sz w:val="24"/>
                <w:szCs w:val="24"/>
              </w:rPr>
              <w:t xml:space="preserve"> provided an adequate description of lessons learned.</w:t>
            </w:r>
          </w:p>
        </w:tc>
      </w:tr>
    </w:tbl>
    <w:p w14:paraId="6E460A61" w14:textId="77777777" w:rsidR="00BD702C" w:rsidRPr="00AF5CC4" w:rsidRDefault="00BD702C" w:rsidP="005821A1">
      <w:pPr>
        <w:keepNext/>
        <w:keepLines/>
        <w:spacing w:before="240" w:after="120" w:line="276" w:lineRule="auto"/>
        <w:outlineLvl w:val="3"/>
        <w:rPr>
          <w:rFonts w:ascii="Book Antiqua" w:eastAsiaTheme="majorEastAsia" w:hAnsi="Book Antiqua" w:cstheme="majorBidi"/>
          <w:b/>
          <w:i/>
          <w:iCs/>
          <w:szCs w:val="26"/>
        </w:rPr>
      </w:pPr>
      <w:r w:rsidRPr="00AF5CC4">
        <w:rPr>
          <w:rFonts w:ascii="Book Antiqua" w:eastAsiaTheme="majorEastAsia" w:hAnsi="Book Antiqua" w:cstheme="majorBidi"/>
          <w:b/>
          <w:i/>
          <w:iCs/>
          <w:szCs w:val="26"/>
        </w:rPr>
        <w:t xml:space="preserve">Next Steps for </w:t>
      </w:r>
      <w:r w:rsidR="003D6BF5" w:rsidRPr="00AF5CC4">
        <w:rPr>
          <w:rFonts w:ascii="Book Antiqua" w:eastAsiaTheme="majorEastAsia" w:hAnsi="Book Antiqua" w:cstheme="majorBidi"/>
          <w:b/>
          <w:i/>
          <w:iCs/>
          <w:szCs w:val="26"/>
        </w:rPr>
        <w:t>Desert</w:t>
      </w:r>
    </w:p>
    <w:p w14:paraId="10090FF2" w14:textId="77777777" w:rsidR="00BD702C" w:rsidRPr="005821A1" w:rsidRDefault="00BD702C" w:rsidP="00BD702C">
      <w:pPr>
        <w:spacing w:after="200" w:line="276" w:lineRule="auto"/>
        <w:rPr>
          <w:rFonts w:ascii="Book Antiqua" w:hAnsi="Book Antiqua" w:cstheme="minorBidi"/>
          <w:szCs w:val="26"/>
        </w:rPr>
      </w:pPr>
      <w:r w:rsidRPr="005821A1">
        <w:rPr>
          <w:rFonts w:ascii="Book Antiqua" w:hAnsi="Book Antiqua" w:cstheme="minorBidi"/>
          <w:b/>
          <w:szCs w:val="26"/>
        </w:rPr>
        <w:t>Action required in this IRP 2017</w:t>
      </w:r>
      <w:r w:rsidR="00D84A09" w:rsidRPr="005821A1">
        <w:rPr>
          <w:rFonts w:ascii="Book Antiqua" w:hAnsi="Book Antiqua" w:cstheme="minorBidi"/>
          <w:b/>
          <w:szCs w:val="26"/>
        </w:rPr>
        <w:noBreakHyphen/>
      </w:r>
      <w:r w:rsidRPr="005821A1">
        <w:rPr>
          <w:rFonts w:ascii="Book Antiqua" w:hAnsi="Book Antiqua" w:cstheme="minorBidi"/>
          <w:b/>
          <w:szCs w:val="26"/>
        </w:rPr>
        <w:t>18 cycle</w:t>
      </w:r>
      <w:r w:rsidRPr="005821A1">
        <w:rPr>
          <w:rFonts w:ascii="Book Antiqua" w:hAnsi="Book Antiqua" w:cstheme="minorBidi"/>
          <w:szCs w:val="26"/>
        </w:rPr>
        <w:t>:</w:t>
      </w:r>
      <w:r w:rsidR="00DC47F2" w:rsidRPr="005821A1">
        <w:rPr>
          <w:rFonts w:ascii="Book Antiqua" w:hAnsi="Book Antiqua" w:cstheme="minorBidi"/>
          <w:szCs w:val="26"/>
        </w:rPr>
        <w:t xml:space="preserve"> </w:t>
      </w:r>
      <w:r w:rsidRPr="005821A1">
        <w:rPr>
          <w:rFonts w:ascii="Book Antiqua" w:hAnsi="Book Antiqua" w:cstheme="minorBidi"/>
          <w:szCs w:val="26"/>
        </w:rPr>
        <w:t xml:space="preserve"> None at this time.</w:t>
      </w:r>
    </w:p>
    <w:p w14:paraId="46B56F2F" w14:textId="77777777" w:rsidR="00BD702C" w:rsidRPr="005821A1" w:rsidRDefault="00BD702C" w:rsidP="00BD702C">
      <w:pPr>
        <w:spacing w:after="200" w:line="276" w:lineRule="auto"/>
        <w:rPr>
          <w:rFonts w:ascii="Book Antiqua" w:hAnsi="Book Antiqua" w:cstheme="minorBidi"/>
          <w:szCs w:val="26"/>
        </w:rPr>
      </w:pPr>
      <w:r w:rsidRPr="005821A1">
        <w:rPr>
          <w:rFonts w:ascii="Book Antiqua" w:hAnsi="Book Antiqua" w:cstheme="minorBidi"/>
          <w:b/>
          <w:szCs w:val="26"/>
        </w:rPr>
        <w:t>Guidance for LSE Plan development in the next IRP cycle</w:t>
      </w:r>
      <w:r w:rsidRPr="005821A1">
        <w:rPr>
          <w:rFonts w:ascii="Book Antiqua" w:hAnsi="Book Antiqua" w:cstheme="minorBidi"/>
          <w:szCs w:val="26"/>
        </w:rPr>
        <w:t xml:space="preserve">: </w:t>
      </w:r>
      <w:r w:rsidR="00DC47F2" w:rsidRPr="005821A1">
        <w:rPr>
          <w:rFonts w:ascii="Book Antiqua" w:hAnsi="Book Antiqua" w:cstheme="minorBidi"/>
          <w:szCs w:val="26"/>
        </w:rPr>
        <w:t xml:space="preserve"> </w:t>
      </w:r>
      <w:r w:rsidRPr="005821A1">
        <w:rPr>
          <w:rFonts w:ascii="Book Antiqua" w:hAnsi="Book Antiqua" w:cstheme="minorBidi"/>
          <w:szCs w:val="26"/>
        </w:rPr>
        <w:t>None at this time.</w:t>
      </w:r>
    </w:p>
    <w:p w14:paraId="397747B9" w14:textId="77777777" w:rsidR="00BD702C" w:rsidRPr="00AF5CC4" w:rsidRDefault="00BD702C" w:rsidP="00671FAB">
      <w:pPr>
        <w:keepNext/>
        <w:keepLines/>
        <w:spacing w:before="240" w:after="120" w:line="276" w:lineRule="auto"/>
        <w:outlineLvl w:val="2"/>
        <w:rPr>
          <w:rFonts w:ascii="Book Antiqua" w:eastAsiaTheme="majorEastAsia" w:hAnsi="Book Antiqua" w:cstheme="majorBidi"/>
          <w:b/>
          <w:szCs w:val="26"/>
        </w:rPr>
      </w:pPr>
      <w:bookmarkStart w:id="73" w:name="_Toc868764"/>
      <w:r w:rsidRPr="00AF5CC4">
        <w:rPr>
          <w:rFonts w:ascii="Book Antiqua" w:eastAsiaTheme="majorEastAsia" w:hAnsi="Book Antiqua" w:cstheme="majorBidi"/>
          <w:b/>
          <w:szCs w:val="26"/>
        </w:rPr>
        <w:t>Direct Energy Business, LLC</w:t>
      </w:r>
      <w:bookmarkEnd w:id="73"/>
    </w:p>
    <w:tbl>
      <w:tblPr>
        <w:tblStyle w:val="TableGrid3"/>
        <w:tblW w:w="0" w:type="auto"/>
        <w:tblLook w:val="04A0" w:firstRow="1" w:lastRow="0" w:firstColumn="1" w:lastColumn="0" w:noHBand="0" w:noVBand="1"/>
      </w:tblPr>
      <w:tblGrid>
        <w:gridCol w:w="2761"/>
        <w:gridCol w:w="6589"/>
      </w:tblGrid>
      <w:tr w:rsidR="00BD702C" w:rsidRPr="00D149D6" w14:paraId="5EF43DF4" w14:textId="77777777" w:rsidTr="00BD702C">
        <w:tc>
          <w:tcPr>
            <w:tcW w:w="2761" w:type="dxa"/>
          </w:tcPr>
          <w:p w14:paraId="30076265" w14:textId="77777777" w:rsidR="00BD702C" w:rsidRPr="00D149D6" w:rsidRDefault="00BD702C" w:rsidP="000E00E5">
            <w:pPr>
              <w:keepNext/>
              <w:keepLines/>
              <w:spacing w:before="60" w:after="60"/>
              <w:jc w:val="center"/>
              <w:rPr>
                <w:rFonts w:ascii="Book Antiqua" w:hAnsi="Book Antiqua"/>
                <w:b/>
                <w:sz w:val="24"/>
                <w:szCs w:val="24"/>
              </w:rPr>
            </w:pPr>
            <w:r w:rsidRPr="00D149D6">
              <w:rPr>
                <w:rFonts w:ascii="Book Antiqua" w:hAnsi="Book Antiqua"/>
                <w:b/>
                <w:sz w:val="24"/>
                <w:szCs w:val="24"/>
              </w:rPr>
              <w:t>Requirement</w:t>
            </w:r>
          </w:p>
        </w:tc>
        <w:tc>
          <w:tcPr>
            <w:tcW w:w="6589" w:type="dxa"/>
          </w:tcPr>
          <w:p w14:paraId="26567C88" w14:textId="77777777" w:rsidR="00BD702C" w:rsidRPr="00D149D6" w:rsidRDefault="00BD702C" w:rsidP="000E00E5">
            <w:pPr>
              <w:keepNext/>
              <w:keepLines/>
              <w:spacing w:before="60" w:after="60"/>
              <w:jc w:val="center"/>
              <w:rPr>
                <w:rFonts w:ascii="Book Antiqua" w:hAnsi="Book Antiqua"/>
                <w:b/>
                <w:sz w:val="24"/>
                <w:szCs w:val="24"/>
              </w:rPr>
            </w:pPr>
            <w:r w:rsidRPr="00D149D6">
              <w:rPr>
                <w:rFonts w:ascii="Book Antiqua" w:hAnsi="Book Antiqua"/>
                <w:b/>
                <w:sz w:val="24"/>
                <w:szCs w:val="24"/>
              </w:rPr>
              <w:t>Assessment</w:t>
            </w:r>
          </w:p>
        </w:tc>
      </w:tr>
      <w:tr w:rsidR="00BD702C" w:rsidRPr="00D149D6" w14:paraId="1C91FEB1" w14:textId="77777777" w:rsidTr="00BD702C">
        <w:tc>
          <w:tcPr>
            <w:tcW w:w="2761" w:type="dxa"/>
          </w:tcPr>
          <w:p w14:paraId="5AF99D98" w14:textId="77777777" w:rsidR="00BD702C" w:rsidRPr="00D149D6" w:rsidRDefault="00BD702C" w:rsidP="000E00E5">
            <w:pPr>
              <w:keepNext/>
              <w:keepLines/>
              <w:spacing w:before="60" w:after="60"/>
              <w:rPr>
                <w:rFonts w:ascii="Book Antiqua" w:hAnsi="Book Antiqua"/>
                <w:sz w:val="24"/>
                <w:szCs w:val="24"/>
              </w:rPr>
            </w:pPr>
            <w:r w:rsidRPr="00D149D6">
              <w:rPr>
                <w:rFonts w:ascii="Book Antiqua" w:hAnsi="Book Antiqua"/>
                <w:sz w:val="24"/>
                <w:szCs w:val="24"/>
              </w:rPr>
              <w:t>Study Design</w:t>
            </w:r>
          </w:p>
        </w:tc>
        <w:tc>
          <w:tcPr>
            <w:tcW w:w="6589" w:type="dxa"/>
          </w:tcPr>
          <w:p w14:paraId="351FB5E6" w14:textId="77777777" w:rsidR="00BD702C" w:rsidRPr="00D149D6" w:rsidRDefault="00BD702C" w:rsidP="000E00E5">
            <w:pPr>
              <w:keepNext/>
              <w:keepLines/>
              <w:spacing w:before="60" w:after="60"/>
              <w:rPr>
                <w:rFonts w:ascii="Book Antiqua" w:hAnsi="Book Antiqua"/>
                <w:sz w:val="24"/>
                <w:szCs w:val="24"/>
              </w:rPr>
            </w:pPr>
            <w:bookmarkStart w:id="74" w:name="_Hlk538837"/>
            <w:r w:rsidRPr="00D149D6">
              <w:rPr>
                <w:rFonts w:ascii="Book Antiqua" w:hAnsi="Book Antiqua"/>
                <w:sz w:val="24"/>
                <w:szCs w:val="24"/>
              </w:rPr>
              <w:t>Direct Energy Business, LLC (</w:t>
            </w:r>
            <w:r w:rsidR="003D6BF5" w:rsidRPr="00D149D6">
              <w:rPr>
                <w:rFonts w:ascii="Book Antiqua" w:hAnsi="Book Antiqua"/>
                <w:sz w:val="24"/>
                <w:szCs w:val="24"/>
              </w:rPr>
              <w:t>Direct Energy</w:t>
            </w:r>
            <w:r w:rsidRPr="00D149D6">
              <w:rPr>
                <w:rFonts w:ascii="Book Antiqua" w:hAnsi="Book Antiqua"/>
                <w:sz w:val="24"/>
                <w:szCs w:val="24"/>
              </w:rPr>
              <w:t xml:space="preserve">) </w:t>
            </w:r>
            <w:bookmarkEnd w:id="74"/>
            <w:r w:rsidRPr="00D149D6">
              <w:rPr>
                <w:rFonts w:ascii="Book Antiqua" w:hAnsi="Book Antiqua"/>
                <w:sz w:val="24"/>
                <w:szCs w:val="24"/>
              </w:rPr>
              <w:t>provided an adequate description of modeling tools and approach used to develop its portfolios.</w:t>
            </w:r>
          </w:p>
        </w:tc>
      </w:tr>
      <w:tr w:rsidR="00BD702C" w:rsidRPr="00D149D6" w14:paraId="60DEB41B" w14:textId="77777777" w:rsidTr="00BD702C">
        <w:tc>
          <w:tcPr>
            <w:tcW w:w="2761" w:type="dxa"/>
          </w:tcPr>
          <w:p w14:paraId="27E48061"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Preferred and Conforming Portfolios</w:t>
            </w:r>
          </w:p>
        </w:tc>
        <w:tc>
          <w:tcPr>
            <w:tcW w:w="6589" w:type="dxa"/>
          </w:tcPr>
          <w:p w14:paraId="041DC5EF"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Direct Energy</w:t>
            </w:r>
            <w:r w:rsidR="00BD702C" w:rsidRPr="00D149D6">
              <w:rPr>
                <w:rFonts w:ascii="Book Antiqua" w:hAnsi="Book Antiqua"/>
                <w:sz w:val="24"/>
                <w:szCs w:val="24"/>
              </w:rPr>
              <w:t xml:space="preserve"> provided a Conforming Portfolio and an Alternative (Preferred) Portfolio showing both existing resources and new resources that </w:t>
            </w:r>
            <w:r w:rsidR="00FA2300">
              <w:rPr>
                <w:rFonts w:ascii="Book Antiqua" w:hAnsi="Book Antiqua"/>
                <w:sz w:val="24"/>
                <w:szCs w:val="24"/>
              </w:rPr>
              <w:t>it</w:t>
            </w:r>
            <w:r w:rsidR="00BD702C" w:rsidRPr="00D149D6">
              <w:rPr>
                <w:rFonts w:ascii="Book Antiqua" w:hAnsi="Book Antiqua"/>
                <w:sz w:val="24"/>
                <w:szCs w:val="24"/>
              </w:rPr>
              <w:t xml:space="preserve"> plans to invest in or contract with. </w:t>
            </w:r>
            <w:r w:rsidR="00E21DA5" w:rsidRPr="00D149D6">
              <w:rPr>
                <w:rFonts w:ascii="Book Antiqua" w:hAnsi="Book Antiqua"/>
                <w:sz w:val="24"/>
                <w:szCs w:val="24"/>
              </w:rPr>
              <w:t xml:space="preserve"> </w:t>
            </w:r>
            <w:r w:rsidR="00BD702C" w:rsidRPr="00D149D6">
              <w:rPr>
                <w:rFonts w:ascii="Book Antiqua" w:hAnsi="Book Antiqua"/>
                <w:sz w:val="24"/>
                <w:szCs w:val="24"/>
              </w:rPr>
              <w:t>It provided an exemplary explanation of the reasons for its preference, with clear descriptions of what entries were changed in the CNS Calculator and why.</w:t>
            </w:r>
          </w:p>
          <w:p w14:paraId="053F1A40"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The 2030 emissions associated with </w:t>
            </w:r>
            <w:r w:rsidR="003D6BF5" w:rsidRPr="00D149D6">
              <w:rPr>
                <w:rFonts w:ascii="Book Antiqua" w:hAnsi="Book Antiqua"/>
                <w:sz w:val="24"/>
                <w:szCs w:val="24"/>
              </w:rPr>
              <w:t>Direct Energy’s</w:t>
            </w:r>
            <w:r w:rsidRPr="00D149D6">
              <w:rPr>
                <w:rFonts w:ascii="Book Antiqua" w:hAnsi="Book Antiqua"/>
                <w:sz w:val="24"/>
                <w:szCs w:val="24"/>
              </w:rPr>
              <w:t xml:space="preserve"> Preferred Portfolio exceeds its GHG Benchmark by approximately 3%, which is acceptable for IRP planning purposes.</w:t>
            </w:r>
          </w:p>
        </w:tc>
      </w:tr>
      <w:tr w:rsidR="00BD702C" w:rsidRPr="00D149D6" w14:paraId="07FE33EB" w14:textId="77777777" w:rsidTr="00BD702C">
        <w:tc>
          <w:tcPr>
            <w:tcW w:w="2761" w:type="dxa"/>
          </w:tcPr>
          <w:p w14:paraId="5AB06C1D"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Local Air Pollutant Minimization</w:t>
            </w:r>
          </w:p>
        </w:tc>
        <w:tc>
          <w:tcPr>
            <w:tcW w:w="6589" w:type="dxa"/>
          </w:tcPr>
          <w:p w14:paraId="3D307B7D"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Direct Energy</w:t>
            </w:r>
            <w:r w:rsidR="00BD702C" w:rsidRPr="00D149D6">
              <w:rPr>
                <w:rFonts w:ascii="Book Antiqua" w:hAnsi="Book Antiqua"/>
                <w:sz w:val="24"/>
                <w:szCs w:val="24"/>
              </w:rPr>
              <w:t xml:space="preserve"> provided adequate estimates of nitrogen oxides and particulate matter as well as an adequate description of how it plans to minimize localized air pollutants and other GHG emissions with early priority on </w:t>
            </w:r>
            <w:r w:rsidR="008A7EEE" w:rsidRPr="00D149D6">
              <w:rPr>
                <w:rFonts w:ascii="Book Antiqua" w:hAnsi="Book Antiqua"/>
                <w:sz w:val="24"/>
                <w:szCs w:val="24"/>
              </w:rPr>
              <w:t>disadvantaged communities</w:t>
            </w:r>
            <w:r w:rsidR="00BD702C" w:rsidRPr="00D149D6">
              <w:rPr>
                <w:rFonts w:ascii="Book Antiqua" w:hAnsi="Book Antiqua"/>
                <w:sz w:val="24"/>
                <w:szCs w:val="24"/>
              </w:rPr>
              <w:t xml:space="preserve">. </w:t>
            </w:r>
            <w:r w:rsidR="00E21DA5" w:rsidRPr="00D149D6">
              <w:rPr>
                <w:rFonts w:ascii="Book Antiqua" w:hAnsi="Book Antiqua"/>
                <w:sz w:val="24"/>
                <w:szCs w:val="24"/>
              </w:rPr>
              <w:t xml:space="preserve"> </w:t>
            </w:r>
            <w:r w:rsidR="00BD702C" w:rsidRPr="00D149D6">
              <w:rPr>
                <w:rFonts w:ascii="Book Antiqua" w:hAnsi="Book Antiqua"/>
                <w:sz w:val="24"/>
                <w:szCs w:val="24"/>
              </w:rPr>
              <w:t>Identification of disadvantaged communities and emissions impact on them was adequate.</w:t>
            </w:r>
          </w:p>
        </w:tc>
      </w:tr>
      <w:tr w:rsidR="00BD702C" w:rsidRPr="00D149D6" w14:paraId="153A44A6" w14:textId="77777777" w:rsidTr="00BD702C">
        <w:tc>
          <w:tcPr>
            <w:tcW w:w="2761" w:type="dxa"/>
          </w:tcPr>
          <w:p w14:paraId="3E1A791E"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Study Results:</w:t>
            </w:r>
            <w:r w:rsidR="00DC47F2" w:rsidRPr="00D149D6">
              <w:rPr>
                <w:rFonts w:ascii="Book Antiqua" w:hAnsi="Book Antiqua"/>
                <w:sz w:val="24"/>
                <w:szCs w:val="24"/>
              </w:rPr>
              <w:t xml:space="preserve"> </w:t>
            </w:r>
            <w:r w:rsidR="004731C2" w:rsidRPr="00D149D6">
              <w:rPr>
                <w:rFonts w:ascii="Book Antiqua" w:hAnsi="Book Antiqua"/>
                <w:sz w:val="24"/>
                <w:szCs w:val="24"/>
              </w:rPr>
              <w:t xml:space="preserve"> </w:t>
            </w:r>
            <w:r w:rsidRPr="00D149D6">
              <w:rPr>
                <w:rFonts w:ascii="Book Antiqua" w:hAnsi="Book Antiqua"/>
                <w:sz w:val="24"/>
                <w:szCs w:val="24"/>
              </w:rPr>
              <w:t>Cost and Rate Analysis</w:t>
            </w:r>
          </w:p>
        </w:tc>
        <w:tc>
          <w:tcPr>
            <w:tcW w:w="6589" w:type="dxa"/>
          </w:tcPr>
          <w:p w14:paraId="18A536F6"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Direct Energy</w:t>
            </w:r>
            <w:r w:rsidR="00BD702C" w:rsidRPr="00D149D6">
              <w:rPr>
                <w:rFonts w:ascii="Book Antiqua" w:hAnsi="Book Antiqua"/>
                <w:sz w:val="24"/>
                <w:szCs w:val="24"/>
              </w:rPr>
              <w:t xml:space="preserve"> provided an adequate description of its approach in considering cost and rate impacts on its customers</w:t>
            </w:r>
          </w:p>
        </w:tc>
      </w:tr>
      <w:tr w:rsidR="00BD702C" w:rsidRPr="00D149D6" w14:paraId="30B010D3" w14:textId="77777777" w:rsidTr="00BD702C">
        <w:tc>
          <w:tcPr>
            <w:tcW w:w="2761" w:type="dxa"/>
          </w:tcPr>
          <w:p w14:paraId="77686081"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Deviations from Current Resource Plans</w:t>
            </w:r>
          </w:p>
        </w:tc>
        <w:tc>
          <w:tcPr>
            <w:tcW w:w="6589" w:type="dxa"/>
          </w:tcPr>
          <w:p w14:paraId="7A4B2AA6"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Direct Energy</w:t>
            </w:r>
            <w:r w:rsidR="00BD702C" w:rsidRPr="00D149D6">
              <w:rPr>
                <w:rFonts w:ascii="Book Antiqua" w:hAnsi="Book Antiqua"/>
                <w:sz w:val="24"/>
                <w:szCs w:val="24"/>
              </w:rPr>
              <w:t xml:space="preserve"> provided an adequate description of the differences in quantities and budgets for procurement between its Preferred Plan and currently filed or authorized resource plans, stating that there are no deviations except for the load forecast submitted to the CEC in its IEPR 7.1 form.</w:t>
            </w:r>
          </w:p>
        </w:tc>
      </w:tr>
      <w:tr w:rsidR="00BD702C" w:rsidRPr="00D149D6" w14:paraId="51A5F253" w14:textId="77777777" w:rsidTr="00BD702C">
        <w:tc>
          <w:tcPr>
            <w:tcW w:w="2761" w:type="dxa"/>
          </w:tcPr>
          <w:p w14:paraId="6D82457E" w14:textId="77777777" w:rsidR="00BD702C" w:rsidRPr="00D149D6" w:rsidRDefault="00BD702C" w:rsidP="005821A1">
            <w:pPr>
              <w:spacing w:before="60" w:after="60"/>
              <w:rPr>
                <w:rFonts w:ascii="Book Antiqua" w:hAnsi="Book Antiqua"/>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Activities</w:t>
            </w:r>
          </w:p>
        </w:tc>
        <w:tc>
          <w:tcPr>
            <w:tcW w:w="6589" w:type="dxa"/>
          </w:tcPr>
          <w:p w14:paraId="39B0E09E"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Direct Energy</w:t>
            </w:r>
            <w:r w:rsidR="00BD702C" w:rsidRPr="00D149D6">
              <w:rPr>
                <w:rFonts w:ascii="Book Antiqua" w:hAnsi="Book Antiqua"/>
                <w:sz w:val="24"/>
                <w:szCs w:val="24"/>
              </w:rPr>
              <w:t xml:space="preserve"> provided an adequate description of its proposed near</w:t>
            </w:r>
            <w:r w:rsidR="00D84A09" w:rsidRPr="00D149D6">
              <w:rPr>
                <w:rFonts w:ascii="Book Antiqua" w:hAnsi="Book Antiqua"/>
                <w:sz w:val="24"/>
                <w:szCs w:val="24"/>
              </w:rPr>
              <w:noBreakHyphen/>
            </w:r>
            <w:r w:rsidR="00BD702C" w:rsidRPr="00D149D6">
              <w:rPr>
                <w:rFonts w:ascii="Book Antiqua" w:hAnsi="Book Antiqua"/>
                <w:sz w:val="24"/>
                <w:szCs w:val="24"/>
              </w:rPr>
              <w:t>term activities to implement its LSE Plan along with links to its Preferred Portfolio findings.</w:t>
            </w:r>
          </w:p>
        </w:tc>
      </w:tr>
      <w:tr w:rsidR="00BD702C" w:rsidRPr="00D149D6" w14:paraId="6677C5CD" w14:textId="77777777" w:rsidTr="00BD702C">
        <w:tc>
          <w:tcPr>
            <w:tcW w:w="2761" w:type="dxa"/>
          </w:tcPr>
          <w:p w14:paraId="664E4DB1"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Barrier Analysis</w:t>
            </w:r>
          </w:p>
        </w:tc>
        <w:tc>
          <w:tcPr>
            <w:tcW w:w="6589" w:type="dxa"/>
          </w:tcPr>
          <w:p w14:paraId="65075C96"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Direct Energy</w:t>
            </w:r>
            <w:r w:rsidR="00BD702C" w:rsidRPr="00D149D6">
              <w:rPr>
                <w:rFonts w:ascii="Book Antiqua" w:hAnsi="Book Antiqua"/>
                <w:sz w:val="24"/>
                <w:szCs w:val="24"/>
              </w:rPr>
              <w:t xml:space="preserve"> provided an adequate description of the market, regulatory, financial, or other barriers or risks associated with its Preferred Portfolio.</w:t>
            </w:r>
          </w:p>
        </w:tc>
      </w:tr>
      <w:tr w:rsidR="00BD702C" w:rsidRPr="00D149D6" w14:paraId="57984410" w14:textId="77777777" w:rsidTr="00BD702C">
        <w:tc>
          <w:tcPr>
            <w:tcW w:w="2761" w:type="dxa"/>
          </w:tcPr>
          <w:p w14:paraId="1BEC251D"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Commission Direction</w:t>
            </w:r>
          </w:p>
        </w:tc>
        <w:tc>
          <w:tcPr>
            <w:tcW w:w="6589" w:type="dxa"/>
          </w:tcPr>
          <w:p w14:paraId="4D5882A1"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Direct Energy</w:t>
            </w:r>
            <w:r w:rsidR="00BD702C" w:rsidRPr="00D149D6">
              <w:rPr>
                <w:rFonts w:ascii="Book Antiqua" w:hAnsi="Book Antiqua"/>
                <w:sz w:val="24"/>
                <w:szCs w:val="24"/>
              </w:rPr>
              <w:t xml:space="preserve"> stated that it is not seeking any Commission direction at this time.</w:t>
            </w:r>
          </w:p>
        </w:tc>
      </w:tr>
      <w:tr w:rsidR="00BD702C" w:rsidRPr="00D149D6" w14:paraId="3ADDABD3" w14:textId="77777777" w:rsidTr="00BD702C">
        <w:tc>
          <w:tcPr>
            <w:tcW w:w="2761" w:type="dxa"/>
          </w:tcPr>
          <w:p w14:paraId="0777F108"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Lessons Learned</w:t>
            </w:r>
          </w:p>
        </w:tc>
        <w:tc>
          <w:tcPr>
            <w:tcW w:w="6589" w:type="dxa"/>
          </w:tcPr>
          <w:p w14:paraId="1F6683DE" w14:textId="77777777" w:rsidR="00BD702C" w:rsidRPr="00D149D6" w:rsidRDefault="003D6BF5" w:rsidP="005821A1">
            <w:pPr>
              <w:spacing w:before="60" w:after="60"/>
              <w:rPr>
                <w:rFonts w:ascii="Book Antiqua" w:hAnsi="Book Antiqua"/>
                <w:sz w:val="24"/>
                <w:szCs w:val="24"/>
              </w:rPr>
            </w:pPr>
            <w:r w:rsidRPr="00D149D6">
              <w:rPr>
                <w:rFonts w:ascii="Book Antiqua" w:hAnsi="Book Antiqua"/>
                <w:sz w:val="24"/>
                <w:szCs w:val="24"/>
              </w:rPr>
              <w:t>Direct Energy</w:t>
            </w:r>
            <w:r w:rsidR="00BD702C" w:rsidRPr="00D149D6">
              <w:rPr>
                <w:rFonts w:ascii="Book Antiqua" w:hAnsi="Book Antiqua"/>
                <w:sz w:val="24"/>
                <w:szCs w:val="24"/>
              </w:rPr>
              <w:t xml:space="preserve"> provided an adequate description of lessons learned.</w:t>
            </w:r>
          </w:p>
        </w:tc>
      </w:tr>
    </w:tbl>
    <w:p w14:paraId="65157EC3" w14:textId="77777777" w:rsidR="00BD702C" w:rsidRPr="00AF5CC4" w:rsidRDefault="00BD702C" w:rsidP="005821A1">
      <w:pPr>
        <w:keepNext/>
        <w:keepLines/>
        <w:spacing w:before="240" w:after="120" w:line="276" w:lineRule="auto"/>
        <w:outlineLvl w:val="3"/>
        <w:rPr>
          <w:rFonts w:ascii="Book Antiqua" w:eastAsiaTheme="majorEastAsia" w:hAnsi="Book Antiqua" w:cstheme="majorBidi"/>
          <w:b/>
          <w:i/>
          <w:iCs/>
          <w:szCs w:val="26"/>
        </w:rPr>
      </w:pPr>
      <w:r w:rsidRPr="00AF5CC4">
        <w:rPr>
          <w:rFonts w:ascii="Book Antiqua" w:eastAsiaTheme="majorEastAsia" w:hAnsi="Book Antiqua" w:cstheme="majorBidi"/>
          <w:b/>
          <w:i/>
          <w:iCs/>
          <w:szCs w:val="26"/>
        </w:rPr>
        <w:t xml:space="preserve">Next Steps for </w:t>
      </w:r>
      <w:r w:rsidR="003D6BF5" w:rsidRPr="00AF5CC4">
        <w:rPr>
          <w:rFonts w:ascii="Book Antiqua" w:eastAsiaTheme="majorEastAsia" w:hAnsi="Book Antiqua" w:cstheme="majorBidi"/>
          <w:b/>
          <w:i/>
          <w:iCs/>
          <w:szCs w:val="26"/>
        </w:rPr>
        <w:t>Direct Energy</w:t>
      </w:r>
    </w:p>
    <w:p w14:paraId="04ACF920" w14:textId="77777777" w:rsidR="00BD702C" w:rsidRPr="005821A1" w:rsidRDefault="00BD702C" w:rsidP="00BD702C">
      <w:pPr>
        <w:spacing w:after="200" w:line="276" w:lineRule="auto"/>
        <w:rPr>
          <w:rFonts w:ascii="Book Antiqua" w:hAnsi="Book Antiqua" w:cstheme="minorBidi"/>
          <w:szCs w:val="26"/>
        </w:rPr>
      </w:pPr>
      <w:r w:rsidRPr="005821A1">
        <w:rPr>
          <w:rFonts w:ascii="Book Antiqua" w:hAnsi="Book Antiqua" w:cstheme="minorBidi"/>
          <w:b/>
          <w:szCs w:val="26"/>
        </w:rPr>
        <w:t>Action required in this IRP 2017</w:t>
      </w:r>
      <w:r w:rsidR="00D84A09" w:rsidRPr="005821A1">
        <w:rPr>
          <w:rFonts w:ascii="Book Antiqua" w:hAnsi="Book Antiqua" w:cstheme="minorBidi"/>
          <w:b/>
          <w:szCs w:val="26"/>
        </w:rPr>
        <w:noBreakHyphen/>
      </w:r>
      <w:r w:rsidRPr="005821A1">
        <w:rPr>
          <w:rFonts w:ascii="Book Antiqua" w:hAnsi="Book Antiqua" w:cstheme="minorBidi"/>
          <w:b/>
          <w:szCs w:val="26"/>
        </w:rPr>
        <w:t>18 cycle</w:t>
      </w:r>
      <w:r w:rsidRPr="005821A1">
        <w:rPr>
          <w:rFonts w:ascii="Book Antiqua" w:hAnsi="Book Antiqua" w:cstheme="minorBidi"/>
          <w:szCs w:val="26"/>
        </w:rPr>
        <w:t>:</w:t>
      </w:r>
      <w:r w:rsidR="00DC47F2" w:rsidRPr="005821A1">
        <w:rPr>
          <w:rFonts w:ascii="Book Antiqua" w:hAnsi="Book Antiqua" w:cstheme="minorBidi"/>
          <w:szCs w:val="26"/>
        </w:rPr>
        <w:t xml:space="preserve"> </w:t>
      </w:r>
      <w:r w:rsidRPr="005821A1">
        <w:rPr>
          <w:rFonts w:ascii="Book Antiqua" w:hAnsi="Book Antiqua" w:cstheme="minorBidi"/>
          <w:szCs w:val="26"/>
        </w:rPr>
        <w:t xml:space="preserve"> None at this time.</w:t>
      </w:r>
    </w:p>
    <w:p w14:paraId="7ADE04E2" w14:textId="77777777" w:rsidR="00BD702C" w:rsidRPr="005821A1" w:rsidRDefault="00BD702C" w:rsidP="00BD702C">
      <w:pPr>
        <w:spacing w:after="200" w:line="276" w:lineRule="auto"/>
        <w:rPr>
          <w:rFonts w:ascii="Book Antiqua" w:hAnsi="Book Antiqua" w:cstheme="minorBidi"/>
          <w:szCs w:val="26"/>
        </w:rPr>
      </w:pPr>
      <w:r w:rsidRPr="005821A1">
        <w:rPr>
          <w:rFonts w:ascii="Book Antiqua" w:hAnsi="Book Antiqua" w:cstheme="minorBidi"/>
          <w:b/>
          <w:szCs w:val="26"/>
        </w:rPr>
        <w:t>Guidance for LSE Plan development in the next IRP cycle</w:t>
      </w:r>
      <w:r w:rsidRPr="005821A1">
        <w:rPr>
          <w:rFonts w:ascii="Book Antiqua" w:hAnsi="Book Antiqua" w:cstheme="minorBidi"/>
          <w:szCs w:val="26"/>
        </w:rPr>
        <w:t>:</w:t>
      </w:r>
      <w:r w:rsidR="00DC47F2" w:rsidRPr="005821A1">
        <w:rPr>
          <w:rFonts w:ascii="Book Antiqua" w:hAnsi="Book Antiqua" w:cstheme="minorBidi"/>
          <w:szCs w:val="26"/>
        </w:rPr>
        <w:t xml:space="preserve"> </w:t>
      </w:r>
      <w:r w:rsidRPr="005821A1">
        <w:rPr>
          <w:rFonts w:ascii="Book Antiqua" w:hAnsi="Book Antiqua" w:cstheme="minorBidi"/>
          <w:szCs w:val="26"/>
        </w:rPr>
        <w:t xml:space="preserve"> None at this time.</w:t>
      </w:r>
    </w:p>
    <w:p w14:paraId="326E3E26" w14:textId="77777777" w:rsidR="00BD702C" w:rsidRPr="005821A1" w:rsidRDefault="00BD702C" w:rsidP="00671FAB">
      <w:pPr>
        <w:keepNext/>
        <w:keepLines/>
        <w:spacing w:before="240" w:after="120" w:line="276" w:lineRule="auto"/>
        <w:outlineLvl w:val="2"/>
        <w:rPr>
          <w:rFonts w:ascii="Book Antiqua" w:eastAsiaTheme="majorEastAsia" w:hAnsi="Book Antiqua" w:cstheme="majorBidi"/>
          <w:b/>
          <w:szCs w:val="26"/>
        </w:rPr>
      </w:pPr>
      <w:bookmarkStart w:id="75" w:name="_Toc868765"/>
      <w:r w:rsidRPr="005821A1">
        <w:rPr>
          <w:rFonts w:ascii="Book Antiqua" w:eastAsiaTheme="majorEastAsia" w:hAnsi="Book Antiqua" w:cstheme="majorBidi"/>
          <w:b/>
          <w:szCs w:val="26"/>
        </w:rPr>
        <w:t>East Bay Community Energy</w:t>
      </w:r>
      <w:bookmarkEnd w:id="75"/>
    </w:p>
    <w:tbl>
      <w:tblPr>
        <w:tblStyle w:val="TableGrid3"/>
        <w:tblW w:w="0" w:type="auto"/>
        <w:tblLook w:val="04A0" w:firstRow="1" w:lastRow="0" w:firstColumn="1" w:lastColumn="0" w:noHBand="0" w:noVBand="1"/>
      </w:tblPr>
      <w:tblGrid>
        <w:gridCol w:w="2761"/>
        <w:gridCol w:w="6589"/>
      </w:tblGrid>
      <w:tr w:rsidR="00BD702C" w:rsidRPr="00D149D6" w14:paraId="6648545C" w14:textId="77777777" w:rsidTr="00BD702C">
        <w:tc>
          <w:tcPr>
            <w:tcW w:w="2761" w:type="dxa"/>
          </w:tcPr>
          <w:p w14:paraId="4A530EF2" w14:textId="77777777" w:rsidR="00BD702C" w:rsidRPr="00D149D6" w:rsidRDefault="00BD702C" w:rsidP="005821A1">
            <w:pPr>
              <w:spacing w:before="60" w:after="60"/>
              <w:jc w:val="center"/>
              <w:rPr>
                <w:rFonts w:ascii="Book Antiqua" w:hAnsi="Book Antiqua"/>
                <w:b/>
                <w:sz w:val="24"/>
                <w:szCs w:val="24"/>
              </w:rPr>
            </w:pPr>
            <w:r w:rsidRPr="00D149D6">
              <w:rPr>
                <w:rFonts w:ascii="Book Antiqua" w:hAnsi="Book Antiqua"/>
                <w:b/>
                <w:sz w:val="24"/>
                <w:szCs w:val="24"/>
              </w:rPr>
              <w:t>Requirement</w:t>
            </w:r>
          </w:p>
        </w:tc>
        <w:tc>
          <w:tcPr>
            <w:tcW w:w="6589" w:type="dxa"/>
          </w:tcPr>
          <w:p w14:paraId="6F713D44" w14:textId="77777777" w:rsidR="00BD702C" w:rsidRPr="00D149D6" w:rsidRDefault="00BD702C" w:rsidP="005821A1">
            <w:pPr>
              <w:spacing w:before="60" w:after="60"/>
              <w:jc w:val="center"/>
              <w:rPr>
                <w:rFonts w:ascii="Book Antiqua" w:hAnsi="Book Antiqua"/>
                <w:b/>
                <w:sz w:val="24"/>
                <w:szCs w:val="24"/>
              </w:rPr>
            </w:pPr>
            <w:r w:rsidRPr="00D149D6">
              <w:rPr>
                <w:rFonts w:ascii="Book Antiqua" w:hAnsi="Book Antiqua"/>
                <w:b/>
                <w:sz w:val="24"/>
                <w:szCs w:val="24"/>
              </w:rPr>
              <w:t>Assessment</w:t>
            </w:r>
          </w:p>
        </w:tc>
      </w:tr>
      <w:tr w:rsidR="00BD702C" w:rsidRPr="00D149D6" w14:paraId="50437804" w14:textId="77777777" w:rsidTr="00BD702C">
        <w:tc>
          <w:tcPr>
            <w:tcW w:w="2761" w:type="dxa"/>
          </w:tcPr>
          <w:p w14:paraId="7FD93498"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Study Design</w:t>
            </w:r>
          </w:p>
        </w:tc>
        <w:tc>
          <w:tcPr>
            <w:tcW w:w="6589" w:type="dxa"/>
          </w:tcPr>
          <w:p w14:paraId="4AC3AFFE" w14:textId="77777777" w:rsidR="00BD702C" w:rsidRPr="00D149D6" w:rsidRDefault="00BD702C" w:rsidP="005821A1">
            <w:pPr>
              <w:spacing w:before="60" w:after="60"/>
              <w:rPr>
                <w:rFonts w:ascii="Book Antiqua" w:hAnsi="Book Antiqua"/>
                <w:sz w:val="24"/>
                <w:szCs w:val="24"/>
              </w:rPr>
            </w:pPr>
            <w:bookmarkStart w:id="76" w:name="_Hlk538847"/>
            <w:r w:rsidRPr="00D149D6">
              <w:rPr>
                <w:rFonts w:ascii="Book Antiqua" w:hAnsi="Book Antiqua"/>
                <w:sz w:val="24"/>
                <w:szCs w:val="24"/>
              </w:rPr>
              <w:t xml:space="preserve">East Bay Community Energy (EBCE) </w:t>
            </w:r>
            <w:bookmarkEnd w:id="76"/>
            <w:r w:rsidRPr="00D149D6">
              <w:rPr>
                <w:rFonts w:ascii="Book Antiqua" w:hAnsi="Book Antiqua"/>
                <w:sz w:val="24"/>
                <w:szCs w:val="24"/>
              </w:rPr>
              <w:t>provided an adequate description of modeling tools and approach used to develop its portfolio.</w:t>
            </w:r>
          </w:p>
        </w:tc>
      </w:tr>
      <w:tr w:rsidR="00BD702C" w:rsidRPr="00D149D6" w14:paraId="762AE947" w14:textId="77777777" w:rsidTr="00BD702C">
        <w:tc>
          <w:tcPr>
            <w:tcW w:w="2761" w:type="dxa"/>
          </w:tcPr>
          <w:p w14:paraId="47601C00"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Preferred and Conforming Portfolios</w:t>
            </w:r>
          </w:p>
        </w:tc>
        <w:tc>
          <w:tcPr>
            <w:tcW w:w="6589" w:type="dxa"/>
          </w:tcPr>
          <w:p w14:paraId="4D1F1114"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EBCE provided a Conforming Portfolio as its Preferred Portfolio showing both existing resources and new resources that it plans to invest in or contract with. </w:t>
            </w:r>
            <w:r w:rsidR="00E21DA5" w:rsidRPr="00D149D6">
              <w:rPr>
                <w:rFonts w:ascii="Book Antiqua" w:hAnsi="Book Antiqua"/>
                <w:sz w:val="24"/>
                <w:szCs w:val="24"/>
              </w:rPr>
              <w:t xml:space="preserve"> </w:t>
            </w:r>
            <w:r w:rsidRPr="00D149D6">
              <w:rPr>
                <w:rFonts w:ascii="Book Antiqua" w:hAnsi="Book Antiqua"/>
                <w:sz w:val="24"/>
                <w:szCs w:val="24"/>
              </w:rPr>
              <w:t xml:space="preserve">It provided an adequate explanation of the reasons for its preference and how its Preferred Portfolio is consistent with each relevant statutory and administrative requirement. </w:t>
            </w:r>
            <w:r w:rsidR="00E21DA5" w:rsidRPr="00D149D6">
              <w:rPr>
                <w:rFonts w:ascii="Book Antiqua" w:hAnsi="Book Antiqua"/>
                <w:sz w:val="24"/>
                <w:szCs w:val="24"/>
              </w:rPr>
              <w:t xml:space="preserve"> </w:t>
            </w:r>
            <w:r w:rsidRPr="00D149D6">
              <w:rPr>
                <w:rFonts w:ascii="Book Antiqua" w:hAnsi="Book Antiqua"/>
                <w:sz w:val="24"/>
                <w:szCs w:val="24"/>
              </w:rPr>
              <w:t>EBCE did not submit an optional Alternative Portfolio.</w:t>
            </w:r>
          </w:p>
          <w:p w14:paraId="3BDF0761"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EBCE’s Conforming Portfolio used an incorrect load forecast for each of the planning years (2018, 2022, 2026, and 2030).</w:t>
            </w:r>
            <w:r w:rsidR="00E21DA5" w:rsidRPr="00D149D6">
              <w:rPr>
                <w:rFonts w:ascii="Book Antiqua" w:hAnsi="Book Antiqua"/>
                <w:sz w:val="24"/>
                <w:szCs w:val="24"/>
              </w:rPr>
              <w:t xml:space="preserve"> </w:t>
            </w:r>
            <w:r w:rsidRPr="00D149D6">
              <w:rPr>
                <w:rFonts w:ascii="Book Antiqua" w:hAnsi="Book Antiqua"/>
                <w:sz w:val="24"/>
                <w:szCs w:val="24"/>
              </w:rPr>
              <w:t xml:space="preserve"> However, the deviation amounts to less than 1% and does not affect EBCE’s achievement of its GHG Benchmark. </w:t>
            </w:r>
            <w:r w:rsidR="00E21DA5" w:rsidRPr="00D149D6">
              <w:rPr>
                <w:rFonts w:ascii="Book Antiqua" w:hAnsi="Book Antiqua"/>
                <w:sz w:val="24"/>
                <w:szCs w:val="24"/>
              </w:rPr>
              <w:t xml:space="preserve"> </w:t>
            </w:r>
            <w:r w:rsidRPr="00D149D6">
              <w:rPr>
                <w:rFonts w:ascii="Book Antiqua" w:hAnsi="Book Antiqua"/>
                <w:sz w:val="24"/>
                <w:szCs w:val="24"/>
              </w:rPr>
              <w:t>EBCE did not explain why its load forecast deviated from its assigned forecast.</w:t>
            </w:r>
          </w:p>
        </w:tc>
      </w:tr>
      <w:tr w:rsidR="00BD702C" w:rsidRPr="00D149D6" w14:paraId="067134C2" w14:textId="77777777" w:rsidTr="00BD702C">
        <w:tc>
          <w:tcPr>
            <w:tcW w:w="2761" w:type="dxa"/>
          </w:tcPr>
          <w:p w14:paraId="67444F36"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Study Results:</w:t>
            </w:r>
            <w:r w:rsidR="00DC47F2" w:rsidRPr="00D149D6">
              <w:rPr>
                <w:rFonts w:ascii="Book Antiqua" w:hAnsi="Book Antiqua"/>
                <w:sz w:val="24"/>
                <w:szCs w:val="24"/>
              </w:rPr>
              <w:t xml:space="preserve"> </w:t>
            </w:r>
            <w:r w:rsidRPr="00D149D6">
              <w:rPr>
                <w:rFonts w:ascii="Book Antiqua" w:hAnsi="Book Antiqua"/>
                <w:sz w:val="24"/>
                <w:szCs w:val="24"/>
              </w:rPr>
              <w:t xml:space="preserve"> Local Air Pollutant Minimization</w:t>
            </w:r>
          </w:p>
        </w:tc>
        <w:tc>
          <w:tcPr>
            <w:tcW w:w="6589" w:type="dxa"/>
          </w:tcPr>
          <w:p w14:paraId="429FC5B9"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EBCE made no attempt to provide best available estimates of emissions of nitrogen oxides and particulate matter. </w:t>
            </w:r>
            <w:r w:rsidR="00E21DA5" w:rsidRPr="00D149D6">
              <w:rPr>
                <w:rFonts w:ascii="Book Antiqua" w:hAnsi="Book Antiqua"/>
                <w:sz w:val="24"/>
                <w:szCs w:val="24"/>
              </w:rPr>
              <w:t xml:space="preserve"> </w:t>
            </w:r>
            <w:r w:rsidRPr="00D149D6">
              <w:rPr>
                <w:rFonts w:ascii="Book Antiqua" w:hAnsi="Book Antiqua"/>
                <w:sz w:val="24"/>
                <w:szCs w:val="24"/>
              </w:rPr>
              <w:t>Identification of disadvantaged communities was adequate.</w:t>
            </w:r>
          </w:p>
        </w:tc>
      </w:tr>
      <w:tr w:rsidR="00BD702C" w:rsidRPr="00D149D6" w14:paraId="7FEA2D0C" w14:textId="77777777" w:rsidTr="00BD702C">
        <w:tc>
          <w:tcPr>
            <w:tcW w:w="2761" w:type="dxa"/>
          </w:tcPr>
          <w:p w14:paraId="4001B531"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Cost and Rate Analysis</w:t>
            </w:r>
          </w:p>
        </w:tc>
        <w:tc>
          <w:tcPr>
            <w:tcW w:w="6589" w:type="dxa"/>
          </w:tcPr>
          <w:p w14:paraId="1C90F3EB"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EBCE provided an adequate description of its approach in considering cost and rate impacts on its customers.</w:t>
            </w:r>
          </w:p>
        </w:tc>
      </w:tr>
      <w:tr w:rsidR="00BD702C" w:rsidRPr="00D149D6" w14:paraId="3B7E6F9A" w14:textId="77777777" w:rsidTr="00BD702C">
        <w:tc>
          <w:tcPr>
            <w:tcW w:w="2761" w:type="dxa"/>
          </w:tcPr>
          <w:p w14:paraId="55CF2BC8" w14:textId="77777777" w:rsidR="00BD702C" w:rsidRPr="00D149D6" w:rsidRDefault="00BD702C" w:rsidP="000E00E5">
            <w:pPr>
              <w:keepNext/>
              <w:keepLines/>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Deviations from Current Resource Plans</w:t>
            </w:r>
          </w:p>
        </w:tc>
        <w:tc>
          <w:tcPr>
            <w:tcW w:w="6589" w:type="dxa"/>
          </w:tcPr>
          <w:p w14:paraId="07CF6C67" w14:textId="77777777" w:rsidR="00BD702C" w:rsidRPr="00D149D6" w:rsidRDefault="00BD702C" w:rsidP="000E00E5">
            <w:pPr>
              <w:keepNext/>
              <w:keepLines/>
              <w:spacing w:before="60" w:after="60"/>
              <w:rPr>
                <w:rFonts w:ascii="Book Antiqua" w:hAnsi="Book Antiqua"/>
                <w:sz w:val="24"/>
                <w:szCs w:val="24"/>
              </w:rPr>
            </w:pPr>
            <w:r w:rsidRPr="00D149D6">
              <w:rPr>
                <w:rFonts w:ascii="Book Antiqua" w:hAnsi="Book Antiqua"/>
                <w:sz w:val="24"/>
                <w:szCs w:val="24"/>
              </w:rPr>
              <w:t>EBCE provided an adequate description of the differences in quantities and budgets for procurement between its Preferred Plan and currently filed or authorized resource plans, stating that there are no deviations.</w:t>
            </w:r>
          </w:p>
        </w:tc>
      </w:tr>
      <w:tr w:rsidR="00BD702C" w:rsidRPr="00D149D6" w14:paraId="0C00DB4B" w14:textId="77777777" w:rsidTr="00BD702C">
        <w:tc>
          <w:tcPr>
            <w:tcW w:w="2761" w:type="dxa"/>
          </w:tcPr>
          <w:p w14:paraId="7C8C4C05" w14:textId="77777777" w:rsidR="00BD702C" w:rsidRPr="00D149D6" w:rsidRDefault="00BD702C" w:rsidP="005821A1">
            <w:pPr>
              <w:spacing w:before="60" w:after="60"/>
              <w:rPr>
                <w:rFonts w:ascii="Book Antiqua" w:hAnsi="Book Antiqua"/>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Activities</w:t>
            </w:r>
          </w:p>
        </w:tc>
        <w:tc>
          <w:tcPr>
            <w:tcW w:w="6589" w:type="dxa"/>
          </w:tcPr>
          <w:p w14:paraId="2D4D5D4B"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EBCE provided an adequate description of its proposed near</w:t>
            </w:r>
            <w:r w:rsidR="00D84A09" w:rsidRPr="00D149D6">
              <w:rPr>
                <w:rFonts w:ascii="Book Antiqua" w:hAnsi="Book Antiqua"/>
                <w:sz w:val="24"/>
                <w:szCs w:val="24"/>
              </w:rPr>
              <w:noBreakHyphen/>
            </w:r>
            <w:r w:rsidRPr="00D149D6">
              <w:rPr>
                <w:rFonts w:ascii="Book Antiqua" w:hAnsi="Book Antiqua"/>
                <w:sz w:val="24"/>
                <w:szCs w:val="24"/>
              </w:rPr>
              <w:t>term activities to implement its LSE Plan along with links to its Preferred Portfolio study results; however, more detail could have been included regarding the Oakland Clean Energy Initiative.</w:t>
            </w:r>
          </w:p>
        </w:tc>
      </w:tr>
      <w:tr w:rsidR="00BD702C" w:rsidRPr="00D149D6" w14:paraId="2850BF0E" w14:textId="77777777" w:rsidTr="00BD702C">
        <w:tc>
          <w:tcPr>
            <w:tcW w:w="2761" w:type="dxa"/>
          </w:tcPr>
          <w:p w14:paraId="17E985F2"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Barrier Analysis</w:t>
            </w:r>
          </w:p>
        </w:tc>
        <w:tc>
          <w:tcPr>
            <w:tcW w:w="6589" w:type="dxa"/>
          </w:tcPr>
          <w:p w14:paraId="74C44324"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EBCE did not provide a description of the market, regulatory, financial, or other barriers or risks associated with its Preferred Portfolio.</w:t>
            </w:r>
          </w:p>
        </w:tc>
      </w:tr>
      <w:tr w:rsidR="00BD702C" w:rsidRPr="00D149D6" w14:paraId="3C38C082" w14:textId="77777777" w:rsidTr="00BD702C">
        <w:tc>
          <w:tcPr>
            <w:tcW w:w="2761" w:type="dxa"/>
          </w:tcPr>
          <w:p w14:paraId="3CBE430B"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Commission Direction</w:t>
            </w:r>
          </w:p>
        </w:tc>
        <w:tc>
          <w:tcPr>
            <w:tcW w:w="6589" w:type="dxa"/>
          </w:tcPr>
          <w:p w14:paraId="6A1ED75B"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EBCE marked this this section as not applicable to EBCE.</w:t>
            </w:r>
          </w:p>
        </w:tc>
      </w:tr>
      <w:tr w:rsidR="00BD702C" w:rsidRPr="00D149D6" w14:paraId="3017B0FE" w14:textId="77777777" w:rsidTr="00BD702C">
        <w:tc>
          <w:tcPr>
            <w:tcW w:w="2761" w:type="dxa"/>
          </w:tcPr>
          <w:p w14:paraId="683E1E21"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Lessons Learned</w:t>
            </w:r>
          </w:p>
        </w:tc>
        <w:tc>
          <w:tcPr>
            <w:tcW w:w="6589" w:type="dxa"/>
          </w:tcPr>
          <w:p w14:paraId="3216CF33"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EBCE provided an adequate description of lessons learned.</w:t>
            </w:r>
          </w:p>
        </w:tc>
      </w:tr>
    </w:tbl>
    <w:p w14:paraId="17EDD578" w14:textId="77777777" w:rsidR="00BD702C" w:rsidRPr="00AF5CC4" w:rsidRDefault="00BD702C" w:rsidP="005821A1">
      <w:pPr>
        <w:keepNext/>
        <w:keepLines/>
        <w:spacing w:before="240" w:after="120" w:line="276" w:lineRule="auto"/>
        <w:outlineLvl w:val="3"/>
        <w:rPr>
          <w:rFonts w:ascii="Book Antiqua" w:eastAsiaTheme="majorEastAsia" w:hAnsi="Book Antiqua" w:cstheme="majorBidi"/>
          <w:b/>
          <w:i/>
          <w:iCs/>
          <w:szCs w:val="26"/>
        </w:rPr>
      </w:pPr>
      <w:r w:rsidRPr="00AF5CC4">
        <w:rPr>
          <w:rFonts w:ascii="Book Antiqua" w:eastAsiaTheme="majorEastAsia" w:hAnsi="Book Antiqua" w:cstheme="majorBidi"/>
          <w:b/>
          <w:i/>
          <w:iCs/>
          <w:szCs w:val="26"/>
        </w:rPr>
        <w:t>Next Steps for EBCE</w:t>
      </w:r>
    </w:p>
    <w:p w14:paraId="1A23243A" w14:textId="77777777" w:rsidR="00BD702C" w:rsidRPr="005821A1" w:rsidRDefault="00BD702C" w:rsidP="00BD702C">
      <w:pPr>
        <w:spacing w:after="200" w:line="276" w:lineRule="auto"/>
        <w:rPr>
          <w:rFonts w:ascii="Book Antiqua" w:hAnsi="Book Antiqua" w:cstheme="minorBidi"/>
          <w:szCs w:val="26"/>
        </w:rPr>
      </w:pPr>
      <w:r w:rsidRPr="005821A1">
        <w:rPr>
          <w:rFonts w:ascii="Book Antiqua" w:hAnsi="Book Antiqua" w:cstheme="minorBidi"/>
          <w:b/>
          <w:szCs w:val="26"/>
        </w:rPr>
        <w:t>Action required in this IRP 2017</w:t>
      </w:r>
      <w:r w:rsidR="00D84A09" w:rsidRPr="005821A1">
        <w:rPr>
          <w:rFonts w:ascii="Book Antiqua" w:hAnsi="Book Antiqua" w:cstheme="minorBidi"/>
          <w:b/>
          <w:szCs w:val="26"/>
        </w:rPr>
        <w:noBreakHyphen/>
      </w:r>
      <w:r w:rsidRPr="005821A1">
        <w:rPr>
          <w:rFonts w:ascii="Book Antiqua" w:hAnsi="Book Antiqua" w:cstheme="minorBidi"/>
          <w:b/>
          <w:szCs w:val="26"/>
        </w:rPr>
        <w:t>18 cycle</w:t>
      </w:r>
      <w:r w:rsidRPr="005821A1">
        <w:rPr>
          <w:rFonts w:ascii="Book Antiqua" w:hAnsi="Book Antiqua" w:cstheme="minorBidi"/>
          <w:szCs w:val="26"/>
        </w:rPr>
        <w:t>:</w:t>
      </w:r>
      <w:bookmarkStart w:id="77" w:name="_Hlk536188476"/>
      <w:r w:rsidRPr="005821A1">
        <w:rPr>
          <w:rFonts w:ascii="Book Antiqua" w:hAnsi="Book Antiqua" w:cstheme="minorBidi"/>
          <w:szCs w:val="26"/>
        </w:rPr>
        <w:t xml:space="preserve"> </w:t>
      </w:r>
      <w:r w:rsidR="00DC47F2" w:rsidRPr="005821A1">
        <w:rPr>
          <w:rFonts w:ascii="Book Antiqua" w:hAnsi="Book Antiqua" w:cstheme="minorBidi"/>
          <w:szCs w:val="26"/>
        </w:rPr>
        <w:t xml:space="preserve"> </w:t>
      </w:r>
      <w:r w:rsidRPr="005821A1">
        <w:rPr>
          <w:rFonts w:ascii="Book Antiqua" w:hAnsi="Book Antiqua" w:cstheme="minorBidi"/>
          <w:szCs w:val="26"/>
        </w:rPr>
        <w:t xml:space="preserve">Provide best available estimates of emissions of nitrogen oxides and particulate matter associated with all emitting resources used to serve load, including system power. </w:t>
      </w:r>
      <w:bookmarkEnd w:id="77"/>
      <w:r w:rsidR="00E21DA5" w:rsidRPr="005821A1">
        <w:rPr>
          <w:rFonts w:ascii="Book Antiqua" w:hAnsi="Book Antiqua" w:cstheme="minorBidi"/>
          <w:szCs w:val="26"/>
        </w:rPr>
        <w:t xml:space="preserve"> </w:t>
      </w:r>
      <w:r w:rsidRPr="005821A1">
        <w:rPr>
          <w:rFonts w:ascii="Book Antiqua" w:hAnsi="Book Antiqua" w:cstheme="minorBidi"/>
          <w:szCs w:val="26"/>
        </w:rPr>
        <w:t>Refer to pages 19</w:t>
      </w:r>
      <w:r w:rsidR="00D84A09" w:rsidRPr="005821A1">
        <w:rPr>
          <w:rFonts w:ascii="Book Antiqua" w:hAnsi="Book Antiqua" w:cstheme="minorBidi"/>
          <w:szCs w:val="26"/>
        </w:rPr>
        <w:noBreakHyphen/>
      </w:r>
      <w:r w:rsidRPr="005821A1">
        <w:rPr>
          <w:rFonts w:ascii="Book Antiqua" w:hAnsi="Book Antiqua" w:cstheme="minorBidi"/>
          <w:szCs w:val="26"/>
        </w:rPr>
        <w:t xml:space="preserve">22 of Desert Community Energy’s IRP filing for </w:t>
      </w:r>
      <w:r w:rsidR="009E6885">
        <w:rPr>
          <w:rFonts w:ascii="Book Antiqua" w:hAnsi="Book Antiqua" w:cstheme="minorBidi"/>
          <w:szCs w:val="26"/>
        </w:rPr>
        <w:t xml:space="preserve">an </w:t>
      </w:r>
      <w:r w:rsidRPr="005821A1">
        <w:rPr>
          <w:rFonts w:ascii="Book Antiqua" w:hAnsi="Book Antiqua" w:cstheme="minorBidi"/>
          <w:szCs w:val="26"/>
        </w:rPr>
        <w:t xml:space="preserve">example of the type of information a CCA can provide to fulfill this specific filing requirement. </w:t>
      </w:r>
    </w:p>
    <w:p w14:paraId="5131916C" w14:textId="77777777" w:rsidR="00BD702C" w:rsidRPr="005821A1" w:rsidRDefault="00BD702C" w:rsidP="00BD702C">
      <w:pPr>
        <w:spacing w:after="200" w:line="276" w:lineRule="auto"/>
        <w:rPr>
          <w:rFonts w:ascii="Book Antiqua" w:hAnsi="Book Antiqua" w:cstheme="minorBidi"/>
          <w:szCs w:val="26"/>
        </w:rPr>
      </w:pPr>
      <w:r w:rsidRPr="005821A1">
        <w:rPr>
          <w:rFonts w:ascii="Book Antiqua" w:hAnsi="Book Antiqua" w:cstheme="minorBidi"/>
          <w:b/>
          <w:szCs w:val="26"/>
        </w:rPr>
        <w:t>Guidance for LSE Plan development in the next IRP cycle</w:t>
      </w:r>
      <w:r w:rsidRPr="005821A1">
        <w:rPr>
          <w:rFonts w:ascii="Book Antiqua" w:hAnsi="Book Antiqua" w:cstheme="minorBidi"/>
          <w:szCs w:val="26"/>
        </w:rPr>
        <w:t>:</w:t>
      </w:r>
    </w:p>
    <w:p w14:paraId="75A4B998" w14:textId="77777777" w:rsidR="00BD702C" w:rsidRPr="005821A1" w:rsidRDefault="00BD702C" w:rsidP="00894BE0">
      <w:pPr>
        <w:numPr>
          <w:ilvl w:val="0"/>
          <w:numId w:val="16"/>
        </w:numPr>
        <w:spacing w:after="200" w:line="276" w:lineRule="auto"/>
        <w:rPr>
          <w:rFonts w:ascii="Book Antiqua" w:hAnsi="Book Antiqua"/>
          <w:szCs w:val="26"/>
        </w:rPr>
      </w:pPr>
      <w:r w:rsidRPr="005821A1">
        <w:rPr>
          <w:rFonts w:ascii="Book Antiqua" w:hAnsi="Book Antiqua"/>
          <w:szCs w:val="26"/>
        </w:rPr>
        <w:t>Use the correct assigned load forecast when developing the Conforming Portfolio.</w:t>
      </w:r>
    </w:p>
    <w:p w14:paraId="4B70E27F" w14:textId="77777777" w:rsidR="00BD702C" w:rsidRPr="005821A1" w:rsidRDefault="00BD702C" w:rsidP="00894BE0">
      <w:pPr>
        <w:numPr>
          <w:ilvl w:val="0"/>
          <w:numId w:val="16"/>
        </w:numPr>
        <w:spacing w:after="200" w:line="276" w:lineRule="auto"/>
        <w:rPr>
          <w:rFonts w:ascii="Book Antiqua" w:hAnsi="Book Antiqua"/>
          <w:szCs w:val="26"/>
        </w:rPr>
      </w:pPr>
      <w:r w:rsidRPr="005821A1">
        <w:rPr>
          <w:rFonts w:ascii="Book Antiqua" w:hAnsi="Book Antiqua"/>
          <w:szCs w:val="26"/>
        </w:rPr>
        <w:t xml:space="preserve">Complete the Barrier Analysis section (or its equivalent) so that the </w:t>
      </w:r>
      <w:r w:rsidR="00C31396" w:rsidRPr="005821A1">
        <w:rPr>
          <w:rFonts w:ascii="Book Antiqua" w:hAnsi="Book Antiqua"/>
          <w:szCs w:val="26"/>
        </w:rPr>
        <w:t>Commission</w:t>
      </w:r>
      <w:r w:rsidRPr="005821A1">
        <w:rPr>
          <w:rFonts w:ascii="Book Antiqua" w:hAnsi="Book Antiqua"/>
          <w:szCs w:val="26"/>
        </w:rPr>
        <w:t xml:space="preserve"> may evaluate the LSE’s consideration of market, regulatory, financial, and other barriers or risks associated with the LSE’s Preferred Portfolio. </w:t>
      </w:r>
    </w:p>
    <w:p w14:paraId="44ADF9BA" w14:textId="77777777" w:rsidR="00BD702C" w:rsidRPr="005821A1" w:rsidRDefault="00BD702C" w:rsidP="000E00E5">
      <w:pPr>
        <w:keepNext/>
        <w:keepLines/>
        <w:spacing w:before="240" w:after="120" w:line="276" w:lineRule="auto"/>
        <w:outlineLvl w:val="2"/>
        <w:rPr>
          <w:rFonts w:ascii="Book Antiqua" w:eastAsiaTheme="majorEastAsia" w:hAnsi="Book Antiqua" w:cstheme="majorBidi"/>
          <w:b/>
          <w:szCs w:val="26"/>
        </w:rPr>
      </w:pPr>
      <w:bookmarkStart w:id="78" w:name="_Toc868766"/>
      <w:r w:rsidRPr="005821A1">
        <w:rPr>
          <w:rFonts w:ascii="Book Antiqua" w:eastAsiaTheme="majorEastAsia" w:hAnsi="Book Antiqua" w:cstheme="majorBidi"/>
          <w:b/>
          <w:szCs w:val="26"/>
        </w:rPr>
        <w:t>Lancaster Choice Energy</w:t>
      </w:r>
      <w:bookmarkEnd w:id="78"/>
    </w:p>
    <w:tbl>
      <w:tblPr>
        <w:tblStyle w:val="TableGrid3"/>
        <w:tblW w:w="0" w:type="auto"/>
        <w:tblLook w:val="04A0" w:firstRow="1" w:lastRow="0" w:firstColumn="1" w:lastColumn="0" w:noHBand="0" w:noVBand="1"/>
      </w:tblPr>
      <w:tblGrid>
        <w:gridCol w:w="2761"/>
        <w:gridCol w:w="6589"/>
      </w:tblGrid>
      <w:tr w:rsidR="00BD702C" w:rsidRPr="00D149D6" w14:paraId="1E8B1167" w14:textId="77777777" w:rsidTr="00BD702C">
        <w:tc>
          <w:tcPr>
            <w:tcW w:w="2761" w:type="dxa"/>
          </w:tcPr>
          <w:p w14:paraId="61523B5F" w14:textId="77777777" w:rsidR="00BD702C" w:rsidRPr="00D149D6" w:rsidRDefault="00BD702C" w:rsidP="000E00E5">
            <w:pPr>
              <w:keepNext/>
              <w:keepLines/>
              <w:spacing w:before="60" w:after="60"/>
              <w:jc w:val="center"/>
              <w:rPr>
                <w:rFonts w:ascii="Book Antiqua" w:hAnsi="Book Antiqua"/>
                <w:b/>
                <w:sz w:val="24"/>
                <w:szCs w:val="24"/>
              </w:rPr>
            </w:pPr>
            <w:r w:rsidRPr="00D149D6">
              <w:rPr>
                <w:rFonts w:ascii="Book Antiqua" w:hAnsi="Book Antiqua"/>
                <w:b/>
                <w:sz w:val="24"/>
                <w:szCs w:val="24"/>
              </w:rPr>
              <w:t>Requirement</w:t>
            </w:r>
          </w:p>
        </w:tc>
        <w:tc>
          <w:tcPr>
            <w:tcW w:w="6589" w:type="dxa"/>
          </w:tcPr>
          <w:p w14:paraId="2ABC8D72" w14:textId="77777777" w:rsidR="00BD702C" w:rsidRPr="00D149D6" w:rsidRDefault="00BD702C" w:rsidP="000E00E5">
            <w:pPr>
              <w:keepNext/>
              <w:keepLines/>
              <w:spacing w:before="60" w:after="60"/>
              <w:jc w:val="center"/>
              <w:rPr>
                <w:rFonts w:ascii="Book Antiqua" w:hAnsi="Book Antiqua"/>
                <w:b/>
                <w:sz w:val="24"/>
                <w:szCs w:val="24"/>
              </w:rPr>
            </w:pPr>
            <w:r w:rsidRPr="00D149D6">
              <w:rPr>
                <w:rFonts w:ascii="Book Antiqua" w:hAnsi="Book Antiqua"/>
                <w:b/>
                <w:sz w:val="24"/>
                <w:szCs w:val="24"/>
              </w:rPr>
              <w:t>Assessment</w:t>
            </w:r>
          </w:p>
        </w:tc>
      </w:tr>
      <w:tr w:rsidR="00BD702C" w:rsidRPr="00D149D6" w14:paraId="71FF3F06" w14:textId="77777777" w:rsidTr="00BD702C">
        <w:tc>
          <w:tcPr>
            <w:tcW w:w="2761" w:type="dxa"/>
          </w:tcPr>
          <w:p w14:paraId="58275EBA" w14:textId="77777777" w:rsidR="00BD702C" w:rsidRPr="00D149D6" w:rsidRDefault="00BD702C" w:rsidP="000E00E5">
            <w:pPr>
              <w:keepNext/>
              <w:keepLines/>
              <w:spacing w:before="60" w:after="60"/>
              <w:rPr>
                <w:rFonts w:ascii="Book Antiqua" w:hAnsi="Book Antiqua"/>
                <w:sz w:val="24"/>
                <w:szCs w:val="24"/>
              </w:rPr>
            </w:pPr>
            <w:r w:rsidRPr="00D149D6">
              <w:rPr>
                <w:rFonts w:ascii="Book Antiqua" w:hAnsi="Book Antiqua"/>
                <w:sz w:val="24"/>
                <w:szCs w:val="24"/>
              </w:rPr>
              <w:t>Study Design</w:t>
            </w:r>
          </w:p>
        </w:tc>
        <w:tc>
          <w:tcPr>
            <w:tcW w:w="6589" w:type="dxa"/>
          </w:tcPr>
          <w:p w14:paraId="7969FC41" w14:textId="77777777" w:rsidR="00BD702C" w:rsidRPr="00D149D6" w:rsidRDefault="00BD702C" w:rsidP="000E00E5">
            <w:pPr>
              <w:keepNext/>
              <w:keepLines/>
              <w:spacing w:before="60" w:after="60"/>
              <w:rPr>
                <w:rFonts w:ascii="Book Antiqua" w:hAnsi="Book Antiqua"/>
                <w:sz w:val="24"/>
                <w:szCs w:val="24"/>
              </w:rPr>
            </w:pPr>
            <w:bookmarkStart w:id="79" w:name="_Hlk538854"/>
            <w:r w:rsidRPr="00D149D6">
              <w:rPr>
                <w:rFonts w:ascii="Book Antiqua" w:hAnsi="Book Antiqua"/>
                <w:sz w:val="24"/>
                <w:szCs w:val="24"/>
              </w:rPr>
              <w:t>Lancaster Choice Energy (</w:t>
            </w:r>
            <w:r w:rsidR="00664E8A" w:rsidRPr="00D149D6">
              <w:rPr>
                <w:rFonts w:ascii="Book Antiqua" w:hAnsi="Book Antiqua"/>
                <w:sz w:val="24"/>
                <w:szCs w:val="24"/>
              </w:rPr>
              <w:t>Lancaster</w:t>
            </w:r>
            <w:r w:rsidRPr="00D149D6">
              <w:rPr>
                <w:rFonts w:ascii="Book Antiqua" w:hAnsi="Book Antiqua"/>
                <w:sz w:val="24"/>
                <w:szCs w:val="24"/>
              </w:rPr>
              <w:t xml:space="preserve">) </w:t>
            </w:r>
            <w:bookmarkEnd w:id="79"/>
            <w:r w:rsidRPr="00D149D6">
              <w:rPr>
                <w:rFonts w:ascii="Book Antiqua" w:hAnsi="Book Antiqua"/>
                <w:sz w:val="24"/>
                <w:szCs w:val="24"/>
              </w:rPr>
              <w:t>provided an adequate description of modeling tools and approach used to develop its portfolios.</w:t>
            </w:r>
          </w:p>
        </w:tc>
      </w:tr>
      <w:tr w:rsidR="00BD702C" w:rsidRPr="00D149D6" w14:paraId="5A2C3E6F" w14:textId="77777777" w:rsidTr="00BD702C">
        <w:tc>
          <w:tcPr>
            <w:tcW w:w="2761" w:type="dxa"/>
          </w:tcPr>
          <w:p w14:paraId="6821BB4B"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Preferred and Conforming Portfolios</w:t>
            </w:r>
          </w:p>
        </w:tc>
        <w:tc>
          <w:tcPr>
            <w:tcW w:w="6589" w:type="dxa"/>
          </w:tcPr>
          <w:p w14:paraId="711B1EA9" w14:textId="77777777" w:rsidR="00BD702C" w:rsidRPr="00D149D6" w:rsidRDefault="00664E8A" w:rsidP="005821A1">
            <w:pPr>
              <w:spacing w:before="60" w:after="60"/>
              <w:rPr>
                <w:rFonts w:ascii="Book Antiqua" w:hAnsi="Book Antiqua"/>
                <w:sz w:val="24"/>
                <w:szCs w:val="24"/>
              </w:rPr>
            </w:pPr>
            <w:r w:rsidRPr="00D149D6">
              <w:rPr>
                <w:rFonts w:ascii="Book Antiqua" w:hAnsi="Book Antiqua"/>
                <w:sz w:val="24"/>
                <w:szCs w:val="24"/>
              </w:rPr>
              <w:t>Lancaster</w:t>
            </w:r>
            <w:r w:rsidR="00BD702C" w:rsidRPr="00D149D6">
              <w:rPr>
                <w:rFonts w:ascii="Book Antiqua" w:hAnsi="Book Antiqua"/>
                <w:sz w:val="24"/>
                <w:szCs w:val="24"/>
              </w:rPr>
              <w:t xml:space="preserve"> provided a Conforming Portfolio as its Preferred Portfolio showing both existing resources and new resources that it plans to invest in or contract with.</w:t>
            </w:r>
            <w:r w:rsidR="00E21DA5" w:rsidRPr="00D149D6">
              <w:rPr>
                <w:rFonts w:ascii="Book Antiqua" w:hAnsi="Book Antiqua"/>
                <w:sz w:val="24"/>
                <w:szCs w:val="24"/>
              </w:rPr>
              <w:t xml:space="preserve"> </w:t>
            </w:r>
            <w:r w:rsidR="00BD702C" w:rsidRPr="00D149D6">
              <w:rPr>
                <w:rFonts w:ascii="Book Antiqua" w:hAnsi="Book Antiqua"/>
                <w:sz w:val="24"/>
                <w:szCs w:val="24"/>
              </w:rPr>
              <w:t xml:space="preserve"> It provided an adequate explanation of the reasons for its preference, but it did not explain how its Preferred Portfolio is consistent with each relevant statutory and administrative requirement.</w:t>
            </w:r>
          </w:p>
          <w:p w14:paraId="3874213F" w14:textId="77777777" w:rsidR="00BD702C" w:rsidRPr="00D149D6" w:rsidRDefault="00664E8A" w:rsidP="005821A1">
            <w:pPr>
              <w:spacing w:before="60" w:after="60"/>
              <w:rPr>
                <w:rFonts w:ascii="Book Antiqua" w:hAnsi="Book Antiqua"/>
                <w:sz w:val="24"/>
                <w:szCs w:val="24"/>
              </w:rPr>
            </w:pPr>
            <w:r w:rsidRPr="00D149D6">
              <w:rPr>
                <w:rFonts w:ascii="Book Antiqua" w:hAnsi="Book Antiqua"/>
                <w:sz w:val="24"/>
                <w:szCs w:val="24"/>
              </w:rPr>
              <w:t>Lancaster’s</w:t>
            </w:r>
            <w:r w:rsidR="00BD702C" w:rsidRPr="00D149D6">
              <w:rPr>
                <w:rFonts w:ascii="Book Antiqua" w:hAnsi="Book Antiqua"/>
                <w:sz w:val="24"/>
                <w:szCs w:val="24"/>
              </w:rPr>
              <w:t xml:space="preserve"> Preferred Portfolio used an incorrect load forecast for the years 2018, 2022, and 2026, but the load forecast used for year 2030 was correct and met its assigned GHG Benchmark.</w:t>
            </w:r>
            <w:r w:rsidR="00E21DA5" w:rsidRPr="00D149D6">
              <w:rPr>
                <w:rFonts w:ascii="Book Antiqua" w:hAnsi="Book Antiqua"/>
                <w:sz w:val="24"/>
                <w:szCs w:val="24"/>
              </w:rPr>
              <w:t xml:space="preserve"> </w:t>
            </w:r>
            <w:r w:rsidR="00BD702C" w:rsidRPr="00D149D6">
              <w:rPr>
                <w:rFonts w:ascii="Book Antiqua" w:hAnsi="Book Antiqua"/>
                <w:sz w:val="24"/>
                <w:szCs w:val="24"/>
              </w:rPr>
              <w:t xml:space="preserve"> L</w:t>
            </w:r>
            <w:r w:rsidR="001B09F9">
              <w:rPr>
                <w:rFonts w:ascii="Book Antiqua" w:hAnsi="Book Antiqua"/>
                <w:sz w:val="24"/>
                <w:szCs w:val="24"/>
              </w:rPr>
              <w:t>ancaster</w:t>
            </w:r>
            <w:r w:rsidR="00BD702C" w:rsidRPr="00D149D6">
              <w:rPr>
                <w:rFonts w:ascii="Book Antiqua" w:hAnsi="Book Antiqua"/>
                <w:sz w:val="24"/>
                <w:szCs w:val="24"/>
              </w:rPr>
              <w:t xml:space="preserve"> did not explain why its load forecast for pre</w:t>
            </w:r>
            <w:r w:rsidR="00D84A09" w:rsidRPr="00D149D6">
              <w:rPr>
                <w:rFonts w:ascii="Book Antiqua" w:hAnsi="Book Antiqua"/>
                <w:sz w:val="24"/>
                <w:szCs w:val="24"/>
              </w:rPr>
              <w:noBreakHyphen/>
            </w:r>
            <w:r w:rsidR="00BD702C" w:rsidRPr="00D149D6">
              <w:rPr>
                <w:rFonts w:ascii="Book Antiqua" w:hAnsi="Book Antiqua"/>
                <w:sz w:val="24"/>
                <w:szCs w:val="24"/>
              </w:rPr>
              <w:t>2030 years deviated from its assigned forecast.</w:t>
            </w:r>
          </w:p>
        </w:tc>
      </w:tr>
      <w:tr w:rsidR="00BD702C" w:rsidRPr="00D149D6" w14:paraId="6E6B192A" w14:textId="77777777" w:rsidTr="00BD702C">
        <w:tc>
          <w:tcPr>
            <w:tcW w:w="2761" w:type="dxa"/>
          </w:tcPr>
          <w:p w14:paraId="6E640C47"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Study Results:</w:t>
            </w:r>
            <w:r w:rsidR="00DC47F2" w:rsidRPr="00D149D6">
              <w:rPr>
                <w:rFonts w:ascii="Book Antiqua" w:hAnsi="Book Antiqua"/>
                <w:sz w:val="24"/>
                <w:szCs w:val="24"/>
              </w:rPr>
              <w:t xml:space="preserve"> </w:t>
            </w:r>
            <w:r w:rsidRPr="00D149D6">
              <w:rPr>
                <w:rFonts w:ascii="Book Antiqua" w:hAnsi="Book Antiqua"/>
                <w:sz w:val="24"/>
                <w:szCs w:val="24"/>
              </w:rPr>
              <w:t xml:space="preserve"> Local Air Pollutant Minimization</w:t>
            </w:r>
          </w:p>
        </w:tc>
        <w:tc>
          <w:tcPr>
            <w:tcW w:w="6589" w:type="dxa"/>
          </w:tcPr>
          <w:p w14:paraId="0F37E579" w14:textId="77777777" w:rsidR="00BD702C" w:rsidRPr="00D149D6" w:rsidRDefault="00664E8A" w:rsidP="005821A1">
            <w:pPr>
              <w:spacing w:before="60" w:after="60"/>
              <w:rPr>
                <w:rFonts w:ascii="Book Antiqua" w:hAnsi="Book Antiqua"/>
                <w:sz w:val="24"/>
                <w:szCs w:val="24"/>
              </w:rPr>
            </w:pPr>
            <w:r w:rsidRPr="00D149D6">
              <w:rPr>
                <w:rFonts w:ascii="Book Antiqua" w:hAnsi="Book Antiqua"/>
                <w:sz w:val="24"/>
                <w:szCs w:val="24"/>
              </w:rPr>
              <w:t>Lancaster</w:t>
            </w:r>
            <w:r w:rsidR="00BD702C" w:rsidRPr="00D149D6">
              <w:rPr>
                <w:rFonts w:ascii="Book Antiqua" w:hAnsi="Book Antiqua"/>
                <w:sz w:val="24"/>
                <w:szCs w:val="24"/>
              </w:rPr>
              <w:t xml:space="preserve"> stated that it minimizes localized air pollutants with early priority on disadvantaged communities but did not provide any quantitative evidence to back the claim.</w:t>
            </w:r>
            <w:r w:rsidR="00E21DA5" w:rsidRPr="00D149D6">
              <w:rPr>
                <w:rFonts w:ascii="Book Antiqua" w:hAnsi="Book Antiqua"/>
                <w:sz w:val="24"/>
                <w:szCs w:val="24"/>
              </w:rPr>
              <w:t xml:space="preserve"> </w:t>
            </w:r>
            <w:r w:rsidR="00BD702C" w:rsidRPr="00D149D6">
              <w:rPr>
                <w:rFonts w:ascii="Book Antiqua" w:hAnsi="Book Antiqua"/>
                <w:sz w:val="24"/>
                <w:szCs w:val="24"/>
              </w:rPr>
              <w:t xml:space="preserve"> No attempt to provide best available estimates of emissions of nitrogen oxides and particulate matter was made. </w:t>
            </w:r>
            <w:r w:rsidR="00E21DA5" w:rsidRPr="00D149D6">
              <w:rPr>
                <w:rFonts w:ascii="Book Antiqua" w:hAnsi="Book Antiqua"/>
                <w:sz w:val="24"/>
                <w:szCs w:val="24"/>
              </w:rPr>
              <w:t xml:space="preserve"> </w:t>
            </w:r>
            <w:r w:rsidR="00BD702C" w:rsidRPr="00D149D6">
              <w:rPr>
                <w:rFonts w:ascii="Book Antiqua" w:hAnsi="Book Antiqua"/>
                <w:sz w:val="24"/>
                <w:szCs w:val="24"/>
              </w:rPr>
              <w:t>Identification of disadvantaged communities was adequate.</w:t>
            </w:r>
          </w:p>
        </w:tc>
      </w:tr>
      <w:tr w:rsidR="00BD702C" w:rsidRPr="00D149D6" w14:paraId="554E6675" w14:textId="77777777" w:rsidTr="00BD702C">
        <w:tc>
          <w:tcPr>
            <w:tcW w:w="2761" w:type="dxa"/>
          </w:tcPr>
          <w:p w14:paraId="1DB141AB"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Cost and Rate Analysis</w:t>
            </w:r>
          </w:p>
        </w:tc>
        <w:tc>
          <w:tcPr>
            <w:tcW w:w="6589" w:type="dxa"/>
          </w:tcPr>
          <w:p w14:paraId="3430F5B1" w14:textId="77777777" w:rsidR="00BD702C" w:rsidRPr="00D149D6" w:rsidRDefault="00664E8A" w:rsidP="005821A1">
            <w:pPr>
              <w:spacing w:before="60" w:after="60"/>
              <w:rPr>
                <w:rFonts w:ascii="Book Antiqua" w:hAnsi="Book Antiqua"/>
                <w:sz w:val="24"/>
                <w:szCs w:val="24"/>
              </w:rPr>
            </w:pPr>
            <w:r w:rsidRPr="00D149D6">
              <w:rPr>
                <w:rFonts w:ascii="Book Antiqua" w:hAnsi="Book Antiqua"/>
                <w:sz w:val="24"/>
                <w:szCs w:val="24"/>
              </w:rPr>
              <w:t>Lancaster</w:t>
            </w:r>
            <w:r w:rsidR="00BD702C" w:rsidRPr="00D149D6">
              <w:rPr>
                <w:rFonts w:ascii="Book Antiqua" w:hAnsi="Book Antiqua"/>
                <w:sz w:val="24"/>
                <w:szCs w:val="24"/>
              </w:rPr>
              <w:t xml:space="preserve"> provided an adequate description of its approach in considering cost and rate impacts on its customers.</w:t>
            </w:r>
          </w:p>
        </w:tc>
      </w:tr>
      <w:tr w:rsidR="00BD702C" w:rsidRPr="00D149D6" w14:paraId="676F7FB3" w14:textId="77777777" w:rsidTr="00BD702C">
        <w:tc>
          <w:tcPr>
            <w:tcW w:w="2761" w:type="dxa"/>
          </w:tcPr>
          <w:p w14:paraId="3BBD8A92"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Deviations from Current Resource Plans</w:t>
            </w:r>
          </w:p>
        </w:tc>
        <w:tc>
          <w:tcPr>
            <w:tcW w:w="6589" w:type="dxa"/>
          </w:tcPr>
          <w:p w14:paraId="7179C460" w14:textId="77777777" w:rsidR="00BD702C" w:rsidRPr="00D149D6" w:rsidRDefault="00664E8A" w:rsidP="005821A1">
            <w:pPr>
              <w:spacing w:before="60" w:after="60"/>
              <w:rPr>
                <w:rFonts w:ascii="Book Antiqua" w:hAnsi="Book Antiqua"/>
                <w:sz w:val="24"/>
                <w:szCs w:val="24"/>
              </w:rPr>
            </w:pPr>
            <w:r w:rsidRPr="00D149D6">
              <w:rPr>
                <w:rFonts w:ascii="Book Antiqua" w:hAnsi="Book Antiqua"/>
                <w:sz w:val="24"/>
                <w:szCs w:val="24"/>
              </w:rPr>
              <w:t>Lancaster</w:t>
            </w:r>
            <w:r w:rsidR="00BD702C" w:rsidRPr="00D149D6">
              <w:rPr>
                <w:rFonts w:ascii="Book Antiqua" w:hAnsi="Book Antiqua"/>
                <w:sz w:val="24"/>
                <w:szCs w:val="24"/>
              </w:rPr>
              <w:t xml:space="preserve"> provided an adequate description of the differences in quantities and budgets for procurement between its Preferred Plan and currently filed or authorized resource plans, stating that there are no deviations.</w:t>
            </w:r>
          </w:p>
        </w:tc>
      </w:tr>
      <w:tr w:rsidR="00BD702C" w:rsidRPr="00D149D6" w14:paraId="6823799E" w14:textId="77777777" w:rsidTr="00BD702C">
        <w:tc>
          <w:tcPr>
            <w:tcW w:w="2761" w:type="dxa"/>
          </w:tcPr>
          <w:p w14:paraId="3B82D45D" w14:textId="77777777" w:rsidR="00BD702C" w:rsidRPr="00D149D6" w:rsidRDefault="00BD702C" w:rsidP="005821A1">
            <w:pPr>
              <w:spacing w:before="60" w:after="60"/>
              <w:rPr>
                <w:rFonts w:ascii="Book Antiqua" w:hAnsi="Book Antiqua"/>
                <w:sz w:val="24"/>
                <w:szCs w:val="24"/>
              </w:rPr>
            </w:pPr>
            <w:r w:rsidRPr="00D149D6">
              <w:rPr>
                <w:rFonts w:ascii="Book Antiqua" w:hAnsi="Book Antiqua"/>
                <w:color w:val="000000"/>
                <w:sz w:val="24"/>
                <w:szCs w:val="24"/>
              </w:rPr>
              <w:t>Action Plan:</w:t>
            </w:r>
            <w:r w:rsidR="00DC47F2" w:rsidRPr="00D149D6">
              <w:rPr>
                <w:rFonts w:ascii="Book Antiqua" w:hAnsi="Book Antiqua"/>
                <w:color w:val="000000"/>
                <w:sz w:val="24"/>
                <w:szCs w:val="24"/>
              </w:rPr>
              <w:t xml:space="preserve"> </w:t>
            </w:r>
            <w:r w:rsidRPr="00D149D6">
              <w:rPr>
                <w:rFonts w:ascii="Book Antiqua" w:hAnsi="Book Antiqua"/>
                <w:color w:val="000000"/>
                <w:sz w:val="24"/>
                <w:szCs w:val="24"/>
              </w:rPr>
              <w:t xml:space="preserve"> </w:t>
            </w:r>
            <w:r w:rsidRPr="00D149D6">
              <w:rPr>
                <w:rFonts w:ascii="Book Antiqua" w:hAnsi="Book Antiqua"/>
                <w:sz w:val="24"/>
                <w:szCs w:val="24"/>
              </w:rPr>
              <w:t>Proposed Activities</w:t>
            </w:r>
          </w:p>
        </w:tc>
        <w:tc>
          <w:tcPr>
            <w:tcW w:w="6589" w:type="dxa"/>
          </w:tcPr>
          <w:p w14:paraId="2519C190" w14:textId="77777777" w:rsidR="00BD702C" w:rsidRPr="00D149D6" w:rsidRDefault="00664E8A" w:rsidP="005821A1">
            <w:pPr>
              <w:spacing w:before="60" w:after="60"/>
              <w:rPr>
                <w:rFonts w:ascii="Book Antiqua" w:hAnsi="Book Antiqua"/>
                <w:sz w:val="24"/>
                <w:szCs w:val="24"/>
              </w:rPr>
            </w:pPr>
            <w:r w:rsidRPr="00D149D6">
              <w:rPr>
                <w:rFonts w:ascii="Book Antiqua" w:hAnsi="Book Antiqua"/>
                <w:sz w:val="24"/>
                <w:szCs w:val="24"/>
              </w:rPr>
              <w:t>Lancaster</w:t>
            </w:r>
            <w:r w:rsidR="00BD702C" w:rsidRPr="00D149D6">
              <w:rPr>
                <w:rFonts w:ascii="Book Antiqua" w:hAnsi="Book Antiqua"/>
                <w:sz w:val="24"/>
                <w:szCs w:val="24"/>
              </w:rPr>
              <w:t xml:space="preserve"> did not provide an adequate description of its proposed near</w:t>
            </w:r>
            <w:r w:rsidR="00D84A09" w:rsidRPr="00D149D6">
              <w:rPr>
                <w:rFonts w:ascii="Book Antiqua" w:hAnsi="Book Antiqua"/>
                <w:sz w:val="24"/>
                <w:szCs w:val="24"/>
              </w:rPr>
              <w:noBreakHyphen/>
            </w:r>
            <w:r w:rsidR="00BD702C" w:rsidRPr="00D149D6">
              <w:rPr>
                <w:rFonts w:ascii="Book Antiqua" w:hAnsi="Book Antiqua"/>
                <w:sz w:val="24"/>
                <w:szCs w:val="24"/>
              </w:rPr>
              <w:t>term activities to implement its LSE Plan, as it did not provide clear links to its Preferred Portfolio findings.</w:t>
            </w:r>
          </w:p>
        </w:tc>
      </w:tr>
      <w:tr w:rsidR="00BD702C" w:rsidRPr="00D149D6" w14:paraId="24F91BEB" w14:textId="77777777" w:rsidTr="00BD702C">
        <w:tc>
          <w:tcPr>
            <w:tcW w:w="2761" w:type="dxa"/>
          </w:tcPr>
          <w:p w14:paraId="33FD871A"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Barrier Analysis</w:t>
            </w:r>
          </w:p>
        </w:tc>
        <w:tc>
          <w:tcPr>
            <w:tcW w:w="6589" w:type="dxa"/>
          </w:tcPr>
          <w:p w14:paraId="2034CF15" w14:textId="77777777" w:rsidR="00BD702C" w:rsidRPr="00D149D6" w:rsidRDefault="00664E8A" w:rsidP="005821A1">
            <w:pPr>
              <w:spacing w:before="60" w:after="60"/>
              <w:rPr>
                <w:rFonts w:ascii="Book Antiqua" w:hAnsi="Book Antiqua"/>
                <w:sz w:val="24"/>
                <w:szCs w:val="24"/>
              </w:rPr>
            </w:pPr>
            <w:r w:rsidRPr="00D149D6">
              <w:rPr>
                <w:rFonts w:ascii="Book Antiqua" w:hAnsi="Book Antiqua"/>
                <w:sz w:val="24"/>
                <w:szCs w:val="24"/>
              </w:rPr>
              <w:t>Lancaster</w:t>
            </w:r>
            <w:r w:rsidR="00BD702C" w:rsidRPr="00D149D6">
              <w:rPr>
                <w:rFonts w:ascii="Book Antiqua" w:hAnsi="Book Antiqua"/>
                <w:sz w:val="24"/>
                <w:szCs w:val="24"/>
              </w:rPr>
              <w:t xml:space="preserve"> provided an adequate description of the market, regulatory, financial, and other barriers or risks associated with its Preferred Portfolio.</w:t>
            </w:r>
          </w:p>
        </w:tc>
      </w:tr>
      <w:tr w:rsidR="00BD702C" w:rsidRPr="00D149D6" w14:paraId="16A6AAEA" w14:textId="77777777" w:rsidTr="00BD702C">
        <w:tc>
          <w:tcPr>
            <w:tcW w:w="2761" w:type="dxa"/>
          </w:tcPr>
          <w:p w14:paraId="03B0BE32"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Commission Direction</w:t>
            </w:r>
          </w:p>
        </w:tc>
        <w:tc>
          <w:tcPr>
            <w:tcW w:w="6589" w:type="dxa"/>
          </w:tcPr>
          <w:p w14:paraId="2E7D4401" w14:textId="77777777" w:rsidR="00BD702C" w:rsidRPr="00D149D6" w:rsidRDefault="00664E8A" w:rsidP="005821A1">
            <w:pPr>
              <w:spacing w:before="60" w:after="60"/>
              <w:rPr>
                <w:rFonts w:ascii="Book Antiqua" w:hAnsi="Book Antiqua"/>
                <w:sz w:val="24"/>
                <w:szCs w:val="24"/>
              </w:rPr>
            </w:pPr>
            <w:r w:rsidRPr="00D149D6">
              <w:rPr>
                <w:rFonts w:ascii="Book Antiqua" w:hAnsi="Book Antiqua"/>
                <w:sz w:val="24"/>
                <w:szCs w:val="24"/>
              </w:rPr>
              <w:t>Lancaster</w:t>
            </w:r>
            <w:r w:rsidR="00BD702C" w:rsidRPr="00D149D6">
              <w:rPr>
                <w:rFonts w:ascii="Book Antiqua" w:hAnsi="Book Antiqua"/>
                <w:sz w:val="24"/>
                <w:szCs w:val="24"/>
              </w:rPr>
              <w:t xml:space="preserve"> marked this this section as not applicable.</w:t>
            </w:r>
          </w:p>
        </w:tc>
      </w:tr>
      <w:tr w:rsidR="00BD702C" w:rsidRPr="00D149D6" w14:paraId="621C8779" w14:textId="77777777" w:rsidTr="00BD702C">
        <w:tc>
          <w:tcPr>
            <w:tcW w:w="2761" w:type="dxa"/>
          </w:tcPr>
          <w:p w14:paraId="12F7909A"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Lessons Learned</w:t>
            </w:r>
          </w:p>
        </w:tc>
        <w:tc>
          <w:tcPr>
            <w:tcW w:w="6589" w:type="dxa"/>
          </w:tcPr>
          <w:p w14:paraId="3E732343" w14:textId="77777777" w:rsidR="00BD702C" w:rsidRPr="00D149D6" w:rsidRDefault="00664E8A" w:rsidP="005821A1">
            <w:pPr>
              <w:spacing w:before="60" w:after="60"/>
              <w:rPr>
                <w:rFonts w:ascii="Book Antiqua" w:hAnsi="Book Antiqua"/>
                <w:sz w:val="24"/>
                <w:szCs w:val="24"/>
              </w:rPr>
            </w:pPr>
            <w:r w:rsidRPr="00D149D6">
              <w:rPr>
                <w:rFonts w:ascii="Book Antiqua" w:hAnsi="Book Antiqua"/>
                <w:sz w:val="24"/>
                <w:szCs w:val="24"/>
              </w:rPr>
              <w:t>Lancaster</w:t>
            </w:r>
            <w:r w:rsidR="00BD702C" w:rsidRPr="00D149D6">
              <w:rPr>
                <w:rFonts w:ascii="Book Antiqua" w:hAnsi="Book Antiqua"/>
                <w:sz w:val="24"/>
                <w:szCs w:val="24"/>
              </w:rPr>
              <w:t xml:space="preserve"> provided an adequate description of lessons learned.</w:t>
            </w:r>
          </w:p>
        </w:tc>
      </w:tr>
    </w:tbl>
    <w:p w14:paraId="7B860764" w14:textId="77777777" w:rsidR="00BD702C" w:rsidRPr="00AF5CC4" w:rsidRDefault="00BD702C" w:rsidP="00AF5CC4">
      <w:pPr>
        <w:keepNext/>
        <w:keepLines/>
        <w:spacing w:before="240" w:after="120" w:line="276" w:lineRule="auto"/>
        <w:outlineLvl w:val="3"/>
        <w:rPr>
          <w:rFonts w:ascii="Book Antiqua" w:eastAsiaTheme="majorEastAsia" w:hAnsi="Book Antiqua" w:cstheme="majorBidi"/>
          <w:b/>
          <w:i/>
          <w:iCs/>
          <w:szCs w:val="26"/>
        </w:rPr>
      </w:pPr>
      <w:r w:rsidRPr="00AF5CC4">
        <w:rPr>
          <w:rFonts w:ascii="Book Antiqua" w:eastAsiaTheme="majorEastAsia" w:hAnsi="Book Antiqua" w:cstheme="majorBidi"/>
          <w:b/>
          <w:i/>
          <w:iCs/>
          <w:szCs w:val="26"/>
        </w:rPr>
        <w:t xml:space="preserve">Next Steps for </w:t>
      </w:r>
      <w:r w:rsidR="00664E8A" w:rsidRPr="00AF5CC4">
        <w:rPr>
          <w:rFonts w:ascii="Book Antiqua" w:eastAsiaTheme="majorEastAsia" w:hAnsi="Book Antiqua" w:cstheme="majorBidi"/>
          <w:b/>
          <w:i/>
          <w:iCs/>
          <w:szCs w:val="26"/>
        </w:rPr>
        <w:t>Lancaster</w:t>
      </w:r>
    </w:p>
    <w:p w14:paraId="5FD690BF" w14:textId="77777777" w:rsidR="00BD702C" w:rsidRPr="005821A1" w:rsidRDefault="00BD702C" w:rsidP="00BD702C">
      <w:pPr>
        <w:spacing w:after="200" w:line="276" w:lineRule="auto"/>
        <w:rPr>
          <w:rFonts w:ascii="Book Antiqua" w:hAnsi="Book Antiqua" w:cstheme="minorBidi"/>
          <w:szCs w:val="26"/>
        </w:rPr>
      </w:pPr>
      <w:r w:rsidRPr="005821A1">
        <w:rPr>
          <w:rFonts w:ascii="Book Antiqua" w:hAnsi="Book Antiqua" w:cstheme="minorBidi"/>
          <w:b/>
          <w:szCs w:val="26"/>
        </w:rPr>
        <w:t>Action required in this IRP 2017</w:t>
      </w:r>
      <w:r w:rsidR="00D84A09" w:rsidRPr="005821A1">
        <w:rPr>
          <w:rFonts w:ascii="Book Antiqua" w:hAnsi="Book Antiqua" w:cstheme="minorBidi"/>
          <w:b/>
          <w:szCs w:val="26"/>
        </w:rPr>
        <w:noBreakHyphen/>
      </w:r>
      <w:r w:rsidRPr="005821A1">
        <w:rPr>
          <w:rFonts w:ascii="Book Antiqua" w:hAnsi="Book Antiqua" w:cstheme="minorBidi"/>
          <w:b/>
          <w:szCs w:val="26"/>
        </w:rPr>
        <w:t>18 cycle</w:t>
      </w:r>
      <w:r w:rsidRPr="005821A1">
        <w:rPr>
          <w:rFonts w:ascii="Book Antiqua" w:hAnsi="Book Antiqua" w:cstheme="minorBidi"/>
          <w:szCs w:val="26"/>
        </w:rPr>
        <w:t>:</w:t>
      </w:r>
      <w:bookmarkStart w:id="80" w:name="_Hlk536191586"/>
      <w:r w:rsidRPr="005821A1">
        <w:rPr>
          <w:rFonts w:ascii="Book Antiqua" w:hAnsi="Book Antiqua" w:cstheme="minorBidi"/>
          <w:szCs w:val="26"/>
        </w:rPr>
        <w:t xml:space="preserve"> </w:t>
      </w:r>
      <w:r w:rsidR="00DC47F2" w:rsidRPr="005821A1">
        <w:rPr>
          <w:rFonts w:ascii="Book Antiqua" w:hAnsi="Book Antiqua" w:cstheme="minorBidi"/>
          <w:szCs w:val="26"/>
        </w:rPr>
        <w:t xml:space="preserve"> </w:t>
      </w:r>
      <w:r w:rsidRPr="005821A1">
        <w:rPr>
          <w:rFonts w:ascii="Book Antiqua" w:hAnsi="Book Antiqua" w:cstheme="minorBidi"/>
          <w:szCs w:val="26"/>
        </w:rPr>
        <w:t xml:space="preserve">Provide best available estimates of emissions of nitrogen oxides and particulate matter associated with all emitting resources used to serve load, including system power. </w:t>
      </w:r>
      <w:bookmarkEnd w:id="80"/>
      <w:r w:rsidR="00E21DA5" w:rsidRPr="005821A1">
        <w:rPr>
          <w:rFonts w:ascii="Book Antiqua" w:hAnsi="Book Antiqua" w:cstheme="minorBidi"/>
          <w:szCs w:val="26"/>
        </w:rPr>
        <w:t xml:space="preserve"> </w:t>
      </w:r>
      <w:r w:rsidRPr="005821A1">
        <w:rPr>
          <w:rFonts w:ascii="Book Antiqua" w:hAnsi="Book Antiqua" w:cstheme="minorBidi"/>
          <w:szCs w:val="26"/>
        </w:rPr>
        <w:t>Refer to pages 19</w:t>
      </w:r>
      <w:r w:rsidR="00D84A09" w:rsidRPr="005821A1">
        <w:rPr>
          <w:rFonts w:ascii="Book Antiqua" w:hAnsi="Book Antiqua" w:cstheme="minorBidi"/>
          <w:szCs w:val="26"/>
        </w:rPr>
        <w:noBreakHyphen/>
      </w:r>
      <w:r w:rsidRPr="005821A1">
        <w:rPr>
          <w:rFonts w:ascii="Book Antiqua" w:hAnsi="Book Antiqua" w:cstheme="minorBidi"/>
          <w:szCs w:val="26"/>
        </w:rPr>
        <w:t xml:space="preserve">22 of Desert Community Energy’s IRP filing for </w:t>
      </w:r>
      <w:r w:rsidR="009E6885">
        <w:rPr>
          <w:rFonts w:ascii="Book Antiqua" w:hAnsi="Book Antiqua" w:cstheme="minorBidi"/>
          <w:szCs w:val="26"/>
        </w:rPr>
        <w:t xml:space="preserve">an </w:t>
      </w:r>
      <w:r w:rsidRPr="005821A1">
        <w:rPr>
          <w:rFonts w:ascii="Book Antiqua" w:hAnsi="Book Antiqua" w:cstheme="minorBidi"/>
          <w:szCs w:val="26"/>
        </w:rPr>
        <w:t>example of the type of information a CCA can provide to fulfill this specific filing requirement.</w:t>
      </w:r>
    </w:p>
    <w:p w14:paraId="457BCE52" w14:textId="77777777" w:rsidR="00BD702C" w:rsidRPr="005821A1" w:rsidRDefault="00BD702C" w:rsidP="00AF5CC4">
      <w:pPr>
        <w:keepNext/>
        <w:keepLines/>
        <w:spacing w:after="200" w:line="276" w:lineRule="auto"/>
        <w:rPr>
          <w:rFonts w:ascii="Book Antiqua" w:hAnsi="Book Antiqua" w:cstheme="minorBidi"/>
          <w:szCs w:val="26"/>
        </w:rPr>
      </w:pPr>
      <w:r w:rsidRPr="005821A1">
        <w:rPr>
          <w:rFonts w:ascii="Book Antiqua" w:hAnsi="Book Antiqua" w:cstheme="minorBidi"/>
          <w:b/>
          <w:szCs w:val="26"/>
        </w:rPr>
        <w:t>Guidance for LSE Plan development in the next IRP cycle</w:t>
      </w:r>
      <w:r w:rsidRPr="005821A1">
        <w:rPr>
          <w:rFonts w:ascii="Book Antiqua" w:hAnsi="Book Antiqua" w:cstheme="minorBidi"/>
          <w:szCs w:val="26"/>
        </w:rPr>
        <w:t>:</w:t>
      </w:r>
    </w:p>
    <w:p w14:paraId="39A6FEF3" w14:textId="77777777" w:rsidR="00BD702C" w:rsidRPr="005821A1" w:rsidRDefault="00BD702C" w:rsidP="00894BE0">
      <w:pPr>
        <w:numPr>
          <w:ilvl w:val="0"/>
          <w:numId w:val="16"/>
        </w:numPr>
        <w:spacing w:after="200" w:line="276" w:lineRule="auto"/>
        <w:rPr>
          <w:rFonts w:ascii="Book Antiqua" w:hAnsi="Book Antiqua"/>
          <w:szCs w:val="26"/>
        </w:rPr>
      </w:pPr>
      <w:r w:rsidRPr="005821A1">
        <w:rPr>
          <w:rFonts w:ascii="Book Antiqua" w:hAnsi="Book Antiqua"/>
          <w:szCs w:val="26"/>
        </w:rPr>
        <w:t>Use the correct assigned load forecast when developing the Conforming Portfolio.</w:t>
      </w:r>
    </w:p>
    <w:p w14:paraId="568F7DFA" w14:textId="77777777" w:rsidR="00BD702C" w:rsidRPr="005821A1" w:rsidRDefault="00BD702C" w:rsidP="00894BE0">
      <w:pPr>
        <w:numPr>
          <w:ilvl w:val="0"/>
          <w:numId w:val="16"/>
        </w:numPr>
        <w:spacing w:after="200" w:line="276" w:lineRule="auto"/>
        <w:rPr>
          <w:rFonts w:ascii="Book Antiqua" w:hAnsi="Book Antiqua"/>
          <w:szCs w:val="26"/>
        </w:rPr>
      </w:pPr>
      <w:r w:rsidRPr="005821A1">
        <w:rPr>
          <w:rFonts w:ascii="Book Antiqua" w:hAnsi="Book Antiqua"/>
          <w:szCs w:val="26"/>
        </w:rPr>
        <w:t>Draw clearer connections between proposed near</w:t>
      </w:r>
      <w:r w:rsidR="00D84A09" w:rsidRPr="005821A1">
        <w:rPr>
          <w:rFonts w:ascii="Book Antiqua" w:hAnsi="Book Antiqua"/>
          <w:szCs w:val="26"/>
        </w:rPr>
        <w:noBreakHyphen/>
      </w:r>
      <w:r w:rsidRPr="005821A1">
        <w:rPr>
          <w:rFonts w:ascii="Book Antiqua" w:hAnsi="Book Antiqua"/>
          <w:szCs w:val="26"/>
        </w:rPr>
        <w:t xml:space="preserve">term activities and the portfolio study results. </w:t>
      </w:r>
    </w:p>
    <w:p w14:paraId="59E0C785" w14:textId="77777777" w:rsidR="00BD702C" w:rsidRPr="005821A1" w:rsidRDefault="00BD702C" w:rsidP="00671FAB">
      <w:pPr>
        <w:keepNext/>
        <w:keepLines/>
        <w:spacing w:before="240" w:after="120" w:line="276" w:lineRule="auto"/>
        <w:outlineLvl w:val="2"/>
        <w:rPr>
          <w:rFonts w:ascii="Book Antiqua" w:eastAsiaTheme="majorEastAsia" w:hAnsi="Book Antiqua" w:cstheme="majorBidi"/>
          <w:b/>
          <w:szCs w:val="26"/>
        </w:rPr>
      </w:pPr>
      <w:bookmarkStart w:id="81" w:name="_Toc868767"/>
      <w:r w:rsidRPr="005821A1">
        <w:rPr>
          <w:rFonts w:ascii="Book Antiqua" w:eastAsiaTheme="majorEastAsia" w:hAnsi="Book Antiqua" w:cstheme="majorBidi"/>
          <w:b/>
          <w:szCs w:val="26"/>
        </w:rPr>
        <w:t>Marin Clean Energy</w:t>
      </w:r>
      <w:bookmarkEnd w:id="81"/>
    </w:p>
    <w:tbl>
      <w:tblPr>
        <w:tblStyle w:val="TableGrid3"/>
        <w:tblW w:w="0" w:type="auto"/>
        <w:tblLook w:val="04A0" w:firstRow="1" w:lastRow="0" w:firstColumn="1" w:lastColumn="0" w:noHBand="0" w:noVBand="1"/>
      </w:tblPr>
      <w:tblGrid>
        <w:gridCol w:w="2761"/>
        <w:gridCol w:w="6589"/>
      </w:tblGrid>
      <w:tr w:rsidR="00BD702C" w:rsidRPr="00D149D6" w14:paraId="7D0DD969" w14:textId="77777777" w:rsidTr="00BD702C">
        <w:tc>
          <w:tcPr>
            <w:tcW w:w="2761" w:type="dxa"/>
          </w:tcPr>
          <w:p w14:paraId="1F532225" w14:textId="77777777" w:rsidR="00BD702C" w:rsidRPr="00D149D6" w:rsidRDefault="00BD702C" w:rsidP="005821A1">
            <w:pPr>
              <w:spacing w:before="60" w:after="60"/>
              <w:jc w:val="center"/>
              <w:rPr>
                <w:rFonts w:ascii="Book Antiqua" w:hAnsi="Book Antiqua"/>
                <w:b/>
                <w:sz w:val="24"/>
                <w:szCs w:val="24"/>
              </w:rPr>
            </w:pPr>
            <w:r w:rsidRPr="00D149D6">
              <w:rPr>
                <w:rFonts w:ascii="Book Antiqua" w:hAnsi="Book Antiqua"/>
                <w:b/>
                <w:sz w:val="24"/>
                <w:szCs w:val="24"/>
              </w:rPr>
              <w:t>Requirement</w:t>
            </w:r>
          </w:p>
        </w:tc>
        <w:tc>
          <w:tcPr>
            <w:tcW w:w="6589" w:type="dxa"/>
          </w:tcPr>
          <w:p w14:paraId="53519D56" w14:textId="77777777" w:rsidR="00BD702C" w:rsidRPr="00D149D6" w:rsidRDefault="00BD702C" w:rsidP="005821A1">
            <w:pPr>
              <w:spacing w:before="60" w:after="60"/>
              <w:jc w:val="center"/>
              <w:rPr>
                <w:rFonts w:ascii="Book Antiqua" w:hAnsi="Book Antiqua"/>
                <w:b/>
                <w:sz w:val="24"/>
                <w:szCs w:val="24"/>
              </w:rPr>
            </w:pPr>
            <w:r w:rsidRPr="00D149D6">
              <w:rPr>
                <w:rFonts w:ascii="Book Antiqua" w:hAnsi="Book Antiqua"/>
                <w:b/>
                <w:sz w:val="24"/>
                <w:szCs w:val="24"/>
              </w:rPr>
              <w:t>Assessment</w:t>
            </w:r>
          </w:p>
        </w:tc>
      </w:tr>
      <w:tr w:rsidR="00BD702C" w:rsidRPr="00D149D6" w14:paraId="1C6A5654" w14:textId="77777777" w:rsidTr="00BD702C">
        <w:tc>
          <w:tcPr>
            <w:tcW w:w="2761" w:type="dxa"/>
          </w:tcPr>
          <w:p w14:paraId="175A83F0"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Study Design</w:t>
            </w:r>
          </w:p>
        </w:tc>
        <w:tc>
          <w:tcPr>
            <w:tcW w:w="6589" w:type="dxa"/>
          </w:tcPr>
          <w:p w14:paraId="06844C28"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Marin Clean Energy (MCE) provided an adequate description of modeling tools used and a clear description of how its inputs and assumptions differ between its Conforming and Preferred portfolios.</w:t>
            </w:r>
          </w:p>
        </w:tc>
      </w:tr>
      <w:tr w:rsidR="00BD702C" w:rsidRPr="00D149D6" w14:paraId="697E2E49" w14:textId="77777777" w:rsidTr="00BD702C">
        <w:tc>
          <w:tcPr>
            <w:tcW w:w="2761" w:type="dxa"/>
          </w:tcPr>
          <w:p w14:paraId="367E860B"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Preferred and Conforming Portfolios</w:t>
            </w:r>
          </w:p>
        </w:tc>
        <w:tc>
          <w:tcPr>
            <w:tcW w:w="6589" w:type="dxa"/>
          </w:tcPr>
          <w:p w14:paraId="2EE9304F"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MCE provided a Conforming Portfolio and an Alternative (Preferred) Portfolio showing both existing resources and new resources that </w:t>
            </w:r>
            <w:r w:rsidR="00FA2300">
              <w:rPr>
                <w:rFonts w:ascii="Book Antiqua" w:hAnsi="Book Antiqua"/>
                <w:sz w:val="24"/>
                <w:szCs w:val="24"/>
              </w:rPr>
              <w:t>it</w:t>
            </w:r>
            <w:r w:rsidRPr="00D149D6">
              <w:rPr>
                <w:rFonts w:ascii="Book Antiqua" w:hAnsi="Book Antiqua"/>
                <w:sz w:val="24"/>
                <w:szCs w:val="24"/>
              </w:rPr>
              <w:t xml:space="preserve"> plans to invest in or contract with. </w:t>
            </w:r>
            <w:r w:rsidR="00E21DA5" w:rsidRPr="00D149D6">
              <w:rPr>
                <w:rFonts w:ascii="Book Antiqua" w:hAnsi="Book Antiqua"/>
                <w:sz w:val="24"/>
                <w:szCs w:val="24"/>
              </w:rPr>
              <w:t xml:space="preserve"> </w:t>
            </w:r>
            <w:r w:rsidRPr="00D149D6">
              <w:rPr>
                <w:rFonts w:ascii="Book Antiqua" w:hAnsi="Book Antiqua"/>
                <w:sz w:val="24"/>
                <w:szCs w:val="24"/>
              </w:rPr>
              <w:t>Its portfolio deviations were clearly described, but its rationale did not include why the IEPR load shapes were deemed inadequate.</w:t>
            </w:r>
            <w:r w:rsidR="00E21DA5" w:rsidRPr="00D149D6">
              <w:rPr>
                <w:rFonts w:ascii="Book Antiqua" w:hAnsi="Book Antiqua"/>
                <w:sz w:val="24"/>
                <w:szCs w:val="24"/>
              </w:rPr>
              <w:t xml:space="preserve"> </w:t>
            </w:r>
            <w:r w:rsidRPr="00D149D6">
              <w:rPr>
                <w:rFonts w:ascii="Book Antiqua" w:hAnsi="Book Antiqua"/>
                <w:sz w:val="24"/>
                <w:szCs w:val="24"/>
              </w:rPr>
              <w:t xml:space="preserve"> Also, it did not explain how its Preferred Portfolio is consistent with each relevant statutory and administrative requirement. </w:t>
            </w:r>
          </w:p>
          <w:p w14:paraId="42EF1825"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MCE included an asset</w:t>
            </w:r>
            <w:r w:rsidR="00D84A09" w:rsidRPr="00D149D6">
              <w:rPr>
                <w:rFonts w:ascii="Book Antiqua" w:hAnsi="Book Antiqua"/>
                <w:sz w:val="24"/>
                <w:szCs w:val="24"/>
              </w:rPr>
              <w:noBreakHyphen/>
            </w:r>
            <w:r w:rsidRPr="00D149D6">
              <w:rPr>
                <w:rFonts w:ascii="Book Antiqua" w:hAnsi="Book Antiqua"/>
                <w:sz w:val="24"/>
                <w:szCs w:val="24"/>
              </w:rPr>
              <w:t>controlling supplier (ACS)</w:t>
            </w:r>
            <w:r w:rsidRPr="00D149D6">
              <w:rPr>
                <w:rFonts w:ascii="Book Antiqua" w:hAnsi="Book Antiqua"/>
                <w:sz w:val="24"/>
                <w:szCs w:val="24"/>
                <w:vertAlign w:val="superscript"/>
              </w:rPr>
              <w:footnoteReference w:id="7"/>
            </w:r>
            <w:r w:rsidRPr="00D149D6">
              <w:rPr>
                <w:rFonts w:ascii="Book Antiqua" w:hAnsi="Book Antiqua"/>
                <w:sz w:val="24"/>
                <w:szCs w:val="24"/>
              </w:rPr>
              <w:t xml:space="preserve"> resource as a custom GHG</w:t>
            </w:r>
            <w:r w:rsidR="00D84A09" w:rsidRPr="00D149D6">
              <w:rPr>
                <w:rFonts w:ascii="Book Antiqua" w:hAnsi="Book Antiqua"/>
                <w:sz w:val="24"/>
                <w:szCs w:val="24"/>
              </w:rPr>
              <w:noBreakHyphen/>
            </w:r>
            <w:r w:rsidRPr="00D149D6">
              <w:rPr>
                <w:rFonts w:ascii="Book Antiqua" w:hAnsi="Book Antiqua"/>
                <w:sz w:val="24"/>
                <w:szCs w:val="24"/>
              </w:rPr>
              <w:t xml:space="preserve">free generating resource in its CNS Calculator for both portfolios, but it did not provide supporting evidence or rationale for including this resource during the specified hours at these volumes. </w:t>
            </w:r>
          </w:p>
        </w:tc>
      </w:tr>
      <w:tr w:rsidR="00BD702C" w:rsidRPr="00D149D6" w14:paraId="5B872C08" w14:textId="77777777" w:rsidTr="00BD702C">
        <w:tc>
          <w:tcPr>
            <w:tcW w:w="2761" w:type="dxa"/>
          </w:tcPr>
          <w:p w14:paraId="28C2A779"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Local Air Pollutant Minimization</w:t>
            </w:r>
          </w:p>
        </w:tc>
        <w:tc>
          <w:tcPr>
            <w:tcW w:w="6589" w:type="dxa"/>
          </w:tcPr>
          <w:p w14:paraId="4E9F9796"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MCE did not attempt to provide best available estimates of emissions of nitrogen oxides and particulate matter. </w:t>
            </w:r>
            <w:r w:rsidR="008672C5" w:rsidRPr="00D149D6">
              <w:rPr>
                <w:rFonts w:ascii="Book Antiqua" w:hAnsi="Book Antiqua"/>
                <w:sz w:val="24"/>
                <w:szCs w:val="24"/>
              </w:rPr>
              <w:t xml:space="preserve"> </w:t>
            </w:r>
            <w:r w:rsidRPr="00D149D6">
              <w:rPr>
                <w:rFonts w:ascii="Book Antiqua" w:hAnsi="Book Antiqua"/>
                <w:sz w:val="24"/>
                <w:szCs w:val="24"/>
              </w:rPr>
              <w:t xml:space="preserve">Identification of disadvantaged communities was exemplary. </w:t>
            </w:r>
          </w:p>
        </w:tc>
      </w:tr>
      <w:tr w:rsidR="00BD702C" w:rsidRPr="00D149D6" w14:paraId="2ABCC76A" w14:textId="77777777" w:rsidTr="00BD702C">
        <w:tc>
          <w:tcPr>
            <w:tcW w:w="2761" w:type="dxa"/>
          </w:tcPr>
          <w:p w14:paraId="6BB1273D"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Cost and Rate Analysis</w:t>
            </w:r>
          </w:p>
        </w:tc>
        <w:tc>
          <w:tcPr>
            <w:tcW w:w="6589" w:type="dxa"/>
          </w:tcPr>
          <w:p w14:paraId="063B446D"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MCE provided an adequate description of its approach in considering cost and rate impacts on its customers.</w:t>
            </w:r>
          </w:p>
        </w:tc>
      </w:tr>
      <w:tr w:rsidR="00BD702C" w:rsidRPr="00D149D6" w14:paraId="216000F5" w14:textId="77777777" w:rsidTr="00BD702C">
        <w:tc>
          <w:tcPr>
            <w:tcW w:w="2761" w:type="dxa"/>
          </w:tcPr>
          <w:p w14:paraId="273B01BB"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DC47F2" w:rsidRPr="00D149D6">
              <w:rPr>
                <w:rFonts w:ascii="Book Antiqua" w:hAnsi="Book Antiqua"/>
                <w:sz w:val="24"/>
                <w:szCs w:val="24"/>
              </w:rPr>
              <w:t xml:space="preserve"> </w:t>
            </w:r>
            <w:r w:rsidRPr="00D149D6">
              <w:rPr>
                <w:rFonts w:ascii="Book Antiqua" w:hAnsi="Book Antiqua"/>
                <w:sz w:val="24"/>
                <w:szCs w:val="24"/>
              </w:rPr>
              <w:t>Deviations from Current Resource Plans</w:t>
            </w:r>
          </w:p>
        </w:tc>
        <w:tc>
          <w:tcPr>
            <w:tcW w:w="6589" w:type="dxa"/>
          </w:tcPr>
          <w:p w14:paraId="1DBE1CB5"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MCE provided an adequate description of the differences in quantities and budgets for procurement between its Preferred Plan and currently filed or authorized resource plans, stating that there are no deviations.</w:t>
            </w:r>
          </w:p>
        </w:tc>
      </w:tr>
      <w:tr w:rsidR="00BD702C" w:rsidRPr="00D149D6" w14:paraId="24B7C45B" w14:textId="77777777" w:rsidTr="00BD702C">
        <w:tc>
          <w:tcPr>
            <w:tcW w:w="2761" w:type="dxa"/>
          </w:tcPr>
          <w:p w14:paraId="7B116921" w14:textId="77777777" w:rsidR="00BD702C" w:rsidRPr="00D149D6" w:rsidRDefault="00BD702C" w:rsidP="005821A1">
            <w:pPr>
              <w:spacing w:before="60" w:after="60"/>
              <w:rPr>
                <w:rFonts w:ascii="Book Antiqua" w:hAnsi="Book Antiqua"/>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Proposed Activities</w:t>
            </w:r>
          </w:p>
        </w:tc>
        <w:tc>
          <w:tcPr>
            <w:tcW w:w="6589" w:type="dxa"/>
          </w:tcPr>
          <w:p w14:paraId="65FB04AE"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MCE did not provide an adequate description of its proposed near</w:t>
            </w:r>
            <w:r w:rsidR="00D84A09" w:rsidRPr="00D149D6">
              <w:rPr>
                <w:rFonts w:ascii="Book Antiqua" w:hAnsi="Book Antiqua"/>
                <w:sz w:val="24"/>
                <w:szCs w:val="24"/>
              </w:rPr>
              <w:noBreakHyphen/>
            </w:r>
            <w:r w:rsidRPr="00D149D6">
              <w:rPr>
                <w:rFonts w:ascii="Book Antiqua" w:hAnsi="Book Antiqua"/>
                <w:sz w:val="24"/>
                <w:szCs w:val="24"/>
              </w:rPr>
              <w:t>term activities to implement its LSE Plan, as it did not provide clear links to its Preferred Portfolio findings.</w:t>
            </w:r>
          </w:p>
          <w:p w14:paraId="69EF846A"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MCE did not mention any outreach or plans to seek input from communities.</w:t>
            </w:r>
          </w:p>
        </w:tc>
      </w:tr>
      <w:tr w:rsidR="00BD702C" w:rsidRPr="00D149D6" w14:paraId="057BDB7B" w14:textId="77777777" w:rsidTr="00BD702C">
        <w:tc>
          <w:tcPr>
            <w:tcW w:w="2761" w:type="dxa"/>
          </w:tcPr>
          <w:p w14:paraId="38F4957A"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DC47F2" w:rsidRPr="00D149D6">
              <w:rPr>
                <w:rFonts w:ascii="Book Antiqua" w:hAnsi="Book Antiqua"/>
                <w:color w:val="000000"/>
                <w:sz w:val="24"/>
                <w:szCs w:val="24"/>
              </w:rPr>
              <w:t xml:space="preserve"> </w:t>
            </w:r>
            <w:r w:rsidRPr="00D149D6">
              <w:rPr>
                <w:rFonts w:ascii="Book Antiqua" w:hAnsi="Book Antiqua"/>
                <w:sz w:val="24"/>
                <w:szCs w:val="24"/>
              </w:rPr>
              <w:t>Barrier Analysis</w:t>
            </w:r>
          </w:p>
        </w:tc>
        <w:tc>
          <w:tcPr>
            <w:tcW w:w="6589" w:type="dxa"/>
          </w:tcPr>
          <w:p w14:paraId="1A172890"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MCE provided an adequate description of the market, regulatory, financial, or other barriers or risks associated with its Preferred Portfolio.</w:t>
            </w:r>
          </w:p>
        </w:tc>
      </w:tr>
      <w:tr w:rsidR="00BD702C" w:rsidRPr="00BD702C" w14:paraId="69ECFA40" w14:textId="77777777" w:rsidTr="00BD702C">
        <w:tc>
          <w:tcPr>
            <w:tcW w:w="2761" w:type="dxa"/>
          </w:tcPr>
          <w:p w14:paraId="7B9FB5E0" w14:textId="77777777" w:rsidR="00BD702C" w:rsidRPr="00BD702C" w:rsidRDefault="00BD702C" w:rsidP="005821A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DC47F2">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589" w:type="dxa"/>
          </w:tcPr>
          <w:p w14:paraId="39115B6B"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MCE marked this this section as not applicable.</w:t>
            </w:r>
          </w:p>
        </w:tc>
      </w:tr>
    </w:tbl>
    <w:p w14:paraId="4349560C" w14:textId="77777777" w:rsidR="00BD702C" w:rsidRPr="005821A1" w:rsidRDefault="00BD702C" w:rsidP="00AF5CC4">
      <w:pPr>
        <w:keepNext/>
        <w:keepLines/>
        <w:spacing w:before="240" w:after="120" w:line="276" w:lineRule="auto"/>
        <w:outlineLvl w:val="3"/>
        <w:rPr>
          <w:rFonts w:ascii="Book Antiqua" w:eastAsiaTheme="majorEastAsia" w:hAnsi="Book Antiqua" w:cstheme="majorBidi"/>
          <w:b/>
          <w:iCs/>
          <w:szCs w:val="26"/>
        </w:rPr>
      </w:pPr>
      <w:r w:rsidRPr="005821A1">
        <w:rPr>
          <w:rFonts w:ascii="Book Antiqua" w:eastAsiaTheme="majorEastAsia" w:hAnsi="Book Antiqua" w:cstheme="majorBidi"/>
          <w:b/>
          <w:iCs/>
          <w:szCs w:val="26"/>
        </w:rPr>
        <w:t>Next Steps for MCE</w:t>
      </w:r>
    </w:p>
    <w:p w14:paraId="6F76DA4E" w14:textId="77777777" w:rsidR="00BD702C" w:rsidRPr="005821A1" w:rsidRDefault="00BD702C" w:rsidP="00BD702C">
      <w:pPr>
        <w:spacing w:after="200" w:line="276" w:lineRule="auto"/>
        <w:rPr>
          <w:rFonts w:ascii="Book Antiqua" w:hAnsi="Book Antiqua" w:cstheme="minorBidi"/>
          <w:szCs w:val="26"/>
        </w:rPr>
      </w:pPr>
      <w:r w:rsidRPr="005821A1">
        <w:rPr>
          <w:rFonts w:ascii="Book Antiqua" w:hAnsi="Book Antiqua" w:cstheme="minorBidi"/>
          <w:b/>
          <w:szCs w:val="26"/>
        </w:rPr>
        <w:t>Action required in this IRP 2017</w:t>
      </w:r>
      <w:r w:rsidR="00D84A09" w:rsidRPr="005821A1">
        <w:rPr>
          <w:rFonts w:ascii="Book Antiqua" w:hAnsi="Book Antiqua" w:cstheme="minorBidi"/>
          <w:b/>
          <w:szCs w:val="26"/>
        </w:rPr>
        <w:noBreakHyphen/>
      </w:r>
      <w:r w:rsidRPr="005821A1">
        <w:rPr>
          <w:rFonts w:ascii="Book Antiqua" w:hAnsi="Book Antiqua" w:cstheme="minorBidi"/>
          <w:b/>
          <w:szCs w:val="26"/>
        </w:rPr>
        <w:t>18 cycle</w:t>
      </w:r>
      <w:r w:rsidRPr="005821A1">
        <w:rPr>
          <w:rFonts w:ascii="Book Antiqua" w:hAnsi="Book Antiqua" w:cstheme="minorBidi"/>
          <w:szCs w:val="26"/>
        </w:rPr>
        <w:t xml:space="preserve">: </w:t>
      </w:r>
      <w:r w:rsidR="00DC47F2" w:rsidRPr="005821A1">
        <w:rPr>
          <w:rFonts w:ascii="Book Antiqua" w:hAnsi="Book Antiqua" w:cstheme="minorBidi"/>
          <w:szCs w:val="26"/>
        </w:rPr>
        <w:t xml:space="preserve"> </w:t>
      </w:r>
      <w:r w:rsidRPr="005821A1">
        <w:rPr>
          <w:rFonts w:ascii="Book Antiqua" w:hAnsi="Book Antiqua" w:cstheme="minorBidi"/>
          <w:szCs w:val="26"/>
        </w:rPr>
        <w:t xml:space="preserve">Provide best available estimates of emissions of nitrogen oxides and particulate matter associated with all emitting resources used to serve load, including system power. </w:t>
      </w:r>
      <w:r w:rsidR="008672C5" w:rsidRPr="005821A1">
        <w:rPr>
          <w:rFonts w:ascii="Book Antiqua" w:hAnsi="Book Antiqua" w:cstheme="minorBidi"/>
          <w:szCs w:val="26"/>
        </w:rPr>
        <w:t xml:space="preserve"> </w:t>
      </w:r>
      <w:r w:rsidRPr="005821A1">
        <w:rPr>
          <w:rFonts w:ascii="Book Antiqua" w:hAnsi="Book Antiqua" w:cstheme="minorBidi"/>
          <w:szCs w:val="26"/>
        </w:rPr>
        <w:t>Refer to pages 19</w:t>
      </w:r>
      <w:r w:rsidR="00D84A09" w:rsidRPr="005821A1">
        <w:rPr>
          <w:rFonts w:ascii="Book Antiqua" w:hAnsi="Book Antiqua" w:cstheme="minorBidi"/>
          <w:szCs w:val="26"/>
        </w:rPr>
        <w:noBreakHyphen/>
      </w:r>
      <w:r w:rsidRPr="005821A1">
        <w:rPr>
          <w:rFonts w:ascii="Book Antiqua" w:hAnsi="Book Antiqua" w:cstheme="minorBidi"/>
          <w:szCs w:val="26"/>
        </w:rPr>
        <w:t xml:space="preserve">22 of Desert Community Energy’s IRP filing for </w:t>
      </w:r>
      <w:r w:rsidR="009E6885">
        <w:rPr>
          <w:rFonts w:ascii="Book Antiqua" w:hAnsi="Book Antiqua" w:cstheme="minorBidi"/>
          <w:szCs w:val="26"/>
        </w:rPr>
        <w:t xml:space="preserve">an </w:t>
      </w:r>
      <w:r w:rsidRPr="005821A1">
        <w:rPr>
          <w:rFonts w:ascii="Book Antiqua" w:hAnsi="Book Antiqua" w:cstheme="minorBidi"/>
          <w:szCs w:val="26"/>
        </w:rPr>
        <w:t xml:space="preserve">example of the type of information a CCA can provide to fulfill this specific filing requirement. </w:t>
      </w:r>
    </w:p>
    <w:p w14:paraId="3DA1DB45" w14:textId="77777777" w:rsidR="00BD702C" w:rsidRPr="005821A1" w:rsidRDefault="00BD702C" w:rsidP="00BD702C">
      <w:pPr>
        <w:spacing w:after="200" w:line="276" w:lineRule="auto"/>
        <w:rPr>
          <w:rFonts w:ascii="Book Antiqua" w:hAnsi="Book Antiqua" w:cstheme="minorBidi"/>
          <w:szCs w:val="26"/>
        </w:rPr>
      </w:pPr>
      <w:r w:rsidRPr="005821A1">
        <w:rPr>
          <w:rFonts w:ascii="Book Antiqua" w:hAnsi="Book Antiqua" w:cstheme="minorBidi"/>
          <w:b/>
          <w:szCs w:val="26"/>
        </w:rPr>
        <w:t>Guidance for LSE Plan development in the next IRP cycle</w:t>
      </w:r>
      <w:r w:rsidRPr="005821A1">
        <w:rPr>
          <w:rFonts w:ascii="Book Antiqua" w:hAnsi="Book Antiqua" w:cstheme="minorBidi"/>
          <w:szCs w:val="26"/>
        </w:rPr>
        <w:t>:</w:t>
      </w:r>
    </w:p>
    <w:p w14:paraId="0565C681" w14:textId="77777777" w:rsidR="00BD702C" w:rsidRPr="005821A1" w:rsidRDefault="00BD702C" w:rsidP="00894BE0">
      <w:pPr>
        <w:numPr>
          <w:ilvl w:val="0"/>
          <w:numId w:val="16"/>
        </w:numPr>
        <w:spacing w:after="200" w:line="276" w:lineRule="auto"/>
        <w:rPr>
          <w:rFonts w:ascii="Book Antiqua" w:hAnsi="Book Antiqua"/>
          <w:szCs w:val="26"/>
        </w:rPr>
      </w:pPr>
      <w:r w:rsidRPr="005821A1">
        <w:rPr>
          <w:rFonts w:ascii="Book Antiqua" w:hAnsi="Book Antiqua"/>
          <w:szCs w:val="26"/>
        </w:rPr>
        <w:t>When entering a custom GHG</w:t>
      </w:r>
      <w:r w:rsidR="00D84A09" w:rsidRPr="005821A1">
        <w:rPr>
          <w:rFonts w:ascii="Book Antiqua" w:hAnsi="Book Antiqua"/>
          <w:szCs w:val="26"/>
        </w:rPr>
        <w:noBreakHyphen/>
      </w:r>
      <w:r w:rsidRPr="005821A1">
        <w:rPr>
          <w:rFonts w:ascii="Book Antiqua" w:hAnsi="Book Antiqua"/>
          <w:szCs w:val="26"/>
        </w:rPr>
        <w:t>free generating resource in the CNS Calculator, provide supporting evidence or rationale for including this resource during the specified hours at these volumes.</w:t>
      </w:r>
    </w:p>
    <w:p w14:paraId="2C7CED93" w14:textId="77777777" w:rsidR="00BD702C" w:rsidRPr="005821A1" w:rsidRDefault="00BD702C" w:rsidP="00894BE0">
      <w:pPr>
        <w:numPr>
          <w:ilvl w:val="0"/>
          <w:numId w:val="16"/>
        </w:numPr>
        <w:spacing w:after="200" w:line="276" w:lineRule="auto"/>
        <w:rPr>
          <w:rFonts w:ascii="Book Antiqua" w:hAnsi="Book Antiqua"/>
          <w:szCs w:val="26"/>
        </w:rPr>
      </w:pPr>
      <w:r w:rsidRPr="005821A1">
        <w:rPr>
          <w:rFonts w:ascii="Book Antiqua" w:hAnsi="Book Antiqua"/>
          <w:szCs w:val="26"/>
        </w:rPr>
        <w:t>Draw clearer connections between proposed near</w:t>
      </w:r>
      <w:r w:rsidR="00D84A09" w:rsidRPr="005821A1">
        <w:rPr>
          <w:rFonts w:ascii="Book Antiqua" w:hAnsi="Book Antiqua"/>
          <w:szCs w:val="26"/>
        </w:rPr>
        <w:noBreakHyphen/>
      </w:r>
      <w:r w:rsidRPr="005821A1">
        <w:rPr>
          <w:rFonts w:ascii="Book Antiqua" w:hAnsi="Book Antiqua"/>
          <w:szCs w:val="26"/>
        </w:rPr>
        <w:t xml:space="preserve">term activities and the portfolio study results. </w:t>
      </w:r>
    </w:p>
    <w:p w14:paraId="4FB2E868" w14:textId="77777777" w:rsidR="00BD702C" w:rsidRPr="005821A1" w:rsidRDefault="00BD702C" w:rsidP="00671FAB">
      <w:pPr>
        <w:keepNext/>
        <w:keepLines/>
        <w:spacing w:before="240" w:after="120" w:line="276" w:lineRule="auto"/>
        <w:outlineLvl w:val="2"/>
        <w:rPr>
          <w:rFonts w:ascii="Book Antiqua" w:eastAsiaTheme="majorEastAsia" w:hAnsi="Book Antiqua" w:cstheme="majorBidi"/>
          <w:b/>
          <w:szCs w:val="26"/>
        </w:rPr>
      </w:pPr>
      <w:bookmarkStart w:id="82" w:name="_Toc868768"/>
      <w:r w:rsidRPr="005821A1">
        <w:rPr>
          <w:rFonts w:ascii="Book Antiqua" w:eastAsiaTheme="majorEastAsia" w:hAnsi="Book Antiqua" w:cstheme="majorBidi"/>
          <w:b/>
          <w:szCs w:val="26"/>
        </w:rPr>
        <w:t>Monterey Bay Community Power</w:t>
      </w:r>
      <w:bookmarkEnd w:id="82"/>
    </w:p>
    <w:tbl>
      <w:tblPr>
        <w:tblStyle w:val="TableGrid3"/>
        <w:tblW w:w="0" w:type="auto"/>
        <w:tblLook w:val="04A0" w:firstRow="1" w:lastRow="0" w:firstColumn="1" w:lastColumn="0" w:noHBand="0" w:noVBand="1"/>
      </w:tblPr>
      <w:tblGrid>
        <w:gridCol w:w="2898"/>
        <w:gridCol w:w="6452"/>
      </w:tblGrid>
      <w:tr w:rsidR="00BD702C" w:rsidRPr="00BD702C" w14:paraId="5053FE8D" w14:textId="77777777" w:rsidTr="00BD702C">
        <w:tc>
          <w:tcPr>
            <w:tcW w:w="2898" w:type="dxa"/>
          </w:tcPr>
          <w:p w14:paraId="1D8ACCFA" w14:textId="77777777" w:rsidR="00BD702C" w:rsidRPr="00BD702C" w:rsidRDefault="00BD702C" w:rsidP="005821A1">
            <w:pPr>
              <w:spacing w:before="60" w:after="60"/>
              <w:jc w:val="center"/>
              <w:rPr>
                <w:rFonts w:ascii="Book Antiqua" w:hAnsi="Book Antiqua"/>
                <w:b/>
                <w:sz w:val="24"/>
                <w:szCs w:val="24"/>
              </w:rPr>
            </w:pPr>
            <w:r w:rsidRPr="00BD702C">
              <w:rPr>
                <w:rFonts w:ascii="Book Antiqua" w:hAnsi="Book Antiqua"/>
                <w:b/>
                <w:sz w:val="24"/>
                <w:szCs w:val="24"/>
              </w:rPr>
              <w:t>Requirement</w:t>
            </w:r>
          </w:p>
        </w:tc>
        <w:tc>
          <w:tcPr>
            <w:tcW w:w="6452" w:type="dxa"/>
          </w:tcPr>
          <w:p w14:paraId="70E65B93" w14:textId="77777777" w:rsidR="00BD702C" w:rsidRPr="00BD702C" w:rsidRDefault="00BD702C" w:rsidP="005821A1">
            <w:pPr>
              <w:spacing w:before="60" w:after="60"/>
              <w:jc w:val="center"/>
              <w:rPr>
                <w:rFonts w:ascii="Book Antiqua" w:hAnsi="Book Antiqua"/>
                <w:b/>
                <w:sz w:val="24"/>
                <w:szCs w:val="24"/>
              </w:rPr>
            </w:pPr>
            <w:r w:rsidRPr="00BD702C">
              <w:rPr>
                <w:rFonts w:ascii="Book Antiqua" w:hAnsi="Book Antiqua"/>
                <w:b/>
                <w:sz w:val="24"/>
                <w:szCs w:val="24"/>
              </w:rPr>
              <w:t>Assessment</w:t>
            </w:r>
          </w:p>
        </w:tc>
      </w:tr>
      <w:tr w:rsidR="00BD702C" w:rsidRPr="00BD702C" w14:paraId="39180752" w14:textId="77777777" w:rsidTr="00BD702C">
        <w:tc>
          <w:tcPr>
            <w:tcW w:w="2898" w:type="dxa"/>
          </w:tcPr>
          <w:p w14:paraId="415953A5"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Study Design</w:t>
            </w:r>
          </w:p>
        </w:tc>
        <w:tc>
          <w:tcPr>
            <w:tcW w:w="6452" w:type="dxa"/>
          </w:tcPr>
          <w:p w14:paraId="1AEAB46A"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Monterey Bay Community Power (M</w:t>
            </w:r>
            <w:r w:rsidR="00664E8A">
              <w:rPr>
                <w:rFonts w:ascii="Book Antiqua" w:hAnsi="Book Antiqua"/>
                <w:sz w:val="24"/>
                <w:szCs w:val="24"/>
              </w:rPr>
              <w:t>onterey Bay</w:t>
            </w:r>
            <w:r w:rsidRPr="00BD702C">
              <w:rPr>
                <w:rFonts w:ascii="Book Antiqua" w:hAnsi="Book Antiqua"/>
                <w:sz w:val="24"/>
                <w:szCs w:val="24"/>
              </w:rPr>
              <w:t>) provided an adequate description of modeling tools and approach used to develop its portfolio.</w:t>
            </w:r>
          </w:p>
        </w:tc>
      </w:tr>
      <w:tr w:rsidR="00BD702C" w:rsidRPr="00BD702C" w14:paraId="54B5C19D" w14:textId="77777777" w:rsidTr="00BD702C">
        <w:tc>
          <w:tcPr>
            <w:tcW w:w="2898" w:type="dxa"/>
          </w:tcPr>
          <w:p w14:paraId="69DDB332"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 xml:space="preserve">Study Results: </w:t>
            </w:r>
            <w:r w:rsidR="00DC47F2">
              <w:rPr>
                <w:rFonts w:ascii="Book Antiqua" w:hAnsi="Book Antiqua"/>
                <w:sz w:val="24"/>
                <w:szCs w:val="24"/>
              </w:rPr>
              <w:t xml:space="preserve"> </w:t>
            </w:r>
            <w:r w:rsidRPr="00BD702C">
              <w:rPr>
                <w:rFonts w:ascii="Book Antiqua" w:hAnsi="Book Antiqua"/>
                <w:sz w:val="24"/>
                <w:szCs w:val="24"/>
              </w:rPr>
              <w:t>Preferred and Conforming Portfolios</w:t>
            </w:r>
          </w:p>
        </w:tc>
        <w:tc>
          <w:tcPr>
            <w:tcW w:w="6452" w:type="dxa"/>
          </w:tcPr>
          <w:p w14:paraId="79308045" w14:textId="77777777" w:rsidR="00BD702C" w:rsidRPr="00BD702C" w:rsidRDefault="00664E8A" w:rsidP="005821A1">
            <w:pPr>
              <w:spacing w:before="60" w:after="60"/>
              <w:rPr>
                <w:rFonts w:ascii="Book Antiqua" w:hAnsi="Book Antiqua"/>
                <w:sz w:val="24"/>
                <w:szCs w:val="24"/>
              </w:rPr>
            </w:pPr>
            <w:r>
              <w:rPr>
                <w:rFonts w:ascii="Book Antiqua" w:hAnsi="Book Antiqua"/>
                <w:sz w:val="24"/>
                <w:szCs w:val="24"/>
              </w:rPr>
              <w:t>Monterey Bay</w:t>
            </w:r>
            <w:r w:rsidR="00BD702C" w:rsidRPr="00BD702C">
              <w:rPr>
                <w:rFonts w:ascii="Book Antiqua" w:hAnsi="Book Antiqua"/>
                <w:sz w:val="24"/>
                <w:szCs w:val="24"/>
              </w:rPr>
              <w:t xml:space="preserve"> provided a Conforming Portfolio as its Preferred Portfolio showing both existing resources and new resources that it plans to invest in or contract with. </w:t>
            </w:r>
            <w:r w:rsidR="008672C5">
              <w:rPr>
                <w:rFonts w:ascii="Book Antiqua" w:hAnsi="Book Antiqua"/>
                <w:sz w:val="24"/>
                <w:szCs w:val="24"/>
              </w:rPr>
              <w:t xml:space="preserve"> </w:t>
            </w:r>
            <w:r w:rsidR="00BD702C" w:rsidRPr="00BD702C">
              <w:rPr>
                <w:rFonts w:ascii="Book Antiqua" w:hAnsi="Book Antiqua"/>
                <w:sz w:val="24"/>
                <w:szCs w:val="24"/>
              </w:rPr>
              <w:t xml:space="preserve">It provided an adequate explanation of the reasons for its preference and how its Preferred Portfolio is consistent with each relevant statutory and administrative requirement. </w:t>
            </w:r>
            <w:r w:rsidR="008672C5">
              <w:rPr>
                <w:rFonts w:ascii="Book Antiqua" w:hAnsi="Book Antiqua"/>
                <w:sz w:val="24"/>
                <w:szCs w:val="24"/>
              </w:rPr>
              <w:t xml:space="preserve"> </w:t>
            </w:r>
            <w:r w:rsidR="00BD702C" w:rsidRPr="00BD702C">
              <w:rPr>
                <w:rFonts w:ascii="Book Antiqua" w:hAnsi="Book Antiqua"/>
                <w:sz w:val="24"/>
                <w:szCs w:val="24"/>
              </w:rPr>
              <w:t>M</w:t>
            </w:r>
            <w:r>
              <w:rPr>
                <w:rFonts w:ascii="Book Antiqua" w:hAnsi="Book Antiqua"/>
                <w:sz w:val="24"/>
                <w:szCs w:val="24"/>
              </w:rPr>
              <w:t>onterey Bay</w:t>
            </w:r>
            <w:r w:rsidR="00BD702C" w:rsidRPr="00BD702C">
              <w:rPr>
                <w:rFonts w:ascii="Book Antiqua" w:hAnsi="Book Antiqua"/>
                <w:sz w:val="24"/>
                <w:szCs w:val="24"/>
              </w:rPr>
              <w:t xml:space="preserve"> did not submit an optional Alternative Portfolio.</w:t>
            </w:r>
          </w:p>
        </w:tc>
      </w:tr>
      <w:tr w:rsidR="00BD702C" w:rsidRPr="00BD702C" w14:paraId="5B2DA121" w14:textId="77777777" w:rsidTr="00BD702C">
        <w:tc>
          <w:tcPr>
            <w:tcW w:w="2898" w:type="dxa"/>
          </w:tcPr>
          <w:p w14:paraId="5BD18943"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 xml:space="preserve">Study Results: </w:t>
            </w:r>
            <w:r w:rsidR="00DC47F2">
              <w:rPr>
                <w:rFonts w:ascii="Book Antiqua" w:hAnsi="Book Antiqua"/>
                <w:sz w:val="24"/>
                <w:szCs w:val="24"/>
              </w:rPr>
              <w:t xml:space="preserve"> </w:t>
            </w:r>
            <w:r w:rsidRPr="00BD702C">
              <w:rPr>
                <w:rFonts w:ascii="Book Antiqua" w:hAnsi="Book Antiqua"/>
                <w:sz w:val="24"/>
                <w:szCs w:val="24"/>
              </w:rPr>
              <w:t>Local Air Pollutant Minimization</w:t>
            </w:r>
          </w:p>
        </w:tc>
        <w:tc>
          <w:tcPr>
            <w:tcW w:w="6452" w:type="dxa"/>
          </w:tcPr>
          <w:p w14:paraId="108BB864" w14:textId="77777777" w:rsidR="00BD702C" w:rsidRPr="00BD702C" w:rsidRDefault="00664E8A" w:rsidP="005821A1">
            <w:pPr>
              <w:spacing w:before="60" w:after="60"/>
              <w:rPr>
                <w:rFonts w:ascii="Book Antiqua" w:hAnsi="Book Antiqua"/>
                <w:sz w:val="24"/>
                <w:szCs w:val="24"/>
              </w:rPr>
            </w:pPr>
            <w:r>
              <w:rPr>
                <w:rFonts w:ascii="Book Antiqua" w:hAnsi="Book Antiqua"/>
                <w:sz w:val="24"/>
                <w:szCs w:val="24"/>
              </w:rPr>
              <w:t>Monterey Bay</w:t>
            </w:r>
            <w:r w:rsidR="00BD702C" w:rsidRPr="00BD702C">
              <w:rPr>
                <w:rFonts w:ascii="Book Antiqua" w:hAnsi="Book Antiqua"/>
                <w:sz w:val="24"/>
                <w:szCs w:val="24"/>
              </w:rPr>
              <w:t xml:space="preserve"> did not attempt to provide best available estimates of emissions of nitrogen oxides and particulate matter. </w:t>
            </w:r>
            <w:r w:rsidR="008672C5">
              <w:rPr>
                <w:rFonts w:ascii="Book Antiqua" w:hAnsi="Book Antiqua"/>
                <w:sz w:val="24"/>
                <w:szCs w:val="24"/>
              </w:rPr>
              <w:t xml:space="preserve"> </w:t>
            </w:r>
            <w:r w:rsidR="00BD702C" w:rsidRPr="00BD702C">
              <w:rPr>
                <w:rFonts w:ascii="Book Antiqua" w:hAnsi="Book Antiqua"/>
                <w:sz w:val="24"/>
                <w:szCs w:val="24"/>
              </w:rPr>
              <w:t xml:space="preserve">Identification of disadvantaged communities was adequate. </w:t>
            </w:r>
          </w:p>
        </w:tc>
      </w:tr>
      <w:tr w:rsidR="00BD702C" w:rsidRPr="00BD702C" w14:paraId="21B5B729" w14:textId="77777777" w:rsidTr="00BD702C">
        <w:tc>
          <w:tcPr>
            <w:tcW w:w="2898" w:type="dxa"/>
          </w:tcPr>
          <w:p w14:paraId="008B4FCD"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 xml:space="preserve">Study Results: </w:t>
            </w:r>
            <w:r w:rsidR="00DC47F2">
              <w:rPr>
                <w:rFonts w:ascii="Book Antiqua" w:hAnsi="Book Antiqua"/>
                <w:sz w:val="24"/>
                <w:szCs w:val="24"/>
              </w:rPr>
              <w:t xml:space="preserve"> </w:t>
            </w:r>
            <w:r w:rsidRPr="00BD702C">
              <w:rPr>
                <w:rFonts w:ascii="Book Antiqua" w:hAnsi="Book Antiqua"/>
                <w:sz w:val="24"/>
                <w:szCs w:val="24"/>
              </w:rPr>
              <w:t>Cost and Rate Analysis</w:t>
            </w:r>
          </w:p>
        </w:tc>
        <w:tc>
          <w:tcPr>
            <w:tcW w:w="6452" w:type="dxa"/>
          </w:tcPr>
          <w:p w14:paraId="7B8112A8" w14:textId="77777777" w:rsidR="00BD702C" w:rsidRPr="00BD702C" w:rsidRDefault="00664E8A" w:rsidP="005821A1">
            <w:pPr>
              <w:spacing w:before="60" w:after="60"/>
              <w:rPr>
                <w:rFonts w:ascii="Book Antiqua" w:hAnsi="Book Antiqua"/>
                <w:sz w:val="24"/>
                <w:szCs w:val="24"/>
              </w:rPr>
            </w:pPr>
            <w:r>
              <w:rPr>
                <w:rFonts w:ascii="Book Antiqua" w:hAnsi="Book Antiqua"/>
                <w:sz w:val="24"/>
                <w:szCs w:val="24"/>
              </w:rPr>
              <w:t>Monterey Bay</w:t>
            </w:r>
            <w:r w:rsidR="00BD702C" w:rsidRPr="00BD702C">
              <w:rPr>
                <w:rFonts w:ascii="Book Antiqua" w:hAnsi="Book Antiqua"/>
                <w:sz w:val="24"/>
                <w:szCs w:val="24"/>
              </w:rPr>
              <w:t xml:space="preserve"> provided an adequate description of its approach in considering cost and rate impacts on its customers.</w:t>
            </w:r>
          </w:p>
        </w:tc>
      </w:tr>
      <w:tr w:rsidR="00BD702C" w:rsidRPr="00BD702C" w14:paraId="1F6412BC" w14:textId="77777777" w:rsidTr="00BD702C">
        <w:tc>
          <w:tcPr>
            <w:tcW w:w="2898" w:type="dxa"/>
          </w:tcPr>
          <w:p w14:paraId="53407623"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sz w:val="24"/>
                <w:szCs w:val="24"/>
              </w:rPr>
              <w:t xml:space="preserve">Study Results: </w:t>
            </w:r>
            <w:r w:rsidR="00DC47F2">
              <w:rPr>
                <w:rFonts w:ascii="Book Antiqua" w:hAnsi="Book Antiqua"/>
                <w:sz w:val="24"/>
                <w:szCs w:val="24"/>
              </w:rPr>
              <w:t xml:space="preserve"> </w:t>
            </w:r>
            <w:r w:rsidRPr="00BD702C">
              <w:rPr>
                <w:rFonts w:ascii="Book Antiqua" w:hAnsi="Book Antiqua"/>
                <w:sz w:val="24"/>
                <w:szCs w:val="24"/>
              </w:rPr>
              <w:t>Deviations from Current Resource Plans</w:t>
            </w:r>
          </w:p>
        </w:tc>
        <w:tc>
          <w:tcPr>
            <w:tcW w:w="6452" w:type="dxa"/>
          </w:tcPr>
          <w:p w14:paraId="6B00F92D"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sz w:val="24"/>
                <w:szCs w:val="24"/>
              </w:rPr>
              <w:t>M</w:t>
            </w:r>
            <w:r w:rsidR="00664E8A">
              <w:rPr>
                <w:rFonts w:ascii="Book Antiqua" w:hAnsi="Book Antiqua"/>
                <w:sz w:val="24"/>
                <w:szCs w:val="24"/>
              </w:rPr>
              <w:t>onterey Bay</w:t>
            </w:r>
            <w:r w:rsidRPr="00BD702C">
              <w:rPr>
                <w:rFonts w:ascii="Book Antiqua" w:hAnsi="Book Antiqua"/>
                <w:sz w:val="24"/>
                <w:szCs w:val="24"/>
              </w:rPr>
              <w:t xml:space="preserve"> provided an adequate description of the differences in quantities and budgets for procurement between its Preferred Plan and currently filed or authorized resource plans, stating that its RPS Plan load forecast is based on its own retail sales forecast, which differs from the forecast used for IRP.</w:t>
            </w:r>
          </w:p>
        </w:tc>
      </w:tr>
      <w:tr w:rsidR="00BD702C" w:rsidRPr="00BD702C" w14:paraId="1E54966F" w14:textId="77777777" w:rsidTr="00BD702C">
        <w:tc>
          <w:tcPr>
            <w:tcW w:w="2898" w:type="dxa"/>
          </w:tcPr>
          <w:p w14:paraId="5D2F729D" w14:textId="77777777" w:rsidR="00BD702C" w:rsidRPr="00BD702C" w:rsidRDefault="00BD702C" w:rsidP="005821A1">
            <w:pPr>
              <w:spacing w:before="60" w:after="60"/>
              <w:rPr>
                <w:rFonts w:ascii="Book Antiqua" w:hAnsi="Book Antiqua"/>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Activities</w:t>
            </w:r>
          </w:p>
        </w:tc>
        <w:tc>
          <w:tcPr>
            <w:tcW w:w="6452" w:type="dxa"/>
          </w:tcPr>
          <w:p w14:paraId="004CD358" w14:textId="77777777" w:rsidR="00BD702C" w:rsidRPr="00BD702C" w:rsidRDefault="00664E8A" w:rsidP="005821A1">
            <w:pPr>
              <w:spacing w:before="60" w:after="60"/>
              <w:rPr>
                <w:rFonts w:ascii="Book Antiqua" w:hAnsi="Book Antiqua"/>
                <w:sz w:val="24"/>
                <w:szCs w:val="24"/>
              </w:rPr>
            </w:pPr>
            <w:r>
              <w:rPr>
                <w:rFonts w:ascii="Book Antiqua" w:hAnsi="Book Antiqua"/>
                <w:sz w:val="24"/>
                <w:szCs w:val="24"/>
              </w:rPr>
              <w:t>Monterey Bay</w:t>
            </w:r>
            <w:r w:rsidR="00BD702C" w:rsidRPr="00BD702C">
              <w:rPr>
                <w:rFonts w:ascii="Book Antiqua" w:hAnsi="Book Antiqua"/>
                <w:sz w:val="24"/>
                <w:szCs w:val="24"/>
              </w:rPr>
              <w:t xml:space="preserve"> did not provide an adequate description of its proposed near</w:t>
            </w:r>
            <w:r w:rsidR="00D84A09">
              <w:rPr>
                <w:rFonts w:ascii="Book Antiqua" w:hAnsi="Book Antiqua"/>
                <w:sz w:val="24"/>
                <w:szCs w:val="24"/>
              </w:rPr>
              <w:noBreakHyphen/>
            </w:r>
            <w:r w:rsidR="00BD702C" w:rsidRPr="00BD702C">
              <w:rPr>
                <w:rFonts w:ascii="Book Antiqua" w:hAnsi="Book Antiqua"/>
                <w:sz w:val="24"/>
                <w:szCs w:val="24"/>
              </w:rPr>
              <w:t>term activities to implement its LSE Plan, as it did not provide clear links to its Preferred Portfolio findings.</w:t>
            </w:r>
          </w:p>
        </w:tc>
      </w:tr>
      <w:tr w:rsidR="00BD702C" w:rsidRPr="00BD702C" w14:paraId="7FCD076F" w14:textId="77777777" w:rsidTr="00BD702C">
        <w:tc>
          <w:tcPr>
            <w:tcW w:w="2898" w:type="dxa"/>
          </w:tcPr>
          <w:p w14:paraId="2E1BF466" w14:textId="77777777" w:rsidR="00BD702C" w:rsidRPr="00BD702C" w:rsidRDefault="00BD702C" w:rsidP="005821A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Barrier Analysis</w:t>
            </w:r>
          </w:p>
        </w:tc>
        <w:tc>
          <w:tcPr>
            <w:tcW w:w="6452" w:type="dxa"/>
          </w:tcPr>
          <w:p w14:paraId="017BA747" w14:textId="77777777" w:rsidR="00BD702C" w:rsidRPr="00BD702C" w:rsidRDefault="00664E8A" w:rsidP="005821A1">
            <w:pPr>
              <w:spacing w:before="60" w:after="60"/>
              <w:rPr>
                <w:rFonts w:ascii="Book Antiqua" w:hAnsi="Book Antiqua"/>
                <w:sz w:val="24"/>
                <w:szCs w:val="24"/>
              </w:rPr>
            </w:pPr>
            <w:r>
              <w:rPr>
                <w:rFonts w:ascii="Book Antiqua" w:hAnsi="Book Antiqua"/>
                <w:sz w:val="24"/>
                <w:szCs w:val="24"/>
              </w:rPr>
              <w:t>Monterey Bay</w:t>
            </w:r>
            <w:r w:rsidR="00BD702C" w:rsidRPr="00BD702C">
              <w:rPr>
                <w:rFonts w:ascii="Book Antiqua" w:hAnsi="Book Antiqua"/>
                <w:sz w:val="24"/>
                <w:szCs w:val="24"/>
              </w:rPr>
              <w:t xml:space="preserve"> did not provide an adequate description of the market, regulatory, financial, or other barriers or risks associated with its Preferred Portfolio.</w:t>
            </w:r>
          </w:p>
        </w:tc>
      </w:tr>
      <w:tr w:rsidR="00BD702C" w:rsidRPr="00BD702C" w14:paraId="7F2258F7" w14:textId="77777777" w:rsidTr="00BD702C">
        <w:tc>
          <w:tcPr>
            <w:tcW w:w="2898" w:type="dxa"/>
          </w:tcPr>
          <w:p w14:paraId="77A339D0" w14:textId="77777777" w:rsidR="00BD702C" w:rsidRPr="00BD702C" w:rsidRDefault="00BD702C" w:rsidP="005821A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452" w:type="dxa"/>
          </w:tcPr>
          <w:p w14:paraId="4BEDDC1E" w14:textId="77777777" w:rsidR="00BD702C" w:rsidRPr="00BD702C" w:rsidRDefault="00664E8A" w:rsidP="005821A1">
            <w:pPr>
              <w:spacing w:before="60" w:after="60"/>
              <w:rPr>
                <w:rFonts w:ascii="Book Antiqua" w:hAnsi="Book Antiqua"/>
                <w:sz w:val="24"/>
                <w:szCs w:val="24"/>
              </w:rPr>
            </w:pPr>
            <w:r>
              <w:rPr>
                <w:rFonts w:ascii="Book Antiqua" w:hAnsi="Book Antiqua"/>
                <w:sz w:val="24"/>
                <w:szCs w:val="24"/>
              </w:rPr>
              <w:t>Monterey Bay</w:t>
            </w:r>
            <w:r w:rsidR="00BD702C" w:rsidRPr="00BD702C">
              <w:rPr>
                <w:rFonts w:ascii="Book Antiqua" w:hAnsi="Book Antiqua"/>
                <w:sz w:val="24"/>
                <w:szCs w:val="24"/>
              </w:rPr>
              <w:t xml:space="preserve"> marked this this section as not applicable.</w:t>
            </w:r>
          </w:p>
        </w:tc>
      </w:tr>
      <w:tr w:rsidR="00BD702C" w:rsidRPr="00BD702C" w14:paraId="15CFD20B" w14:textId="77777777" w:rsidTr="00BD702C">
        <w:tc>
          <w:tcPr>
            <w:tcW w:w="2898" w:type="dxa"/>
          </w:tcPr>
          <w:p w14:paraId="63BBF56A" w14:textId="77777777" w:rsidR="00BD702C" w:rsidRPr="00BD702C" w:rsidRDefault="00BD702C" w:rsidP="005821A1">
            <w:pPr>
              <w:spacing w:before="60" w:after="60"/>
              <w:rPr>
                <w:rFonts w:ascii="Book Antiqua" w:hAnsi="Book Antiqua"/>
                <w:color w:val="000000"/>
                <w:sz w:val="24"/>
                <w:szCs w:val="24"/>
              </w:rPr>
            </w:pPr>
            <w:r w:rsidRPr="00BD702C">
              <w:rPr>
                <w:rFonts w:ascii="Book Antiqua" w:hAnsi="Book Antiqua"/>
                <w:color w:val="000000"/>
                <w:sz w:val="24"/>
                <w:szCs w:val="24"/>
              </w:rPr>
              <w:t>Lessons Learned</w:t>
            </w:r>
          </w:p>
        </w:tc>
        <w:tc>
          <w:tcPr>
            <w:tcW w:w="6452" w:type="dxa"/>
          </w:tcPr>
          <w:p w14:paraId="3CC2BCBF" w14:textId="77777777" w:rsidR="00BD702C" w:rsidRPr="00BD702C" w:rsidRDefault="00664E8A" w:rsidP="005821A1">
            <w:pPr>
              <w:spacing w:before="60" w:after="60"/>
              <w:rPr>
                <w:rFonts w:ascii="Book Antiqua" w:hAnsi="Book Antiqua"/>
                <w:sz w:val="24"/>
                <w:szCs w:val="24"/>
              </w:rPr>
            </w:pPr>
            <w:r>
              <w:rPr>
                <w:rFonts w:ascii="Book Antiqua" w:hAnsi="Book Antiqua"/>
                <w:sz w:val="24"/>
                <w:szCs w:val="24"/>
              </w:rPr>
              <w:t>Monterey Bay</w:t>
            </w:r>
            <w:r w:rsidR="00BD702C" w:rsidRPr="00BD702C">
              <w:rPr>
                <w:rFonts w:ascii="Book Antiqua" w:hAnsi="Book Antiqua"/>
                <w:sz w:val="24"/>
                <w:szCs w:val="24"/>
              </w:rPr>
              <w:t xml:space="preserve"> provided an adequate description of lessons learned.</w:t>
            </w:r>
          </w:p>
        </w:tc>
      </w:tr>
    </w:tbl>
    <w:p w14:paraId="60B99DA0" w14:textId="77777777" w:rsidR="00BD702C" w:rsidRPr="00AF5CC4" w:rsidRDefault="00BD702C" w:rsidP="005821A1">
      <w:pPr>
        <w:keepNext/>
        <w:keepLines/>
        <w:spacing w:before="240" w:after="120" w:line="276" w:lineRule="auto"/>
        <w:outlineLvl w:val="3"/>
        <w:rPr>
          <w:rFonts w:ascii="Book Antiqua" w:eastAsiaTheme="majorEastAsia" w:hAnsi="Book Antiqua" w:cstheme="majorBidi"/>
          <w:b/>
          <w:i/>
          <w:iCs/>
          <w:szCs w:val="26"/>
        </w:rPr>
      </w:pPr>
      <w:r w:rsidRPr="00AF5CC4">
        <w:rPr>
          <w:rFonts w:ascii="Book Antiqua" w:eastAsiaTheme="majorEastAsia" w:hAnsi="Book Antiqua" w:cstheme="majorBidi"/>
          <w:b/>
          <w:i/>
          <w:iCs/>
          <w:szCs w:val="26"/>
        </w:rPr>
        <w:t>Next Steps for M</w:t>
      </w:r>
      <w:r w:rsidR="00664E8A" w:rsidRPr="00AF5CC4">
        <w:rPr>
          <w:rFonts w:ascii="Book Antiqua" w:eastAsiaTheme="majorEastAsia" w:hAnsi="Book Antiqua" w:cstheme="majorBidi"/>
          <w:b/>
          <w:i/>
          <w:iCs/>
          <w:szCs w:val="26"/>
        </w:rPr>
        <w:t xml:space="preserve">onterey </w:t>
      </w:r>
      <w:r w:rsidRPr="00AF5CC4">
        <w:rPr>
          <w:rFonts w:ascii="Book Antiqua" w:eastAsiaTheme="majorEastAsia" w:hAnsi="Book Antiqua" w:cstheme="majorBidi"/>
          <w:b/>
          <w:i/>
          <w:iCs/>
          <w:szCs w:val="26"/>
        </w:rPr>
        <w:t>B</w:t>
      </w:r>
      <w:r w:rsidR="00664E8A" w:rsidRPr="00AF5CC4">
        <w:rPr>
          <w:rFonts w:ascii="Book Antiqua" w:eastAsiaTheme="majorEastAsia" w:hAnsi="Book Antiqua" w:cstheme="majorBidi"/>
          <w:b/>
          <w:i/>
          <w:iCs/>
          <w:szCs w:val="26"/>
        </w:rPr>
        <w:t>ay</w:t>
      </w:r>
    </w:p>
    <w:p w14:paraId="4BE0F4B7" w14:textId="77777777" w:rsidR="00BD702C" w:rsidRPr="005821A1" w:rsidRDefault="00BD702C" w:rsidP="00BD702C">
      <w:pPr>
        <w:spacing w:after="200" w:line="276" w:lineRule="auto"/>
        <w:rPr>
          <w:rFonts w:ascii="Book Antiqua" w:hAnsi="Book Antiqua" w:cstheme="minorBidi"/>
          <w:szCs w:val="26"/>
        </w:rPr>
      </w:pPr>
      <w:r w:rsidRPr="005821A1">
        <w:rPr>
          <w:rFonts w:ascii="Book Antiqua" w:hAnsi="Book Antiqua" w:cstheme="minorBidi"/>
          <w:b/>
          <w:szCs w:val="26"/>
        </w:rPr>
        <w:t>Action required in this IRP 2017</w:t>
      </w:r>
      <w:r w:rsidR="00D84A09" w:rsidRPr="005821A1">
        <w:rPr>
          <w:rFonts w:ascii="Book Antiqua" w:hAnsi="Book Antiqua" w:cstheme="minorBidi"/>
          <w:b/>
          <w:szCs w:val="26"/>
        </w:rPr>
        <w:noBreakHyphen/>
      </w:r>
      <w:r w:rsidRPr="005821A1">
        <w:rPr>
          <w:rFonts w:ascii="Book Antiqua" w:hAnsi="Book Antiqua" w:cstheme="minorBidi"/>
          <w:b/>
          <w:szCs w:val="26"/>
        </w:rPr>
        <w:t>18 cycle</w:t>
      </w:r>
      <w:r w:rsidRPr="005821A1">
        <w:rPr>
          <w:rFonts w:ascii="Book Antiqua" w:hAnsi="Book Antiqua" w:cstheme="minorBidi"/>
          <w:szCs w:val="26"/>
        </w:rPr>
        <w:t xml:space="preserve">: </w:t>
      </w:r>
      <w:r w:rsidR="004731C2" w:rsidRPr="005821A1">
        <w:rPr>
          <w:rFonts w:ascii="Book Antiqua" w:hAnsi="Book Antiqua" w:cstheme="minorBidi"/>
          <w:szCs w:val="26"/>
        </w:rPr>
        <w:t xml:space="preserve"> </w:t>
      </w:r>
      <w:r w:rsidRPr="005821A1">
        <w:rPr>
          <w:rFonts w:ascii="Book Antiqua" w:hAnsi="Book Antiqua" w:cstheme="minorBidi"/>
          <w:szCs w:val="26"/>
        </w:rPr>
        <w:t xml:space="preserve">Provide best available estimates of emissions of nitrogen oxides and particulate matter associated with all emitting resources used to serve load, including system power. </w:t>
      </w:r>
      <w:r w:rsidR="008672C5" w:rsidRPr="005821A1">
        <w:rPr>
          <w:rFonts w:ascii="Book Antiqua" w:hAnsi="Book Antiqua" w:cstheme="minorBidi"/>
          <w:szCs w:val="26"/>
        </w:rPr>
        <w:t xml:space="preserve"> </w:t>
      </w:r>
      <w:r w:rsidRPr="005821A1">
        <w:rPr>
          <w:rFonts w:ascii="Book Antiqua" w:hAnsi="Book Antiqua" w:cstheme="minorBidi"/>
          <w:szCs w:val="26"/>
        </w:rPr>
        <w:t>Refer to pages 19</w:t>
      </w:r>
      <w:r w:rsidR="00D84A09" w:rsidRPr="005821A1">
        <w:rPr>
          <w:rFonts w:ascii="Book Antiqua" w:hAnsi="Book Antiqua" w:cstheme="minorBidi"/>
          <w:szCs w:val="26"/>
        </w:rPr>
        <w:noBreakHyphen/>
      </w:r>
      <w:r w:rsidRPr="005821A1">
        <w:rPr>
          <w:rFonts w:ascii="Book Antiqua" w:hAnsi="Book Antiqua" w:cstheme="minorBidi"/>
          <w:szCs w:val="26"/>
        </w:rPr>
        <w:t xml:space="preserve">22 of Desert Community Energy’s IRP filing for </w:t>
      </w:r>
      <w:r w:rsidR="009E6885">
        <w:rPr>
          <w:rFonts w:ascii="Book Antiqua" w:hAnsi="Book Antiqua" w:cstheme="minorBidi"/>
          <w:szCs w:val="26"/>
        </w:rPr>
        <w:t xml:space="preserve">an </w:t>
      </w:r>
      <w:r w:rsidRPr="005821A1">
        <w:rPr>
          <w:rFonts w:ascii="Book Antiqua" w:hAnsi="Book Antiqua" w:cstheme="minorBidi"/>
          <w:szCs w:val="26"/>
        </w:rPr>
        <w:t xml:space="preserve">example of the type of information a CCA can provide to fulfill this specific filing requirement. </w:t>
      </w:r>
    </w:p>
    <w:p w14:paraId="1018F869" w14:textId="77777777" w:rsidR="00BD702C" w:rsidRPr="005821A1" w:rsidRDefault="00BD702C" w:rsidP="00C8182B">
      <w:pPr>
        <w:keepNext/>
        <w:keepLines/>
        <w:spacing w:after="200" w:line="276" w:lineRule="auto"/>
        <w:rPr>
          <w:rFonts w:ascii="Book Antiqua" w:hAnsi="Book Antiqua" w:cstheme="minorBidi"/>
          <w:szCs w:val="26"/>
        </w:rPr>
      </w:pPr>
      <w:r w:rsidRPr="005821A1">
        <w:rPr>
          <w:rFonts w:ascii="Book Antiqua" w:hAnsi="Book Antiqua" w:cstheme="minorBidi"/>
          <w:b/>
          <w:szCs w:val="26"/>
        </w:rPr>
        <w:t>Guidance for LSE Plan development in the next IRP cycle</w:t>
      </w:r>
      <w:r w:rsidRPr="005821A1">
        <w:rPr>
          <w:rFonts w:ascii="Book Antiqua" w:hAnsi="Book Antiqua" w:cstheme="minorBidi"/>
          <w:szCs w:val="26"/>
        </w:rPr>
        <w:t>:</w:t>
      </w:r>
    </w:p>
    <w:p w14:paraId="28FE8526" w14:textId="77777777" w:rsidR="00BD702C" w:rsidRPr="005821A1" w:rsidRDefault="00BD702C" w:rsidP="00894BE0">
      <w:pPr>
        <w:numPr>
          <w:ilvl w:val="0"/>
          <w:numId w:val="16"/>
        </w:numPr>
        <w:spacing w:after="200" w:line="276" w:lineRule="auto"/>
        <w:rPr>
          <w:rFonts w:ascii="Book Antiqua" w:hAnsi="Book Antiqua"/>
          <w:szCs w:val="26"/>
        </w:rPr>
      </w:pPr>
      <w:r w:rsidRPr="005821A1">
        <w:rPr>
          <w:rFonts w:ascii="Book Antiqua" w:hAnsi="Book Antiqua"/>
          <w:szCs w:val="26"/>
        </w:rPr>
        <w:t>Draw clearer connections between proposed near</w:t>
      </w:r>
      <w:r w:rsidR="00D84A09" w:rsidRPr="005821A1">
        <w:rPr>
          <w:rFonts w:ascii="Book Antiqua" w:hAnsi="Book Antiqua"/>
          <w:szCs w:val="26"/>
        </w:rPr>
        <w:noBreakHyphen/>
      </w:r>
      <w:r w:rsidRPr="005821A1">
        <w:rPr>
          <w:rFonts w:ascii="Book Antiqua" w:hAnsi="Book Antiqua"/>
          <w:szCs w:val="26"/>
        </w:rPr>
        <w:t xml:space="preserve">term activities and the portfolio study results. </w:t>
      </w:r>
    </w:p>
    <w:p w14:paraId="4746D4B4" w14:textId="77777777" w:rsidR="00BD702C" w:rsidRPr="005821A1" w:rsidRDefault="00BD702C" w:rsidP="00894BE0">
      <w:pPr>
        <w:numPr>
          <w:ilvl w:val="0"/>
          <w:numId w:val="16"/>
        </w:numPr>
        <w:spacing w:after="200" w:line="276" w:lineRule="auto"/>
        <w:rPr>
          <w:rFonts w:ascii="Book Antiqua" w:hAnsi="Book Antiqua"/>
          <w:szCs w:val="26"/>
        </w:rPr>
      </w:pPr>
      <w:r w:rsidRPr="005821A1">
        <w:rPr>
          <w:rFonts w:ascii="Book Antiqua" w:hAnsi="Book Antiqua"/>
          <w:szCs w:val="26"/>
        </w:rPr>
        <w:t xml:space="preserve">Complete the Barrier Analysis section (or its equivalent) so that the </w:t>
      </w:r>
      <w:r w:rsidR="00C31396" w:rsidRPr="005821A1">
        <w:rPr>
          <w:rFonts w:ascii="Book Antiqua" w:hAnsi="Book Antiqua"/>
          <w:szCs w:val="26"/>
        </w:rPr>
        <w:t>Commission</w:t>
      </w:r>
      <w:r w:rsidRPr="005821A1">
        <w:rPr>
          <w:rFonts w:ascii="Book Antiqua" w:hAnsi="Book Antiqua"/>
          <w:szCs w:val="26"/>
        </w:rPr>
        <w:t xml:space="preserve"> may evaluate the LSE’s consideration of market, regulatory, financial, and other barriers or risks associated with the LSE’s Preferred Portfolio. </w:t>
      </w:r>
    </w:p>
    <w:p w14:paraId="035AC553" w14:textId="77777777" w:rsidR="00BD702C" w:rsidRPr="005821A1" w:rsidRDefault="00BD702C" w:rsidP="00671FAB">
      <w:pPr>
        <w:keepNext/>
        <w:keepLines/>
        <w:spacing w:before="240" w:after="120" w:line="276" w:lineRule="auto"/>
        <w:outlineLvl w:val="2"/>
        <w:rPr>
          <w:rFonts w:ascii="Book Antiqua" w:eastAsiaTheme="majorEastAsia" w:hAnsi="Book Antiqua" w:cstheme="majorBidi"/>
          <w:b/>
          <w:szCs w:val="26"/>
        </w:rPr>
      </w:pPr>
      <w:bookmarkStart w:id="83" w:name="_Toc868769"/>
      <w:r w:rsidRPr="005821A1">
        <w:rPr>
          <w:rFonts w:ascii="Book Antiqua" w:eastAsiaTheme="majorEastAsia" w:hAnsi="Book Antiqua" w:cstheme="majorBidi"/>
          <w:b/>
          <w:szCs w:val="26"/>
        </w:rPr>
        <w:t>Pacific Gas and Electric Company</w:t>
      </w:r>
      <w:bookmarkEnd w:id="83"/>
    </w:p>
    <w:tbl>
      <w:tblPr>
        <w:tblStyle w:val="TableGrid3"/>
        <w:tblW w:w="0" w:type="auto"/>
        <w:tblLook w:val="04A0" w:firstRow="1" w:lastRow="0" w:firstColumn="1" w:lastColumn="0" w:noHBand="0" w:noVBand="1"/>
      </w:tblPr>
      <w:tblGrid>
        <w:gridCol w:w="2760"/>
        <w:gridCol w:w="6590"/>
      </w:tblGrid>
      <w:tr w:rsidR="00BD702C" w:rsidRPr="00BD702C" w14:paraId="747BA74A" w14:textId="77777777" w:rsidTr="00BD702C">
        <w:tc>
          <w:tcPr>
            <w:tcW w:w="2760" w:type="dxa"/>
          </w:tcPr>
          <w:p w14:paraId="4C50C304" w14:textId="77777777" w:rsidR="00BD702C" w:rsidRPr="00BD702C" w:rsidRDefault="00BD702C" w:rsidP="005821A1">
            <w:pPr>
              <w:spacing w:before="60" w:after="60"/>
              <w:jc w:val="center"/>
              <w:rPr>
                <w:rFonts w:ascii="Book Antiqua" w:hAnsi="Book Antiqua"/>
                <w:b/>
                <w:sz w:val="24"/>
                <w:szCs w:val="24"/>
              </w:rPr>
            </w:pPr>
            <w:r w:rsidRPr="00BD702C">
              <w:rPr>
                <w:rFonts w:ascii="Book Antiqua" w:hAnsi="Book Antiqua"/>
                <w:b/>
                <w:sz w:val="24"/>
                <w:szCs w:val="24"/>
              </w:rPr>
              <w:t>Requirement</w:t>
            </w:r>
          </w:p>
        </w:tc>
        <w:tc>
          <w:tcPr>
            <w:tcW w:w="6590" w:type="dxa"/>
          </w:tcPr>
          <w:p w14:paraId="51563D54" w14:textId="77777777" w:rsidR="00BD702C" w:rsidRPr="00BD702C" w:rsidRDefault="00BD702C" w:rsidP="005821A1">
            <w:pPr>
              <w:spacing w:before="60" w:after="60"/>
              <w:jc w:val="center"/>
              <w:rPr>
                <w:rFonts w:ascii="Book Antiqua" w:hAnsi="Book Antiqua"/>
                <w:b/>
                <w:sz w:val="24"/>
                <w:szCs w:val="24"/>
              </w:rPr>
            </w:pPr>
            <w:r w:rsidRPr="00BD702C">
              <w:rPr>
                <w:rFonts w:ascii="Book Antiqua" w:hAnsi="Book Antiqua"/>
                <w:b/>
                <w:sz w:val="24"/>
                <w:szCs w:val="24"/>
              </w:rPr>
              <w:t>Assessment</w:t>
            </w:r>
          </w:p>
        </w:tc>
      </w:tr>
      <w:tr w:rsidR="00BD702C" w:rsidRPr="00BD702C" w14:paraId="3BD99818" w14:textId="77777777" w:rsidTr="00BD702C">
        <w:tc>
          <w:tcPr>
            <w:tcW w:w="2760" w:type="dxa"/>
          </w:tcPr>
          <w:p w14:paraId="46CDB1AD"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Study Design</w:t>
            </w:r>
          </w:p>
        </w:tc>
        <w:tc>
          <w:tcPr>
            <w:tcW w:w="6590" w:type="dxa"/>
          </w:tcPr>
          <w:p w14:paraId="5C2613FC"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Pacific Gas and Electric Company (PG&amp;E) provided an adequate description of modeling tools and approach used to develop its portfolios.</w:t>
            </w:r>
          </w:p>
        </w:tc>
      </w:tr>
      <w:tr w:rsidR="00BD702C" w:rsidRPr="00BD702C" w14:paraId="564A7A91" w14:textId="77777777" w:rsidTr="00BD702C">
        <w:tc>
          <w:tcPr>
            <w:tcW w:w="2760" w:type="dxa"/>
          </w:tcPr>
          <w:p w14:paraId="25AC99A0"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Preferred and Conforming Portfolios</w:t>
            </w:r>
          </w:p>
        </w:tc>
        <w:tc>
          <w:tcPr>
            <w:tcW w:w="6590" w:type="dxa"/>
          </w:tcPr>
          <w:p w14:paraId="698E5ED9"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 xml:space="preserve">PG&amp;E provided a Conforming Portfolio and two Alternative Portfolios showing both existing resources and new resources that it plans to invest in or contract with. </w:t>
            </w:r>
            <w:r w:rsidR="008672C5">
              <w:rPr>
                <w:rFonts w:ascii="Book Antiqua" w:hAnsi="Book Antiqua"/>
                <w:sz w:val="24"/>
                <w:szCs w:val="24"/>
              </w:rPr>
              <w:t xml:space="preserve"> </w:t>
            </w:r>
            <w:r w:rsidRPr="00BD702C">
              <w:rPr>
                <w:rFonts w:ascii="Book Antiqua" w:hAnsi="Book Antiqua"/>
                <w:sz w:val="24"/>
                <w:szCs w:val="24"/>
              </w:rPr>
              <w:t>It provided an exemplary explanation of the reasons for its preference, accompanied by tables and figures in support of its rationale, along with an explanation of how each statutory requirement was addressed.</w:t>
            </w:r>
          </w:p>
          <w:p w14:paraId="15D98EDD"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PG&amp;E developed a month</w:t>
            </w:r>
            <w:r w:rsidR="00D84A09">
              <w:rPr>
                <w:rFonts w:ascii="Book Antiqua" w:hAnsi="Book Antiqua"/>
                <w:sz w:val="24"/>
                <w:szCs w:val="24"/>
              </w:rPr>
              <w:noBreakHyphen/>
            </w:r>
            <w:r w:rsidRPr="00BD702C">
              <w:rPr>
                <w:rFonts w:ascii="Book Antiqua" w:hAnsi="Book Antiqua"/>
                <w:sz w:val="24"/>
                <w:szCs w:val="24"/>
              </w:rPr>
              <w:t xml:space="preserve">hourly profile of </w:t>
            </w:r>
            <w:r w:rsidR="00B918D4">
              <w:rPr>
                <w:rFonts w:ascii="Book Antiqua" w:hAnsi="Book Antiqua"/>
                <w:sz w:val="24"/>
                <w:szCs w:val="24"/>
              </w:rPr>
              <w:t>renewable energy credit</w:t>
            </w:r>
            <w:r w:rsidR="00B918D4" w:rsidRPr="00BD702C">
              <w:rPr>
                <w:rFonts w:ascii="Book Antiqua" w:hAnsi="Book Antiqua"/>
                <w:sz w:val="24"/>
                <w:szCs w:val="24"/>
              </w:rPr>
              <w:t xml:space="preserve"> </w:t>
            </w:r>
            <w:r w:rsidRPr="00BD702C">
              <w:rPr>
                <w:rFonts w:ascii="Book Antiqua" w:hAnsi="Book Antiqua"/>
                <w:sz w:val="24"/>
                <w:szCs w:val="24"/>
              </w:rPr>
              <w:t>sales, which appears to consist of primarily solar and baseload renewables, across the planning years in its Clean Net Short Calculator filing.</w:t>
            </w:r>
            <w:r w:rsidR="008672C5">
              <w:rPr>
                <w:rFonts w:ascii="Book Antiqua" w:hAnsi="Book Antiqua"/>
                <w:sz w:val="24"/>
                <w:szCs w:val="24"/>
              </w:rPr>
              <w:t xml:space="preserve"> </w:t>
            </w:r>
            <w:r w:rsidRPr="00BD702C">
              <w:rPr>
                <w:rFonts w:ascii="Book Antiqua" w:hAnsi="Book Antiqua"/>
                <w:sz w:val="24"/>
                <w:szCs w:val="24"/>
              </w:rPr>
              <w:t xml:space="preserve"> The purpose was to avoid taking credit for the zero</w:t>
            </w:r>
            <w:r w:rsidR="00D84A09">
              <w:rPr>
                <w:rFonts w:ascii="Book Antiqua" w:hAnsi="Book Antiqua"/>
                <w:sz w:val="24"/>
                <w:szCs w:val="24"/>
              </w:rPr>
              <w:noBreakHyphen/>
            </w:r>
            <w:r w:rsidRPr="00BD702C">
              <w:rPr>
                <w:rFonts w:ascii="Book Antiqua" w:hAnsi="Book Antiqua"/>
                <w:sz w:val="24"/>
                <w:szCs w:val="24"/>
              </w:rPr>
              <w:t>GHG generation that PG&amp;E plans to sell.</w:t>
            </w:r>
            <w:r w:rsidR="008672C5">
              <w:rPr>
                <w:rFonts w:ascii="Book Antiqua" w:hAnsi="Book Antiqua"/>
                <w:sz w:val="24"/>
                <w:szCs w:val="24"/>
              </w:rPr>
              <w:t xml:space="preserve"> </w:t>
            </w:r>
            <w:r w:rsidRPr="00BD702C">
              <w:rPr>
                <w:rFonts w:ascii="Book Antiqua" w:hAnsi="Book Antiqua"/>
                <w:sz w:val="24"/>
                <w:szCs w:val="24"/>
              </w:rPr>
              <w:t xml:space="preserve"> Given that PG&amp;E’s renewable portfolio is relatively diverse, its REC sales profile appears reasonable.</w:t>
            </w:r>
          </w:p>
        </w:tc>
      </w:tr>
      <w:tr w:rsidR="00BD702C" w:rsidRPr="00BD702C" w14:paraId="0C3D3D4F" w14:textId="77777777" w:rsidTr="00BD702C">
        <w:tc>
          <w:tcPr>
            <w:tcW w:w="2760" w:type="dxa"/>
          </w:tcPr>
          <w:p w14:paraId="024CF50E"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Study Results:</w:t>
            </w:r>
            <w:r w:rsidR="004731C2">
              <w:rPr>
                <w:rFonts w:ascii="Book Antiqua" w:hAnsi="Book Antiqua"/>
                <w:sz w:val="24"/>
                <w:szCs w:val="24"/>
              </w:rPr>
              <w:t xml:space="preserve"> </w:t>
            </w:r>
            <w:r w:rsidRPr="00BD702C">
              <w:rPr>
                <w:rFonts w:ascii="Book Antiqua" w:hAnsi="Book Antiqua"/>
                <w:sz w:val="24"/>
                <w:szCs w:val="24"/>
              </w:rPr>
              <w:t xml:space="preserve"> Local Air Pollutant Minimization</w:t>
            </w:r>
          </w:p>
        </w:tc>
        <w:tc>
          <w:tcPr>
            <w:tcW w:w="6590" w:type="dxa"/>
          </w:tcPr>
          <w:p w14:paraId="5D61CE89"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PG&amp;E provided an exemplary description of how its plan minimizes localized air pollutants.</w:t>
            </w:r>
            <w:r w:rsidR="008672C5">
              <w:rPr>
                <w:rFonts w:ascii="Book Antiqua" w:hAnsi="Book Antiqua"/>
                <w:sz w:val="24"/>
                <w:szCs w:val="24"/>
              </w:rPr>
              <w:t xml:space="preserve"> </w:t>
            </w:r>
            <w:r w:rsidRPr="00BD702C">
              <w:rPr>
                <w:rFonts w:ascii="Book Antiqua" w:hAnsi="Book Antiqua"/>
                <w:sz w:val="24"/>
                <w:szCs w:val="24"/>
              </w:rPr>
              <w:t xml:space="preserve"> It provided a detailed explanation of why forecast annual emissions estimates of nitrogen oxides and particulate matter will decrease or remain unchanged, formulating a comprehensive analysis that may be replicated in future IRP cycles. </w:t>
            </w:r>
            <w:r w:rsidR="008672C5">
              <w:rPr>
                <w:rFonts w:ascii="Book Antiqua" w:hAnsi="Book Antiqua"/>
                <w:sz w:val="24"/>
                <w:szCs w:val="24"/>
              </w:rPr>
              <w:t xml:space="preserve"> </w:t>
            </w:r>
            <w:r w:rsidRPr="00BD702C">
              <w:rPr>
                <w:rFonts w:ascii="Book Antiqua" w:hAnsi="Book Antiqua"/>
                <w:sz w:val="24"/>
                <w:szCs w:val="24"/>
              </w:rPr>
              <w:t>PG&amp;E also explained challenges associated with this reporting requirement, such as determining the correct attribution of emissions to other LSEs whose customers are serviced by some of PG&amp;E’s resources.</w:t>
            </w:r>
            <w:r w:rsidR="008672C5">
              <w:rPr>
                <w:rFonts w:ascii="Book Antiqua" w:hAnsi="Book Antiqua"/>
                <w:sz w:val="24"/>
                <w:szCs w:val="24"/>
              </w:rPr>
              <w:t xml:space="preserve">  </w:t>
            </w:r>
            <w:r w:rsidRPr="00BD702C">
              <w:rPr>
                <w:rFonts w:ascii="Book Antiqua" w:hAnsi="Book Antiqua"/>
                <w:sz w:val="24"/>
                <w:szCs w:val="24"/>
              </w:rPr>
              <w:t xml:space="preserve">Identification of disadvantaged communities was exemplary. </w:t>
            </w:r>
          </w:p>
        </w:tc>
      </w:tr>
      <w:tr w:rsidR="00BD702C" w:rsidRPr="00BD702C" w14:paraId="457DFD7E" w14:textId="77777777" w:rsidTr="00BD702C">
        <w:tc>
          <w:tcPr>
            <w:tcW w:w="2760" w:type="dxa"/>
          </w:tcPr>
          <w:p w14:paraId="2465BA85"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Study Results:</w:t>
            </w:r>
            <w:r w:rsidR="004731C2">
              <w:rPr>
                <w:rFonts w:ascii="Book Antiqua" w:hAnsi="Book Antiqua"/>
                <w:sz w:val="24"/>
                <w:szCs w:val="24"/>
              </w:rPr>
              <w:t xml:space="preserve"> </w:t>
            </w:r>
            <w:r w:rsidRPr="00BD702C">
              <w:rPr>
                <w:rFonts w:ascii="Book Antiqua" w:hAnsi="Book Antiqua"/>
                <w:sz w:val="24"/>
                <w:szCs w:val="24"/>
              </w:rPr>
              <w:t xml:space="preserve"> Cost and Rate Analysis</w:t>
            </w:r>
          </w:p>
        </w:tc>
        <w:tc>
          <w:tcPr>
            <w:tcW w:w="6590" w:type="dxa"/>
          </w:tcPr>
          <w:p w14:paraId="6DB14A58"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PG&amp;E provided an adequate description of its approach in considering cost and rate impacts on its customers.</w:t>
            </w:r>
          </w:p>
        </w:tc>
      </w:tr>
      <w:tr w:rsidR="00BD702C" w:rsidRPr="00BD702C" w14:paraId="1A19E864" w14:textId="77777777" w:rsidTr="00BD702C">
        <w:tc>
          <w:tcPr>
            <w:tcW w:w="2760" w:type="dxa"/>
          </w:tcPr>
          <w:p w14:paraId="0D72976E"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Deviations from Current Resource Plans</w:t>
            </w:r>
          </w:p>
        </w:tc>
        <w:tc>
          <w:tcPr>
            <w:tcW w:w="6590" w:type="dxa"/>
          </w:tcPr>
          <w:p w14:paraId="00280379"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PG&amp;E provided an adequate description of the differences in quantities and budgets for procurement between its Preferred Plan and currently filed or authorized resource plans.</w:t>
            </w:r>
          </w:p>
        </w:tc>
      </w:tr>
      <w:tr w:rsidR="00BD702C" w:rsidRPr="00BD702C" w14:paraId="7CF0D609" w14:textId="77777777" w:rsidTr="00BD702C">
        <w:tc>
          <w:tcPr>
            <w:tcW w:w="2760" w:type="dxa"/>
          </w:tcPr>
          <w:p w14:paraId="6EF4F6FB" w14:textId="77777777" w:rsidR="00BD702C" w:rsidRPr="00BD702C" w:rsidRDefault="00BD702C" w:rsidP="005821A1">
            <w:pPr>
              <w:spacing w:before="60" w:after="60"/>
              <w:rPr>
                <w:rFonts w:ascii="Book Antiqua" w:hAnsi="Book Antiqua"/>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Activities</w:t>
            </w:r>
          </w:p>
        </w:tc>
        <w:tc>
          <w:tcPr>
            <w:tcW w:w="6590" w:type="dxa"/>
          </w:tcPr>
          <w:p w14:paraId="46B3DB4C"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PG&amp;E provided an adequate description of its proposed near</w:t>
            </w:r>
            <w:r w:rsidR="00D84A09">
              <w:rPr>
                <w:rFonts w:ascii="Book Antiqua" w:hAnsi="Book Antiqua"/>
                <w:sz w:val="24"/>
                <w:szCs w:val="24"/>
              </w:rPr>
              <w:noBreakHyphen/>
            </w:r>
            <w:r w:rsidRPr="00BD702C">
              <w:rPr>
                <w:rFonts w:ascii="Book Antiqua" w:hAnsi="Book Antiqua"/>
                <w:sz w:val="24"/>
                <w:szCs w:val="24"/>
              </w:rPr>
              <w:t>term activities to implement its LSE Plan along with links to its Preferred Portfolio findings.</w:t>
            </w:r>
          </w:p>
        </w:tc>
      </w:tr>
      <w:tr w:rsidR="00BD702C" w:rsidRPr="00BD702C" w14:paraId="7391EB8A" w14:textId="77777777" w:rsidTr="00BD702C">
        <w:tc>
          <w:tcPr>
            <w:tcW w:w="2760" w:type="dxa"/>
          </w:tcPr>
          <w:p w14:paraId="3E5018E5" w14:textId="77777777" w:rsidR="00BD702C" w:rsidRPr="00BD702C" w:rsidRDefault="00BD702C" w:rsidP="005821A1">
            <w:pPr>
              <w:spacing w:before="60" w:after="60"/>
              <w:rPr>
                <w:rFonts w:ascii="Book Antiqua" w:hAnsi="Book Antiqua"/>
                <w:color w:val="000000"/>
                <w:sz w:val="24"/>
                <w:szCs w:val="24"/>
              </w:rPr>
            </w:pPr>
            <w:r w:rsidRPr="00BD702C">
              <w:rPr>
                <w:rFonts w:ascii="Book Antiqua" w:hAnsi="Book Antiqua"/>
                <w:color w:val="000000"/>
                <w:sz w:val="24"/>
                <w:szCs w:val="24"/>
              </w:rPr>
              <w:t>Action Plan:</w:t>
            </w:r>
            <w:r w:rsidR="004731C2">
              <w:rPr>
                <w:rFonts w:ascii="Book Antiqua" w:hAnsi="Book Antiqua"/>
                <w:color w:val="000000"/>
                <w:sz w:val="24"/>
                <w:szCs w:val="24"/>
              </w:rPr>
              <w:t xml:space="preserve"> </w:t>
            </w:r>
            <w:r w:rsidRPr="00BD702C">
              <w:rPr>
                <w:rFonts w:ascii="Book Antiqua" w:hAnsi="Book Antiqua"/>
                <w:color w:val="000000"/>
                <w:sz w:val="24"/>
                <w:szCs w:val="24"/>
              </w:rPr>
              <w:t xml:space="preserve"> </w:t>
            </w:r>
            <w:r w:rsidRPr="00BD702C">
              <w:rPr>
                <w:rFonts w:ascii="Book Antiqua" w:hAnsi="Book Antiqua"/>
                <w:sz w:val="24"/>
                <w:szCs w:val="24"/>
              </w:rPr>
              <w:t>Barrier Analysis</w:t>
            </w:r>
          </w:p>
        </w:tc>
        <w:tc>
          <w:tcPr>
            <w:tcW w:w="6590" w:type="dxa"/>
          </w:tcPr>
          <w:p w14:paraId="21D7EC53"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PG&amp;E provided an adequate description of the market, regulatory, financial, and other barriers or risks associated with its Preferred Portfolio.</w:t>
            </w:r>
          </w:p>
        </w:tc>
      </w:tr>
      <w:tr w:rsidR="00BD702C" w:rsidRPr="00BD702C" w14:paraId="78D811DA" w14:textId="77777777" w:rsidTr="00BD702C">
        <w:tc>
          <w:tcPr>
            <w:tcW w:w="2760" w:type="dxa"/>
            <w:shd w:val="clear" w:color="auto" w:fill="auto"/>
          </w:tcPr>
          <w:p w14:paraId="40060099" w14:textId="77777777" w:rsidR="00BD702C" w:rsidRPr="00BD702C" w:rsidRDefault="00BD702C" w:rsidP="005821A1">
            <w:pPr>
              <w:spacing w:before="60" w:after="60"/>
              <w:rPr>
                <w:rFonts w:ascii="Book Antiqua" w:hAnsi="Book Antiqua"/>
                <w:color w:val="000000"/>
                <w:sz w:val="24"/>
                <w:szCs w:val="24"/>
              </w:rPr>
            </w:pPr>
            <w:r w:rsidRPr="00BD702C">
              <w:rPr>
                <w:rFonts w:ascii="Book Antiqua" w:hAnsi="Book Antiqua"/>
                <w:color w:val="000000"/>
                <w:sz w:val="24"/>
                <w:szCs w:val="24"/>
              </w:rPr>
              <w:t>Action Plan:</w:t>
            </w:r>
            <w:r w:rsidR="004731C2">
              <w:rPr>
                <w:rFonts w:ascii="Book Antiqua" w:hAnsi="Book Antiqua"/>
                <w:color w:val="000000"/>
                <w:sz w:val="24"/>
                <w:szCs w:val="24"/>
              </w:rPr>
              <w:t xml:space="preserve"> </w:t>
            </w:r>
            <w:r w:rsidRPr="00BD702C">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590" w:type="dxa"/>
            <w:shd w:val="clear" w:color="auto" w:fill="auto"/>
          </w:tcPr>
          <w:p w14:paraId="4151C3F9"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 xml:space="preserve">PG&amp;E’s Conforming Portfolio did not include any new resource additions through 2030, and PG&amp;E did not make any request for procurement authority associated with this portfolio. </w:t>
            </w:r>
            <w:r w:rsidR="008672C5">
              <w:rPr>
                <w:rFonts w:ascii="Book Antiqua" w:hAnsi="Book Antiqua"/>
                <w:sz w:val="24"/>
                <w:szCs w:val="24"/>
              </w:rPr>
              <w:t xml:space="preserve"> </w:t>
            </w:r>
            <w:r w:rsidRPr="00BD702C">
              <w:rPr>
                <w:rFonts w:ascii="Book Antiqua" w:hAnsi="Book Antiqua"/>
                <w:sz w:val="24"/>
                <w:szCs w:val="24"/>
              </w:rPr>
              <w:t>The Commission is considering only the LSEs’ Conforming Portfolios in this IRP cycle for adoption within the Preferred System Portfolio.</w:t>
            </w:r>
          </w:p>
        </w:tc>
      </w:tr>
      <w:tr w:rsidR="00BD702C" w:rsidRPr="00BD702C" w14:paraId="6DF0BEC4" w14:textId="77777777" w:rsidTr="00BD702C">
        <w:tc>
          <w:tcPr>
            <w:tcW w:w="2760" w:type="dxa"/>
          </w:tcPr>
          <w:p w14:paraId="1431D5B4" w14:textId="77777777" w:rsidR="00BD702C" w:rsidRPr="00BD702C" w:rsidRDefault="00BD702C" w:rsidP="005821A1">
            <w:pPr>
              <w:spacing w:before="60" w:after="60"/>
              <w:rPr>
                <w:rFonts w:ascii="Book Antiqua" w:hAnsi="Book Antiqua"/>
                <w:color w:val="000000"/>
                <w:sz w:val="24"/>
                <w:szCs w:val="24"/>
              </w:rPr>
            </w:pPr>
            <w:r w:rsidRPr="00BD702C">
              <w:rPr>
                <w:rFonts w:ascii="Book Antiqua" w:hAnsi="Book Antiqua"/>
                <w:color w:val="000000"/>
                <w:sz w:val="24"/>
                <w:szCs w:val="24"/>
              </w:rPr>
              <w:t>Lessons Learned</w:t>
            </w:r>
          </w:p>
        </w:tc>
        <w:tc>
          <w:tcPr>
            <w:tcW w:w="6590" w:type="dxa"/>
          </w:tcPr>
          <w:p w14:paraId="56E01775"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PG&amp;E provided an adequate description of lessons learned.</w:t>
            </w:r>
          </w:p>
        </w:tc>
      </w:tr>
    </w:tbl>
    <w:p w14:paraId="47D3482F" w14:textId="77777777" w:rsidR="00BD702C" w:rsidRPr="00AF5CC4" w:rsidRDefault="00BD702C" w:rsidP="005821A1">
      <w:pPr>
        <w:keepNext/>
        <w:keepLines/>
        <w:spacing w:before="240" w:after="120" w:line="276" w:lineRule="auto"/>
        <w:outlineLvl w:val="3"/>
        <w:rPr>
          <w:rFonts w:ascii="Book Antiqua" w:eastAsiaTheme="majorEastAsia" w:hAnsi="Book Antiqua" w:cstheme="majorBidi"/>
          <w:b/>
          <w:i/>
          <w:iCs/>
          <w:szCs w:val="26"/>
        </w:rPr>
      </w:pPr>
      <w:r w:rsidRPr="00AF5CC4">
        <w:rPr>
          <w:rFonts w:ascii="Book Antiqua" w:eastAsiaTheme="majorEastAsia" w:hAnsi="Book Antiqua" w:cstheme="majorBidi"/>
          <w:b/>
          <w:i/>
          <w:iCs/>
          <w:szCs w:val="26"/>
        </w:rPr>
        <w:t>Next Steps for PG&amp;E</w:t>
      </w:r>
    </w:p>
    <w:p w14:paraId="0F850AF8" w14:textId="77777777" w:rsidR="00BD702C" w:rsidRPr="005821A1" w:rsidRDefault="00BD702C" w:rsidP="00BD702C">
      <w:pPr>
        <w:spacing w:after="200" w:line="276" w:lineRule="auto"/>
        <w:rPr>
          <w:rFonts w:ascii="Book Antiqua" w:hAnsi="Book Antiqua" w:cstheme="minorBidi"/>
          <w:szCs w:val="26"/>
          <w:highlight w:val="yellow"/>
        </w:rPr>
      </w:pPr>
      <w:r w:rsidRPr="005821A1">
        <w:rPr>
          <w:rFonts w:ascii="Book Antiqua" w:hAnsi="Book Antiqua" w:cstheme="minorBidi"/>
          <w:b/>
          <w:szCs w:val="26"/>
        </w:rPr>
        <w:t>Action required in this IRP 2017</w:t>
      </w:r>
      <w:r w:rsidR="00D84A09" w:rsidRPr="005821A1">
        <w:rPr>
          <w:rFonts w:ascii="Book Antiqua" w:hAnsi="Book Antiqua" w:cstheme="minorBidi"/>
          <w:b/>
          <w:szCs w:val="26"/>
        </w:rPr>
        <w:noBreakHyphen/>
      </w:r>
      <w:r w:rsidRPr="005821A1">
        <w:rPr>
          <w:rFonts w:ascii="Book Antiqua" w:hAnsi="Book Antiqua" w:cstheme="minorBidi"/>
          <w:b/>
          <w:szCs w:val="26"/>
        </w:rPr>
        <w:t>18 cycle</w:t>
      </w:r>
      <w:r w:rsidRPr="005821A1">
        <w:rPr>
          <w:rFonts w:ascii="Book Antiqua" w:hAnsi="Book Antiqua" w:cstheme="minorBidi"/>
          <w:szCs w:val="26"/>
        </w:rPr>
        <w:t xml:space="preserve">: </w:t>
      </w:r>
      <w:r w:rsidR="004731C2" w:rsidRPr="005821A1">
        <w:rPr>
          <w:rFonts w:ascii="Book Antiqua" w:hAnsi="Book Antiqua" w:cstheme="minorBidi"/>
          <w:szCs w:val="26"/>
        </w:rPr>
        <w:t xml:space="preserve"> </w:t>
      </w:r>
      <w:r w:rsidRPr="005821A1">
        <w:rPr>
          <w:rFonts w:ascii="Book Antiqua" w:hAnsi="Book Antiqua" w:cstheme="minorBidi"/>
          <w:szCs w:val="26"/>
        </w:rPr>
        <w:t>None at this time.</w:t>
      </w:r>
    </w:p>
    <w:p w14:paraId="7E02820A" w14:textId="77777777" w:rsidR="00BD702C" w:rsidRPr="005821A1" w:rsidRDefault="00BD702C" w:rsidP="00BD702C">
      <w:pPr>
        <w:spacing w:after="200" w:line="276" w:lineRule="auto"/>
        <w:rPr>
          <w:rFonts w:ascii="Book Antiqua" w:hAnsi="Book Antiqua" w:cstheme="minorBidi"/>
          <w:szCs w:val="26"/>
        </w:rPr>
      </w:pPr>
      <w:r w:rsidRPr="005821A1">
        <w:rPr>
          <w:rFonts w:ascii="Book Antiqua" w:hAnsi="Book Antiqua" w:cstheme="minorBidi"/>
          <w:b/>
          <w:szCs w:val="26"/>
        </w:rPr>
        <w:t>Guidance for LSE Plan development in the next IRP cycle</w:t>
      </w:r>
      <w:r w:rsidRPr="005821A1">
        <w:rPr>
          <w:rFonts w:ascii="Book Antiqua" w:hAnsi="Book Antiqua" w:cstheme="minorBidi"/>
          <w:szCs w:val="26"/>
        </w:rPr>
        <w:t xml:space="preserve">: </w:t>
      </w:r>
      <w:r w:rsidR="004731C2" w:rsidRPr="005821A1">
        <w:rPr>
          <w:rFonts w:ascii="Book Antiqua" w:hAnsi="Book Antiqua" w:cstheme="minorBidi"/>
          <w:szCs w:val="26"/>
        </w:rPr>
        <w:t xml:space="preserve"> </w:t>
      </w:r>
      <w:r w:rsidRPr="005821A1">
        <w:rPr>
          <w:rFonts w:ascii="Book Antiqua" w:hAnsi="Book Antiqua" w:cstheme="minorBidi"/>
          <w:szCs w:val="26"/>
        </w:rPr>
        <w:t>None at this time.</w:t>
      </w:r>
    </w:p>
    <w:p w14:paraId="4143B172" w14:textId="77777777" w:rsidR="00BD702C" w:rsidRPr="005821A1" w:rsidRDefault="00BD702C" w:rsidP="00671FAB">
      <w:pPr>
        <w:keepNext/>
        <w:keepLines/>
        <w:spacing w:before="240" w:after="120" w:line="276" w:lineRule="auto"/>
        <w:outlineLvl w:val="2"/>
        <w:rPr>
          <w:rFonts w:ascii="Book Antiqua" w:eastAsiaTheme="majorEastAsia" w:hAnsi="Book Antiqua" w:cstheme="majorBidi"/>
          <w:b/>
          <w:szCs w:val="26"/>
        </w:rPr>
      </w:pPr>
      <w:bookmarkStart w:id="84" w:name="_Toc868770"/>
      <w:r w:rsidRPr="005821A1">
        <w:rPr>
          <w:rFonts w:ascii="Book Antiqua" w:eastAsiaTheme="majorEastAsia" w:hAnsi="Book Antiqua" w:cstheme="majorBidi"/>
          <w:b/>
          <w:szCs w:val="26"/>
        </w:rPr>
        <w:t>Peninsula Clean Energy Authority</w:t>
      </w:r>
      <w:bookmarkEnd w:id="84"/>
    </w:p>
    <w:tbl>
      <w:tblPr>
        <w:tblStyle w:val="TableGrid3"/>
        <w:tblW w:w="0" w:type="auto"/>
        <w:tblLook w:val="04A0" w:firstRow="1" w:lastRow="0" w:firstColumn="1" w:lastColumn="0" w:noHBand="0" w:noVBand="1"/>
      </w:tblPr>
      <w:tblGrid>
        <w:gridCol w:w="2898"/>
        <w:gridCol w:w="6452"/>
      </w:tblGrid>
      <w:tr w:rsidR="00BD702C" w:rsidRPr="00D149D6" w14:paraId="35F45FF6" w14:textId="77777777" w:rsidTr="00BD702C">
        <w:tc>
          <w:tcPr>
            <w:tcW w:w="2898" w:type="dxa"/>
          </w:tcPr>
          <w:p w14:paraId="5CFB26F9" w14:textId="77777777" w:rsidR="00BD702C" w:rsidRPr="00D149D6" w:rsidRDefault="00BD702C" w:rsidP="005821A1">
            <w:pPr>
              <w:keepNext/>
              <w:keepLines/>
              <w:spacing w:before="60" w:after="60"/>
              <w:jc w:val="center"/>
              <w:rPr>
                <w:rFonts w:ascii="Book Antiqua" w:hAnsi="Book Antiqua"/>
                <w:b/>
                <w:sz w:val="24"/>
                <w:szCs w:val="24"/>
              </w:rPr>
            </w:pPr>
            <w:r w:rsidRPr="00D149D6">
              <w:rPr>
                <w:rFonts w:ascii="Book Antiqua" w:hAnsi="Book Antiqua"/>
                <w:b/>
                <w:sz w:val="24"/>
                <w:szCs w:val="24"/>
              </w:rPr>
              <w:t>Requirement</w:t>
            </w:r>
          </w:p>
        </w:tc>
        <w:tc>
          <w:tcPr>
            <w:tcW w:w="6452" w:type="dxa"/>
          </w:tcPr>
          <w:p w14:paraId="2A130004" w14:textId="77777777" w:rsidR="00BD702C" w:rsidRPr="00D149D6" w:rsidRDefault="00BD702C" w:rsidP="005821A1">
            <w:pPr>
              <w:keepNext/>
              <w:keepLines/>
              <w:spacing w:before="60" w:after="60"/>
              <w:jc w:val="center"/>
              <w:rPr>
                <w:rFonts w:ascii="Book Antiqua" w:hAnsi="Book Antiqua"/>
                <w:b/>
                <w:sz w:val="24"/>
                <w:szCs w:val="24"/>
              </w:rPr>
            </w:pPr>
            <w:r w:rsidRPr="00D149D6">
              <w:rPr>
                <w:rFonts w:ascii="Book Antiqua" w:hAnsi="Book Antiqua"/>
                <w:b/>
                <w:sz w:val="24"/>
                <w:szCs w:val="24"/>
              </w:rPr>
              <w:t>Assessment</w:t>
            </w:r>
          </w:p>
        </w:tc>
      </w:tr>
      <w:tr w:rsidR="00BD702C" w:rsidRPr="00D149D6" w14:paraId="15EE3FD4" w14:textId="77777777" w:rsidTr="00BD702C">
        <w:tc>
          <w:tcPr>
            <w:tcW w:w="2898" w:type="dxa"/>
          </w:tcPr>
          <w:p w14:paraId="7B123748" w14:textId="77777777" w:rsidR="00BD702C" w:rsidRPr="00D149D6" w:rsidRDefault="00BD702C" w:rsidP="005821A1">
            <w:pPr>
              <w:keepNext/>
              <w:keepLines/>
              <w:spacing w:before="60" w:after="60"/>
              <w:rPr>
                <w:rFonts w:ascii="Book Antiqua" w:hAnsi="Book Antiqua"/>
                <w:sz w:val="24"/>
                <w:szCs w:val="24"/>
              </w:rPr>
            </w:pPr>
            <w:r w:rsidRPr="00D149D6">
              <w:rPr>
                <w:rFonts w:ascii="Book Antiqua" w:hAnsi="Book Antiqua"/>
                <w:sz w:val="24"/>
                <w:szCs w:val="24"/>
              </w:rPr>
              <w:t>Study Design</w:t>
            </w:r>
          </w:p>
        </w:tc>
        <w:tc>
          <w:tcPr>
            <w:tcW w:w="6452" w:type="dxa"/>
          </w:tcPr>
          <w:p w14:paraId="04DFB9F9" w14:textId="77777777" w:rsidR="00BD702C" w:rsidRPr="00D149D6" w:rsidRDefault="00BD702C" w:rsidP="005821A1">
            <w:pPr>
              <w:keepNext/>
              <w:keepLines/>
              <w:spacing w:before="60" w:after="60"/>
              <w:rPr>
                <w:rFonts w:ascii="Book Antiqua" w:hAnsi="Book Antiqua"/>
                <w:sz w:val="24"/>
                <w:szCs w:val="24"/>
              </w:rPr>
            </w:pPr>
            <w:r w:rsidRPr="00D149D6">
              <w:rPr>
                <w:rFonts w:ascii="Book Antiqua" w:hAnsi="Book Antiqua"/>
                <w:sz w:val="24"/>
                <w:szCs w:val="24"/>
              </w:rPr>
              <w:t>Peninsula Clean Energy Authority (PCE) provided an adequate description of modeling tools and approach used to develop its portfolio.</w:t>
            </w:r>
          </w:p>
        </w:tc>
      </w:tr>
      <w:tr w:rsidR="00BD702C" w:rsidRPr="00D149D6" w14:paraId="30B8E300" w14:textId="77777777" w:rsidTr="00BD702C">
        <w:tc>
          <w:tcPr>
            <w:tcW w:w="2898" w:type="dxa"/>
          </w:tcPr>
          <w:p w14:paraId="70136E98"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4731C2" w:rsidRPr="00D149D6">
              <w:rPr>
                <w:rFonts w:ascii="Book Antiqua" w:hAnsi="Book Antiqua"/>
                <w:sz w:val="24"/>
                <w:szCs w:val="24"/>
              </w:rPr>
              <w:t xml:space="preserve"> </w:t>
            </w:r>
            <w:r w:rsidRPr="00D149D6">
              <w:rPr>
                <w:rFonts w:ascii="Book Antiqua" w:hAnsi="Book Antiqua"/>
                <w:sz w:val="24"/>
                <w:szCs w:val="24"/>
              </w:rPr>
              <w:t>Preferred and Conforming Portfolios</w:t>
            </w:r>
          </w:p>
        </w:tc>
        <w:tc>
          <w:tcPr>
            <w:tcW w:w="6452" w:type="dxa"/>
          </w:tcPr>
          <w:p w14:paraId="3486C178"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PCE provided a Conforming Portfolio as its Preferred Portfolio showing both existing resources and new resources that it plans to invest in or contract with. </w:t>
            </w:r>
            <w:r w:rsidR="008672C5" w:rsidRPr="00D149D6">
              <w:rPr>
                <w:rFonts w:ascii="Book Antiqua" w:hAnsi="Book Antiqua"/>
                <w:sz w:val="24"/>
                <w:szCs w:val="24"/>
              </w:rPr>
              <w:t xml:space="preserve"> </w:t>
            </w:r>
            <w:r w:rsidRPr="00D149D6">
              <w:rPr>
                <w:rFonts w:ascii="Book Antiqua" w:hAnsi="Book Antiqua"/>
                <w:sz w:val="24"/>
                <w:szCs w:val="24"/>
              </w:rPr>
              <w:t>It provided an exemplary explanation, supported by tables and figures, of the reasons for its preference and how its Preferred Portfolio is consistent with each relevant statutory and administrative requirement.</w:t>
            </w:r>
            <w:r w:rsidR="008672C5" w:rsidRPr="00D149D6">
              <w:rPr>
                <w:rFonts w:ascii="Book Antiqua" w:hAnsi="Book Antiqua"/>
                <w:sz w:val="24"/>
                <w:szCs w:val="24"/>
              </w:rPr>
              <w:t xml:space="preserve"> </w:t>
            </w:r>
            <w:r w:rsidRPr="00D149D6">
              <w:rPr>
                <w:rFonts w:ascii="Book Antiqua" w:hAnsi="Book Antiqua"/>
                <w:sz w:val="24"/>
                <w:szCs w:val="24"/>
              </w:rPr>
              <w:t xml:space="preserve"> PCE did not submit an optional Alternative Portfolio.</w:t>
            </w:r>
          </w:p>
        </w:tc>
      </w:tr>
      <w:tr w:rsidR="00BD702C" w:rsidRPr="00D149D6" w14:paraId="25452600" w14:textId="77777777" w:rsidTr="00BD702C">
        <w:tc>
          <w:tcPr>
            <w:tcW w:w="2898" w:type="dxa"/>
          </w:tcPr>
          <w:p w14:paraId="3FE938A3"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Study Results:</w:t>
            </w:r>
            <w:r w:rsidR="004731C2" w:rsidRPr="00D149D6">
              <w:rPr>
                <w:rFonts w:ascii="Book Antiqua" w:hAnsi="Book Antiqua"/>
                <w:sz w:val="24"/>
                <w:szCs w:val="24"/>
              </w:rPr>
              <w:t xml:space="preserve"> </w:t>
            </w:r>
            <w:r w:rsidRPr="00D149D6">
              <w:rPr>
                <w:rFonts w:ascii="Book Antiqua" w:hAnsi="Book Antiqua"/>
                <w:sz w:val="24"/>
                <w:szCs w:val="24"/>
              </w:rPr>
              <w:t xml:space="preserve"> Local Air Pollutant Minimization</w:t>
            </w:r>
          </w:p>
        </w:tc>
        <w:tc>
          <w:tcPr>
            <w:tcW w:w="6452" w:type="dxa"/>
          </w:tcPr>
          <w:p w14:paraId="712EA38C"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PCE provided adequate estimates of emissions of nitrogen oxides and particulate matter.</w:t>
            </w:r>
            <w:r w:rsidR="008672C5" w:rsidRPr="00D149D6">
              <w:rPr>
                <w:rFonts w:ascii="Book Antiqua" w:hAnsi="Book Antiqua"/>
                <w:sz w:val="24"/>
                <w:szCs w:val="24"/>
              </w:rPr>
              <w:t xml:space="preserve"> </w:t>
            </w:r>
            <w:r w:rsidRPr="00D149D6">
              <w:rPr>
                <w:rFonts w:ascii="Book Antiqua" w:hAnsi="Book Antiqua"/>
                <w:sz w:val="24"/>
                <w:szCs w:val="24"/>
              </w:rPr>
              <w:t xml:space="preserve"> Identification of disadvantaged communities was adequate.</w:t>
            </w:r>
          </w:p>
        </w:tc>
      </w:tr>
      <w:tr w:rsidR="00BD702C" w:rsidRPr="00D149D6" w14:paraId="6C62190C" w14:textId="77777777" w:rsidTr="00BD702C">
        <w:tc>
          <w:tcPr>
            <w:tcW w:w="2898" w:type="dxa"/>
          </w:tcPr>
          <w:p w14:paraId="68CF9674"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4731C2" w:rsidRPr="00D149D6">
              <w:rPr>
                <w:rFonts w:ascii="Book Antiqua" w:hAnsi="Book Antiqua"/>
                <w:sz w:val="24"/>
                <w:szCs w:val="24"/>
              </w:rPr>
              <w:t xml:space="preserve"> </w:t>
            </w:r>
            <w:r w:rsidRPr="00D149D6">
              <w:rPr>
                <w:rFonts w:ascii="Book Antiqua" w:hAnsi="Book Antiqua"/>
                <w:sz w:val="24"/>
                <w:szCs w:val="24"/>
              </w:rPr>
              <w:t>Cost and Rate Analysis</w:t>
            </w:r>
          </w:p>
        </w:tc>
        <w:tc>
          <w:tcPr>
            <w:tcW w:w="6452" w:type="dxa"/>
          </w:tcPr>
          <w:p w14:paraId="7ECBD2C7"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PCE provided an adequate description of its approach in considering cost and rate impacts on its customers.</w:t>
            </w:r>
          </w:p>
        </w:tc>
      </w:tr>
      <w:tr w:rsidR="00BD702C" w:rsidRPr="00D149D6" w14:paraId="619AE283" w14:textId="77777777" w:rsidTr="00BD702C">
        <w:tc>
          <w:tcPr>
            <w:tcW w:w="2898" w:type="dxa"/>
          </w:tcPr>
          <w:p w14:paraId="0A67CBD6" w14:textId="77777777" w:rsidR="00BD702C" w:rsidRPr="00D149D6" w:rsidRDefault="00BD702C" w:rsidP="000E00E5">
            <w:pPr>
              <w:keepNext/>
              <w:keepLines/>
              <w:spacing w:before="60" w:after="60"/>
              <w:rPr>
                <w:rFonts w:ascii="Book Antiqua" w:hAnsi="Book Antiqua"/>
                <w:sz w:val="24"/>
                <w:szCs w:val="24"/>
              </w:rPr>
            </w:pPr>
            <w:r w:rsidRPr="00D149D6">
              <w:rPr>
                <w:rFonts w:ascii="Book Antiqua" w:hAnsi="Book Antiqua"/>
                <w:sz w:val="24"/>
                <w:szCs w:val="24"/>
              </w:rPr>
              <w:t xml:space="preserve">Study Results: </w:t>
            </w:r>
            <w:r w:rsidR="004731C2" w:rsidRPr="00D149D6">
              <w:rPr>
                <w:rFonts w:ascii="Book Antiqua" w:hAnsi="Book Antiqua"/>
                <w:sz w:val="24"/>
                <w:szCs w:val="24"/>
              </w:rPr>
              <w:t xml:space="preserve"> </w:t>
            </w:r>
            <w:r w:rsidRPr="00D149D6">
              <w:rPr>
                <w:rFonts w:ascii="Book Antiqua" w:hAnsi="Book Antiqua"/>
                <w:sz w:val="24"/>
                <w:szCs w:val="24"/>
              </w:rPr>
              <w:t>Deviations from Current Resource Plans</w:t>
            </w:r>
          </w:p>
        </w:tc>
        <w:tc>
          <w:tcPr>
            <w:tcW w:w="6452" w:type="dxa"/>
          </w:tcPr>
          <w:p w14:paraId="4B038890" w14:textId="77777777" w:rsidR="00BD702C" w:rsidRPr="00D149D6" w:rsidRDefault="00BD702C" w:rsidP="000E00E5">
            <w:pPr>
              <w:keepNext/>
              <w:keepLines/>
              <w:spacing w:before="60" w:after="60"/>
              <w:rPr>
                <w:rFonts w:ascii="Book Antiqua" w:hAnsi="Book Antiqua"/>
                <w:sz w:val="24"/>
                <w:szCs w:val="24"/>
              </w:rPr>
            </w:pPr>
            <w:r w:rsidRPr="00D149D6">
              <w:rPr>
                <w:rFonts w:ascii="Book Antiqua" w:hAnsi="Book Antiqua"/>
                <w:sz w:val="24"/>
                <w:szCs w:val="24"/>
              </w:rPr>
              <w:t>PCE provided an adequate description of the differences in quantities and budgets for procurement between its Preferred Plan and currently filed or authorized resource plans.</w:t>
            </w:r>
          </w:p>
        </w:tc>
      </w:tr>
      <w:tr w:rsidR="00BD702C" w:rsidRPr="00D149D6" w14:paraId="61F1A56C" w14:textId="77777777" w:rsidTr="00BD702C">
        <w:tc>
          <w:tcPr>
            <w:tcW w:w="2898" w:type="dxa"/>
          </w:tcPr>
          <w:p w14:paraId="0DF0B281" w14:textId="77777777" w:rsidR="00BD702C" w:rsidRPr="00D149D6" w:rsidRDefault="00BD702C" w:rsidP="005821A1">
            <w:pPr>
              <w:spacing w:before="60" w:after="60"/>
              <w:rPr>
                <w:rFonts w:ascii="Book Antiqua" w:hAnsi="Book Antiqua"/>
                <w:sz w:val="24"/>
                <w:szCs w:val="24"/>
              </w:rPr>
            </w:pPr>
            <w:r w:rsidRPr="00D149D6">
              <w:rPr>
                <w:rFonts w:ascii="Book Antiqua" w:hAnsi="Book Antiqua"/>
                <w:color w:val="000000"/>
                <w:sz w:val="24"/>
                <w:szCs w:val="24"/>
              </w:rPr>
              <w:t>Action Plan:</w:t>
            </w:r>
            <w:r w:rsidR="004731C2" w:rsidRPr="00D149D6">
              <w:rPr>
                <w:rFonts w:ascii="Book Antiqua" w:hAnsi="Book Antiqua"/>
                <w:color w:val="000000"/>
                <w:sz w:val="24"/>
                <w:szCs w:val="24"/>
              </w:rPr>
              <w:t xml:space="preserve"> </w:t>
            </w:r>
            <w:r w:rsidRPr="00D149D6">
              <w:rPr>
                <w:rFonts w:ascii="Book Antiqua" w:hAnsi="Book Antiqua"/>
                <w:color w:val="000000"/>
                <w:sz w:val="24"/>
                <w:szCs w:val="24"/>
              </w:rPr>
              <w:t xml:space="preserve"> </w:t>
            </w:r>
            <w:r w:rsidRPr="00D149D6">
              <w:rPr>
                <w:rFonts w:ascii="Book Antiqua" w:hAnsi="Book Antiqua"/>
                <w:sz w:val="24"/>
                <w:szCs w:val="24"/>
              </w:rPr>
              <w:t>Proposed Activities</w:t>
            </w:r>
          </w:p>
        </w:tc>
        <w:tc>
          <w:tcPr>
            <w:tcW w:w="6452" w:type="dxa"/>
          </w:tcPr>
          <w:p w14:paraId="65FCBC74"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PCE did not provide an adequate description of its proposed near</w:t>
            </w:r>
            <w:r w:rsidR="00D84A09" w:rsidRPr="00D149D6">
              <w:rPr>
                <w:rFonts w:ascii="Book Antiqua" w:hAnsi="Book Antiqua"/>
                <w:sz w:val="24"/>
                <w:szCs w:val="24"/>
              </w:rPr>
              <w:noBreakHyphen/>
            </w:r>
            <w:r w:rsidRPr="00D149D6">
              <w:rPr>
                <w:rFonts w:ascii="Book Antiqua" w:hAnsi="Book Antiqua"/>
                <w:sz w:val="24"/>
                <w:szCs w:val="24"/>
              </w:rPr>
              <w:t>term activities to implement its LSE Plan, as it did not provide clear links to its Preferred Portfolio findings.</w:t>
            </w:r>
          </w:p>
          <w:p w14:paraId="2BD693D2"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PCE provided an exemplary description of planned activities to conduct outreach and seek input from any disadvantaged communities that could be impacted by procurement resulting from the implementation of its Plan.</w:t>
            </w:r>
          </w:p>
        </w:tc>
      </w:tr>
      <w:tr w:rsidR="00BD702C" w:rsidRPr="00D149D6" w14:paraId="57543BEA" w14:textId="77777777" w:rsidTr="00BD702C">
        <w:tc>
          <w:tcPr>
            <w:tcW w:w="2898" w:type="dxa"/>
          </w:tcPr>
          <w:p w14:paraId="0E63FAAD"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4731C2" w:rsidRPr="00D149D6">
              <w:rPr>
                <w:rFonts w:ascii="Book Antiqua" w:hAnsi="Book Antiqua"/>
                <w:color w:val="000000"/>
                <w:sz w:val="24"/>
                <w:szCs w:val="24"/>
              </w:rPr>
              <w:t xml:space="preserve"> </w:t>
            </w:r>
            <w:r w:rsidRPr="00D149D6">
              <w:rPr>
                <w:rFonts w:ascii="Book Antiqua" w:hAnsi="Book Antiqua"/>
                <w:sz w:val="24"/>
                <w:szCs w:val="24"/>
              </w:rPr>
              <w:t>Barrier Analysis</w:t>
            </w:r>
          </w:p>
        </w:tc>
        <w:tc>
          <w:tcPr>
            <w:tcW w:w="6452" w:type="dxa"/>
          </w:tcPr>
          <w:p w14:paraId="2C947B8B"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PCE did not provide an adequate description of the market, regulatory, financial, or other barriers or risks associated with its Preferred Portfolio.</w:t>
            </w:r>
          </w:p>
        </w:tc>
      </w:tr>
      <w:tr w:rsidR="00BD702C" w:rsidRPr="00D149D6" w14:paraId="2AAC83D9" w14:textId="77777777" w:rsidTr="00BD702C">
        <w:tc>
          <w:tcPr>
            <w:tcW w:w="2898" w:type="dxa"/>
          </w:tcPr>
          <w:p w14:paraId="558B7798"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Action Plan:</w:t>
            </w:r>
            <w:r w:rsidR="004731C2" w:rsidRPr="00D149D6">
              <w:rPr>
                <w:rFonts w:ascii="Book Antiqua" w:hAnsi="Book Antiqua"/>
                <w:color w:val="000000"/>
                <w:sz w:val="24"/>
                <w:szCs w:val="24"/>
              </w:rPr>
              <w:t xml:space="preserve"> </w:t>
            </w:r>
            <w:r w:rsidRPr="00D149D6">
              <w:rPr>
                <w:rFonts w:ascii="Book Antiqua" w:hAnsi="Book Antiqua"/>
                <w:color w:val="000000"/>
                <w:sz w:val="24"/>
                <w:szCs w:val="24"/>
              </w:rPr>
              <w:t xml:space="preserve"> </w:t>
            </w:r>
            <w:r w:rsidRPr="00D149D6">
              <w:rPr>
                <w:rFonts w:ascii="Book Antiqua" w:hAnsi="Book Antiqua"/>
                <w:sz w:val="24"/>
                <w:szCs w:val="24"/>
              </w:rPr>
              <w:t>Proposed Commission Direction</w:t>
            </w:r>
          </w:p>
        </w:tc>
        <w:tc>
          <w:tcPr>
            <w:tcW w:w="6452" w:type="dxa"/>
          </w:tcPr>
          <w:p w14:paraId="6277D829"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PCE marked this this section as not applicable.</w:t>
            </w:r>
          </w:p>
        </w:tc>
      </w:tr>
      <w:tr w:rsidR="00BD702C" w:rsidRPr="00D149D6" w14:paraId="566D40C1" w14:textId="77777777" w:rsidTr="00BD702C">
        <w:tc>
          <w:tcPr>
            <w:tcW w:w="2898" w:type="dxa"/>
          </w:tcPr>
          <w:p w14:paraId="374AE556"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Lessons Learned</w:t>
            </w:r>
          </w:p>
        </w:tc>
        <w:tc>
          <w:tcPr>
            <w:tcW w:w="6452" w:type="dxa"/>
          </w:tcPr>
          <w:p w14:paraId="4F4CF559"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PCE provided an adequate description of lessons learned.</w:t>
            </w:r>
          </w:p>
        </w:tc>
      </w:tr>
    </w:tbl>
    <w:p w14:paraId="385A1BC2" w14:textId="77777777" w:rsidR="00BD702C" w:rsidRPr="00AF5CC4" w:rsidRDefault="00BD702C" w:rsidP="005821A1">
      <w:pPr>
        <w:keepNext/>
        <w:keepLines/>
        <w:spacing w:before="240" w:after="120" w:line="276" w:lineRule="auto"/>
        <w:outlineLvl w:val="3"/>
        <w:rPr>
          <w:rFonts w:ascii="Book Antiqua" w:eastAsiaTheme="majorEastAsia" w:hAnsi="Book Antiqua" w:cstheme="majorBidi"/>
          <w:b/>
          <w:i/>
          <w:iCs/>
          <w:szCs w:val="26"/>
        </w:rPr>
      </w:pPr>
      <w:r w:rsidRPr="00AF5CC4">
        <w:rPr>
          <w:rFonts w:ascii="Book Antiqua" w:eastAsiaTheme="majorEastAsia" w:hAnsi="Book Antiqua" w:cstheme="majorBidi"/>
          <w:b/>
          <w:i/>
          <w:iCs/>
          <w:szCs w:val="26"/>
        </w:rPr>
        <w:t>Next Steps for PCE</w:t>
      </w:r>
    </w:p>
    <w:p w14:paraId="73E7ADAD" w14:textId="77777777" w:rsidR="00BD702C" w:rsidRPr="005821A1" w:rsidRDefault="00BD702C" w:rsidP="00BD702C">
      <w:pPr>
        <w:spacing w:after="200" w:line="276" w:lineRule="auto"/>
        <w:rPr>
          <w:rFonts w:ascii="Book Antiqua" w:hAnsi="Book Antiqua" w:cstheme="minorBidi"/>
          <w:szCs w:val="26"/>
          <w:highlight w:val="yellow"/>
        </w:rPr>
      </w:pPr>
      <w:r w:rsidRPr="005821A1">
        <w:rPr>
          <w:rFonts w:ascii="Book Antiqua" w:hAnsi="Book Antiqua" w:cstheme="minorBidi"/>
          <w:b/>
          <w:szCs w:val="26"/>
        </w:rPr>
        <w:t>Action required in this IRP 2017</w:t>
      </w:r>
      <w:r w:rsidR="00D84A09" w:rsidRPr="005821A1">
        <w:rPr>
          <w:rFonts w:ascii="Book Antiqua" w:hAnsi="Book Antiqua" w:cstheme="minorBidi"/>
          <w:b/>
          <w:szCs w:val="26"/>
        </w:rPr>
        <w:noBreakHyphen/>
      </w:r>
      <w:r w:rsidRPr="005821A1">
        <w:rPr>
          <w:rFonts w:ascii="Book Antiqua" w:hAnsi="Book Antiqua" w:cstheme="minorBidi"/>
          <w:b/>
          <w:szCs w:val="26"/>
        </w:rPr>
        <w:t>18 cycle</w:t>
      </w:r>
      <w:r w:rsidRPr="005821A1">
        <w:rPr>
          <w:rFonts w:ascii="Book Antiqua" w:hAnsi="Book Antiqua" w:cstheme="minorBidi"/>
          <w:szCs w:val="26"/>
        </w:rPr>
        <w:t>:</w:t>
      </w:r>
      <w:r w:rsidR="004731C2" w:rsidRPr="005821A1">
        <w:rPr>
          <w:rFonts w:ascii="Book Antiqua" w:hAnsi="Book Antiqua" w:cstheme="minorBidi"/>
          <w:szCs w:val="26"/>
        </w:rPr>
        <w:t xml:space="preserve"> </w:t>
      </w:r>
      <w:r w:rsidRPr="005821A1">
        <w:rPr>
          <w:rFonts w:ascii="Book Antiqua" w:hAnsi="Book Antiqua" w:cstheme="minorBidi"/>
          <w:szCs w:val="26"/>
        </w:rPr>
        <w:t xml:space="preserve"> None at this time.</w:t>
      </w:r>
    </w:p>
    <w:p w14:paraId="19FEBBA3" w14:textId="77777777" w:rsidR="00BD702C" w:rsidRPr="005821A1" w:rsidRDefault="00BD702C" w:rsidP="00BD702C">
      <w:pPr>
        <w:spacing w:after="200" w:line="276" w:lineRule="auto"/>
        <w:rPr>
          <w:rFonts w:ascii="Book Antiqua" w:hAnsi="Book Antiqua" w:cstheme="minorBidi"/>
          <w:szCs w:val="26"/>
        </w:rPr>
      </w:pPr>
      <w:r w:rsidRPr="005821A1">
        <w:rPr>
          <w:rFonts w:ascii="Book Antiqua" w:hAnsi="Book Antiqua" w:cstheme="minorBidi"/>
          <w:b/>
          <w:szCs w:val="26"/>
        </w:rPr>
        <w:t>Guidance for LSE Plan development in the next IRP cycle</w:t>
      </w:r>
      <w:r w:rsidRPr="005821A1">
        <w:rPr>
          <w:rFonts w:ascii="Book Antiqua" w:hAnsi="Book Antiqua" w:cstheme="minorBidi"/>
          <w:szCs w:val="26"/>
        </w:rPr>
        <w:t>:</w:t>
      </w:r>
    </w:p>
    <w:p w14:paraId="5C71245F" w14:textId="77777777" w:rsidR="00BD702C" w:rsidRPr="005821A1" w:rsidRDefault="00BD702C" w:rsidP="00894BE0">
      <w:pPr>
        <w:numPr>
          <w:ilvl w:val="0"/>
          <w:numId w:val="16"/>
        </w:numPr>
        <w:spacing w:after="200" w:line="276" w:lineRule="auto"/>
        <w:rPr>
          <w:rFonts w:ascii="Book Antiqua" w:hAnsi="Book Antiqua"/>
          <w:szCs w:val="26"/>
        </w:rPr>
      </w:pPr>
      <w:r w:rsidRPr="005821A1">
        <w:rPr>
          <w:rFonts w:ascii="Book Antiqua" w:hAnsi="Book Antiqua"/>
          <w:szCs w:val="26"/>
        </w:rPr>
        <w:t>Draw clearer connections between proposed near</w:t>
      </w:r>
      <w:r w:rsidR="00D84A09" w:rsidRPr="005821A1">
        <w:rPr>
          <w:rFonts w:ascii="Book Antiqua" w:hAnsi="Book Antiqua"/>
          <w:szCs w:val="26"/>
        </w:rPr>
        <w:noBreakHyphen/>
      </w:r>
      <w:r w:rsidRPr="005821A1">
        <w:rPr>
          <w:rFonts w:ascii="Book Antiqua" w:hAnsi="Book Antiqua"/>
          <w:szCs w:val="26"/>
        </w:rPr>
        <w:t xml:space="preserve">term activities and the portfolio study results. </w:t>
      </w:r>
    </w:p>
    <w:p w14:paraId="7B8D2746" w14:textId="77777777" w:rsidR="00BD702C" w:rsidRPr="005821A1" w:rsidRDefault="00BD702C" w:rsidP="00894BE0">
      <w:pPr>
        <w:numPr>
          <w:ilvl w:val="0"/>
          <w:numId w:val="16"/>
        </w:numPr>
        <w:spacing w:after="200" w:line="276" w:lineRule="auto"/>
        <w:rPr>
          <w:rFonts w:ascii="Book Antiqua" w:hAnsi="Book Antiqua"/>
          <w:szCs w:val="26"/>
        </w:rPr>
      </w:pPr>
      <w:r w:rsidRPr="005821A1">
        <w:rPr>
          <w:rFonts w:ascii="Book Antiqua" w:hAnsi="Book Antiqua"/>
          <w:szCs w:val="26"/>
        </w:rPr>
        <w:t xml:space="preserve">Complete the Barrier Analysis section (or its equivalent) so that the </w:t>
      </w:r>
      <w:r w:rsidR="00C31396" w:rsidRPr="005821A1">
        <w:rPr>
          <w:rFonts w:ascii="Book Antiqua" w:hAnsi="Book Antiqua"/>
          <w:szCs w:val="26"/>
        </w:rPr>
        <w:t xml:space="preserve">Commission </w:t>
      </w:r>
      <w:r w:rsidRPr="005821A1">
        <w:rPr>
          <w:rFonts w:ascii="Book Antiqua" w:hAnsi="Book Antiqua"/>
          <w:szCs w:val="26"/>
        </w:rPr>
        <w:t xml:space="preserve">may evaluate the LSE’s consideration of market, regulatory, financial, and other barriers or risks associated with the LSE’s Preferred Portfolio. </w:t>
      </w:r>
    </w:p>
    <w:p w14:paraId="7128B5AB" w14:textId="77777777" w:rsidR="00BD702C" w:rsidRPr="005821A1" w:rsidRDefault="00BD702C" w:rsidP="00671FAB">
      <w:pPr>
        <w:keepNext/>
        <w:keepLines/>
        <w:spacing w:before="240" w:after="120" w:line="276" w:lineRule="auto"/>
        <w:outlineLvl w:val="2"/>
        <w:rPr>
          <w:rFonts w:ascii="Book Antiqua" w:eastAsiaTheme="majorEastAsia" w:hAnsi="Book Antiqua" w:cstheme="majorBidi"/>
          <w:b/>
          <w:szCs w:val="26"/>
        </w:rPr>
      </w:pPr>
      <w:bookmarkStart w:id="85" w:name="_Toc868771"/>
      <w:r w:rsidRPr="005821A1">
        <w:rPr>
          <w:rFonts w:ascii="Book Antiqua" w:eastAsiaTheme="majorEastAsia" w:hAnsi="Book Antiqua" w:cstheme="majorBidi"/>
          <w:b/>
          <w:szCs w:val="26"/>
        </w:rPr>
        <w:t>Pico Rivera Innovative Municipal Energy</w:t>
      </w:r>
      <w:bookmarkEnd w:id="85"/>
    </w:p>
    <w:tbl>
      <w:tblPr>
        <w:tblStyle w:val="TableGrid3"/>
        <w:tblW w:w="0" w:type="auto"/>
        <w:tblLook w:val="04A0" w:firstRow="1" w:lastRow="0" w:firstColumn="1" w:lastColumn="0" w:noHBand="0" w:noVBand="1"/>
      </w:tblPr>
      <w:tblGrid>
        <w:gridCol w:w="2761"/>
        <w:gridCol w:w="6589"/>
      </w:tblGrid>
      <w:tr w:rsidR="00BD702C" w:rsidRPr="00D149D6" w14:paraId="1164E3CF" w14:textId="77777777" w:rsidTr="00BD702C">
        <w:tc>
          <w:tcPr>
            <w:tcW w:w="2761" w:type="dxa"/>
          </w:tcPr>
          <w:p w14:paraId="41CE4A19" w14:textId="77777777" w:rsidR="00BD702C" w:rsidRPr="00D149D6" w:rsidRDefault="00BD702C" w:rsidP="005821A1">
            <w:pPr>
              <w:keepNext/>
              <w:keepLines/>
              <w:spacing w:before="60" w:after="60"/>
              <w:jc w:val="center"/>
              <w:rPr>
                <w:rFonts w:ascii="Book Antiqua" w:hAnsi="Book Antiqua"/>
                <w:b/>
                <w:sz w:val="24"/>
                <w:szCs w:val="24"/>
              </w:rPr>
            </w:pPr>
            <w:r w:rsidRPr="00D149D6">
              <w:rPr>
                <w:rFonts w:ascii="Book Antiqua" w:hAnsi="Book Antiqua"/>
                <w:b/>
                <w:sz w:val="24"/>
                <w:szCs w:val="24"/>
              </w:rPr>
              <w:t>Requirement</w:t>
            </w:r>
          </w:p>
        </w:tc>
        <w:tc>
          <w:tcPr>
            <w:tcW w:w="6589" w:type="dxa"/>
          </w:tcPr>
          <w:p w14:paraId="21FD66FE" w14:textId="77777777" w:rsidR="00BD702C" w:rsidRPr="00D149D6" w:rsidRDefault="00BD702C" w:rsidP="005821A1">
            <w:pPr>
              <w:keepNext/>
              <w:keepLines/>
              <w:spacing w:before="60" w:after="60"/>
              <w:jc w:val="center"/>
              <w:rPr>
                <w:rFonts w:ascii="Book Antiqua" w:hAnsi="Book Antiqua"/>
                <w:b/>
                <w:sz w:val="24"/>
                <w:szCs w:val="24"/>
              </w:rPr>
            </w:pPr>
            <w:r w:rsidRPr="00D149D6">
              <w:rPr>
                <w:rFonts w:ascii="Book Antiqua" w:hAnsi="Book Antiqua"/>
                <w:b/>
                <w:sz w:val="24"/>
                <w:szCs w:val="24"/>
              </w:rPr>
              <w:t>Assessment</w:t>
            </w:r>
          </w:p>
        </w:tc>
      </w:tr>
      <w:tr w:rsidR="00BD702C" w:rsidRPr="00D149D6" w14:paraId="6D1AD537" w14:textId="77777777" w:rsidTr="00BD702C">
        <w:tc>
          <w:tcPr>
            <w:tcW w:w="2761" w:type="dxa"/>
          </w:tcPr>
          <w:p w14:paraId="66844541" w14:textId="77777777" w:rsidR="00BD702C" w:rsidRPr="00D149D6" w:rsidRDefault="00BD702C" w:rsidP="005821A1">
            <w:pPr>
              <w:keepNext/>
              <w:keepLines/>
              <w:spacing w:before="60" w:after="60"/>
              <w:rPr>
                <w:rFonts w:ascii="Book Antiqua" w:hAnsi="Book Antiqua"/>
                <w:sz w:val="24"/>
                <w:szCs w:val="24"/>
              </w:rPr>
            </w:pPr>
            <w:r w:rsidRPr="00D149D6">
              <w:rPr>
                <w:rFonts w:ascii="Book Antiqua" w:hAnsi="Book Antiqua"/>
                <w:sz w:val="24"/>
                <w:szCs w:val="24"/>
              </w:rPr>
              <w:t>Study Design</w:t>
            </w:r>
          </w:p>
        </w:tc>
        <w:tc>
          <w:tcPr>
            <w:tcW w:w="6589" w:type="dxa"/>
          </w:tcPr>
          <w:p w14:paraId="7B61AC45" w14:textId="77777777" w:rsidR="00BD702C" w:rsidRPr="00D149D6" w:rsidRDefault="00BD702C" w:rsidP="005821A1">
            <w:pPr>
              <w:keepNext/>
              <w:keepLines/>
              <w:spacing w:before="60" w:after="60"/>
              <w:rPr>
                <w:rFonts w:ascii="Book Antiqua" w:hAnsi="Book Antiqua"/>
                <w:sz w:val="24"/>
                <w:szCs w:val="24"/>
              </w:rPr>
            </w:pPr>
            <w:r w:rsidRPr="00D149D6">
              <w:rPr>
                <w:rFonts w:ascii="Book Antiqua" w:hAnsi="Book Antiqua"/>
                <w:sz w:val="24"/>
                <w:szCs w:val="24"/>
              </w:rPr>
              <w:t>Pico Rivera Innovative Municipal Energy (PRIME) provided an adequate description of modeling tools and approach used to develop its portfolio.</w:t>
            </w:r>
          </w:p>
        </w:tc>
      </w:tr>
      <w:tr w:rsidR="00BD702C" w:rsidRPr="00D149D6" w14:paraId="1F4426B8" w14:textId="77777777" w:rsidTr="00BD702C">
        <w:tc>
          <w:tcPr>
            <w:tcW w:w="2761" w:type="dxa"/>
          </w:tcPr>
          <w:p w14:paraId="39728C74"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4731C2" w:rsidRPr="00D149D6">
              <w:rPr>
                <w:rFonts w:ascii="Book Antiqua" w:hAnsi="Book Antiqua"/>
                <w:sz w:val="24"/>
                <w:szCs w:val="24"/>
              </w:rPr>
              <w:t xml:space="preserve"> </w:t>
            </w:r>
            <w:r w:rsidRPr="00D149D6">
              <w:rPr>
                <w:rFonts w:ascii="Book Antiqua" w:hAnsi="Book Antiqua"/>
                <w:sz w:val="24"/>
                <w:szCs w:val="24"/>
              </w:rPr>
              <w:t>Preferred and Conforming Portfolios</w:t>
            </w:r>
          </w:p>
        </w:tc>
        <w:tc>
          <w:tcPr>
            <w:tcW w:w="6589" w:type="dxa"/>
          </w:tcPr>
          <w:p w14:paraId="7A830026"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PRIME provided a Conforming Portfolio and an Alternative (Preferred) Portfolio showing both existing resources and new resources that </w:t>
            </w:r>
            <w:r w:rsidR="00FA2300">
              <w:rPr>
                <w:rFonts w:ascii="Book Antiqua" w:hAnsi="Book Antiqua"/>
                <w:sz w:val="24"/>
                <w:szCs w:val="24"/>
              </w:rPr>
              <w:t>it</w:t>
            </w:r>
            <w:r w:rsidRPr="00D149D6">
              <w:rPr>
                <w:rFonts w:ascii="Book Antiqua" w:hAnsi="Book Antiqua"/>
                <w:sz w:val="24"/>
                <w:szCs w:val="24"/>
              </w:rPr>
              <w:t xml:space="preserve"> plans to invest in or contract with. </w:t>
            </w:r>
            <w:r w:rsidR="008672C5" w:rsidRPr="00D149D6">
              <w:rPr>
                <w:rFonts w:ascii="Book Antiqua" w:hAnsi="Book Antiqua"/>
                <w:sz w:val="24"/>
                <w:szCs w:val="24"/>
              </w:rPr>
              <w:t xml:space="preserve"> </w:t>
            </w:r>
            <w:r w:rsidRPr="00D149D6">
              <w:rPr>
                <w:rFonts w:ascii="Book Antiqua" w:hAnsi="Book Antiqua"/>
                <w:sz w:val="24"/>
                <w:szCs w:val="24"/>
              </w:rPr>
              <w:t>It provided an adequate explanation of the reasons for its preference and how its Preferred Portfolio is consistent with each relevant statutory and administrative requirement.</w:t>
            </w:r>
          </w:p>
          <w:p w14:paraId="0EA9B2FC"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PRIME stated that it believes its assigned load forecast to be approximately 300% too low, but it does not offer supporting evidence or explanation.</w:t>
            </w:r>
          </w:p>
        </w:tc>
      </w:tr>
      <w:tr w:rsidR="00BD702C" w:rsidRPr="00D149D6" w14:paraId="26E86021" w14:textId="77777777" w:rsidTr="00BD702C">
        <w:tc>
          <w:tcPr>
            <w:tcW w:w="2761" w:type="dxa"/>
          </w:tcPr>
          <w:p w14:paraId="148E2B07"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4731C2" w:rsidRPr="00D149D6">
              <w:rPr>
                <w:rFonts w:ascii="Book Antiqua" w:hAnsi="Book Antiqua"/>
                <w:sz w:val="24"/>
                <w:szCs w:val="24"/>
              </w:rPr>
              <w:t xml:space="preserve"> </w:t>
            </w:r>
            <w:r w:rsidRPr="00D149D6">
              <w:rPr>
                <w:rFonts w:ascii="Book Antiqua" w:hAnsi="Book Antiqua"/>
                <w:sz w:val="24"/>
                <w:szCs w:val="24"/>
              </w:rPr>
              <w:t>Local Air Pollutant Minimization</w:t>
            </w:r>
          </w:p>
        </w:tc>
        <w:tc>
          <w:tcPr>
            <w:tcW w:w="6589" w:type="dxa"/>
          </w:tcPr>
          <w:p w14:paraId="2D155847"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PRIME stated that it minimizes localized air pollutants with early priority on disadvantaged communities but did not provide any quantitative evidence to back the claim.</w:t>
            </w:r>
            <w:r w:rsidR="008672C5" w:rsidRPr="00D149D6">
              <w:rPr>
                <w:rFonts w:ascii="Book Antiqua" w:hAnsi="Book Antiqua"/>
                <w:sz w:val="24"/>
                <w:szCs w:val="24"/>
              </w:rPr>
              <w:t xml:space="preserve"> </w:t>
            </w:r>
            <w:r w:rsidRPr="00D149D6">
              <w:rPr>
                <w:rFonts w:ascii="Book Antiqua" w:hAnsi="Book Antiqua"/>
                <w:sz w:val="24"/>
                <w:szCs w:val="24"/>
              </w:rPr>
              <w:t xml:space="preserve"> No attempt to provide best available estimates of emissions of nitrogen oxides and particulate matter was made. </w:t>
            </w:r>
            <w:r w:rsidR="008672C5" w:rsidRPr="00D149D6">
              <w:rPr>
                <w:rFonts w:ascii="Book Antiqua" w:hAnsi="Book Antiqua"/>
                <w:sz w:val="24"/>
                <w:szCs w:val="24"/>
              </w:rPr>
              <w:t xml:space="preserve"> </w:t>
            </w:r>
            <w:r w:rsidRPr="00D149D6">
              <w:rPr>
                <w:rFonts w:ascii="Book Antiqua" w:hAnsi="Book Antiqua"/>
                <w:sz w:val="24"/>
                <w:szCs w:val="24"/>
              </w:rPr>
              <w:t>Identification of disadvantaged communities was adequate.</w:t>
            </w:r>
          </w:p>
        </w:tc>
      </w:tr>
      <w:tr w:rsidR="00BD702C" w:rsidRPr="00D149D6" w14:paraId="0E962D93" w14:textId="77777777" w:rsidTr="00BD702C">
        <w:tc>
          <w:tcPr>
            <w:tcW w:w="2761" w:type="dxa"/>
          </w:tcPr>
          <w:p w14:paraId="3BBC9EA4"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4731C2" w:rsidRPr="00D149D6">
              <w:rPr>
                <w:rFonts w:ascii="Book Antiqua" w:hAnsi="Book Antiqua"/>
                <w:sz w:val="24"/>
                <w:szCs w:val="24"/>
              </w:rPr>
              <w:t xml:space="preserve"> </w:t>
            </w:r>
            <w:r w:rsidRPr="00D149D6">
              <w:rPr>
                <w:rFonts w:ascii="Book Antiqua" w:hAnsi="Book Antiqua"/>
                <w:sz w:val="24"/>
                <w:szCs w:val="24"/>
              </w:rPr>
              <w:t>Cost and Rate Analysis</w:t>
            </w:r>
          </w:p>
        </w:tc>
        <w:tc>
          <w:tcPr>
            <w:tcW w:w="6589" w:type="dxa"/>
          </w:tcPr>
          <w:p w14:paraId="4E1ECC73"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PRIME did not provide an adequate description of its approach in considering cost and rate impacts on its customers. </w:t>
            </w:r>
            <w:r w:rsidR="008672C5" w:rsidRPr="00D149D6">
              <w:rPr>
                <w:rFonts w:ascii="Book Antiqua" w:hAnsi="Book Antiqua"/>
                <w:sz w:val="24"/>
                <w:szCs w:val="24"/>
              </w:rPr>
              <w:t xml:space="preserve"> </w:t>
            </w:r>
            <w:r w:rsidRPr="00D149D6">
              <w:rPr>
                <w:rFonts w:ascii="Book Antiqua" w:hAnsi="Book Antiqua"/>
                <w:sz w:val="24"/>
                <w:szCs w:val="24"/>
              </w:rPr>
              <w:t>It provided only a list of generic factors affecting rates.</w:t>
            </w:r>
          </w:p>
        </w:tc>
      </w:tr>
      <w:tr w:rsidR="00BD702C" w:rsidRPr="00D149D6" w14:paraId="1100B8BD" w14:textId="77777777" w:rsidTr="00BD702C">
        <w:tc>
          <w:tcPr>
            <w:tcW w:w="2761" w:type="dxa"/>
          </w:tcPr>
          <w:p w14:paraId="325F130E"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 xml:space="preserve">Study Results: </w:t>
            </w:r>
            <w:r w:rsidR="004731C2" w:rsidRPr="00D149D6">
              <w:rPr>
                <w:rFonts w:ascii="Book Antiqua" w:hAnsi="Book Antiqua"/>
                <w:sz w:val="24"/>
                <w:szCs w:val="24"/>
              </w:rPr>
              <w:t xml:space="preserve"> </w:t>
            </w:r>
            <w:r w:rsidRPr="00D149D6">
              <w:rPr>
                <w:rFonts w:ascii="Book Antiqua" w:hAnsi="Book Antiqua"/>
                <w:sz w:val="24"/>
                <w:szCs w:val="24"/>
              </w:rPr>
              <w:t>Deviations from Current Resource Plans</w:t>
            </w:r>
          </w:p>
        </w:tc>
        <w:tc>
          <w:tcPr>
            <w:tcW w:w="6589" w:type="dxa"/>
          </w:tcPr>
          <w:p w14:paraId="046AD1D6"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PRIME</w:t>
            </w:r>
            <w:r w:rsidRPr="00D149D6">
              <w:rPr>
                <w:rFonts w:ascii="Book Antiqua" w:hAnsi="Book Antiqua"/>
                <w:b/>
                <w:sz w:val="24"/>
                <w:szCs w:val="24"/>
              </w:rPr>
              <w:t xml:space="preserve"> </w:t>
            </w:r>
            <w:r w:rsidRPr="00D149D6">
              <w:rPr>
                <w:rFonts w:ascii="Book Antiqua" w:hAnsi="Book Antiqua"/>
                <w:sz w:val="24"/>
                <w:szCs w:val="24"/>
              </w:rPr>
              <w:t>provided an adequate description of the differences in quantities and budgets for procurement between its Preferred Plan and currently filed or authorized resource plans, stating that there are no deviations.</w:t>
            </w:r>
          </w:p>
        </w:tc>
      </w:tr>
      <w:tr w:rsidR="00BD702C" w:rsidRPr="00D149D6" w14:paraId="5983B855" w14:textId="77777777" w:rsidTr="00BD702C">
        <w:tc>
          <w:tcPr>
            <w:tcW w:w="2761" w:type="dxa"/>
          </w:tcPr>
          <w:p w14:paraId="63BBF4C3" w14:textId="77777777" w:rsidR="00BD702C" w:rsidRPr="00D149D6" w:rsidRDefault="00BD702C" w:rsidP="005821A1">
            <w:pPr>
              <w:spacing w:before="60" w:after="60"/>
              <w:rPr>
                <w:rFonts w:ascii="Book Antiqua" w:hAnsi="Book Antiqua"/>
                <w:sz w:val="24"/>
                <w:szCs w:val="24"/>
              </w:rPr>
            </w:pPr>
            <w:r w:rsidRPr="00D149D6">
              <w:rPr>
                <w:rFonts w:ascii="Book Antiqua" w:hAnsi="Book Antiqua"/>
                <w:color w:val="000000"/>
                <w:sz w:val="24"/>
                <w:szCs w:val="24"/>
              </w:rPr>
              <w:t xml:space="preserve">Action Plan: </w:t>
            </w:r>
            <w:r w:rsidR="004731C2" w:rsidRPr="00D149D6">
              <w:rPr>
                <w:rFonts w:ascii="Book Antiqua" w:hAnsi="Book Antiqua"/>
                <w:color w:val="000000"/>
                <w:sz w:val="24"/>
                <w:szCs w:val="24"/>
              </w:rPr>
              <w:t xml:space="preserve"> </w:t>
            </w:r>
            <w:r w:rsidRPr="00D149D6">
              <w:rPr>
                <w:rFonts w:ascii="Book Antiqua" w:hAnsi="Book Antiqua"/>
                <w:sz w:val="24"/>
                <w:szCs w:val="24"/>
              </w:rPr>
              <w:t>Proposed Activities</w:t>
            </w:r>
          </w:p>
        </w:tc>
        <w:tc>
          <w:tcPr>
            <w:tcW w:w="6589" w:type="dxa"/>
          </w:tcPr>
          <w:p w14:paraId="3CA9CF55"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PRIME did not provide an adequate description of its proposed near</w:t>
            </w:r>
            <w:r w:rsidR="00D84A09" w:rsidRPr="00D149D6">
              <w:rPr>
                <w:rFonts w:ascii="Book Antiqua" w:hAnsi="Book Antiqua"/>
                <w:sz w:val="24"/>
                <w:szCs w:val="24"/>
              </w:rPr>
              <w:noBreakHyphen/>
            </w:r>
            <w:r w:rsidRPr="00D149D6">
              <w:rPr>
                <w:rFonts w:ascii="Book Antiqua" w:hAnsi="Book Antiqua"/>
                <w:sz w:val="24"/>
                <w:szCs w:val="24"/>
              </w:rPr>
              <w:t>term activities to implement its LSE Plan, as it did not provide clear links to its Preferred Portfolio findings.</w:t>
            </w:r>
          </w:p>
        </w:tc>
      </w:tr>
      <w:tr w:rsidR="00BD702C" w:rsidRPr="00D149D6" w14:paraId="70D73D26" w14:textId="77777777" w:rsidTr="00BD702C">
        <w:tc>
          <w:tcPr>
            <w:tcW w:w="2761" w:type="dxa"/>
          </w:tcPr>
          <w:p w14:paraId="2D438785"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4731C2" w:rsidRPr="00D149D6">
              <w:rPr>
                <w:rFonts w:ascii="Book Antiqua" w:hAnsi="Book Antiqua"/>
                <w:color w:val="000000"/>
                <w:sz w:val="24"/>
                <w:szCs w:val="24"/>
              </w:rPr>
              <w:t xml:space="preserve"> </w:t>
            </w:r>
            <w:r w:rsidRPr="00D149D6">
              <w:rPr>
                <w:rFonts w:ascii="Book Antiqua" w:hAnsi="Book Antiqua"/>
                <w:sz w:val="24"/>
                <w:szCs w:val="24"/>
              </w:rPr>
              <w:t>Barrier Analysis</w:t>
            </w:r>
          </w:p>
        </w:tc>
        <w:tc>
          <w:tcPr>
            <w:tcW w:w="6589" w:type="dxa"/>
          </w:tcPr>
          <w:p w14:paraId="12B2CFB6"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PRIME provided an adequate description of the market, regulatory, financial, or other barriers or risks associated with its Preferred Portfolio.</w:t>
            </w:r>
          </w:p>
        </w:tc>
      </w:tr>
      <w:tr w:rsidR="00BD702C" w:rsidRPr="00D149D6" w14:paraId="5F63F740" w14:textId="77777777" w:rsidTr="00BD702C">
        <w:tc>
          <w:tcPr>
            <w:tcW w:w="2761" w:type="dxa"/>
          </w:tcPr>
          <w:p w14:paraId="0C51D850" w14:textId="77777777" w:rsidR="00BD702C" w:rsidRPr="00D149D6" w:rsidRDefault="00BD702C" w:rsidP="000E00E5">
            <w:pPr>
              <w:keepNext/>
              <w:keepLines/>
              <w:spacing w:before="60" w:after="60"/>
              <w:rPr>
                <w:rFonts w:ascii="Book Antiqua" w:hAnsi="Book Antiqua"/>
                <w:color w:val="000000"/>
                <w:sz w:val="24"/>
                <w:szCs w:val="24"/>
              </w:rPr>
            </w:pPr>
            <w:r w:rsidRPr="00D149D6">
              <w:rPr>
                <w:rFonts w:ascii="Book Antiqua" w:hAnsi="Book Antiqua"/>
                <w:color w:val="000000"/>
                <w:sz w:val="24"/>
                <w:szCs w:val="24"/>
              </w:rPr>
              <w:t xml:space="preserve">Action Plan: </w:t>
            </w:r>
            <w:r w:rsidR="004731C2" w:rsidRPr="00D149D6">
              <w:rPr>
                <w:rFonts w:ascii="Book Antiqua" w:hAnsi="Book Antiqua"/>
                <w:color w:val="000000"/>
                <w:sz w:val="24"/>
                <w:szCs w:val="24"/>
              </w:rPr>
              <w:t xml:space="preserve"> </w:t>
            </w:r>
            <w:r w:rsidRPr="00D149D6">
              <w:rPr>
                <w:rFonts w:ascii="Book Antiqua" w:hAnsi="Book Antiqua"/>
                <w:sz w:val="24"/>
                <w:szCs w:val="24"/>
              </w:rPr>
              <w:t>Proposed Commission Direction</w:t>
            </w:r>
          </w:p>
        </w:tc>
        <w:tc>
          <w:tcPr>
            <w:tcW w:w="6589" w:type="dxa"/>
          </w:tcPr>
          <w:p w14:paraId="3AE43221" w14:textId="77777777" w:rsidR="00BD702C" w:rsidRPr="00D149D6" w:rsidRDefault="00BD702C" w:rsidP="000E00E5">
            <w:pPr>
              <w:keepNext/>
              <w:keepLines/>
              <w:spacing w:before="60" w:after="60"/>
              <w:rPr>
                <w:rFonts w:ascii="Book Antiqua" w:hAnsi="Book Antiqua"/>
                <w:sz w:val="24"/>
                <w:szCs w:val="24"/>
              </w:rPr>
            </w:pPr>
            <w:r w:rsidRPr="00D149D6">
              <w:rPr>
                <w:rFonts w:ascii="Book Antiqua" w:hAnsi="Book Antiqua"/>
                <w:sz w:val="24"/>
                <w:szCs w:val="24"/>
              </w:rPr>
              <w:t>PRIME stated that it is not currently seeking any Commission direction.</w:t>
            </w:r>
          </w:p>
        </w:tc>
      </w:tr>
      <w:tr w:rsidR="00BD702C" w:rsidRPr="00D149D6" w14:paraId="17949C99" w14:textId="77777777" w:rsidTr="00BD702C">
        <w:tc>
          <w:tcPr>
            <w:tcW w:w="2761" w:type="dxa"/>
          </w:tcPr>
          <w:p w14:paraId="1911353C" w14:textId="77777777" w:rsidR="00BD702C" w:rsidRPr="00D149D6" w:rsidRDefault="00BD702C" w:rsidP="005821A1">
            <w:pPr>
              <w:spacing w:before="60" w:after="60"/>
              <w:rPr>
                <w:rFonts w:ascii="Book Antiqua" w:hAnsi="Book Antiqua"/>
                <w:color w:val="000000"/>
                <w:sz w:val="24"/>
                <w:szCs w:val="24"/>
              </w:rPr>
            </w:pPr>
            <w:r w:rsidRPr="00D149D6">
              <w:rPr>
                <w:rFonts w:ascii="Book Antiqua" w:hAnsi="Book Antiqua"/>
                <w:color w:val="000000"/>
                <w:sz w:val="24"/>
                <w:szCs w:val="24"/>
              </w:rPr>
              <w:t>Lessons Learned</w:t>
            </w:r>
          </w:p>
        </w:tc>
        <w:tc>
          <w:tcPr>
            <w:tcW w:w="6589" w:type="dxa"/>
          </w:tcPr>
          <w:p w14:paraId="4433F040" w14:textId="77777777" w:rsidR="00BD702C" w:rsidRPr="00D149D6" w:rsidRDefault="00BD702C" w:rsidP="005821A1">
            <w:pPr>
              <w:spacing w:before="60" w:after="60"/>
              <w:rPr>
                <w:rFonts w:ascii="Book Antiqua" w:hAnsi="Book Antiqua"/>
                <w:sz w:val="24"/>
                <w:szCs w:val="24"/>
              </w:rPr>
            </w:pPr>
            <w:r w:rsidRPr="00D149D6">
              <w:rPr>
                <w:rFonts w:ascii="Book Antiqua" w:hAnsi="Book Antiqua"/>
                <w:sz w:val="24"/>
                <w:szCs w:val="24"/>
              </w:rPr>
              <w:t>PRIME provided an adequate description of lessons learned.</w:t>
            </w:r>
          </w:p>
        </w:tc>
      </w:tr>
    </w:tbl>
    <w:p w14:paraId="3B4848CA" w14:textId="77777777" w:rsidR="00BD702C" w:rsidRPr="00AF5CC4" w:rsidRDefault="00BD702C" w:rsidP="005821A1">
      <w:pPr>
        <w:keepNext/>
        <w:keepLines/>
        <w:spacing w:before="240" w:after="120" w:line="276" w:lineRule="auto"/>
        <w:outlineLvl w:val="3"/>
        <w:rPr>
          <w:rFonts w:ascii="Book Antiqua" w:eastAsiaTheme="majorEastAsia" w:hAnsi="Book Antiqua" w:cstheme="majorBidi"/>
          <w:b/>
          <w:i/>
          <w:iCs/>
          <w:szCs w:val="24"/>
        </w:rPr>
      </w:pPr>
      <w:r w:rsidRPr="00AF5CC4">
        <w:rPr>
          <w:rFonts w:ascii="Book Antiqua" w:eastAsiaTheme="majorEastAsia" w:hAnsi="Book Antiqua" w:cstheme="majorBidi"/>
          <w:b/>
          <w:i/>
          <w:iCs/>
          <w:szCs w:val="24"/>
        </w:rPr>
        <w:t>Next Steps for PRIME</w:t>
      </w:r>
    </w:p>
    <w:p w14:paraId="5F1D317E" w14:textId="77777777" w:rsidR="00BD702C" w:rsidRPr="005821A1" w:rsidRDefault="00BD702C" w:rsidP="00BD702C">
      <w:pPr>
        <w:spacing w:after="200" w:line="276" w:lineRule="auto"/>
        <w:rPr>
          <w:rFonts w:ascii="Book Antiqua" w:hAnsi="Book Antiqua" w:cstheme="minorBidi"/>
          <w:szCs w:val="24"/>
        </w:rPr>
      </w:pPr>
      <w:r w:rsidRPr="005821A1">
        <w:rPr>
          <w:rFonts w:ascii="Book Antiqua" w:hAnsi="Book Antiqua" w:cstheme="minorBidi"/>
          <w:b/>
          <w:szCs w:val="24"/>
        </w:rPr>
        <w:t>Action required in this IRP 2017</w:t>
      </w:r>
      <w:r w:rsidR="00D84A09" w:rsidRPr="005821A1">
        <w:rPr>
          <w:rFonts w:ascii="Book Antiqua" w:hAnsi="Book Antiqua" w:cstheme="minorBidi"/>
          <w:b/>
          <w:szCs w:val="24"/>
        </w:rPr>
        <w:noBreakHyphen/>
      </w:r>
      <w:r w:rsidRPr="005821A1">
        <w:rPr>
          <w:rFonts w:ascii="Book Antiqua" w:hAnsi="Book Antiqua" w:cstheme="minorBidi"/>
          <w:b/>
          <w:szCs w:val="24"/>
        </w:rPr>
        <w:t>18 cycle</w:t>
      </w:r>
      <w:r w:rsidRPr="005821A1">
        <w:rPr>
          <w:rFonts w:ascii="Book Antiqua" w:hAnsi="Book Antiqua" w:cstheme="minorBidi"/>
          <w:szCs w:val="24"/>
        </w:rPr>
        <w:t xml:space="preserve">: </w:t>
      </w:r>
      <w:r w:rsidR="004731C2" w:rsidRPr="005821A1">
        <w:rPr>
          <w:rFonts w:ascii="Book Antiqua" w:hAnsi="Book Antiqua" w:cstheme="minorBidi"/>
          <w:szCs w:val="24"/>
        </w:rPr>
        <w:t xml:space="preserve"> </w:t>
      </w:r>
      <w:r w:rsidRPr="005821A1">
        <w:rPr>
          <w:rFonts w:ascii="Book Antiqua" w:hAnsi="Book Antiqua" w:cstheme="minorBidi"/>
          <w:szCs w:val="24"/>
        </w:rPr>
        <w:t xml:space="preserve">Provide best available estimates of emissions of nitrogen oxides and particulate matter associated with all emitting resources used to serve load, including system power. </w:t>
      </w:r>
      <w:r w:rsidR="008672C5" w:rsidRPr="005821A1">
        <w:rPr>
          <w:rFonts w:ascii="Book Antiqua" w:hAnsi="Book Antiqua" w:cstheme="minorBidi"/>
          <w:szCs w:val="24"/>
        </w:rPr>
        <w:t xml:space="preserve"> </w:t>
      </w:r>
      <w:r w:rsidRPr="005821A1">
        <w:rPr>
          <w:rFonts w:ascii="Book Antiqua" w:hAnsi="Book Antiqua" w:cstheme="minorBidi"/>
          <w:szCs w:val="24"/>
        </w:rPr>
        <w:t>Refer to pages 19</w:t>
      </w:r>
      <w:r w:rsidR="00D84A09" w:rsidRPr="005821A1">
        <w:rPr>
          <w:rFonts w:ascii="Book Antiqua" w:hAnsi="Book Antiqua" w:cstheme="minorBidi"/>
          <w:szCs w:val="24"/>
        </w:rPr>
        <w:noBreakHyphen/>
      </w:r>
      <w:r w:rsidRPr="005821A1">
        <w:rPr>
          <w:rFonts w:ascii="Book Antiqua" w:hAnsi="Book Antiqua" w:cstheme="minorBidi"/>
          <w:szCs w:val="24"/>
        </w:rPr>
        <w:t xml:space="preserve">22 of Desert Community Energy’s IRP filing for </w:t>
      </w:r>
      <w:r w:rsidR="009E6885">
        <w:rPr>
          <w:rFonts w:ascii="Book Antiqua" w:hAnsi="Book Antiqua" w:cstheme="minorBidi"/>
          <w:szCs w:val="24"/>
        </w:rPr>
        <w:t xml:space="preserve">an </w:t>
      </w:r>
      <w:r w:rsidRPr="005821A1">
        <w:rPr>
          <w:rFonts w:ascii="Book Antiqua" w:hAnsi="Book Antiqua" w:cstheme="minorBidi"/>
          <w:szCs w:val="24"/>
        </w:rPr>
        <w:t xml:space="preserve">example of the type of information a CCA can provide to fulfill this specific filing requirement. </w:t>
      </w:r>
    </w:p>
    <w:p w14:paraId="7E008CE1" w14:textId="77777777" w:rsidR="00BD702C" w:rsidRPr="005821A1" w:rsidRDefault="00BD702C" w:rsidP="00BD702C">
      <w:pPr>
        <w:spacing w:after="200" w:line="276" w:lineRule="auto"/>
        <w:rPr>
          <w:rFonts w:ascii="Book Antiqua" w:hAnsi="Book Antiqua" w:cstheme="minorBidi"/>
          <w:szCs w:val="24"/>
        </w:rPr>
      </w:pPr>
      <w:r w:rsidRPr="005821A1">
        <w:rPr>
          <w:rFonts w:ascii="Book Antiqua" w:hAnsi="Book Antiqua" w:cstheme="minorBidi"/>
          <w:b/>
          <w:szCs w:val="24"/>
        </w:rPr>
        <w:t>Guidance for LSE Plan development in the next IRP cycle</w:t>
      </w:r>
      <w:r w:rsidRPr="005821A1">
        <w:rPr>
          <w:rFonts w:ascii="Book Antiqua" w:hAnsi="Book Antiqua" w:cstheme="minorBidi"/>
          <w:szCs w:val="24"/>
        </w:rPr>
        <w:t>:</w:t>
      </w:r>
    </w:p>
    <w:p w14:paraId="76299955" w14:textId="77777777" w:rsidR="00BD702C" w:rsidRPr="005821A1" w:rsidRDefault="00BD702C" w:rsidP="00894BE0">
      <w:pPr>
        <w:numPr>
          <w:ilvl w:val="0"/>
          <w:numId w:val="16"/>
        </w:numPr>
        <w:spacing w:after="200" w:line="276" w:lineRule="auto"/>
        <w:rPr>
          <w:rFonts w:ascii="Book Antiqua" w:hAnsi="Book Antiqua"/>
          <w:szCs w:val="24"/>
        </w:rPr>
      </w:pPr>
      <w:r w:rsidRPr="005821A1">
        <w:rPr>
          <w:rFonts w:ascii="Book Antiqua" w:hAnsi="Book Antiqua"/>
          <w:szCs w:val="24"/>
        </w:rPr>
        <w:t>Provide more detail about the LSE’s approach in considering cost and rate impacts on its customers.</w:t>
      </w:r>
    </w:p>
    <w:p w14:paraId="34EC4CFD" w14:textId="77777777" w:rsidR="00BD702C" w:rsidRPr="005821A1" w:rsidRDefault="00BD702C" w:rsidP="00894BE0">
      <w:pPr>
        <w:numPr>
          <w:ilvl w:val="0"/>
          <w:numId w:val="16"/>
        </w:numPr>
        <w:spacing w:after="200" w:line="276" w:lineRule="auto"/>
        <w:rPr>
          <w:rFonts w:ascii="Book Antiqua" w:hAnsi="Book Antiqua"/>
          <w:szCs w:val="24"/>
        </w:rPr>
      </w:pPr>
      <w:r w:rsidRPr="005821A1">
        <w:rPr>
          <w:rFonts w:ascii="Book Antiqua" w:hAnsi="Book Antiqua"/>
          <w:szCs w:val="24"/>
        </w:rPr>
        <w:t>Draw clearer connections between proposed near</w:t>
      </w:r>
      <w:r w:rsidR="00D84A09" w:rsidRPr="005821A1">
        <w:rPr>
          <w:rFonts w:ascii="Book Antiqua" w:hAnsi="Book Antiqua"/>
          <w:szCs w:val="24"/>
        </w:rPr>
        <w:noBreakHyphen/>
      </w:r>
      <w:r w:rsidRPr="005821A1">
        <w:rPr>
          <w:rFonts w:ascii="Book Antiqua" w:hAnsi="Book Antiqua"/>
          <w:szCs w:val="24"/>
        </w:rPr>
        <w:t xml:space="preserve">term activities and the portfolio study results. </w:t>
      </w:r>
    </w:p>
    <w:p w14:paraId="68524A2B" w14:textId="77777777" w:rsidR="00BD702C" w:rsidRPr="005821A1" w:rsidRDefault="00BD702C" w:rsidP="00671FAB">
      <w:pPr>
        <w:keepNext/>
        <w:keepLines/>
        <w:spacing w:before="240" w:after="120" w:line="276" w:lineRule="auto"/>
        <w:outlineLvl w:val="2"/>
        <w:rPr>
          <w:rFonts w:ascii="Book Antiqua" w:eastAsiaTheme="majorEastAsia" w:hAnsi="Book Antiqua" w:cstheme="majorBidi"/>
          <w:b/>
          <w:szCs w:val="24"/>
        </w:rPr>
      </w:pPr>
      <w:bookmarkStart w:id="86" w:name="_Toc868772"/>
      <w:r w:rsidRPr="005821A1">
        <w:rPr>
          <w:rFonts w:ascii="Book Antiqua" w:eastAsiaTheme="majorEastAsia" w:hAnsi="Book Antiqua" w:cstheme="majorBidi"/>
          <w:b/>
          <w:szCs w:val="24"/>
        </w:rPr>
        <w:t>Pilot Power Group, Inc.</w:t>
      </w:r>
      <w:bookmarkEnd w:id="86"/>
    </w:p>
    <w:tbl>
      <w:tblPr>
        <w:tblStyle w:val="TableGrid3"/>
        <w:tblW w:w="0" w:type="auto"/>
        <w:tblLook w:val="04A0" w:firstRow="1" w:lastRow="0" w:firstColumn="1" w:lastColumn="0" w:noHBand="0" w:noVBand="1"/>
      </w:tblPr>
      <w:tblGrid>
        <w:gridCol w:w="2761"/>
        <w:gridCol w:w="6589"/>
      </w:tblGrid>
      <w:tr w:rsidR="00BD702C" w:rsidRPr="00BD702C" w14:paraId="6FFCDFF3" w14:textId="77777777" w:rsidTr="00BD702C">
        <w:tc>
          <w:tcPr>
            <w:tcW w:w="2761" w:type="dxa"/>
          </w:tcPr>
          <w:p w14:paraId="37F43FAB" w14:textId="77777777" w:rsidR="00BD702C" w:rsidRPr="00BD702C" w:rsidRDefault="00BD702C" w:rsidP="00AF5CC4">
            <w:pPr>
              <w:keepNext/>
              <w:keepLines/>
              <w:spacing w:before="60" w:after="60"/>
              <w:jc w:val="center"/>
              <w:rPr>
                <w:rFonts w:ascii="Book Antiqua" w:hAnsi="Book Antiqua"/>
                <w:b/>
                <w:sz w:val="24"/>
                <w:szCs w:val="24"/>
              </w:rPr>
            </w:pPr>
            <w:r w:rsidRPr="00BD702C">
              <w:rPr>
                <w:rFonts w:ascii="Book Antiqua" w:hAnsi="Book Antiqua"/>
                <w:b/>
                <w:sz w:val="24"/>
                <w:szCs w:val="24"/>
              </w:rPr>
              <w:t>Requirement</w:t>
            </w:r>
          </w:p>
        </w:tc>
        <w:tc>
          <w:tcPr>
            <w:tcW w:w="6589" w:type="dxa"/>
          </w:tcPr>
          <w:p w14:paraId="303B5A1D" w14:textId="77777777" w:rsidR="00BD702C" w:rsidRPr="00BD702C" w:rsidRDefault="00BD702C" w:rsidP="00AF5CC4">
            <w:pPr>
              <w:keepNext/>
              <w:keepLines/>
              <w:spacing w:before="60" w:after="60"/>
              <w:jc w:val="center"/>
              <w:rPr>
                <w:rFonts w:ascii="Book Antiqua" w:hAnsi="Book Antiqua"/>
                <w:b/>
                <w:sz w:val="24"/>
                <w:szCs w:val="24"/>
              </w:rPr>
            </w:pPr>
            <w:r w:rsidRPr="00BD702C">
              <w:rPr>
                <w:rFonts w:ascii="Book Antiqua" w:hAnsi="Book Antiqua"/>
                <w:b/>
                <w:sz w:val="24"/>
                <w:szCs w:val="24"/>
              </w:rPr>
              <w:t>Assessment</w:t>
            </w:r>
          </w:p>
        </w:tc>
      </w:tr>
      <w:tr w:rsidR="00BD702C" w:rsidRPr="00BD702C" w14:paraId="11151563" w14:textId="77777777" w:rsidTr="00BD702C">
        <w:tc>
          <w:tcPr>
            <w:tcW w:w="2761" w:type="dxa"/>
          </w:tcPr>
          <w:p w14:paraId="5328702D" w14:textId="77777777" w:rsidR="00BD702C" w:rsidRPr="00BD702C" w:rsidRDefault="00BD702C" w:rsidP="00AF5CC4">
            <w:pPr>
              <w:keepNext/>
              <w:keepLines/>
              <w:spacing w:before="60" w:after="60"/>
              <w:rPr>
                <w:rFonts w:ascii="Book Antiqua" w:hAnsi="Book Antiqua"/>
                <w:sz w:val="24"/>
                <w:szCs w:val="24"/>
              </w:rPr>
            </w:pPr>
            <w:r w:rsidRPr="00BD702C">
              <w:rPr>
                <w:rFonts w:ascii="Book Antiqua" w:hAnsi="Book Antiqua"/>
                <w:sz w:val="24"/>
                <w:szCs w:val="24"/>
              </w:rPr>
              <w:t>Study Design</w:t>
            </w:r>
          </w:p>
        </w:tc>
        <w:tc>
          <w:tcPr>
            <w:tcW w:w="6589" w:type="dxa"/>
          </w:tcPr>
          <w:p w14:paraId="516454C6" w14:textId="77777777" w:rsidR="00BD702C" w:rsidRPr="00BD702C" w:rsidRDefault="00BD702C" w:rsidP="00AF5CC4">
            <w:pPr>
              <w:keepNext/>
              <w:keepLines/>
              <w:spacing w:before="60" w:after="60"/>
              <w:rPr>
                <w:rFonts w:ascii="Book Antiqua" w:hAnsi="Book Antiqua"/>
                <w:sz w:val="24"/>
                <w:szCs w:val="24"/>
              </w:rPr>
            </w:pPr>
            <w:r w:rsidRPr="00BD702C">
              <w:rPr>
                <w:rFonts w:ascii="Book Antiqua" w:hAnsi="Book Antiqua"/>
                <w:sz w:val="24"/>
                <w:szCs w:val="24"/>
              </w:rPr>
              <w:t>Pilot Power Group, Inc. (</w:t>
            </w:r>
            <w:r w:rsidR="00664E8A">
              <w:rPr>
                <w:rFonts w:ascii="Book Antiqua" w:hAnsi="Book Antiqua"/>
                <w:sz w:val="24"/>
                <w:szCs w:val="24"/>
              </w:rPr>
              <w:t>Pilot</w:t>
            </w:r>
            <w:r w:rsidRPr="00BD702C">
              <w:rPr>
                <w:rFonts w:ascii="Book Antiqua" w:hAnsi="Book Antiqua"/>
                <w:sz w:val="24"/>
                <w:szCs w:val="24"/>
              </w:rPr>
              <w:t>) provided an adequate description of modeling tools and approach used to develop its portfolio.</w:t>
            </w:r>
          </w:p>
        </w:tc>
      </w:tr>
      <w:tr w:rsidR="00BD702C" w:rsidRPr="00BD702C" w14:paraId="1FF1F1BA" w14:textId="77777777" w:rsidTr="00BD702C">
        <w:tc>
          <w:tcPr>
            <w:tcW w:w="2761" w:type="dxa"/>
          </w:tcPr>
          <w:p w14:paraId="70E22831"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Preferred and Conforming Portfolios</w:t>
            </w:r>
          </w:p>
        </w:tc>
        <w:tc>
          <w:tcPr>
            <w:tcW w:w="6589" w:type="dxa"/>
          </w:tcPr>
          <w:p w14:paraId="2F2CC69B" w14:textId="77777777" w:rsidR="00BD702C" w:rsidRPr="00BD702C" w:rsidRDefault="00664E8A" w:rsidP="005821A1">
            <w:pPr>
              <w:spacing w:before="60" w:after="60"/>
              <w:rPr>
                <w:rFonts w:ascii="Book Antiqua" w:hAnsi="Book Antiqua"/>
                <w:sz w:val="24"/>
                <w:szCs w:val="24"/>
              </w:rPr>
            </w:pPr>
            <w:r>
              <w:rPr>
                <w:rFonts w:ascii="Book Antiqua" w:hAnsi="Book Antiqua"/>
                <w:sz w:val="24"/>
                <w:szCs w:val="24"/>
              </w:rPr>
              <w:t>Pilot</w:t>
            </w:r>
            <w:r w:rsidR="00BD702C" w:rsidRPr="00BD702C">
              <w:rPr>
                <w:rFonts w:ascii="Book Antiqua" w:hAnsi="Book Antiqua"/>
                <w:sz w:val="24"/>
                <w:szCs w:val="24"/>
              </w:rPr>
              <w:t xml:space="preserve"> provided the CNS calculator as its Conforming and Preferred Portfolio, but it did not provide a description of existing resources and new resources that it plans to invest in or contract with, nor did it describe how its portfolio is consistent with each relevant statutory and administrative requirement.</w:t>
            </w:r>
          </w:p>
          <w:p w14:paraId="63CBE3E0"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 xml:space="preserve">Furthermore, </w:t>
            </w:r>
            <w:r w:rsidR="00664E8A">
              <w:rPr>
                <w:rFonts w:ascii="Book Antiqua" w:hAnsi="Book Antiqua"/>
                <w:sz w:val="24"/>
                <w:szCs w:val="24"/>
              </w:rPr>
              <w:t>Pilot</w:t>
            </w:r>
            <w:r w:rsidRPr="00BD702C">
              <w:rPr>
                <w:rFonts w:ascii="Book Antiqua" w:hAnsi="Book Antiqua"/>
                <w:sz w:val="24"/>
                <w:szCs w:val="24"/>
              </w:rPr>
              <w:t xml:space="preserve"> did not explain how its 2030 load forecast was derived, nor did it calculate an LSE</w:t>
            </w:r>
            <w:r w:rsidR="00D84A09">
              <w:rPr>
                <w:rFonts w:ascii="Book Antiqua" w:hAnsi="Book Antiqua"/>
                <w:sz w:val="24"/>
                <w:szCs w:val="24"/>
              </w:rPr>
              <w:noBreakHyphen/>
            </w:r>
            <w:r w:rsidRPr="00BD702C">
              <w:rPr>
                <w:rFonts w:ascii="Book Antiqua" w:hAnsi="Book Antiqua"/>
                <w:sz w:val="24"/>
                <w:szCs w:val="24"/>
              </w:rPr>
              <w:t>specific GHG Benchmark as required, so it is not possible to determine whether its LSE Plan achieves its GHG Benchmark.</w:t>
            </w:r>
          </w:p>
        </w:tc>
      </w:tr>
      <w:tr w:rsidR="00BD702C" w:rsidRPr="00BD702C" w14:paraId="20AB78A6" w14:textId="77777777" w:rsidTr="00BD702C">
        <w:tc>
          <w:tcPr>
            <w:tcW w:w="2761" w:type="dxa"/>
          </w:tcPr>
          <w:p w14:paraId="1FD32EE2"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Local Air Pollutant Minimization</w:t>
            </w:r>
          </w:p>
        </w:tc>
        <w:tc>
          <w:tcPr>
            <w:tcW w:w="6589" w:type="dxa"/>
          </w:tcPr>
          <w:p w14:paraId="03BA646E" w14:textId="77777777" w:rsidR="00BD702C" w:rsidRPr="00BD702C" w:rsidRDefault="00664E8A" w:rsidP="000E00E5">
            <w:pPr>
              <w:keepNext/>
              <w:keepLines/>
              <w:spacing w:before="60" w:after="60"/>
              <w:rPr>
                <w:rFonts w:ascii="Book Antiqua" w:hAnsi="Book Antiqua"/>
                <w:sz w:val="24"/>
                <w:szCs w:val="24"/>
              </w:rPr>
            </w:pPr>
            <w:r>
              <w:rPr>
                <w:rFonts w:ascii="Book Antiqua" w:hAnsi="Book Antiqua"/>
                <w:sz w:val="24"/>
                <w:szCs w:val="24"/>
              </w:rPr>
              <w:t>Pilot</w:t>
            </w:r>
            <w:r w:rsidR="00BD702C" w:rsidRPr="00BD702C">
              <w:rPr>
                <w:rFonts w:ascii="Book Antiqua" w:hAnsi="Book Antiqua"/>
                <w:sz w:val="24"/>
                <w:szCs w:val="24"/>
              </w:rPr>
              <w:t xml:space="preserve"> made no attempt to provide best available estimates of emissions of nitrogen oxides and particulate matter, stating that this could be provided “upon request.” </w:t>
            </w:r>
            <w:r w:rsidR="008672C5">
              <w:rPr>
                <w:rFonts w:ascii="Book Antiqua" w:hAnsi="Book Antiqua"/>
                <w:sz w:val="24"/>
                <w:szCs w:val="24"/>
              </w:rPr>
              <w:t xml:space="preserve"> </w:t>
            </w:r>
            <w:r w:rsidR="00BD702C" w:rsidRPr="00BD702C">
              <w:rPr>
                <w:rFonts w:ascii="Book Antiqua" w:hAnsi="Book Antiqua"/>
                <w:sz w:val="24"/>
                <w:szCs w:val="24"/>
              </w:rPr>
              <w:t xml:space="preserve">A filing requirement in a Commission decision is a request. </w:t>
            </w:r>
            <w:r w:rsidR="008672C5">
              <w:rPr>
                <w:rFonts w:ascii="Book Antiqua" w:hAnsi="Book Antiqua"/>
                <w:sz w:val="24"/>
                <w:szCs w:val="24"/>
              </w:rPr>
              <w:t xml:space="preserve"> </w:t>
            </w:r>
            <w:r w:rsidR="00BD702C" w:rsidRPr="00BD702C">
              <w:rPr>
                <w:rFonts w:ascii="Book Antiqua" w:hAnsi="Book Antiqua"/>
                <w:sz w:val="24"/>
                <w:szCs w:val="24"/>
              </w:rPr>
              <w:t>Identification of disadvantaged communities was adequate.</w:t>
            </w:r>
          </w:p>
        </w:tc>
      </w:tr>
      <w:tr w:rsidR="00BD702C" w:rsidRPr="00BD702C" w14:paraId="32992FAA" w14:textId="77777777" w:rsidTr="00BD702C">
        <w:tc>
          <w:tcPr>
            <w:tcW w:w="2761" w:type="dxa"/>
          </w:tcPr>
          <w:p w14:paraId="6D4043FB"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Cost and Rate Analysis</w:t>
            </w:r>
          </w:p>
        </w:tc>
        <w:tc>
          <w:tcPr>
            <w:tcW w:w="6589" w:type="dxa"/>
          </w:tcPr>
          <w:p w14:paraId="557CDF8E" w14:textId="77777777" w:rsidR="00BD702C" w:rsidRPr="00BD702C" w:rsidRDefault="00664E8A" w:rsidP="005821A1">
            <w:pPr>
              <w:spacing w:before="60" w:after="60"/>
              <w:rPr>
                <w:rFonts w:ascii="Book Antiqua" w:hAnsi="Book Antiqua"/>
                <w:sz w:val="24"/>
                <w:szCs w:val="24"/>
              </w:rPr>
            </w:pPr>
            <w:r>
              <w:rPr>
                <w:rFonts w:ascii="Book Antiqua" w:hAnsi="Book Antiqua"/>
                <w:sz w:val="24"/>
                <w:szCs w:val="24"/>
              </w:rPr>
              <w:t>Pilot</w:t>
            </w:r>
            <w:r w:rsidR="00BD702C" w:rsidRPr="00BD702C">
              <w:rPr>
                <w:rFonts w:ascii="Book Antiqua" w:hAnsi="Book Antiqua"/>
                <w:sz w:val="24"/>
                <w:szCs w:val="24"/>
              </w:rPr>
              <w:t xml:space="preserve"> did not provide an adequate analysis for projecting cost and rate impacts but instead describes its approach for addressing resource adequacy.</w:t>
            </w:r>
          </w:p>
        </w:tc>
      </w:tr>
      <w:tr w:rsidR="00BD702C" w:rsidRPr="00BD702C" w14:paraId="082E1826" w14:textId="77777777" w:rsidTr="00BD702C">
        <w:tc>
          <w:tcPr>
            <w:tcW w:w="2761" w:type="dxa"/>
          </w:tcPr>
          <w:p w14:paraId="39C667DF" w14:textId="77777777" w:rsidR="00BD702C" w:rsidRPr="00BD702C" w:rsidRDefault="00BD702C" w:rsidP="005821A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Deviations from Current Resource Plans</w:t>
            </w:r>
          </w:p>
        </w:tc>
        <w:tc>
          <w:tcPr>
            <w:tcW w:w="6589" w:type="dxa"/>
          </w:tcPr>
          <w:p w14:paraId="0B8BAB0F" w14:textId="77777777" w:rsidR="00BD702C" w:rsidRPr="00BD702C" w:rsidRDefault="00664E8A" w:rsidP="005821A1">
            <w:pPr>
              <w:spacing w:before="60" w:after="60"/>
              <w:rPr>
                <w:rFonts w:ascii="Book Antiqua" w:hAnsi="Book Antiqua"/>
                <w:sz w:val="24"/>
                <w:szCs w:val="24"/>
              </w:rPr>
            </w:pPr>
            <w:r>
              <w:rPr>
                <w:rFonts w:ascii="Book Antiqua" w:hAnsi="Book Antiqua"/>
                <w:sz w:val="24"/>
                <w:szCs w:val="24"/>
              </w:rPr>
              <w:t>Pilot</w:t>
            </w:r>
            <w:r w:rsidR="00BD702C" w:rsidRPr="00BD702C">
              <w:rPr>
                <w:rFonts w:ascii="Book Antiqua" w:hAnsi="Book Antiqua"/>
                <w:sz w:val="24"/>
                <w:szCs w:val="24"/>
              </w:rPr>
              <w:t xml:space="preserve"> provided an adequate description of the differences in quantities and budgets for procurement between its Preferred Plan and currently filed or authorized resource plans, stating that its Preferred Plan closely matches its currently filed RPS and RA procurement plans.</w:t>
            </w:r>
          </w:p>
        </w:tc>
      </w:tr>
      <w:tr w:rsidR="00BD702C" w:rsidRPr="00BD702C" w14:paraId="7129BE0E" w14:textId="77777777" w:rsidTr="00BD702C">
        <w:tc>
          <w:tcPr>
            <w:tcW w:w="2761" w:type="dxa"/>
          </w:tcPr>
          <w:p w14:paraId="6B611808" w14:textId="77777777" w:rsidR="00BD702C" w:rsidRPr="00BD702C" w:rsidRDefault="00BD702C" w:rsidP="005821A1">
            <w:pPr>
              <w:spacing w:before="60" w:after="60"/>
              <w:rPr>
                <w:rFonts w:ascii="Book Antiqua" w:hAnsi="Book Antiqua"/>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Activities</w:t>
            </w:r>
          </w:p>
        </w:tc>
        <w:tc>
          <w:tcPr>
            <w:tcW w:w="6589" w:type="dxa"/>
          </w:tcPr>
          <w:p w14:paraId="06E3EDE2" w14:textId="77777777" w:rsidR="00BD702C" w:rsidRPr="00BD702C" w:rsidRDefault="00664E8A" w:rsidP="005821A1">
            <w:pPr>
              <w:spacing w:before="60" w:after="60"/>
              <w:rPr>
                <w:rFonts w:ascii="Book Antiqua" w:hAnsi="Book Antiqua"/>
                <w:sz w:val="24"/>
                <w:szCs w:val="24"/>
              </w:rPr>
            </w:pPr>
            <w:r>
              <w:rPr>
                <w:rFonts w:ascii="Book Antiqua" w:hAnsi="Book Antiqua"/>
                <w:sz w:val="24"/>
                <w:szCs w:val="24"/>
              </w:rPr>
              <w:t>Pilot</w:t>
            </w:r>
            <w:r w:rsidR="00BD702C" w:rsidRPr="00BD702C">
              <w:rPr>
                <w:rFonts w:ascii="Book Antiqua" w:hAnsi="Book Antiqua"/>
                <w:sz w:val="24"/>
                <w:szCs w:val="24"/>
              </w:rPr>
              <w:t xml:space="preserve"> did not provide an adequate description of its proposed near</w:t>
            </w:r>
            <w:r w:rsidR="00D84A09">
              <w:rPr>
                <w:rFonts w:ascii="Book Antiqua" w:hAnsi="Book Antiqua"/>
                <w:sz w:val="24"/>
                <w:szCs w:val="24"/>
              </w:rPr>
              <w:noBreakHyphen/>
            </w:r>
            <w:r w:rsidR="00BD702C" w:rsidRPr="00BD702C">
              <w:rPr>
                <w:rFonts w:ascii="Book Antiqua" w:hAnsi="Book Antiqua"/>
                <w:sz w:val="24"/>
                <w:szCs w:val="24"/>
              </w:rPr>
              <w:t xml:space="preserve">term activities to implement its LSE Plan, as it did not provide clear links to its Preferred Portfolio findings. </w:t>
            </w:r>
            <w:r w:rsidR="008672C5">
              <w:rPr>
                <w:rFonts w:ascii="Book Antiqua" w:hAnsi="Book Antiqua"/>
                <w:sz w:val="24"/>
                <w:szCs w:val="24"/>
              </w:rPr>
              <w:t xml:space="preserve"> </w:t>
            </w:r>
            <w:r w:rsidR="00BD702C" w:rsidRPr="00BD702C">
              <w:rPr>
                <w:rFonts w:ascii="Book Antiqua" w:hAnsi="Book Antiqua"/>
                <w:sz w:val="24"/>
                <w:szCs w:val="24"/>
              </w:rPr>
              <w:t xml:space="preserve">Furthermore, it did not describe any planned activities to conduct outreach and seek input from any disadvantaged communities that could be impacted by procurement associated with its LSE Plan, stating that it has no current contracts from fossil generators in </w:t>
            </w:r>
            <w:r w:rsidR="008A7EEE">
              <w:rPr>
                <w:rFonts w:ascii="Book Antiqua" w:hAnsi="Book Antiqua"/>
                <w:sz w:val="24"/>
                <w:szCs w:val="24"/>
              </w:rPr>
              <w:t>disadvantaged communities</w:t>
            </w:r>
            <w:r w:rsidR="00BD702C" w:rsidRPr="00BD702C">
              <w:rPr>
                <w:rFonts w:ascii="Book Antiqua" w:hAnsi="Book Antiqua"/>
                <w:sz w:val="24"/>
                <w:szCs w:val="24"/>
              </w:rPr>
              <w:t xml:space="preserve"> identified in California.</w:t>
            </w:r>
          </w:p>
        </w:tc>
      </w:tr>
      <w:tr w:rsidR="00BD702C" w:rsidRPr="00BD702C" w14:paraId="7AC464F3" w14:textId="77777777" w:rsidTr="00BD702C">
        <w:tc>
          <w:tcPr>
            <w:tcW w:w="2761" w:type="dxa"/>
          </w:tcPr>
          <w:p w14:paraId="696D1FD0" w14:textId="77777777" w:rsidR="00BD702C" w:rsidRPr="00BD702C" w:rsidRDefault="00BD702C" w:rsidP="005821A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Barrier Analysis</w:t>
            </w:r>
          </w:p>
        </w:tc>
        <w:tc>
          <w:tcPr>
            <w:tcW w:w="6589" w:type="dxa"/>
          </w:tcPr>
          <w:p w14:paraId="1A6A4ACD" w14:textId="77777777" w:rsidR="00BD702C" w:rsidRPr="00BD702C" w:rsidRDefault="00664E8A" w:rsidP="005821A1">
            <w:pPr>
              <w:spacing w:before="60" w:after="60"/>
              <w:rPr>
                <w:rFonts w:ascii="Book Antiqua" w:hAnsi="Book Antiqua"/>
                <w:sz w:val="24"/>
                <w:szCs w:val="24"/>
              </w:rPr>
            </w:pPr>
            <w:r>
              <w:rPr>
                <w:rFonts w:ascii="Book Antiqua" w:hAnsi="Book Antiqua"/>
                <w:sz w:val="24"/>
                <w:szCs w:val="24"/>
              </w:rPr>
              <w:t>Pilot</w:t>
            </w:r>
            <w:r w:rsidR="00BD702C" w:rsidRPr="00BD702C">
              <w:rPr>
                <w:rFonts w:ascii="Book Antiqua" w:hAnsi="Book Antiqua"/>
                <w:sz w:val="24"/>
                <w:szCs w:val="24"/>
              </w:rPr>
              <w:t xml:space="preserve"> did not provide an adequate description of the market, regulatory, financial, or other barriers or risks associated with its Preferred Portfolio.</w:t>
            </w:r>
          </w:p>
        </w:tc>
      </w:tr>
      <w:tr w:rsidR="00BD702C" w:rsidRPr="00BD702C" w14:paraId="30B8A778" w14:textId="77777777" w:rsidTr="00BD702C">
        <w:tc>
          <w:tcPr>
            <w:tcW w:w="2761" w:type="dxa"/>
          </w:tcPr>
          <w:p w14:paraId="5B61AD3F" w14:textId="77777777" w:rsidR="00BD702C" w:rsidRPr="00BD702C" w:rsidRDefault="00BD702C" w:rsidP="005821A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589" w:type="dxa"/>
          </w:tcPr>
          <w:p w14:paraId="4D40242D" w14:textId="77777777" w:rsidR="00BD702C" w:rsidRPr="00BD702C" w:rsidRDefault="00664E8A" w:rsidP="005821A1">
            <w:pPr>
              <w:spacing w:before="60" w:after="60"/>
              <w:rPr>
                <w:rFonts w:ascii="Book Antiqua" w:hAnsi="Book Antiqua"/>
                <w:sz w:val="24"/>
                <w:szCs w:val="24"/>
              </w:rPr>
            </w:pPr>
            <w:r>
              <w:rPr>
                <w:rFonts w:ascii="Book Antiqua" w:hAnsi="Book Antiqua"/>
                <w:sz w:val="24"/>
                <w:szCs w:val="24"/>
              </w:rPr>
              <w:t>Pilot</w:t>
            </w:r>
            <w:r w:rsidR="00BD702C" w:rsidRPr="00BD702C">
              <w:rPr>
                <w:rFonts w:ascii="Book Antiqua" w:hAnsi="Book Antiqua"/>
                <w:sz w:val="24"/>
                <w:szCs w:val="24"/>
              </w:rPr>
              <w:t xml:space="preserve"> marked this this section as not applicable.</w:t>
            </w:r>
          </w:p>
        </w:tc>
      </w:tr>
      <w:tr w:rsidR="00BD702C" w:rsidRPr="00BD702C" w14:paraId="6C165BC3" w14:textId="77777777" w:rsidTr="00BD702C">
        <w:tc>
          <w:tcPr>
            <w:tcW w:w="2761" w:type="dxa"/>
          </w:tcPr>
          <w:p w14:paraId="36FD6742" w14:textId="77777777" w:rsidR="00BD702C" w:rsidRPr="00BD702C" w:rsidRDefault="00BD702C" w:rsidP="005821A1">
            <w:pPr>
              <w:spacing w:before="60" w:after="60"/>
              <w:rPr>
                <w:rFonts w:ascii="Book Antiqua" w:hAnsi="Book Antiqua"/>
                <w:color w:val="000000"/>
                <w:sz w:val="24"/>
                <w:szCs w:val="24"/>
              </w:rPr>
            </w:pPr>
            <w:r w:rsidRPr="00BD702C">
              <w:rPr>
                <w:rFonts w:ascii="Book Antiqua" w:hAnsi="Book Antiqua"/>
                <w:color w:val="000000"/>
                <w:sz w:val="24"/>
                <w:szCs w:val="24"/>
              </w:rPr>
              <w:t>Lessons Learned</w:t>
            </w:r>
          </w:p>
        </w:tc>
        <w:tc>
          <w:tcPr>
            <w:tcW w:w="6589" w:type="dxa"/>
          </w:tcPr>
          <w:p w14:paraId="326F1F73" w14:textId="77777777" w:rsidR="00BD702C" w:rsidRPr="00BD702C" w:rsidRDefault="00664E8A" w:rsidP="005821A1">
            <w:pPr>
              <w:spacing w:before="60" w:after="60"/>
              <w:rPr>
                <w:rFonts w:ascii="Book Antiqua" w:hAnsi="Book Antiqua"/>
                <w:sz w:val="24"/>
                <w:szCs w:val="24"/>
              </w:rPr>
            </w:pPr>
            <w:r>
              <w:rPr>
                <w:rFonts w:ascii="Book Antiqua" w:hAnsi="Book Antiqua"/>
                <w:sz w:val="24"/>
                <w:szCs w:val="24"/>
              </w:rPr>
              <w:t>Pilot</w:t>
            </w:r>
            <w:r w:rsidR="00BD702C" w:rsidRPr="00BD702C">
              <w:rPr>
                <w:rFonts w:ascii="Book Antiqua" w:hAnsi="Book Antiqua"/>
                <w:sz w:val="24"/>
                <w:szCs w:val="24"/>
              </w:rPr>
              <w:t xml:space="preserve"> did not provide any lessons learned.</w:t>
            </w:r>
          </w:p>
        </w:tc>
      </w:tr>
    </w:tbl>
    <w:p w14:paraId="30CB31A4" w14:textId="77777777" w:rsidR="00BD702C" w:rsidRPr="00AF5CC4" w:rsidRDefault="00BD702C" w:rsidP="00AF5CC4">
      <w:pPr>
        <w:keepNext/>
        <w:keepLines/>
        <w:spacing w:before="240" w:after="120" w:line="276" w:lineRule="auto"/>
        <w:outlineLvl w:val="3"/>
        <w:rPr>
          <w:rFonts w:ascii="Book Antiqua" w:eastAsiaTheme="majorEastAsia" w:hAnsi="Book Antiqua" w:cstheme="majorBidi"/>
          <w:b/>
          <w:i/>
          <w:iCs/>
          <w:szCs w:val="24"/>
        </w:rPr>
      </w:pPr>
      <w:r w:rsidRPr="00AF5CC4">
        <w:rPr>
          <w:rFonts w:ascii="Book Antiqua" w:eastAsiaTheme="majorEastAsia" w:hAnsi="Book Antiqua" w:cstheme="majorBidi"/>
          <w:b/>
          <w:i/>
          <w:iCs/>
          <w:szCs w:val="24"/>
        </w:rPr>
        <w:t xml:space="preserve">Next Steps for </w:t>
      </w:r>
      <w:r w:rsidR="00664E8A" w:rsidRPr="00AF5CC4">
        <w:rPr>
          <w:rFonts w:ascii="Book Antiqua" w:eastAsiaTheme="majorEastAsia" w:hAnsi="Book Antiqua" w:cstheme="majorBidi"/>
          <w:b/>
          <w:i/>
          <w:iCs/>
          <w:szCs w:val="24"/>
        </w:rPr>
        <w:t>Pilot</w:t>
      </w:r>
    </w:p>
    <w:p w14:paraId="7E3C2655" w14:textId="77777777" w:rsidR="00BD702C" w:rsidRPr="005821A1" w:rsidRDefault="00BD702C" w:rsidP="00BD702C">
      <w:pPr>
        <w:spacing w:after="200" w:line="276" w:lineRule="auto"/>
        <w:rPr>
          <w:rFonts w:ascii="Book Antiqua" w:hAnsi="Book Antiqua" w:cstheme="minorBidi"/>
          <w:szCs w:val="24"/>
        </w:rPr>
      </w:pPr>
      <w:r w:rsidRPr="005821A1">
        <w:rPr>
          <w:rFonts w:ascii="Book Antiqua" w:hAnsi="Book Antiqua" w:cstheme="minorBidi"/>
          <w:b/>
          <w:szCs w:val="24"/>
        </w:rPr>
        <w:t>Action required in this IRP 2017</w:t>
      </w:r>
      <w:r w:rsidR="00D84A09" w:rsidRPr="005821A1">
        <w:rPr>
          <w:rFonts w:ascii="Book Antiqua" w:hAnsi="Book Antiqua" w:cstheme="minorBidi"/>
          <w:b/>
          <w:szCs w:val="24"/>
        </w:rPr>
        <w:noBreakHyphen/>
      </w:r>
      <w:r w:rsidRPr="005821A1">
        <w:rPr>
          <w:rFonts w:ascii="Book Antiqua" w:hAnsi="Book Antiqua" w:cstheme="minorBidi"/>
          <w:b/>
          <w:szCs w:val="24"/>
        </w:rPr>
        <w:t>18 cycle</w:t>
      </w:r>
      <w:r w:rsidRPr="005821A1">
        <w:rPr>
          <w:rFonts w:ascii="Book Antiqua" w:hAnsi="Book Antiqua" w:cstheme="minorBidi"/>
          <w:szCs w:val="24"/>
        </w:rPr>
        <w:t>:</w:t>
      </w:r>
      <w:r w:rsidR="004731C2" w:rsidRPr="005821A1">
        <w:rPr>
          <w:rFonts w:ascii="Book Antiqua" w:hAnsi="Book Antiqua" w:cstheme="minorBidi"/>
          <w:szCs w:val="24"/>
        </w:rPr>
        <w:t xml:space="preserve"> </w:t>
      </w:r>
      <w:r w:rsidRPr="005821A1">
        <w:rPr>
          <w:rFonts w:ascii="Book Antiqua" w:hAnsi="Book Antiqua" w:cstheme="minorBidi"/>
          <w:szCs w:val="24"/>
        </w:rPr>
        <w:t xml:space="preserve"> Provide best available estimates of emissions of nitrogen oxides and particulate matter associated with all emitting resources used to serve load, including system power. </w:t>
      </w:r>
      <w:r w:rsidR="008672C5" w:rsidRPr="005821A1">
        <w:rPr>
          <w:rFonts w:ascii="Book Antiqua" w:hAnsi="Book Antiqua" w:cstheme="minorBidi"/>
          <w:szCs w:val="24"/>
        </w:rPr>
        <w:t xml:space="preserve"> </w:t>
      </w:r>
      <w:r w:rsidRPr="005821A1">
        <w:rPr>
          <w:rFonts w:ascii="Book Antiqua" w:hAnsi="Book Antiqua" w:cstheme="minorBidi"/>
          <w:szCs w:val="24"/>
        </w:rPr>
        <w:t xml:space="preserve">Refer to page 16 of Calpine Energy Solutions’ publicly available IRP filing for an example of the type of information an ESP can provide to fulfill this specific filing requirement. </w:t>
      </w:r>
    </w:p>
    <w:p w14:paraId="64978F33" w14:textId="77777777" w:rsidR="00BD702C" w:rsidRPr="005821A1" w:rsidRDefault="00BD702C" w:rsidP="00AF5CC4">
      <w:pPr>
        <w:keepNext/>
        <w:keepLines/>
        <w:spacing w:after="200" w:line="276" w:lineRule="auto"/>
        <w:rPr>
          <w:rFonts w:ascii="Book Antiqua" w:hAnsi="Book Antiqua" w:cstheme="minorBidi"/>
          <w:szCs w:val="24"/>
        </w:rPr>
      </w:pPr>
      <w:r w:rsidRPr="005821A1">
        <w:rPr>
          <w:rFonts w:ascii="Book Antiqua" w:hAnsi="Book Antiqua" w:cstheme="minorBidi"/>
          <w:b/>
          <w:szCs w:val="24"/>
        </w:rPr>
        <w:t>Guidance for LSE Plan development in the next IRP cycle</w:t>
      </w:r>
      <w:r w:rsidRPr="005821A1">
        <w:rPr>
          <w:rFonts w:ascii="Book Antiqua" w:hAnsi="Book Antiqua" w:cstheme="minorBidi"/>
          <w:szCs w:val="24"/>
        </w:rPr>
        <w:t>:</w:t>
      </w:r>
    </w:p>
    <w:p w14:paraId="255D8F57" w14:textId="77777777" w:rsidR="00BD702C" w:rsidRPr="005821A1" w:rsidRDefault="00BD702C" w:rsidP="00894BE0">
      <w:pPr>
        <w:numPr>
          <w:ilvl w:val="0"/>
          <w:numId w:val="16"/>
        </w:numPr>
        <w:spacing w:after="200" w:line="276" w:lineRule="auto"/>
        <w:rPr>
          <w:rFonts w:ascii="Book Antiqua" w:hAnsi="Book Antiqua"/>
          <w:szCs w:val="24"/>
        </w:rPr>
      </w:pPr>
      <w:r w:rsidRPr="005821A1">
        <w:rPr>
          <w:rFonts w:ascii="Book Antiqua" w:hAnsi="Book Antiqua"/>
          <w:szCs w:val="24"/>
        </w:rPr>
        <w:t>Use the correct assigned load forecast when developing the Conforming Portfolio.</w:t>
      </w:r>
    </w:p>
    <w:p w14:paraId="1150C118" w14:textId="77777777" w:rsidR="00BD702C" w:rsidRPr="005821A1" w:rsidRDefault="00BD702C" w:rsidP="00894BE0">
      <w:pPr>
        <w:numPr>
          <w:ilvl w:val="0"/>
          <w:numId w:val="16"/>
        </w:numPr>
        <w:spacing w:after="200" w:line="276" w:lineRule="auto"/>
        <w:rPr>
          <w:rFonts w:ascii="Book Antiqua" w:hAnsi="Book Antiqua"/>
          <w:szCs w:val="24"/>
        </w:rPr>
      </w:pPr>
      <w:r w:rsidRPr="005821A1">
        <w:rPr>
          <w:rFonts w:ascii="Book Antiqua" w:hAnsi="Book Antiqua"/>
          <w:szCs w:val="24"/>
        </w:rPr>
        <w:t>Provide a description of existing resources and new resources that the LSE plans to invest in or contract with as part of its study results.</w:t>
      </w:r>
    </w:p>
    <w:p w14:paraId="620C69F1" w14:textId="77777777" w:rsidR="00BD702C" w:rsidRPr="005821A1" w:rsidRDefault="00BD702C" w:rsidP="00894BE0">
      <w:pPr>
        <w:numPr>
          <w:ilvl w:val="0"/>
          <w:numId w:val="16"/>
        </w:numPr>
        <w:spacing w:after="200" w:line="276" w:lineRule="auto"/>
        <w:rPr>
          <w:rFonts w:ascii="Book Antiqua" w:hAnsi="Book Antiqua"/>
          <w:szCs w:val="24"/>
        </w:rPr>
      </w:pPr>
      <w:r w:rsidRPr="005821A1">
        <w:rPr>
          <w:rFonts w:ascii="Book Antiqua" w:hAnsi="Book Antiqua"/>
          <w:szCs w:val="24"/>
        </w:rPr>
        <w:t>Use the correct methodology and values when calculating the LSE</w:t>
      </w:r>
      <w:r w:rsidR="00D84A09" w:rsidRPr="005821A1">
        <w:rPr>
          <w:rFonts w:ascii="Book Antiqua" w:hAnsi="Book Antiqua"/>
          <w:szCs w:val="24"/>
        </w:rPr>
        <w:noBreakHyphen/>
      </w:r>
      <w:r w:rsidRPr="005821A1">
        <w:rPr>
          <w:rFonts w:ascii="Book Antiqua" w:hAnsi="Book Antiqua"/>
          <w:szCs w:val="24"/>
        </w:rPr>
        <w:t>specific 2030 GHG Benchmark.</w:t>
      </w:r>
    </w:p>
    <w:p w14:paraId="1149338C" w14:textId="77777777" w:rsidR="00BD702C" w:rsidRPr="005821A1" w:rsidRDefault="00BD702C" w:rsidP="00894BE0">
      <w:pPr>
        <w:numPr>
          <w:ilvl w:val="0"/>
          <w:numId w:val="16"/>
        </w:numPr>
        <w:spacing w:after="200" w:line="276" w:lineRule="auto"/>
        <w:rPr>
          <w:rFonts w:ascii="Book Antiqua" w:hAnsi="Book Antiqua"/>
          <w:szCs w:val="24"/>
        </w:rPr>
      </w:pPr>
      <w:r w:rsidRPr="005821A1">
        <w:rPr>
          <w:rFonts w:ascii="Book Antiqua" w:hAnsi="Book Antiqua"/>
          <w:szCs w:val="24"/>
        </w:rPr>
        <w:t>Provide more detail about the LSE’s approach in considering cost and rate impacts on its customers.</w:t>
      </w:r>
    </w:p>
    <w:p w14:paraId="404B320A" w14:textId="77777777" w:rsidR="00BD702C" w:rsidRPr="005821A1" w:rsidRDefault="00BD702C" w:rsidP="00894BE0">
      <w:pPr>
        <w:numPr>
          <w:ilvl w:val="0"/>
          <w:numId w:val="16"/>
        </w:numPr>
        <w:spacing w:after="200" w:line="276" w:lineRule="auto"/>
        <w:rPr>
          <w:rFonts w:ascii="Book Antiqua" w:hAnsi="Book Antiqua"/>
          <w:szCs w:val="24"/>
        </w:rPr>
      </w:pPr>
      <w:r w:rsidRPr="005821A1">
        <w:rPr>
          <w:rFonts w:ascii="Book Antiqua" w:hAnsi="Book Antiqua"/>
          <w:szCs w:val="24"/>
        </w:rPr>
        <w:t>Draw clearer connections between proposed near</w:t>
      </w:r>
      <w:r w:rsidR="00D84A09" w:rsidRPr="005821A1">
        <w:rPr>
          <w:rFonts w:ascii="Book Antiqua" w:hAnsi="Book Antiqua"/>
          <w:szCs w:val="24"/>
        </w:rPr>
        <w:noBreakHyphen/>
      </w:r>
      <w:r w:rsidRPr="005821A1">
        <w:rPr>
          <w:rFonts w:ascii="Book Antiqua" w:hAnsi="Book Antiqua"/>
          <w:szCs w:val="24"/>
        </w:rPr>
        <w:t xml:space="preserve">term activities and the portfolio study results. </w:t>
      </w:r>
    </w:p>
    <w:p w14:paraId="1FCB7B9B" w14:textId="77777777" w:rsidR="00BD702C" w:rsidRPr="005821A1" w:rsidRDefault="00BD702C" w:rsidP="00894BE0">
      <w:pPr>
        <w:numPr>
          <w:ilvl w:val="0"/>
          <w:numId w:val="16"/>
        </w:numPr>
        <w:spacing w:after="200" w:line="276" w:lineRule="auto"/>
        <w:rPr>
          <w:rFonts w:ascii="Book Antiqua" w:hAnsi="Book Antiqua"/>
          <w:szCs w:val="24"/>
        </w:rPr>
      </w:pPr>
      <w:r w:rsidRPr="005821A1">
        <w:rPr>
          <w:rFonts w:ascii="Book Antiqua" w:hAnsi="Book Antiqua"/>
          <w:szCs w:val="24"/>
        </w:rPr>
        <w:t xml:space="preserve">Complete the Barrier Analysis section (or its equivalent) so that the </w:t>
      </w:r>
      <w:r w:rsidR="00C31396" w:rsidRPr="005821A1">
        <w:rPr>
          <w:rFonts w:ascii="Book Antiqua" w:hAnsi="Book Antiqua"/>
          <w:szCs w:val="24"/>
        </w:rPr>
        <w:t xml:space="preserve">Commission </w:t>
      </w:r>
      <w:r w:rsidRPr="005821A1">
        <w:rPr>
          <w:rFonts w:ascii="Book Antiqua" w:hAnsi="Book Antiqua"/>
          <w:szCs w:val="24"/>
        </w:rPr>
        <w:t xml:space="preserve">may evaluate the LSE’s consideration of market, regulatory, financial, and other barriers or risks associated with the LSE’s Preferred Portfolio. </w:t>
      </w:r>
    </w:p>
    <w:p w14:paraId="5C51B835" w14:textId="77777777" w:rsidR="00BD702C" w:rsidRPr="00AF5CC4" w:rsidRDefault="00BD702C" w:rsidP="00671FAB">
      <w:pPr>
        <w:keepNext/>
        <w:keepLines/>
        <w:spacing w:before="240" w:after="120" w:line="276" w:lineRule="auto"/>
        <w:outlineLvl w:val="2"/>
        <w:rPr>
          <w:rFonts w:ascii="Book Antiqua" w:eastAsiaTheme="majorEastAsia" w:hAnsi="Book Antiqua" w:cstheme="majorBidi"/>
          <w:b/>
          <w:szCs w:val="24"/>
        </w:rPr>
      </w:pPr>
      <w:bookmarkStart w:id="87" w:name="_Toc868773"/>
      <w:r w:rsidRPr="00AF5CC4">
        <w:rPr>
          <w:rFonts w:ascii="Book Antiqua" w:eastAsiaTheme="majorEastAsia" w:hAnsi="Book Antiqua" w:cstheme="majorBidi"/>
          <w:b/>
          <w:szCs w:val="24"/>
        </w:rPr>
        <w:t>Pioneer Community Energy</w:t>
      </w:r>
      <w:bookmarkEnd w:id="87"/>
    </w:p>
    <w:tbl>
      <w:tblPr>
        <w:tblStyle w:val="TableGrid3"/>
        <w:tblW w:w="0" w:type="auto"/>
        <w:tblLook w:val="04A0" w:firstRow="1" w:lastRow="0" w:firstColumn="1" w:lastColumn="0" w:noHBand="0" w:noVBand="1"/>
      </w:tblPr>
      <w:tblGrid>
        <w:gridCol w:w="2761"/>
        <w:gridCol w:w="6589"/>
      </w:tblGrid>
      <w:tr w:rsidR="00BD702C" w:rsidRPr="00BD702C" w14:paraId="4307FDBD" w14:textId="77777777" w:rsidTr="00BD702C">
        <w:tc>
          <w:tcPr>
            <w:tcW w:w="2761" w:type="dxa"/>
          </w:tcPr>
          <w:p w14:paraId="4614AD5C" w14:textId="77777777" w:rsidR="00BD702C" w:rsidRPr="00BD702C" w:rsidRDefault="00BD702C" w:rsidP="00AF5CC4">
            <w:pPr>
              <w:spacing w:before="60" w:after="60"/>
              <w:jc w:val="center"/>
              <w:rPr>
                <w:rFonts w:ascii="Book Antiqua" w:hAnsi="Book Antiqua"/>
                <w:b/>
                <w:sz w:val="24"/>
                <w:szCs w:val="24"/>
              </w:rPr>
            </w:pPr>
            <w:r w:rsidRPr="00BD702C">
              <w:rPr>
                <w:rFonts w:ascii="Book Antiqua" w:hAnsi="Book Antiqua"/>
                <w:b/>
                <w:sz w:val="24"/>
                <w:szCs w:val="24"/>
              </w:rPr>
              <w:t>Requirement</w:t>
            </w:r>
          </w:p>
        </w:tc>
        <w:tc>
          <w:tcPr>
            <w:tcW w:w="6589" w:type="dxa"/>
          </w:tcPr>
          <w:p w14:paraId="224B6FAD" w14:textId="77777777" w:rsidR="00BD702C" w:rsidRPr="00BD702C" w:rsidRDefault="00BD702C" w:rsidP="00AF5CC4">
            <w:pPr>
              <w:spacing w:before="60" w:after="60"/>
              <w:jc w:val="center"/>
              <w:rPr>
                <w:rFonts w:ascii="Book Antiqua" w:hAnsi="Book Antiqua"/>
                <w:b/>
                <w:sz w:val="24"/>
                <w:szCs w:val="24"/>
              </w:rPr>
            </w:pPr>
            <w:r w:rsidRPr="00BD702C">
              <w:rPr>
                <w:rFonts w:ascii="Book Antiqua" w:hAnsi="Book Antiqua"/>
                <w:b/>
                <w:sz w:val="24"/>
                <w:szCs w:val="24"/>
              </w:rPr>
              <w:t>Assessment</w:t>
            </w:r>
          </w:p>
        </w:tc>
      </w:tr>
      <w:tr w:rsidR="00BD702C" w:rsidRPr="00BD702C" w14:paraId="17466069" w14:textId="77777777" w:rsidTr="00BD702C">
        <w:tc>
          <w:tcPr>
            <w:tcW w:w="2761" w:type="dxa"/>
          </w:tcPr>
          <w:p w14:paraId="249E16DA"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Study Design</w:t>
            </w:r>
          </w:p>
        </w:tc>
        <w:tc>
          <w:tcPr>
            <w:tcW w:w="6589" w:type="dxa"/>
          </w:tcPr>
          <w:p w14:paraId="5FDF5ED8"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Pioneer Community Energy (Pioneer) provided an adequate description of modeling tools and approach used to develop its portfolio.</w:t>
            </w:r>
          </w:p>
        </w:tc>
      </w:tr>
      <w:tr w:rsidR="00BD702C" w:rsidRPr="00BD702C" w14:paraId="0FB090D4" w14:textId="77777777" w:rsidTr="00BD702C">
        <w:tc>
          <w:tcPr>
            <w:tcW w:w="2761" w:type="dxa"/>
          </w:tcPr>
          <w:p w14:paraId="01ED4AC1"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Preferred and Conforming Portfolios</w:t>
            </w:r>
          </w:p>
        </w:tc>
        <w:tc>
          <w:tcPr>
            <w:tcW w:w="6589" w:type="dxa"/>
          </w:tcPr>
          <w:p w14:paraId="075980D8"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 xml:space="preserve">Pioneer provided a Conforming Portfolio as its Preferred Portfolio showing both existing resources and new resources that it plans to invest in or contract with. </w:t>
            </w:r>
            <w:r w:rsidR="008672C5">
              <w:rPr>
                <w:rFonts w:ascii="Book Antiqua" w:hAnsi="Book Antiqua"/>
                <w:sz w:val="24"/>
                <w:szCs w:val="24"/>
              </w:rPr>
              <w:t xml:space="preserve"> </w:t>
            </w:r>
            <w:r w:rsidRPr="00BD702C">
              <w:rPr>
                <w:rFonts w:ascii="Book Antiqua" w:hAnsi="Book Antiqua"/>
                <w:sz w:val="24"/>
                <w:szCs w:val="24"/>
              </w:rPr>
              <w:t xml:space="preserve">It provided an adequate explanation of the reasons for its preference, but it did not explain how its Preferred Portfolio is consistent with each relevant statutory and administrative requirement. </w:t>
            </w:r>
            <w:r w:rsidR="008672C5">
              <w:rPr>
                <w:rFonts w:ascii="Book Antiqua" w:hAnsi="Book Antiqua"/>
                <w:sz w:val="24"/>
                <w:szCs w:val="24"/>
              </w:rPr>
              <w:t xml:space="preserve"> </w:t>
            </w:r>
            <w:r w:rsidRPr="00BD702C">
              <w:rPr>
                <w:rFonts w:ascii="Book Antiqua" w:hAnsi="Book Antiqua"/>
                <w:sz w:val="24"/>
                <w:szCs w:val="24"/>
              </w:rPr>
              <w:t>Pioneer did not submit an optional Alternative Portfolio.</w:t>
            </w:r>
          </w:p>
        </w:tc>
      </w:tr>
      <w:tr w:rsidR="00BD702C" w:rsidRPr="00BD702C" w14:paraId="384AFD78" w14:textId="77777777" w:rsidTr="00BD702C">
        <w:tc>
          <w:tcPr>
            <w:tcW w:w="2761" w:type="dxa"/>
          </w:tcPr>
          <w:p w14:paraId="03B0BB86"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sz w:val="24"/>
                <w:szCs w:val="24"/>
              </w:rPr>
              <w:t>Study Results:</w:t>
            </w:r>
            <w:r w:rsidR="004731C2">
              <w:rPr>
                <w:rFonts w:ascii="Book Antiqua" w:hAnsi="Book Antiqua"/>
                <w:sz w:val="24"/>
                <w:szCs w:val="24"/>
              </w:rPr>
              <w:t xml:space="preserve"> </w:t>
            </w:r>
            <w:r w:rsidRPr="00BD702C">
              <w:rPr>
                <w:rFonts w:ascii="Book Antiqua" w:hAnsi="Book Antiqua"/>
                <w:sz w:val="24"/>
                <w:szCs w:val="24"/>
              </w:rPr>
              <w:t xml:space="preserve"> Local Air Pollutant Minimization</w:t>
            </w:r>
          </w:p>
        </w:tc>
        <w:tc>
          <w:tcPr>
            <w:tcW w:w="6589" w:type="dxa"/>
          </w:tcPr>
          <w:p w14:paraId="2E16B5D8"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sz w:val="24"/>
                <w:szCs w:val="24"/>
              </w:rPr>
              <w:t>Pioneer stated that it minimizes localized air pollutants with early priority on disadvantaged communities but did not provide any quantitative evidence to back the claim.</w:t>
            </w:r>
            <w:r w:rsidR="008672C5">
              <w:rPr>
                <w:rFonts w:ascii="Book Antiqua" w:hAnsi="Book Antiqua"/>
                <w:sz w:val="24"/>
                <w:szCs w:val="24"/>
              </w:rPr>
              <w:t xml:space="preserve"> </w:t>
            </w:r>
            <w:r w:rsidRPr="00BD702C">
              <w:rPr>
                <w:rFonts w:ascii="Book Antiqua" w:hAnsi="Book Antiqua"/>
                <w:sz w:val="24"/>
                <w:szCs w:val="24"/>
              </w:rPr>
              <w:t xml:space="preserve"> No attempt to provide best available estimates of emissions of nitrogen oxides and particulate matter was made. </w:t>
            </w:r>
            <w:r w:rsidR="008672C5">
              <w:rPr>
                <w:rFonts w:ascii="Book Antiqua" w:hAnsi="Book Antiqua"/>
                <w:sz w:val="24"/>
                <w:szCs w:val="24"/>
              </w:rPr>
              <w:t xml:space="preserve"> </w:t>
            </w:r>
            <w:r w:rsidRPr="00BD702C">
              <w:rPr>
                <w:rFonts w:ascii="Book Antiqua" w:hAnsi="Book Antiqua"/>
                <w:sz w:val="24"/>
                <w:szCs w:val="24"/>
              </w:rPr>
              <w:t>Identification of disadvantaged communities was adequate.</w:t>
            </w:r>
          </w:p>
        </w:tc>
      </w:tr>
      <w:tr w:rsidR="00BD702C" w:rsidRPr="00BD702C" w14:paraId="2990C577" w14:textId="77777777" w:rsidTr="00BD702C">
        <w:tc>
          <w:tcPr>
            <w:tcW w:w="2761" w:type="dxa"/>
          </w:tcPr>
          <w:p w14:paraId="2FEAA632"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Study Results:</w:t>
            </w:r>
            <w:r w:rsidR="004731C2">
              <w:rPr>
                <w:rFonts w:ascii="Book Antiqua" w:hAnsi="Book Antiqua"/>
                <w:sz w:val="24"/>
                <w:szCs w:val="24"/>
              </w:rPr>
              <w:t xml:space="preserve"> </w:t>
            </w:r>
            <w:r w:rsidRPr="00BD702C">
              <w:rPr>
                <w:rFonts w:ascii="Book Antiqua" w:hAnsi="Book Antiqua"/>
                <w:sz w:val="24"/>
                <w:szCs w:val="24"/>
              </w:rPr>
              <w:t xml:space="preserve"> Cost and Rate Analysis</w:t>
            </w:r>
          </w:p>
        </w:tc>
        <w:tc>
          <w:tcPr>
            <w:tcW w:w="6589" w:type="dxa"/>
          </w:tcPr>
          <w:p w14:paraId="57F693CB"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 xml:space="preserve">Pioneer did not provide an adequate description of </w:t>
            </w:r>
            <w:bookmarkStart w:id="88" w:name="_Hlk534982529"/>
            <w:r w:rsidRPr="00BD702C">
              <w:rPr>
                <w:rFonts w:ascii="Book Antiqua" w:hAnsi="Book Antiqua"/>
                <w:sz w:val="24"/>
                <w:szCs w:val="24"/>
              </w:rPr>
              <w:t>its approach in considering cost and rate impacts on its customers.</w:t>
            </w:r>
            <w:bookmarkEnd w:id="88"/>
            <w:r w:rsidR="008672C5">
              <w:rPr>
                <w:rFonts w:ascii="Book Antiqua" w:hAnsi="Book Antiqua"/>
                <w:sz w:val="24"/>
                <w:szCs w:val="24"/>
              </w:rPr>
              <w:t xml:space="preserve"> </w:t>
            </w:r>
            <w:r w:rsidRPr="00BD702C">
              <w:rPr>
                <w:rFonts w:ascii="Book Antiqua" w:hAnsi="Book Antiqua"/>
                <w:sz w:val="24"/>
                <w:szCs w:val="24"/>
              </w:rPr>
              <w:t xml:space="preserve"> It provided only a list of generic factors affecting rates.</w:t>
            </w:r>
          </w:p>
        </w:tc>
      </w:tr>
      <w:tr w:rsidR="00BD702C" w:rsidRPr="00BD702C" w14:paraId="3B6FCDD9" w14:textId="77777777" w:rsidTr="00BD702C">
        <w:tc>
          <w:tcPr>
            <w:tcW w:w="2761" w:type="dxa"/>
          </w:tcPr>
          <w:p w14:paraId="31F41D3B"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Deviations from Current Resource Plans</w:t>
            </w:r>
          </w:p>
        </w:tc>
        <w:tc>
          <w:tcPr>
            <w:tcW w:w="6589" w:type="dxa"/>
          </w:tcPr>
          <w:p w14:paraId="7D122058"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Pioneer provided an adequate description of the differences in quantities and budgets for procurement between its Preferred Plan and currently filed or authorized resource plans, stating that there are no deviations.</w:t>
            </w:r>
          </w:p>
        </w:tc>
      </w:tr>
      <w:tr w:rsidR="00BD702C" w:rsidRPr="00BD702C" w14:paraId="1804F62D" w14:textId="77777777" w:rsidTr="00BD702C">
        <w:tc>
          <w:tcPr>
            <w:tcW w:w="2761" w:type="dxa"/>
          </w:tcPr>
          <w:p w14:paraId="4B38DDAA" w14:textId="77777777" w:rsidR="00BD702C" w:rsidRPr="00BD702C" w:rsidRDefault="00BD702C" w:rsidP="00AF5CC4">
            <w:pPr>
              <w:spacing w:before="60" w:after="60"/>
              <w:rPr>
                <w:rFonts w:ascii="Book Antiqua" w:hAnsi="Book Antiqua"/>
                <w:sz w:val="24"/>
                <w:szCs w:val="24"/>
              </w:rPr>
            </w:pPr>
            <w:r w:rsidRPr="00BD702C">
              <w:rPr>
                <w:rFonts w:ascii="Book Antiqua" w:hAnsi="Book Antiqua"/>
                <w:color w:val="000000"/>
                <w:sz w:val="24"/>
                <w:szCs w:val="24"/>
              </w:rPr>
              <w:t>Action Plan:</w:t>
            </w:r>
            <w:r w:rsidR="004731C2">
              <w:rPr>
                <w:rFonts w:ascii="Book Antiqua" w:hAnsi="Book Antiqua"/>
                <w:color w:val="000000"/>
                <w:sz w:val="24"/>
                <w:szCs w:val="24"/>
              </w:rPr>
              <w:t xml:space="preserve"> </w:t>
            </w:r>
            <w:r w:rsidRPr="00BD702C">
              <w:rPr>
                <w:rFonts w:ascii="Book Antiqua" w:hAnsi="Book Antiqua"/>
                <w:color w:val="000000"/>
                <w:sz w:val="24"/>
                <w:szCs w:val="24"/>
              </w:rPr>
              <w:t xml:space="preserve"> </w:t>
            </w:r>
            <w:r w:rsidRPr="00BD702C">
              <w:rPr>
                <w:rFonts w:ascii="Book Antiqua" w:hAnsi="Book Antiqua"/>
                <w:sz w:val="24"/>
                <w:szCs w:val="24"/>
              </w:rPr>
              <w:t>Proposed Activities</w:t>
            </w:r>
          </w:p>
        </w:tc>
        <w:tc>
          <w:tcPr>
            <w:tcW w:w="6589" w:type="dxa"/>
          </w:tcPr>
          <w:p w14:paraId="5F9CA8CF"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Pioneer did not provide an adequate description of its proposed near</w:t>
            </w:r>
            <w:r w:rsidR="00D84A09">
              <w:rPr>
                <w:rFonts w:ascii="Book Antiqua" w:hAnsi="Book Antiqua"/>
                <w:sz w:val="24"/>
                <w:szCs w:val="24"/>
              </w:rPr>
              <w:noBreakHyphen/>
            </w:r>
            <w:r w:rsidRPr="00BD702C">
              <w:rPr>
                <w:rFonts w:ascii="Book Antiqua" w:hAnsi="Book Antiqua"/>
                <w:sz w:val="24"/>
                <w:szCs w:val="24"/>
              </w:rPr>
              <w:t xml:space="preserve">term activities to implement its LSE Plan, as it did not provide clear links to its Preferred Portfolio findings. </w:t>
            </w:r>
            <w:r w:rsidR="008672C5">
              <w:rPr>
                <w:rFonts w:ascii="Book Antiqua" w:hAnsi="Book Antiqua"/>
                <w:sz w:val="24"/>
                <w:szCs w:val="24"/>
              </w:rPr>
              <w:t xml:space="preserve"> </w:t>
            </w:r>
            <w:r w:rsidRPr="00BD702C">
              <w:rPr>
                <w:rFonts w:ascii="Book Antiqua" w:hAnsi="Book Antiqua"/>
                <w:sz w:val="24"/>
                <w:szCs w:val="24"/>
              </w:rPr>
              <w:t>However, its proposed activities appear consistent with its study results.</w:t>
            </w:r>
          </w:p>
        </w:tc>
      </w:tr>
      <w:tr w:rsidR="00BD702C" w:rsidRPr="00BD702C" w14:paraId="223AD7C2" w14:textId="77777777" w:rsidTr="00BD702C">
        <w:tc>
          <w:tcPr>
            <w:tcW w:w="2761" w:type="dxa"/>
          </w:tcPr>
          <w:p w14:paraId="1164E22F" w14:textId="77777777" w:rsidR="00BD702C" w:rsidRPr="00BD702C" w:rsidRDefault="00BD702C" w:rsidP="00AF5CC4">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Barrier Analysis</w:t>
            </w:r>
          </w:p>
        </w:tc>
        <w:tc>
          <w:tcPr>
            <w:tcW w:w="6589" w:type="dxa"/>
          </w:tcPr>
          <w:p w14:paraId="6645E3A3"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Pioneer did not provide an adequate description of the market, regulatory, financial, or other barriers or risks associated with its Preferred Portfolio.</w:t>
            </w:r>
          </w:p>
        </w:tc>
      </w:tr>
      <w:tr w:rsidR="00BD702C" w:rsidRPr="00BD702C" w14:paraId="1E97576D" w14:textId="77777777" w:rsidTr="00BD702C">
        <w:tc>
          <w:tcPr>
            <w:tcW w:w="2761" w:type="dxa"/>
          </w:tcPr>
          <w:p w14:paraId="4673E466" w14:textId="77777777" w:rsidR="00BD702C" w:rsidRPr="00BD702C" w:rsidRDefault="00BD702C" w:rsidP="00AF5CC4">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589" w:type="dxa"/>
          </w:tcPr>
          <w:p w14:paraId="670DFC5D"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Pioneer marked this this section as not applicable.</w:t>
            </w:r>
          </w:p>
        </w:tc>
      </w:tr>
      <w:tr w:rsidR="00BD702C" w:rsidRPr="00BD702C" w14:paraId="0C0E6C98" w14:textId="77777777" w:rsidTr="00BD702C">
        <w:tc>
          <w:tcPr>
            <w:tcW w:w="2761" w:type="dxa"/>
          </w:tcPr>
          <w:p w14:paraId="2F01A9B2" w14:textId="77777777" w:rsidR="00BD702C" w:rsidRPr="00BD702C" w:rsidRDefault="00BD702C" w:rsidP="00AF5CC4">
            <w:pPr>
              <w:spacing w:before="60" w:after="60"/>
              <w:rPr>
                <w:rFonts w:ascii="Book Antiqua" w:hAnsi="Book Antiqua"/>
                <w:color w:val="000000"/>
                <w:sz w:val="24"/>
                <w:szCs w:val="24"/>
              </w:rPr>
            </w:pPr>
            <w:r w:rsidRPr="00BD702C">
              <w:rPr>
                <w:rFonts w:ascii="Book Antiqua" w:hAnsi="Book Antiqua"/>
                <w:color w:val="000000"/>
                <w:sz w:val="24"/>
                <w:szCs w:val="24"/>
              </w:rPr>
              <w:t>Lessons Learned</w:t>
            </w:r>
          </w:p>
        </w:tc>
        <w:tc>
          <w:tcPr>
            <w:tcW w:w="6589" w:type="dxa"/>
          </w:tcPr>
          <w:p w14:paraId="6DD7D4DF"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Pioneer provided an adequate description of lessons learned.</w:t>
            </w:r>
          </w:p>
        </w:tc>
      </w:tr>
    </w:tbl>
    <w:p w14:paraId="2068C72E" w14:textId="77777777" w:rsidR="00BD702C" w:rsidRPr="00AF5CC4" w:rsidRDefault="00BD702C" w:rsidP="00671FAB">
      <w:pPr>
        <w:keepNext/>
        <w:keepLines/>
        <w:spacing w:before="120" w:after="120" w:line="276" w:lineRule="auto"/>
        <w:outlineLvl w:val="3"/>
        <w:rPr>
          <w:rFonts w:ascii="Book Antiqua" w:eastAsiaTheme="majorEastAsia" w:hAnsi="Book Antiqua" w:cstheme="majorBidi"/>
          <w:b/>
          <w:i/>
          <w:iCs/>
          <w:szCs w:val="24"/>
        </w:rPr>
      </w:pPr>
      <w:r w:rsidRPr="00AF5CC4">
        <w:rPr>
          <w:rFonts w:ascii="Book Antiqua" w:eastAsiaTheme="majorEastAsia" w:hAnsi="Book Antiqua" w:cstheme="majorBidi"/>
          <w:b/>
          <w:i/>
          <w:iCs/>
          <w:szCs w:val="24"/>
        </w:rPr>
        <w:t>Next Steps for Pioneer</w:t>
      </w:r>
    </w:p>
    <w:p w14:paraId="6EADFFE2" w14:textId="77777777" w:rsidR="00BD702C" w:rsidRPr="00AF5CC4" w:rsidRDefault="00BD702C" w:rsidP="00BD702C">
      <w:pPr>
        <w:spacing w:after="200" w:line="276" w:lineRule="auto"/>
        <w:rPr>
          <w:rFonts w:ascii="Book Antiqua" w:hAnsi="Book Antiqua" w:cstheme="minorBidi"/>
          <w:szCs w:val="24"/>
        </w:rPr>
      </w:pPr>
      <w:r w:rsidRPr="00AF5CC4">
        <w:rPr>
          <w:rFonts w:ascii="Book Antiqua" w:hAnsi="Book Antiqua" w:cstheme="minorBidi"/>
          <w:b/>
          <w:szCs w:val="24"/>
        </w:rPr>
        <w:t>Action required in this IRP 2017</w:t>
      </w:r>
      <w:r w:rsidR="00D84A09" w:rsidRPr="00AF5CC4">
        <w:rPr>
          <w:rFonts w:ascii="Book Antiqua" w:hAnsi="Book Antiqua" w:cstheme="minorBidi"/>
          <w:b/>
          <w:szCs w:val="24"/>
        </w:rPr>
        <w:noBreakHyphen/>
      </w:r>
      <w:r w:rsidRPr="00AF5CC4">
        <w:rPr>
          <w:rFonts w:ascii="Book Antiqua" w:hAnsi="Book Antiqua" w:cstheme="minorBidi"/>
          <w:b/>
          <w:szCs w:val="24"/>
        </w:rPr>
        <w:t>18 cycle</w:t>
      </w:r>
      <w:r w:rsidRPr="00AF5CC4">
        <w:rPr>
          <w:rFonts w:ascii="Book Antiqua" w:hAnsi="Book Antiqua" w:cstheme="minorBidi"/>
          <w:szCs w:val="24"/>
        </w:rPr>
        <w:t>:</w:t>
      </w:r>
      <w:r w:rsidR="004731C2" w:rsidRPr="00AF5CC4">
        <w:rPr>
          <w:rFonts w:ascii="Book Antiqua" w:hAnsi="Book Antiqua" w:cstheme="minorBidi"/>
          <w:szCs w:val="24"/>
        </w:rPr>
        <w:t xml:space="preserve"> </w:t>
      </w:r>
      <w:r w:rsidRPr="00AF5CC4">
        <w:rPr>
          <w:rFonts w:ascii="Book Antiqua" w:hAnsi="Book Antiqua" w:cstheme="minorBidi"/>
          <w:szCs w:val="24"/>
        </w:rPr>
        <w:t xml:space="preserve"> Provide best available estimates of emissions of nitrogen oxides and particulate matter associated with all emitting resources used to serve load, including system power. </w:t>
      </w:r>
      <w:r w:rsidR="008672C5" w:rsidRPr="00AF5CC4">
        <w:rPr>
          <w:rFonts w:ascii="Book Antiqua" w:hAnsi="Book Antiqua" w:cstheme="minorBidi"/>
          <w:szCs w:val="24"/>
        </w:rPr>
        <w:t xml:space="preserve"> </w:t>
      </w:r>
      <w:r w:rsidRPr="00AF5CC4">
        <w:rPr>
          <w:rFonts w:ascii="Book Antiqua" w:hAnsi="Book Antiqua" w:cstheme="minorBidi"/>
          <w:szCs w:val="24"/>
        </w:rPr>
        <w:t>Refer to pages 19</w:t>
      </w:r>
      <w:r w:rsidR="00D84A09" w:rsidRPr="00AF5CC4">
        <w:rPr>
          <w:rFonts w:ascii="Book Antiqua" w:hAnsi="Book Antiqua" w:cstheme="minorBidi"/>
          <w:szCs w:val="24"/>
        </w:rPr>
        <w:noBreakHyphen/>
      </w:r>
      <w:r w:rsidRPr="00AF5CC4">
        <w:rPr>
          <w:rFonts w:ascii="Book Antiqua" w:hAnsi="Book Antiqua" w:cstheme="minorBidi"/>
          <w:szCs w:val="24"/>
        </w:rPr>
        <w:t xml:space="preserve">22 of Desert Community Energy’s IRP filing for </w:t>
      </w:r>
      <w:r w:rsidR="009E6885">
        <w:rPr>
          <w:rFonts w:ascii="Book Antiqua" w:hAnsi="Book Antiqua" w:cstheme="minorBidi"/>
          <w:szCs w:val="24"/>
        </w:rPr>
        <w:t xml:space="preserve">an </w:t>
      </w:r>
      <w:r w:rsidRPr="00AF5CC4">
        <w:rPr>
          <w:rFonts w:ascii="Book Antiqua" w:hAnsi="Book Antiqua" w:cstheme="minorBidi"/>
          <w:szCs w:val="24"/>
        </w:rPr>
        <w:t xml:space="preserve">example of the type of information a CCA can provide to fulfill this specific filing requirement. </w:t>
      </w:r>
    </w:p>
    <w:p w14:paraId="243E6894" w14:textId="77777777" w:rsidR="00BD702C" w:rsidRPr="00AF5CC4" w:rsidRDefault="00BD702C" w:rsidP="00BD702C">
      <w:pPr>
        <w:spacing w:after="200" w:line="276" w:lineRule="auto"/>
        <w:rPr>
          <w:rFonts w:ascii="Book Antiqua" w:hAnsi="Book Antiqua" w:cstheme="minorBidi"/>
          <w:szCs w:val="24"/>
        </w:rPr>
      </w:pPr>
      <w:r w:rsidRPr="00AF5CC4">
        <w:rPr>
          <w:rFonts w:ascii="Book Antiqua" w:hAnsi="Book Antiqua" w:cstheme="minorBidi"/>
          <w:b/>
          <w:szCs w:val="24"/>
        </w:rPr>
        <w:t>Guidance for LSE Plan development in the next IRP cycle</w:t>
      </w:r>
      <w:r w:rsidRPr="00AF5CC4">
        <w:rPr>
          <w:rFonts w:ascii="Book Antiqua" w:hAnsi="Book Antiqua" w:cstheme="minorBidi"/>
          <w:szCs w:val="24"/>
        </w:rPr>
        <w:t>:</w:t>
      </w:r>
    </w:p>
    <w:p w14:paraId="093EC9C4" w14:textId="77777777" w:rsidR="00BD702C" w:rsidRPr="00AF5CC4" w:rsidRDefault="00BD702C" w:rsidP="00894BE0">
      <w:pPr>
        <w:numPr>
          <w:ilvl w:val="0"/>
          <w:numId w:val="16"/>
        </w:numPr>
        <w:spacing w:after="200" w:line="276" w:lineRule="auto"/>
        <w:rPr>
          <w:rFonts w:ascii="Book Antiqua" w:hAnsi="Book Antiqua"/>
          <w:szCs w:val="24"/>
        </w:rPr>
      </w:pPr>
      <w:r w:rsidRPr="00AF5CC4">
        <w:rPr>
          <w:rFonts w:ascii="Book Antiqua" w:hAnsi="Book Antiqua"/>
          <w:szCs w:val="24"/>
        </w:rPr>
        <w:t>Provide more detail about the LSE’s approach in considering cost and rate impacts on its customers.</w:t>
      </w:r>
    </w:p>
    <w:p w14:paraId="48CF0911" w14:textId="77777777" w:rsidR="00BD702C" w:rsidRPr="00AF5CC4" w:rsidRDefault="00BD702C" w:rsidP="00894BE0">
      <w:pPr>
        <w:numPr>
          <w:ilvl w:val="0"/>
          <w:numId w:val="16"/>
        </w:numPr>
        <w:spacing w:after="200" w:line="276" w:lineRule="auto"/>
        <w:rPr>
          <w:rFonts w:ascii="Book Antiqua" w:hAnsi="Book Antiqua"/>
          <w:szCs w:val="24"/>
        </w:rPr>
      </w:pPr>
      <w:r w:rsidRPr="00AF5CC4">
        <w:rPr>
          <w:rFonts w:ascii="Book Antiqua" w:hAnsi="Book Antiqua"/>
          <w:szCs w:val="24"/>
        </w:rPr>
        <w:t>Draw clearer connections between proposed near</w:t>
      </w:r>
      <w:r w:rsidR="00D84A09" w:rsidRPr="00AF5CC4">
        <w:rPr>
          <w:rFonts w:ascii="Book Antiqua" w:hAnsi="Book Antiqua"/>
          <w:szCs w:val="24"/>
        </w:rPr>
        <w:noBreakHyphen/>
      </w:r>
      <w:r w:rsidRPr="00AF5CC4">
        <w:rPr>
          <w:rFonts w:ascii="Book Antiqua" w:hAnsi="Book Antiqua"/>
          <w:szCs w:val="24"/>
        </w:rPr>
        <w:t xml:space="preserve">term activities and the portfolio study results. </w:t>
      </w:r>
    </w:p>
    <w:p w14:paraId="499BB91A" w14:textId="77777777" w:rsidR="00BD702C" w:rsidRPr="00AF5CC4" w:rsidRDefault="00BD702C" w:rsidP="00894BE0">
      <w:pPr>
        <w:numPr>
          <w:ilvl w:val="0"/>
          <w:numId w:val="16"/>
        </w:numPr>
        <w:spacing w:after="200" w:line="276" w:lineRule="auto"/>
        <w:rPr>
          <w:rFonts w:ascii="Book Antiqua" w:hAnsi="Book Antiqua"/>
          <w:szCs w:val="24"/>
        </w:rPr>
      </w:pPr>
      <w:r w:rsidRPr="00AF5CC4">
        <w:rPr>
          <w:rFonts w:ascii="Book Antiqua" w:hAnsi="Book Antiqua"/>
          <w:szCs w:val="24"/>
        </w:rPr>
        <w:t xml:space="preserve">Complete the Barrier Analysis section (or its equivalent) so that the </w:t>
      </w:r>
      <w:r w:rsidR="00C31396" w:rsidRPr="00AF5CC4">
        <w:rPr>
          <w:rFonts w:ascii="Book Antiqua" w:hAnsi="Book Antiqua"/>
          <w:szCs w:val="24"/>
        </w:rPr>
        <w:t xml:space="preserve">Commission </w:t>
      </w:r>
      <w:r w:rsidRPr="00AF5CC4">
        <w:rPr>
          <w:rFonts w:ascii="Book Antiqua" w:hAnsi="Book Antiqua"/>
          <w:szCs w:val="24"/>
        </w:rPr>
        <w:t xml:space="preserve">may evaluate the LSE’s consideration of market, regulatory, financial, and other barriers or risks associated with the LSE’s Preferred Portfolio. </w:t>
      </w:r>
    </w:p>
    <w:p w14:paraId="7618F1CF" w14:textId="77777777" w:rsidR="00BD702C" w:rsidRPr="00AF5CC4" w:rsidRDefault="00BD702C" w:rsidP="00671FAB">
      <w:pPr>
        <w:keepNext/>
        <w:keepLines/>
        <w:spacing w:before="240" w:after="120" w:line="276" w:lineRule="auto"/>
        <w:outlineLvl w:val="2"/>
        <w:rPr>
          <w:rFonts w:ascii="Book Antiqua" w:eastAsiaTheme="majorEastAsia" w:hAnsi="Book Antiqua" w:cstheme="majorBidi"/>
          <w:b/>
          <w:szCs w:val="24"/>
        </w:rPr>
      </w:pPr>
      <w:bookmarkStart w:id="89" w:name="_Toc868774"/>
      <w:r w:rsidRPr="00AF5CC4">
        <w:rPr>
          <w:rFonts w:ascii="Book Antiqua" w:eastAsiaTheme="majorEastAsia" w:hAnsi="Book Antiqua" w:cstheme="majorBidi"/>
          <w:b/>
          <w:szCs w:val="24"/>
        </w:rPr>
        <w:t>Rancho Mirage Energy Authority</w:t>
      </w:r>
      <w:bookmarkEnd w:id="89"/>
    </w:p>
    <w:tbl>
      <w:tblPr>
        <w:tblStyle w:val="TableGrid3"/>
        <w:tblW w:w="0" w:type="auto"/>
        <w:tblLook w:val="04A0" w:firstRow="1" w:lastRow="0" w:firstColumn="1" w:lastColumn="0" w:noHBand="0" w:noVBand="1"/>
      </w:tblPr>
      <w:tblGrid>
        <w:gridCol w:w="2761"/>
        <w:gridCol w:w="6589"/>
      </w:tblGrid>
      <w:tr w:rsidR="00BD702C" w:rsidRPr="00BD702C" w14:paraId="7ADA9234" w14:textId="77777777" w:rsidTr="00BD702C">
        <w:tc>
          <w:tcPr>
            <w:tcW w:w="2761" w:type="dxa"/>
          </w:tcPr>
          <w:p w14:paraId="36018A76" w14:textId="77777777" w:rsidR="00BD702C" w:rsidRPr="00BD702C" w:rsidRDefault="00BD702C" w:rsidP="00AF5CC4">
            <w:pPr>
              <w:spacing w:before="60" w:after="60"/>
              <w:jc w:val="center"/>
              <w:rPr>
                <w:rFonts w:ascii="Book Antiqua" w:hAnsi="Book Antiqua"/>
                <w:b/>
                <w:sz w:val="24"/>
                <w:szCs w:val="24"/>
              </w:rPr>
            </w:pPr>
            <w:r w:rsidRPr="00BD702C">
              <w:rPr>
                <w:rFonts w:ascii="Book Antiqua" w:hAnsi="Book Antiqua"/>
                <w:b/>
                <w:sz w:val="24"/>
                <w:szCs w:val="24"/>
              </w:rPr>
              <w:t>Requirement</w:t>
            </w:r>
          </w:p>
        </w:tc>
        <w:tc>
          <w:tcPr>
            <w:tcW w:w="6589" w:type="dxa"/>
          </w:tcPr>
          <w:p w14:paraId="742998DF" w14:textId="77777777" w:rsidR="00BD702C" w:rsidRPr="00BD702C" w:rsidRDefault="00BD702C" w:rsidP="00AF5CC4">
            <w:pPr>
              <w:spacing w:before="60" w:after="60"/>
              <w:jc w:val="center"/>
              <w:rPr>
                <w:rFonts w:ascii="Book Antiqua" w:hAnsi="Book Antiqua"/>
                <w:b/>
                <w:sz w:val="24"/>
                <w:szCs w:val="24"/>
              </w:rPr>
            </w:pPr>
            <w:r w:rsidRPr="00BD702C">
              <w:rPr>
                <w:rFonts w:ascii="Book Antiqua" w:hAnsi="Book Antiqua"/>
                <w:b/>
                <w:sz w:val="24"/>
                <w:szCs w:val="24"/>
              </w:rPr>
              <w:t>Assessment</w:t>
            </w:r>
          </w:p>
        </w:tc>
      </w:tr>
      <w:tr w:rsidR="00BD702C" w:rsidRPr="00BD702C" w14:paraId="39A22585" w14:textId="77777777" w:rsidTr="00BD702C">
        <w:tc>
          <w:tcPr>
            <w:tcW w:w="2761" w:type="dxa"/>
          </w:tcPr>
          <w:p w14:paraId="2E27C403"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Study Design</w:t>
            </w:r>
          </w:p>
        </w:tc>
        <w:tc>
          <w:tcPr>
            <w:tcW w:w="6589" w:type="dxa"/>
          </w:tcPr>
          <w:p w14:paraId="469768F4"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Rancho Mirage Energy Authority (</w:t>
            </w:r>
            <w:r w:rsidR="00664E8A">
              <w:rPr>
                <w:rFonts w:ascii="Book Antiqua" w:hAnsi="Book Antiqua"/>
                <w:sz w:val="24"/>
                <w:szCs w:val="24"/>
              </w:rPr>
              <w:t>Rancho Mirage</w:t>
            </w:r>
            <w:r w:rsidRPr="00BD702C">
              <w:rPr>
                <w:rFonts w:ascii="Book Antiqua" w:hAnsi="Book Antiqua"/>
                <w:sz w:val="24"/>
                <w:szCs w:val="24"/>
              </w:rPr>
              <w:t>) provided an adequate description of modeling tools and approach used to develop its portfolio.</w:t>
            </w:r>
          </w:p>
        </w:tc>
      </w:tr>
      <w:tr w:rsidR="00BD702C" w:rsidRPr="00BD702C" w14:paraId="52971CEC" w14:textId="77777777" w:rsidTr="00BD702C">
        <w:tc>
          <w:tcPr>
            <w:tcW w:w="2761" w:type="dxa"/>
          </w:tcPr>
          <w:p w14:paraId="1C8620BB"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Preferred and Conforming Portfolios</w:t>
            </w:r>
          </w:p>
        </w:tc>
        <w:tc>
          <w:tcPr>
            <w:tcW w:w="6589" w:type="dxa"/>
          </w:tcPr>
          <w:p w14:paraId="60A26F5D" w14:textId="77777777" w:rsidR="00BD702C" w:rsidRPr="00BD702C" w:rsidRDefault="00664E8A" w:rsidP="00AF5CC4">
            <w:pPr>
              <w:spacing w:before="60" w:after="60"/>
              <w:rPr>
                <w:rFonts w:ascii="Book Antiqua" w:hAnsi="Book Antiqua"/>
                <w:sz w:val="24"/>
                <w:szCs w:val="24"/>
              </w:rPr>
            </w:pPr>
            <w:r>
              <w:rPr>
                <w:rFonts w:ascii="Book Antiqua" w:hAnsi="Book Antiqua"/>
                <w:sz w:val="24"/>
                <w:szCs w:val="24"/>
              </w:rPr>
              <w:t>Rancho Mirage</w:t>
            </w:r>
            <w:r w:rsidR="00BD702C" w:rsidRPr="00BD702C">
              <w:rPr>
                <w:rFonts w:ascii="Book Antiqua" w:hAnsi="Book Antiqua"/>
                <w:sz w:val="24"/>
                <w:szCs w:val="24"/>
              </w:rPr>
              <w:t xml:space="preserve"> provided a Conforming Portfolio as its Preferred Portfolio showing both existing resources and new resources that it plans to invest in or contract with. </w:t>
            </w:r>
            <w:r w:rsidR="008672C5">
              <w:rPr>
                <w:rFonts w:ascii="Book Antiqua" w:hAnsi="Book Antiqua"/>
                <w:sz w:val="24"/>
                <w:szCs w:val="24"/>
              </w:rPr>
              <w:t xml:space="preserve"> </w:t>
            </w:r>
            <w:r w:rsidR="00BD702C" w:rsidRPr="00BD702C">
              <w:rPr>
                <w:rFonts w:ascii="Book Antiqua" w:hAnsi="Book Antiqua"/>
                <w:sz w:val="24"/>
                <w:szCs w:val="24"/>
              </w:rPr>
              <w:t xml:space="preserve">It provided an adequate explanation of the reasons for its preference, but it did not explain how its Preferred Portfolio is consistent with each relevant statutory and administrative requirement. </w:t>
            </w:r>
            <w:r w:rsidR="008672C5">
              <w:rPr>
                <w:rFonts w:ascii="Book Antiqua" w:hAnsi="Book Antiqua"/>
                <w:sz w:val="24"/>
                <w:szCs w:val="24"/>
              </w:rPr>
              <w:t xml:space="preserve"> </w:t>
            </w:r>
            <w:r>
              <w:rPr>
                <w:rFonts w:ascii="Book Antiqua" w:hAnsi="Book Antiqua"/>
                <w:sz w:val="24"/>
                <w:szCs w:val="24"/>
              </w:rPr>
              <w:t>Rancho Mirage</w:t>
            </w:r>
            <w:r w:rsidR="00BD702C" w:rsidRPr="00BD702C">
              <w:rPr>
                <w:rFonts w:ascii="Book Antiqua" w:hAnsi="Book Antiqua"/>
                <w:sz w:val="24"/>
                <w:szCs w:val="24"/>
              </w:rPr>
              <w:t xml:space="preserve"> did not submit an optional Alternative Portfolio.</w:t>
            </w:r>
          </w:p>
        </w:tc>
      </w:tr>
      <w:tr w:rsidR="00BD702C" w:rsidRPr="00BD702C" w14:paraId="268F0B8A" w14:textId="77777777" w:rsidTr="00BD702C">
        <w:tc>
          <w:tcPr>
            <w:tcW w:w="2761" w:type="dxa"/>
          </w:tcPr>
          <w:p w14:paraId="0A3D7748"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Study Results:</w:t>
            </w:r>
            <w:r w:rsidR="004731C2">
              <w:rPr>
                <w:rFonts w:ascii="Book Antiqua" w:hAnsi="Book Antiqua"/>
                <w:sz w:val="24"/>
                <w:szCs w:val="24"/>
              </w:rPr>
              <w:t xml:space="preserve"> </w:t>
            </w:r>
            <w:r w:rsidRPr="00BD702C">
              <w:rPr>
                <w:rFonts w:ascii="Book Antiqua" w:hAnsi="Book Antiqua"/>
                <w:sz w:val="24"/>
                <w:szCs w:val="24"/>
              </w:rPr>
              <w:t xml:space="preserve"> Local Air Pollutant Minimization</w:t>
            </w:r>
          </w:p>
        </w:tc>
        <w:tc>
          <w:tcPr>
            <w:tcW w:w="6589" w:type="dxa"/>
          </w:tcPr>
          <w:p w14:paraId="7315CE0F" w14:textId="77777777" w:rsidR="00BD702C" w:rsidRPr="00BD702C" w:rsidRDefault="00664E8A" w:rsidP="00AF5CC4">
            <w:pPr>
              <w:spacing w:before="60" w:after="60"/>
              <w:rPr>
                <w:rFonts w:ascii="Book Antiqua" w:hAnsi="Book Antiqua"/>
                <w:sz w:val="24"/>
                <w:szCs w:val="24"/>
              </w:rPr>
            </w:pPr>
            <w:r>
              <w:rPr>
                <w:rFonts w:ascii="Book Antiqua" w:hAnsi="Book Antiqua"/>
                <w:sz w:val="24"/>
                <w:szCs w:val="24"/>
              </w:rPr>
              <w:t>Rancho Mirage</w:t>
            </w:r>
            <w:r w:rsidR="00BD702C" w:rsidRPr="00BD702C">
              <w:rPr>
                <w:rFonts w:ascii="Book Antiqua" w:hAnsi="Book Antiqua"/>
                <w:sz w:val="24"/>
                <w:szCs w:val="24"/>
              </w:rPr>
              <w:t xml:space="preserve"> stated that it minimizes localized air pollutants with early priority on disadvantaged communities but did not provide any quantitative evidence to back the claim. </w:t>
            </w:r>
            <w:r w:rsidR="008672C5">
              <w:rPr>
                <w:rFonts w:ascii="Book Antiqua" w:hAnsi="Book Antiqua"/>
                <w:sz w:val="24"/>
                <w:szCs w:val="24"/>
              </w:rPr>
              <w:t xml:space="preserve"> </w:t>
            </w:r>
            <w:r w:rsidR="00BD702C" w:rsidRPr="00BD702C">
              <w:rPr>
                <w:rFonts w:ascii="Book Antiqua" w:hAnsi="Book Antiqua"/>
                <w:sz w:val="24"/>
                <w:szCs w:val="24"/>
              </w:rPr>
              <w:t xml:space="preserve">No attempt to provide best available estimates of emissions of nitrogen oxides and particulate matter was made. </w:t>
            </w:r>
            <w:r w:rsidR="008672C5">
              <w:rPr>
                <w:rFonts w:ascii="Book Antiqua" w:hAnsi="Book Antiqua"/>
                <w:sz w:val="24"/>
                <w:szCs w:val="24"/>
              </w:rPr>
              <w:t xml:space="preserve"> </w:t>
            </w:r>
            <w:r w:rsidR="00BD702C" w:rsidRPr="00BD702C">
              <w:rPr>
                <w:rFonts w:ascii="Book Antiqua" w:hAnsi="Book Antiqua"/>
                <w:sz w:val="24"/>
                <w:szCs w:val="24"/>
              </w:rPr>
              <w:t>Identification of disadvantaged communities was adequate.</w:t>
            </w:r>
          </w:p>
        </w:tc>
      </w:tr>
      <w:tr w:rsidR="00BD702C" w:rsidRPr="00BD702C" w14:paraId="4F49D47D" w14:textId="77777777" w:rsidTr="00BD702C">
        <w:tc>
          <w:tcPr>
            <w:tcW w:w="2761" w:type="dxa"/>
          </w:tcPr>
          <w:p w14:paraId="58BA6ACC"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Study Results:</w:t>
            </w:r>
            <w:r w:rsidR="004731C2">
              <w:rPr>
                <w:rFonts w:ascii="Book Antiqua" w:hAnsi="Book Antiqua"/>
                <w:sz w:val="24"/>
                <w:szCs w:val="24"/>
              </w:rPr>
              <w:t xml:space="preserve"> </w:t>
            </w:r>
            <w:r w:rsidRPr="00BD702C">
              <w:rPr>
                <w:rFonts w:ascii="Book Antiqua" w:hAnsi="Book Antiqua"/>
                <w:sz w:val="24"/>
                <w:szCs w:val="24"/>
              </w:rPr>
              <w:t xml:space="preserve"> Cost and Rate Analysis</w:t>
            </w:r>
          </w:p>
        </w:tc>
        <w:tc>
          <w:tcPr>
            <w:tcW w:w="6589" w:type="dxa"/>
          </w:tcPr>
          <w:p w14:paraId="02A000C2" w14:textId="77777777" w:rsidR="00BD702C" w:rsidRPr="00BD702C" w:rsidRDefault="00664E8A" w:rsidP="00AF5CC4">
            <w:pPr>
              <w:spacing w:before="60" w:after="60"/>
              <w:rPr>
                <w:rFonts w:ascii="Book Antiqua" w:hAnsi="Book Antiqua"/>
                <w:sz w:val="24"/>
                <w:szCs w:val="24"/>
              </w:rPr>
            </w:pPr>
            <w:r>
              <w:rPr>
                <w:rFonts w:ascii="Book Antiqua" w:hAnsi="Book Antiqua"/>
                <w:sz w:val="24"/>
                <w:szCs w:val="24"/>
              </w:rPr>
              <w:t>Rancho Mirage</w:t>
            </w:r>
            <w:r w:rsidR="00BD702C" w:rsidRPr="00BD702C">
              <w:rPr>
                <w:rFonts w:ascii="Book Antiqua" w:hAnsi="Book Antiqua"/>
                <w:sz w:val="24"/>
                <w:szCs w:val="24"/>
              </w:rPr>
              <w:t xml:space="preserve"> did not provide an adequate description of its approach in considering cost and rate impacts on its customers.</w:t>
            </w:r>
            <w:r w:rsidR="008672C5">
              <w:rPr>
                <w:rFonts w:ascii="Book Antiqua" w:hAnsi="Book Antiqua"/>
                <w:sz w:val="24"/>
                <w:szCs w:val="24"/>
              </w:rPr>
              <w:t xml:space="preserve"> </w:t>
            </w:r>
            <w:r w:rsidR="00BD702C" w:rsidRPr="00BD702C">
              <w:rPr>
                <w:rFonts w:ascii="Book Antiqua" w:hAnsi="Book Antiqua"/>
                <w:sz w:val="24"/>
                <w:szCs w:val="24"/>
              </w:rPr>
              <w:t xml:space="preserve"> It provided only a list of generic factors affecting rates.</w:t>
            </w:r>
          </w:p>
        </w:tc>
      </w:tr>
      <w:tr w:rsidR="00BD702C" w:rsidRPr="00BD702C" w14:paraId="20A7F900" w14:textId="77777777" w:rsidTr="00BD702C">
        <w:tc>
          <w:tcPr>
            <w:tcW w:w="2761" w:type="dxa"/>
          </w:tcPr>
          <w:p w14:paraId="5E699A39" w14:textId="77777777" w:rsidR="00BD702C" w:rsidRPr="00BD702C" w:rsidRDefault="00BD702C" w:rsidP="00AF5CC4">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Deviations from Current Resource Plans</w:t>
            </w:r>
          </w:p>
        </w:tc>
        <w:tc>
          <w:tcPr>
            <w:tcW w:w="6589" w:type="dxa"/>
          </w:tcPr>
          <w:p w14:paraId="144E733F" w14:textId="77777777" w:rsidR="00BD702C" w:rsidRPr="00BD702C" w:rsidRDefault="00664E8A" w:rsidP="00AF5CC4">
            <w:pPr>
              <w:spacing w:before="60" w:after="60"/>
              <w:rPr>
                <w:rFonts w:ascii="Book Antiqua" w:hAnsi="Book Antiqua"/>
                <w:sz w:val="24"/>
                <w:szCs w:val="24"/>
              </w:rPr>
            </w:pPr>
            <w:r>
              <w:rPr>
                <w:rFonts w:ascii="Book Antiqua" w:hAnsi="Book Antiqua"/>
                <w:sz w:val="24"/>
                <w:szCs w:val="24"/>
              </w:rPr>
              <w:t>Rancho Mirage</w:t>
            </w:r>
            <w:r w:rsidR="00BD702C" w:rsidRPr="00BD702C">
              <w:rPr>
                <w:rFonts w:ascii="Book Antiqua" w:hAnsi="Book Antiqua"/>
                <w:b/>
                <w:sz w:val="24"/>
                <w:szCs w:val="24"/>
              </w:rPr>
              <w:t xml:space="preserve"> </w:t>
            </w:r>
            <w:r w:rsidR="00BD702C" w:rsidRPr="00BD702C">
              <w:rPr>
                <w:rFonts w:ascii="Book Antiqua" w:hAnsi="Book Antiqua"/>
                <w:sz w:val="24"/>
                <w:szCs w:val="24"/>
              </w:rPr>
              <w:t>provided an adequate description of the differences in quantities and budgets for procurement between its Preferred Plan and currently filed or authorized resource plans, stating that there are no deviations.</w:t>
            </w:r>
          </w:p>
        </w:tc>
      </w:tr>
      <w:tr w:rsidR="00BD702C" w:rsidRPr="00BD702C" w14:paraId="5B3D8152" w14:textId="77777777" w:rsidTr="00BD702C">
        <w:tc>
          <w:tcPr>
            <w:tcW w:w="2761" w:type="dxa"/>
          </w:tcPr>
          <w:p w14:paraId="670848EB"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Activities</w:t>
            </w:r>
          </w:p>
        </w:tc>
        <w:tc>
          <w:tcPr>
            <w:tcW w:w="6589" w:type="dxa"/>
          </w:tcPr>
          <w:p w14:paraId="43E249FE" w14:textId="77777777" w:rsidR="00BD702C" w:rsidRPr="00BD702C" w:rsidRDefault="00664E8A" w:rsidP="000E00E5">
            <w:pPr>
              <w:keepNext/>
              <w:keepLines/>
              <w:spacing w:before="60" w:after="60"/>
              <w:rPr>
                <w:rFonts w:ascii="Book Antiqua" w:hAnsi="Book Antiqua"/>
                <w:sz w:val="24"/>
                <w:szCs w:val="24"/>
              </w:rPr>
            </w:pPr>
            <w:r>
              <w:rPr>
                <w:rFonts w:ascii="Book Antiqua" w:hAnsi="Book Antiqua"/>
                <w:sz w:val="24"/>
                <w:szCs w:val="24"/>
              </w:rPr>
              <w:t>Rancho Mirage</w:t>
            </w:r>
            <w:r w:rsidR="00BD702C" w:rsidRPr="00BD702C">
              <w:rPr>
                <w:rFonts w:ascii="Book Antiqua" w:hAnsi="Book Antiqua"/>
                <w:sz w:val="24"/>
                <w:szCs w:val="24"/>
              </w:rPr>
              <w:t xml:space="preserve"> did not provide an adequate description of its proposed near</w:t>
            </w:r>
            <w:r w:rsidR="00D84A09">
              <w:rPr>
                <w:rFonts w:ascii="Book Antiqua" w:hAnsi="Book Antiqua"/>
                <w:sz w:val="24"/>
                <w:szCs w:val="24"/>
              </w:rPr>
              <w:noBreakHyphen/>
            </w:r>
            <w:r w:rsidR="00BD702C" w:rsidRPr="00BD702C">
              <w:rPr>
                <w:rFonts w:ascii="Book Antiqua" w:hAnsi="Book Antiqua"/>
                <w:sz w:val="24"/>
                <w:szCs w:val="24"/>
              </w:rPr>
              <w:t>term activities to implement its LSE Plan, as it did not provide clear links to its Preferred Portfolio findings.</w:t>
            </w:r>
            <w:r w:rsidR="008672C5">
              <w:rPr>
                <w:rFonts w:ascii="Book Antiqua" w:hAnsi="Book Antiqua"/>
                <w:sz w:val="24"/>
                <w:szCs w:val="24"/>
              </w:rPr>
              <w:t xml:space="preserve"> </w:t>
            </w:r>
            <w:r w:rsidR="00BD702C" w:rsidRPr="00BD702C">
              <w:rPr>
                <w:rFonts w:ascii="Book Antiqua" w:hAnsi="Book Antiqua"/>
                <w:sz w:val="24"/>
                <w:szCs w:val="24"/>
              </w:rPr>
              <w:t xml:space="preserve"> However, its proposed activities appear consistent with its study results.</w:t>
            </w:r>
          </w:p>
        </w:tc>
      </w:tr>
      <w:tr w:rsidR="00BD702C" w:rsidRPr="00BD702C" w14:paraId="2F863071" w14:textId="77777777" w:rsidTr="00BD702C">
        <w:tc>
          <w:tcPr>
            <w:tcW w:w="2761" w:type="dxa"/>
          </w:tcPr>
          <w:p w14:paraId="6196FDC7" w14:textId="77777777" w:rsidR="00BD702C" w:rsidRPr="00BD702C" w:rsidRDefault="00BD702C" w:rsidP="00AF5CC4">
            <w:pPr>
              <w:spacing w:before="60" w:after="60"/>
              <w:rPr>
                <w:rFonts w:ascii="Book Antiqua" w:hAnsi="Book Antiqua"/>
                <w:color w:val="000000"/>
                <w:sz w:val="24"/>
                <w:szCs w:val="24"/>
              </w:rPr>
            </w:pPr>
            <w:r w:rsidRPr="00BD702C">
              <w:rPr>
                <w:rFonts w:ascii="Book Antiqua" w:hAnsi="Book Antiqua"/>
                <w:color w:val="000000"/>
                <w:sz w:val="24"/>
                <w:szCs w:val="24"/>
              </w:rPr>
              <w:t>Action Plan:</w:t>
            </w:r>
            <w:r w:rsidR="004731C2">
              <w:rPr>
                <w:rFonts w:ascii="Book Antiqua" w:hAnsi="Book Antiqua"/>
                <w:color w:val="000000"/>
                <w:sz w:val="24"/>
                <w:szCs w:val="24"/>
              </w:rPr>
              <w:t xml:space="preserve"> </w:t>
            </w:r>
            <w:r w:rsidRPr="00BD702C">
              <w:rPr>
                <w:rFonts w:ascii="Book Antiqua" w:hAnsi="Book Antiqua"/>
                <w:color w:val="000000"/>
                <w:sz w:val="24"/>
                <w:szCs w:val="24"/>
              </w:rPr>
              <w:t xml:space="preserve"> </w:t>
            </w:r>
            <w:r w:rsidRPr="00BD702C">
              <w:rPr>
                <w:rFonts w:ascii="Book Antiqua" w:hAnsi="Book Antiqua"/>
                <w:sz w:val="24"/>
                <w:szCs w:val="24"/>
              </w:rPr>
              <w:t>Barrier Analysis</w:t>
            </w:r>
          </w:p>
        </w:tc>
        <w:tc>
          <w:tcPr>
            <w:tcW w:w="6589" w:type="dxa"/>
          </w:tcPr>
          <w:p w14:paraId="7892B712" w14:textId="77777777" w:rsidR="00BD702C" w:rsidRPr="00BD702C" w:rsidRDefault="00664E8A" w:rsidP="00AF5CC4">
            <w:pPr>
              <w:spacing w:before="60" w:after="60"/>
              <w:rPr>
                <w:rFonts w:ascii="Book Antiqua" w:hAnsi="Book Antiqua"/>
                <w:sz w:val="24"/>
                <w:szCs w:val="24"/>
              </w:rPr>
            </w:pPr>
            <w:r>
              <w:rPr>
                <w:rFonts w:ascii="Book Antiqua" w:hAnsi="Book Antiqua"/>
                <w:sz w:val="24"/>
                <w:szCs w:val="24"/>
              </w:rPr>
              <w:t>Rancho Mirage</w:t>
            </w:r>
            <w:r w:rsidR="00BD702C" w:rsidRPr="00BD702C">
              <w:rPr>
                <w:rFonts w:ascii="Book Antiqua" w:hAnsi="Book Antiqua"/>
                <w:sz w:val="24"/>
                <w:szCs w:val="24"/>
              </w:rPr>
              <w:t xml:space="preserve"> provided an adequate description of the market, regulatory, financial, or other barriers or risks associated with its Preferred Portfolio.</w:t>
            </w:r>
          </w:p>
        </w:tc>
      </w:tr>
      <w:tr w:rsidR="00BD702C" w:rsidRPr="00BD702C" w14:paraId="18244181" w14:textId="77777777" w:rsidTr="00BD702C">
        <w:tc>
          <w:tcPr>
            <w:tcW w:w="2761" w:type="dxa"/>
          </w:tcPr>
          <w:p w14:paraId="49FD1F1D" w14:textId="77777777" w:rsidR="00BD702C" w:rsidRPr="00BD702C" w:rsidRDefault="00BD702C" w:rsidP="00AF5CC4">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589" w:type="dxa"/>
          </w:tcPr>
          <w:p w14:paraId="0E9F80FE" w14:textId="77777777" w:rsidR="00BD702C" w:rsidRPr="00BD702C" w:rsidRDefault="00664E8A" w:rsidP="00AF5CC4">
            <w:pPr>
              <w:spacing w:before="60" w:after="60"/>
              <w:rPr>
                <w:rFonts w:ascii="Book Antiqua" w:hAnsi="Book Antiqua"/>
                <w:sz w:val="24"/>
                <w:szCs w:val="24"/>
              </w:rPr>
            </w:pPr>
            <w:r>
              <w:rPr>
                <w:rFonts w:ascii="Book Antiqua" w:hAnsi="Book Antiqua"/>
                <w:sz w:val="24"/>
                <w:szCs w:val="24"/>
              </w:rPr>
              <w:t>Rancho Mirage</w:t>
            </w:r>
            <w:r w:rsidR="00BD702C" w:rsidRPr="00BD702C">
              <w:rPr>
                <w:rFonts w:ascii="Book Antiqua" w:hAnsi="Book Antiqua"/>
                <w:sz w:val="24"/>
                <w:szCs w:val="24"/>
              </w:rPr>
              <w:t xml:space="preserve"> stated that it is not seeking any Commission direction at this time.</w:t>
            </w:r>
          </w:p>
        </w:tc>
      </w:tr>
      <w:tr w:rsidR="00BD702C" w:rsidRPr="00BD702C" w14:paraId="181F2845" w14:textId="77777777" w:rsidTr="00BD702C">
        <w:tc>
          <w:tcPr>
            <w:tcW w:w="2761" w:type="dxa"/>
          </w:tcPr>
          <w:p w14:paraId="41F1B24D" w14:textId="77777777" w:rsidR="00BD702C" w:rsidRPr="00BD702C" w:rsidRDefault="00BD702C" w:rsidP="00AF5CC4">
            <w:pPr>
              <w:spacing w:before="60" w:after="60"/>
              <w:rPr>
                <w:rFonts w:ascii="Book Antiqua" w:hAnsi="Book Antiqua"/>
                <w:color w:val="000000"/>
                <w:sz w:val="24"/>
                <w:szCs w:val="24"/>
              </w:rPr>
            </w:pPr>
            <w:r w:rsidRPr="00BD702C">
              <w:rPr>
                <w:rFonts w:ascii="Book Antiqua" w:hAnsi="Book Antiqua"/>
                <w:color w:val="000000"/>
                <w:sz w:val="24"/>
                <w:szCs w:val="24"/>
              </w:rPr>
              <w:t>Lessons Learned</w:t>
            </w:r>
          </w:p>
        </w:tc>
        <w:tc>
          <w:tcPr>
            <w:tcW w:w="6589" w:type="dxa"/>
          </w:tcPr>
          <w:p w14:paraId="705215E7" w14:textId="77777777" w:rsidR="00BD702C" w:rsidRPr="00BD702C" w:rsidRDefault="00664E8A" w:rsidP="00AF5CC4">
            <w:pPr>
              <w:spacing w:before="60" w:after="60"/>
              <w:rPr>
                <w:rFonts w:ascii="Book Antiqua" w:hAnsi="Book Antiqua"/>
                <w:sz w:val="24"/>
                <w:szCs w:val="24"/>
              </w:rPr>
            </w:pPr>
            <w:r>
              <w:rPr>
                <w:rFonts w:ascii="Book Antiqua" w:hAnsi="Book Antiqua"/>
                <w:sz w:val="24"/>
                <w:szCs w:val="24"/>
              </w:rPr>
              <w:t>Rancho Mirage</w:t>
            </w:r>
            <w:r w:rsidR="00BD702C" w:rsidRPr="00BD702C">
              <w:rPr>
                <w:rFonts w:ascii="Book Antiqua" w:hAnsi="Book Antiqua"/>
                <w:sz w:val="24"/>
                <w:szCs w:val="24"/>
              </w:rPr>
              <w:t xml:space="preserve"> provided an adequate description of lessons learned.</w:t>
            </w:r>
          </w:p>
        </w:tc>
      </w:tr>
    </w:tbl>
    <w:p w14:paraId="7E58A186" w14:textId="77777777" w:rsidR="00BD702C" w:rsidRPr="00C9173D" w:rsidRDefault="00BD702C" w:rsidP="00C9173D">
      <w:pPr>
        <w:keepNext/>
        <w:keepLines/>
        <w:spacing w:before="240" w:after="120" w:line="276" w:lineRule="auto"/>
        <w:outlineLvl w:val="3"/>
        <w:rPr>
          <w:rFonts w:ascii="Book Antiqua" w:eastAsiaTheme="majorEastAsia" w:hAnsi="Book Antiqua" w:cstheme="majorBidi"/>
          <w:b/>
          <w:i/>
          <w:iCs/>
          <w:szCs w:val="24"/>
        </w:rPr>
      </w:pPr>
      <w:r w:rsidRPr="00C9173D">
        <w:rPr>
          <w:rFonts w:ascii="Book Antiqua" w:eastAsiaTheme="majorEastAsia" w:hAnsi="Book Antiqua" w:cstheme="majorBidi"/>
          <w:b/>
          <w:i/>
          <w:iCs/>
          <w:szCs w:val="24"/>
        </w:rPr>
        <w:t xml:space="preserve">Next Steps for </w:t>
      </w:r>
      <w:r w:rsidR="00664E8A" w:rsidRPr="00C9173D">
        <w:rPr>
          <w:rFonts w:ascii="Book Antiqua" w:eastAsiaTheme="majorEastAsia" w:hAnsi="Book Antiqua" w:cstheme="majorBidi"/>
          <w:b/>
          <w:i/>
          <w:iCs/>
          <w:szCs w:val="24"/>
        </w:rPr>
        <w:t>Rancho Mirage</w:t>
      </w:r>
    </w:p>
    <w:p w14:paraId="2939964E" w14:textId="77777777" w:rsidR="00BD702C" w:rsidRPr="00C9173D" w:rsidRDefault="00BD702C" w:rsidP="00BD702C">
      <w:pPr>
        <w:spacing w:after="200" w:line="276" w:lineRule="auto"/>
        <w:rPr>
          <w:rFonts w:ascii="Book Antiqua" w:hAnsi="Book Antiqua" w:cstheme="minorBidi"/>
          <w:szCs w:val="24"/>
        </w:rPr>
      </w:pPr>
      <w:r w:rsidRPr="00C9173D">
        <w:rPr>
          <w:rFonts w:ascii="Book Antiqua" w:hAnsi="Book Antiqua" w:cstheme="minorBidi"/>
          <w:b/>
          <w:szCs w:val="24"/>
        </w:rPr>
        <w:t>Action required in this IRP 2017</w:t>
      </w:r>
      <w:r w:rsidR="00D84A09" w:rsidRPr="00C9173D">
        <w:rPr>
          <w:rFonts w:ascii="Book Antiqua" w:hAnsi="Book Antiqua" w:cstheme="minorBidi"/>
          <w:b/>
          <w:szCs w:val="24"/>
        </w:rPr>
        <w:noBreakHyphen/>
      </w:r>
      <w:r w:rsidRPr="00C9173D">
        <w:rPr>
          <w:rFonts w:ascii="Book Antiqua" w:hAnsi="Book Antiqua" w:cstheme="minorBidi"/>
          <w:b/>
          <w:szCs w:val="24"/>
        </w:rPr>
        <w:t>18 cycle</w:t>
      </w:r>
      <w:r w:rsidRPr="00C9173D">
        <w:rPr>
          <w:rFonts w:ascii="Book Antiqua" w:hAnsi="Book Antiqua" w:cstheme="minorBidi"/>
          <w:szCs w:val="24"/>
        </w:rPr>
        <w:t xml:space="preserve">: </w:t>
      </w:r>
      <w:r w:rsidR="004731C2" w:rsidRPr="00C9173D">
        <w:rPr>
          <w:rFonts w:ascii="Book Antiqua" w:hAnsi="Book Antiqua" w:cstheme="minorBidi"/>
          <w:szCs w:val="24"/>
        </w:rPr>
        <w:t xml:space="preserve"> </w:t>
      </w:r>
      <w:r w:rsidRPr="00C9173D">
        <w:rPr>
          <w:rFonts w:ascii="Book Antiqua" w:hAnsi="Book Antiqua" w:cstheme="minorBidi"/>
          <w:szCs w:val="24"/>
        </w:rPr>
        <w:t>Provide best available estimates of emissions of nitrogen oxides and particulate matter associated with all emitting resources used to serve load, including system power.</w:t>
      </w:r>
      <w:r w:rsidR="008672C5" w:rsidRPr="00C9173D">
        <w:rPr>
          <w:rFonts w:ascii="Book Antiqua" w:hAnsi="Book Antiqua" w:cstheme="minorBidi"/>
          <w:szCs w:val="24"/>
        </w:rPr>
        <w:t xml:space="preserve"> </w:t>
      </w:r>
      <w:r w:rsidRPr="00C9173D">
        <w:rPr>
          <w:rFonts w:ascii="Book Antiqua" w:hAnsi="Book Antiqua" w:cstheme="minorBidi"/>
          <w:szCs w:val="24"/>
        </w:rPr>
        <w:t xml:space="preserve"> Refer to pages 19</w:t>
      </w:r>
      <w:r w:rsidR="00D84A09" w:rsidRPr="00C9173D">
        <w:rPr>
          <w:rFonts w:ascii="Book Antiqua" w:hAnsi="Book Antiqua" w:cstheme="minorBidi"/>
          <w:szCs w:val="24"/>
        </w:rPr>
        <w:noBreakHyphen/>
      </w:r>
      <w:r w:rsidRPr="00C9173D">
        <w:rPr>
          <w:rFonts w:ascii="Book Antiqua" w:hAnsi="Book Antiqua" w:cstheme="minorBidi"/>
          <w:szCs w:val="24"/>
        </w:rPr>
        <w:t xml:space="preserve">22 of Desert Community Energy’s IRP filing for </w:t>
      </w:r>
      <w:r w:rsidR="009E6885">
        <w:rPr>
          <w:rFonts w:ascii="Book Antiqua" w:hAnsi="Book Antiqua" w:cstheme="minorBidi"/>
          <w:szCs w:val="24"/>
        </w:rPr>
        <w:t xml:space="preserve">an </w:t>
      </w:r>
      <w:r w:rsidRPr="00C9173D">
        <w:rPr>
          <w:rFonts w:ascii="Book Antiqua" w:hAnsi="Book Antiqua" w:cstheme="minorBidi"/>
          <w:szCs w:val="24"/>
        </w:rPr>
        <w:t xml:space="preserve">example of the type of information a CCA can provide to fulfill this specific filing requirement. </w:t>
      </w:r>
    </w:p>
    <w:p w14:paraId="2147F54C" w14:textId="77777777" w:rsidR="00BD702C" w:rsidRPr="00C9173D" w:rsidRDefault="00BD702C" w:rsidP="00C9173D">
      <w:pPr>
        <w:keepNext/>
        <w:keepLines/>
        <w:spacing w:after="200" w:line="276" w:lineRule="auto"/>
        <w:rPr>
          <w:rFonts w:ascii="Book Antiqua" w:hAnsi="Book Antiqua" w:cstheme="minorBidi"/>
          <w:szCs w:val="24"/>
        </w:rPr>
      </w:pPr>
      <w:r w:rsidRPr="00C9173D">
        <w:rPr>
          <w:rFonts w:ascii="Book Antiqua" w:hAnsi="Book Antiqua" w:cstheme="minorBidi"/>
          <w:b/>
          <w:szCs w:val="24"/>
        </w:rPr>
        <w:t>Guidance for LSE Plan development in the next IRP cycle</w:t>
      </w:r>
      <w:r w:rsidRPr="00C9173D">
        <w:rPr>
          <w:rFonts w:ascii="Book Antiqua" w:hAnsi="Book Antiqua" w:cstheme="minorBidi"/>
          <w:szCs w:val="24"/>
        </w:rPr>
        <w:t>:</w:t>
      </w:r>
    </w:p>
    <w:p w14:paraId="609A189C" w14:textId="77777777" w:rsidR="00BD702C" w:rsidRPr="00C9173D" w:rsidRDefault="00BD702C" w:rsidP="00894BE0">
      <w:pPr>
        <w:numPr>
          <w:ilvl w:val="0"/>
          <w:numId w:val="16"/>
        </w:numPr>
        <w:spacing w:after="200" w:line="276" w:lineRule="auto"/>
        <w:rPr>
          <w:rFonts w:ascii="Book Antiqua" w:hAnsi="Book Antiqua"/>
          <w:szCs w:val="24"/>
        </w:rPr>
      </w:pPr>
      <w:r w:rsidRPr="00C9173D">
        <w:rPr>
          <w:rFonts w:ascii="Book Antiqua" w:hAnsi="Book Antiqua"/>
          <w:szCs w:val="24"/>
        </w:rPr>
        <w:t>Provide more detail about the LSE’s approach in considering cost and rate impacts on its customers.</w:t>
      </w:r>
    </w:p>
    <w:p w14:paraId="12AEF4C3" w14:textId="77777777" w:rsidR="00BD702C" w:rsidRPr="00C9173D" w:rsidRDefault="00BD702C" w:rsidP="00894BE0">
      <w:pPr>
        <w:numPr>
          <w:ilvl w:val="0"/>
          <w:numId w:val="16"/>
        </w:numPr>
        <w:spacing w:after="200" w:line="276" w:lineRule="auto"/>
        <w:rPr>
          <w:rFonts w:ascii="Book Antiqua" w:hAnsi="Book Antiqua"/>
          <w:szCs w:val="24"/>
        </w:rPr>
      </w:pPr>
      <w:r w:rsidRPr="00C9173D">
        <w:rPr>
          <w:rFonts w:ascii="Book Antiqua" w:hAnsi="Book Antiqua"/>
          <w:szCs w:val="24"/>
        </w:rPr>
        <w:t>Draw clearer connections between proposed near</w:t>
      </w:r>
      <w:r w:rsidR="00D84A09" w:rsidRPr="00C9173D">
        <w:rPr>
          <w:rFonts w:ascii="Book Antiqua" w:hAnsi="Book Antiqua"/>
          <w:szCs w:val="24"/>
        </w:rPr>
        <w:noBreakHyphen/>
      </w:r>
      <w:r w:rsidRPr="00C9173D">
        <w:rPr>
          <w:rFonts w:ascii="Book Antiqua" w:hAnsi="Book Antiqua"/>
          <w:szCs w:val="24"/>
        </w:rPr>
        <w:t xml:space="preserve">term activities and the portfolio study results. </w:t>
      </w:r>
    </w:p>
    <w:p w14:paraId="5CF09961" w14:textId="77777777" w:rsidR="00BD702C" w:rsidRPr="00C9173D" w:rsidRDefault="00BD702C" w:rsidP="00671FAB">
      <w:pPr>
        <w:keepNext/>
        <w:keepLines/>
        <w:spacing w:before="240" w:after="120" w:line="276" w:lineRule="auto"/>
        <w:outlineLvl w:val="2"/>
        <w:rPr>
          <w:rFonts w:ascii="Book Antiqua" w:eastAsiaTheme="majorEastAsia" w:hAnsi="Book Antiqua" w:cstheme="majorBidi"/>
          <w:b/>
          <w:szCs w:val="24"/>
        </w:rPr>
      </w:pPr>
      <w:bookmarkStart w:id="90" w:name="_Toc868775"/>
      <w:r w:rsidRPr="00C9173D">
        <w:rPr>
          <w:rFonts w:ascii="Book Antiqua" w:eastAsiaTheme="majorEastAsia" w:hAnsi="Book Antiqua" w:cstheme="majorBidi"/>
          <w:b/>
          <w:szCs w:val="24"/>
        </w:rPr>
        <w:t>San Diego Gas &amp; Electric</w:t>
      </w:r>
      <w:bookmarkEnd w:id="90"/>
    </w:p>
    <w:tbl>
      <w:tblPr>
        <w:tblStyle w:val="TableGrid3"/>
        <w:tblW w:w="0" w:type="auto"/>
        <w:tblLook w:val="04A0" w:firstRow="1" w:lastRow="0" w:firstColumn="1" w:lastColumn="0" w:noHBand="0" w:noVBand="1"/>
      </w:tblPr>
      <w:tblGrid>
        <w:gridCol w:w="2760"/>
        <w:gridCol w:w="6590"/>
      </w:tblGrid>
      <w:tr w:rsidR="00BD702C" w:rsidRPr="00BD702C" w14:paraId="65743DB7" w14:textId="77777777" w:rsidTr="00BD702C">
        <w:tc>
          <w:tcPr>
            <w:tcW w:w="2760" w:type="dxa"/>
          </w:tcPr>
          <w:p w14:paraId="15391574" w14:textId="77777777" w:rsidR="00BD702C" w:rsidRPr="00BD702C" w:rsidRDefault="00BD702C" w:rsidP="00C9173D">
            <w:pPr>
              <w:spacing w:before="60" w:after="60"/>
              <w:jc w:val="center"/>
              <w:rPr>
                <w:rFonts w:ascii="Book Antiqua" w:hAnsi="Book Antiqua"/>
                <w:b/>
                <w:sz w:val="24"/>
                <w:szCs w:val="24"/>
              </w:rPr>
            </w:pPr>
            <w:r w:rsidRPr="00BD702C">
              <w:rPr>
                <w:rFonts w:ascii="Book Antiqua" w:hAnsi="Book Antiqua"/>
                <w:b/>
                <w:sz w:val="24"/>
                <w:szCs w:val="24"/>
              </w:rPr>
              <w:t>Requirement</w:t>
            </w:r>
          </w:p>
        </w:tc>
        <w:tc>
          <w:tcPr>
            <w:tcW w:w="6590" w:type="dxa"/>
          </w:tcPr>
          <w:p w14:paraId="49F8B63E" w14:textId="77777777" w:rsidR="00BD702C" w:rsidRPr="00BD702C" w:rsidRDefault="00BD702C" w:rsidP="00C9173D">
            <w:pPr>
              <w:spacing w:before="60" w:after="60"/>
              <w:jc w:val="center"/>
              <w:rPr>
                <w:rFonts w:ascii="Book Antiqua" w:hAnsi="Book Antiqua"/>
                <w:b/>
                <w:sz w:val="24"/>
                <w:szCs w:val="24"/>
              </w:rPr>
            </w:pPr>
            <w:r w:rsidRPr="00BD702C">
              <w:rPr>
                <w:rFonts w:ascii="Book Antiqua" w:hAnsi="Book Antiqua"/>
                <w:b/>
                <w:sz w:val="24"/>
                <w:szCs w:val="24"/>
              </w:rPr>
              <w:t>Assessment</w:t>
            </w:r>
          </w:p>
        </w:tc>
      </w:tr>
      <w:tr w:rsidR="00BD702C" w:rsidRPr="00BD702C" w14:paraId="6776C2D8" w14:textId="77777777" w:rsidTr="00BD702C">
        <w:tc>
          <w:tcPr>
            <w:tcW w:w="2760" w:type="dxa"/>
          </w:tcPr>
          <w:p w14:paraId="3770837A"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Study Design</w:t>
            </w:r>
          </w:p>
        </w:tc>
        <w:tc>
          <w:tcPr>
            <w:tcW w:w="6590" w:type="dxa"/>
          </w:tcPr>
          <w:p w14:paraId="7270ABAB"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San Diego Gas &amp; Electric (SDG&amp;E) provided an adequate description of modeling tools and approach used to develop its portfolios.</w:t>
            </w:r>
          </w:p>
        </w:tc>
      </w:tr>
      <w:tr w:rsidR="00BD702C" w:rsidRPr="00BD702C" w14:paraId="79411134" w14:textId="77777777" w:rsidTr="00BD702C">
        <w:tc>
          <w:tcPr>
            <w:tcW w:w="2760" w:type="dxa"/>
          </w:tcPr>
          <w:p w14:paraId="521DBEE5"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Preferred and Conforming Portfolios</w:t>
            </w:r>
          </w:p>
        </w:tc>
        <w:tc>
          <w:tcPr>
            <w:tcW w:w="6590" w:type="dxa"/>
          </w:tcPr>
          <w:p w14:paraId="5A313CA5"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sz w:val="24"/>
                <w:szCs w:val="24"/>
              </w:rPr>
              <w:t>SDG&amp;E provided a Conforming Portfolio as its Preferred Portfolio showing both existing resources and new resources that it plans to invest in or contract with.</w:t>
            </w:r>
            <w:r w:rsidR="008672C5">
              <w:rPr>
                <w:rFonts w:ascii="Book Antiqua" w:hAnsi="Book Antiqua"/>
                <w:sz w:val="24"/>
                <w:szCs w:val="24"/>
              </w:rPr>
              <w:t xml:space="preserve"> </w:t>
            </w:r>
            <w:r w:rsidRPr="00BD702C">
              <w:rPr>
                <w:rFonts w:ascii="Book Antiqua" w:hAnsi="Book Antiqua"/>
                <w:sz w:val="24"/>
                <w:szCs w:val="24"/>
              </w:rPr>
              <w:t xml:space="preserve"> It provided an exemplary explanation of the reasons for its preference, accompanied by tables and figures, along with an explanation of how each statutory requirement was addressed.</w:t>
            </w:r>
            <w:r w:rsidR="008672C5">
              <w:rPr>
                <w:rFonts w:ascii="Book Antiqua" w:hAnsi="Book Antiqua"/>
                <w:sz w:val="24"/>
                <w:szCs w:val="24"/>
              </w:rPr>
              <w:t xml:space="preserve"> </w:t>
            </w:r>
            <w:r w:rsidRPr="00BD702C">
              <w:rPr>
                <w:rFonts w:ascii="Book Antiqua" w:hAnsi="Book Antiqua"/>
                <w:sz w:val="24"/>
                <w:szCs w:val="24"/>
              </w:rPr>
              <w:t xml:space="preserve"> SDG&amp;E did not submit an optional Alternative Portfolio.</w:t>
            </w:r>
          </w:p>
          <w:p w14:paraId="2DF05D89"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sz w:val="24"/>
                <w:szCs w:val="24"/>
              </w:rPr>
              <w:t xml:space="preserve">SDG&amp;E’s Conforming Portfolio used an incorrect load forecast for the years 2018, 2022, and 2026, but the load forecast used for year 2030 was correct and met its assigned GHG Benchmark. </w:t>
            </w:r>
            <w:r w:rsidR="008672C5">
              <w:rPr>
                <w:rFonts w:ascii="Book Antiqua" w:hAnsi="Book Antiqua"/>
                <w:sz w:val="24"/>
                <w:szCs w:val="24"/>
              </w:rPr>
              <w:t xml:space="preserve"> </w:t>
            </w:r>
            <w:r w:rsidRPr="00BD702C">
              <w:rPr>
                <w:rFonts w:ascii="Book Antiqua" w:hAnsi="Book Antiqua"/>
                <w:sz w:val="24"/>
                <w:szCs w:val="24"/>
              </w:rPr>
              <w:t>Though the deviation was less than 1% in each year, SDG&amp;E did not explain why its load forecast deviated from its assigned forecast.</w:t>
            </w:r>
          </w:p>
        </w:tc>
      </w:tr>
      <w:tr w:rsidR="00BD702C" w:rsidRPr="00BD702C" w14:paraId="2E459BC8" w14:textId="77777777" w:rsidTr="00BD702C">
        <w:tc>
          <w:tcPr>
            <w:tcW w:w="2760" w:type="dxa"/>
          </w:tcPr>
          <w:p w14:paraId="503E002F"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Local Air Pollutant Minimization</w:t>
            </w:r>
          </w:p>
        </w:tc>
        <w:tc>
          <w:tcPr>
            <w:tcW w:w="6590" w:type="dxa"/>
          </w:tcPr>
          <w:p w14:paraId="7599F47F"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SDG&amp;E provided exemplary estimates of emissions of nitrogen oxides and particulate matter.</w:t>
            </w:r>
            <w:r w:rsidR="008672C5">
              <w:rPr>
                <w:rFonts w:ascii="Book Antiqua" w:hAnsi="Book Antiqua"/>
                <w:sz w:val="24"/>
                <w:szCs w:val="24"/>
              </w:rPr>
              <w:t xml:space="preserve"> </w:t>
            </w:r>
            <w:r w:rsidRPr="00BD702C">
              <w:rPr>
                <w:rFonts w:ascii="Book Antiqua" w:hAnsi="Book Antiqua"/>
                <w:sz w:val="24"/>
                <w:szCs w:val="24"/>
              </w:rPr>
              <w:t xml:space="preserve"> Identification of disadvantaged communities was exemplary.</w:t>
            </w:r>
          </w:p>
        </w:tc>
      </w:tr>
      <w:tr w:rsidR="00BD702C" w:rsidRPr="00BD702C" w14:paraId="4F8E2845" w14:textId="77777777" w:rsidTr="00BD702C">
        <w:tc>
          <w:tcPr>
            <w:tcW w:w="2760" w:type="dxa"/>
          </w:tcPr>
          <w:p w14:paraId="3F761402"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Cost and Rate Analysis</w:t>
            </w:r>
          </w:p>
        </w:tc>
        <w:tc>
          <w:tcPr>
            <w:tcW w:w="6590" w:type="dxa"/>
          </w:tcPr>
          <w:p w14:paraId="2FEA6E17"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SDG&amp;E provided an exemplary description of the method used to calculate future rate impact.</w:t>
            </w:r>
          </w:p>
        </w:tc>
      </w:tr>
      <w:tr w:rsidR="00BD702C" w:rsidRPr="00BD702C" w14:paraId="79BD306B" w14:textId="77777777" w:rsidTr="00BD702C">
        <w:tc>
          <w:tcPr>
            <w:tcW w:w="2760" w:type="dxa"/>
          </w:tcPr>
          <w:p w14:paraId="1BABB696"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Deviations from Current Resource Plans</w:t>
            </w:r>
          </w:p>
        </w:tc>
        <w:tc>
          <w:tcPr>
            <w:tcW w:w="6590" w:type="dxa"/>
          </w:tcPr>
          <w:p w14:paraId="258851F7" w14:textId="77777777" w:rsidR="00BD702C" w:rsidRPr="00BD702C" w:rsidRDefault="00BD702C" w:rsidP="00C9173D">
            <w:pPr>
              <w:spacing w:before="60" w:after="60"/>
              <w:rPr>
                <w:rFonts w:ascii="Book Antiqua" w:hAnsi="Book Antiqua"/>
                <w:b/>
                <w:sz w:val="24"/>
                <w:szCs w:val="24"/>
              </w:rPr>
            </w:pPr>
            <w:r w:rsidRPr="00BD702C">
              <w:rPr>
                <w:rFonts w:ascii="Book Antiqua" w:hAnsi="Book Antiqua"/>
                <w:sz w:val="24"/>
                <w:szCs w:val="24"/>
              </w:rPr>
              <w:t>SDG&amp;E provided an adequate description of the differences in quantities and budgets for procurement between its Preferred Plan and currently filed or authorized resource plans, stating that there are no deviations, and that it assumes it will continue to meet its current required procurement obligations.</w:t>
            </w:r>
          </w:p>
        </w:tc>
      </w:tr>
      <w:tr w:rsidR="00BD702C" w:rsidRPr="00BD702C" w14:paraId="5D1FBC01" w14:textId="77777777" w:rsidTr="00BD702C">
        <w:tc>
          <w:tcPr>
            <w:tcW w:w="2760" w:type="dxa"/>
          </w:tcPr>
          <w:p w14:paraId="69F761D8" w14:textId="77777777" w:rsidR="00BD702C" w:rsidRPr="00BD702C" w:rsidRDefault="00BD702C" w:rsidP="00C9173D">
            <w:pPr>
              <w:spacing w:before="60" w:after="60"/>
              <w:rPr>
                <w:rFonts w:ascii="Book Antiqua" w:hAnsi="Book Antiqua"/>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Activities</w:t>
            </w:r>
          </w:p>
        </w:tc>
        <w:tc>
          <w:tcPr>
            <w:tcW w:w="6590" w:type="dxa"/>
          </w:tcPr>
          <w:p w14:paraId="527187BD"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SDG&amp;E provided an adequate description of its proposed near</w:t>
            </w:r>
            <w:r w:rsidR="00D84A09">
              <w:rPr>
                <w:rFonts w:ascii="Book Antiqua" w:hAnsi="Book Antiqua"/>
                <w:sz w:val="24"/>
                <w:szCs w:val="24"/>
              </w:rPr>
              <w:noBreakHyphen/>
            </w:r>
            <w:r w:rsidRPr="00BD702C">
              <w:rPr>
                <w:rFonts w:ascii="Book Antiqua" w:hAnsi="Book Antiqua"/>
                <w:sz w:val="24"/>
                <w:szCs w:val="24"/>
              </w:rPr>
              <w:t>term activities to implement its LSE Plan along with links to its Preferred Portfolio findings, indicating that no incremental near</w:t>
            </w:r>
            <w:r w:rsidR="00D84A09">
              <w:rPr>
                <w:rFonts w:ascii="Book Antiqua" w:hAnsi="Book Antiqua"/>
                <w:sz w:val="24"/>
                <w:szCs w:val="24"/>
              </w:rPr>
              <w:noBreakHyphen/>
            </w:r>
            <w:r w:rsidRPr="00BD702C">
              <w:rPr>
                <w:rFonts w:ascii="Book Antiqua" w:hAnsi="Book Antiqua"/>
                <w:sz w:val="24"/>
                <w:szCs w:val="24"/>
              </w:rPr>
              <w:t>term procurement, beyond its current activities, is needed.</w:t>
            </w:r>
          </w:p>
          <w:p w14:paraId="6871498E"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SDG&amp;E provided an exemplary description of planned activities to conduct outreach and seek input from disadvantaged communities that could be impacted by procurement resulting from the implementation of its LSE Plan.</w:t>
            </w:r>
          </w:p>
        </w:tc>
      </w:tr>
      <w:tr w:rsidR="00BD702C" w:rsidRPr="00BD702C" w14:paraId="5F81DE20" w14:textId="77777777" w:rsidTr="00BD702C">
        <w:tc>
          <w:tcPr>
            <w:tcW w:w="2760" w:type="dxa"/>
          </w:tcPr>
          <w:p w14:paraId="257C5007" w14:textId="77777777" w:rsidR="00BD702C" w:rsidRPr="00BD702C" w:rsidRDefault="00BD702C" w:rsidP="00C9173D">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Barrier Analysis</w:t>
            </w:r>
          </w:p>
        </w:tc>
        <w:tc>
          <w:tcPr>
            <w:tcW w:w="6590" w:type="dxa"/>
          </w:tcPr>
          <w:p w14:paraId="2D16D1F8"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SDG&amp;E provided an adequate description of the market, regulatory, financial, and barriers or risks associated with its Preferred Portfolio.</w:t>
            </w:r>
          </w:p>
        </w:tc>
      </w:tr>
      <w:tr w:rsidR="00BD702C" w:rsidRPr="00BD702C" w14:paraId="451C0560" w14:textId="77777777" w:rsidTr="00BD702C">
        <w:tc>
          <w:tcPr>
            <w:tcW w:w="2760" w:type="dxa"/>
            <w:shd w:val="clear" w:color="auto" w:fill="auto"/>
          </w:tcPr>
          <w:p w14:paraId="143352F6" w14:textId="77777777" w:rsidR="00BD702C" w:rsidRPr="00BD702C" w:rsidRDefault="00BD702C" w:rsidP="000E00E5">
            <w:pPr>
              <w:keepNext/>
              <w:keepLines/>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590" w:type="dxa"/>
            <w:shd w:val="clear" w:color="auto" w:fill="auto"/>
          </w:tcPr>
          <w:p w14:paraId="100258F9" w14:textId="77777777" w:rsidR="00BD702C" w:rsidRPr="00BD702C" w:rsidRDefault="00BD702C" w:rsidP="000E00E5">
            <w:pPr>
              <w:keepNext/>
              <w:keepLines/>
              <w:spacing w:before="60" w:after="60"/>
              <w:rPr>
                <w:rFonts w:ascii="Book Antiqua" w:hAnsi="Book Antiqua"/>
                <w:sz w:val="24"/>
                <w:szCs w:val="24"/>
                <w:highlight w:val="yellow"/>
              </w:rPr>
            </w:pPr>
            <w:r w:rsidRPr="00BD702C">
              <w:rPr>
                <w:rFonts w:ascii="Book Antiqua" w:hAnsi="Book Antiqua"/>
                <w:sz w:val="24"/>
                <w:szCs w:val="24"/>
              </w:rPr>
              <w:t>SDG&amp;E indicated that it is not seeking any authorizations or changes to programmatic goals from the Commission at this time.</w:t>
            </w:r>
          </w:p>
        </w:tc>
      </w:tr>
      <w:tr w:rsidR="00BD702C" w:rsidRPr="00BD702C" w14:paraId="061858D2" w14:textId="77777777" w:rsidTr="00BD702C">
        <w:tc>
          <w:tcPr>
            <w:tcW w:w="2760" w:type="dxa"/>
          </w:tcPr>
          <w:p w14:paraId="5F070133" w14:textId="77777777" w:rsidR="00BD702C" w:rsidRPr="00BD702C" w:rsidRDefault="00BD702C" w:rsidP="00C9173D">
            <w:pPr>
              <w:spacing w:before="60" w:after="60"/>
              <w:rPr>
                <w:rFonts w:ascii="Book Antiqua" w:hAnsi="Book Antiqua"/>
                <w:color w:val="000000"/>
                <w:sz w:val="24"/>
                <w:szCs w:val="24"/>
              </w:rPr>
            </w:pPr>
            <w:r w:rsidRPr="00BD702C">
              <w:rPr>
                <w:rFonts w:ascii="Book Antiqua" w:hAnsi="Book Antiqua"/>
                <w:color w:val="000000"/>
                <w:sz w:val="24"/>
                <w:szCs w:val="24"/>
              </w:rPr>
              <w:t>Lessons Learned</w:t>
            </w:r>
          </w:p>
        </w:tc>
        <w:tc>
          <w:tcPr>
            <w:tcW w:w="6590" w:type="dxa"/>
          </w:tcPr>
          <w:p w14:paraId="2AC5ECC0"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SDG&amp;E provided an adequate description of lessons learned.</w:t>
            </w:r>
          </w:p>
        </w:tc>
      </w:tr>
    </w:tbl>
    <w:p w14:paraId="6F14264F" w14:textId="77777777" w:rsidR="00BD702C" w:rsidRPr="00C9173D" w:rsidRDefault="00BD702C" w:rsidP="00671FAB">
      <w:pPr>
        <w:keepNext/>
        <w:keepLines/>
        <w:spacing w:before="120" w:after="120" w:line="276" w:lineRule="auto"/>
        <w:outlineLvl w:val="3"/>
        <w:rPr>
          <w:rFonts w:ascii="Book Antiqua" w:eastAsiaTheme="majorEastAsia" w:hAnsi="Book Antiqua" w:cstheme="majorBidi"/>
          <w:b/>
          <w:i/>
          <w:iCs/>
          <w:szCs w:val="26"/>
        </w:rPr>
      </w:pPr>
      <w:r w:rsidRPr="00C9173D">
        <w:rPr>
          <w:rFonts w:ascii="Book Antiqua" w:eastAsiaTheme="majorEastAsia" w:hAnsi="Book Antiqua" w:cstheme="majorBidi"/>
          <w:b/>
          <w:i/>
          <w:iCs/>
          <w:szCs w:val="26"/>
        </w:rPr>
        <w:t>Next Steps for SDG&amp;E</w:t>
      </w:r>
    </w:p>
    <w:p w14:paraId="730EA37A" w14:textId="77777777" w:rsidR="00BD702C" w:rsidRPr="00C9173D" w:rsidRDefault="00BD702C" w:rsidP="00BD702C">
      <w:pPr>
        <w:spacing w:after="200" w:line="276" w:lineRule="auto"/>
        <w:rPr>
          <w:rFonts w:ascii="Book Antiqua" w:hAnsi="Book Antiqua" w:cstheme="minorBidi"/>
          <w:szCs w:val="26"/>
        </w:rPr>
      </w:pPr>
      <w:r w:rsidRPr="00C9173D">
        <w:rPr>
          <w:rFonts w:ascii="Book Antiqua" w:hAnsi="Book Antiqua" w:cstheme="minorBidi"/>
          <w:b/>
          <w:szCs w:val="26"/>
        </w:rPr>
        <w:t>Action required in this IRP 2017</w:t>
      </w:r>
      <w:r w:rsidR="00D84A09" w:rsidRPr="00C9173D">
        <w:rPr>
          <w:rFonts w:ascii="Book Antiqua" w:hAnsi="Book Antiqua" w:cstheme="minorBidi"/>
          <w:b/>
          <w:szCs w:val="26"/>
        </w:rPr>
        <w:noBreakHyphen/>
      </w:r>
      <w:r w:rsidRPr="00C9173D">
        <w:rPr>
          <w:rFonts w:ascii="Book Antiqua" w:hAnsi="Book Antiqua" w:cstheme="minorBidi"/>
          <w:b/>
          <w:szCs w:val="26"/>
        </w:rPr>
        <w:t>18 cycle</w:t>
      </w:r>
      <w:r w:rsidRPr="00C9173D">
        <w:rPr>
          <w:rFonts w:ascii="Book Antiqua" w:hAnsi="Book Antiqua" w:cstheme="minorBidi"/>
          <w:szCs w:val="26"/>
        </w:rPr>
        <w:t xml:space="preserve">: </w:t>
      </w:r>
      <w:r w:rsidR="004731C2" w:rsidRPr="00C9173D">
        <w:rPr>
          <w:rFonts w:ascii="Book Antiqua" w:hAnsi="Book Antiqua" w:cstheme="minorBidi"/>
          <w:szCs w:val="26"/>
        </w:rPr>
        <w:t xml:space="preserve"> </w:t>
      </w:r>
      <w:r w:rsidRPr="00C9173D">
        <w:rPr>
          <w:rFonts w:ascii="Book Antiqua" w:hAnsi="Book Antiqua" w:cstheme="minorBidi"/>
          <w:szCs w:val="26"/>
        </w:rPr>
        <w:t>None at this time.</w:t>
      </w:r>
    </w:p>
    <w:p w14:paraId="13A2660D" w14:textId="77777777" w:rsidR="00BD702C" w:rsidRPr="00C9173D" w:rsidRDefault="00BD702C" w:rsidP="00BD702C">
      <w:pPr>
        <w:spacing w:after="200" w:line="276" w:lineRule="auto"/>
        <w:rPr>
          <w:rFonts w:ascii="Book Antiqua" w:hAnsi="Book Antiqua" w:cstheme="minorBidi"/>
          <w:szCs w:val="26"/>
        </w:rPr>
      </w:pPr>
      <w:r w:rsidRPr="00C9173D">
        <w:rPr>
          <w:rFonts w:ascii="Book Antiqua" w:hAnsi="Book Antiqua" w:cstheme="minorBidi"/>
          <w:b/>
          <w:szCs w:val="26"/>
        </w:rPr>
        <w:t>Guidance for LSE Plan development in the next IRP cycle</w:t>
      </w:r>
      <w:r w:rsidRPr="00C9173D">
        <w:rPr>
          <w:rFonts w:ascii="Book Antiqua" w:hAnsi="Book Antiqua" w:cstheme="minorBidi"/>
          <w:szCs w:val="26"/>
        </w:rPr>
        <w:t xml:space="preserve">: </w:t>
      </w:r>
      <w:r w:rsidR="004731C2" w:rsidRPr="00C9173D">
        <w:rPr>
          <w:rFonts w:ascii="Book Antiqua" w:hAnsi="Book Antiqua" w:cstheme="minorBidi"/>
          <w:szCs w:val="26"/>
        </w:rPr>
        <w:t xml:space="preserve"> </w:t>
      </w:r>
      <w:r w:rsidRPr="00C9173D">
        <w:rPr>
          <w:rFonts w:ascii="Book Antiqua" w:hAnsi="Book Antiqua" w:cstheme="minorBidi"/>
          <w:szCs w:val="26"/>
        </w:rPr>
        <w:t>Use the correct assigned load forecast when developing the Conforming Portfolio.</w:t>
      </w:r>
    </w:p>
    <w:p w14:paraId="5831B565" w14:textId="77777777" w:rsidR="00BD702C" w:rsidRPr="00C9173D" w:rsidRDefault="00BD702C" w:rsidP="00671FAB">
      <w:pPr>
        <w:keepNext/>
        <w:keepLines/>
        <w:spacing w:before="240" w:after="120" w:line="276" w:lineRule="auto"/>
        <w:outlineLvl w:val="2"/>
        <w:rPr>
          <w:rFonts w:ascii="Book Antiqua" w:eastAsiaTheme="majorEastAsia" w:hAnsi="Book Antiqua" w:cstheme="majorBidi"/>
          <w:b/>
          <w:color w:val="243F60" w:themeColor="accent1" w:themeShade="7F"/>
          <w:szCs w:val="26"/>
        </w:rPr>
      </w:pPr>
      <w:bookmarkStart w:id="91" w:name="_Toc868776"/>
      <w:r w:rsidRPr="00C9173D">
        <w:rPr>
          <w:rFonts w:ascii="Book Antiqua" w:eastAsiaTheme="majorEastAsia" w:hAnsi="Book Antiqua" w:cstheme="majorBidi"/>
          <w:b/>
          <w:color w:val="243F60" w:themeColor="accent1" w:themeShade="7F"/>
          <w:szCs w:val="26"/>
        </w:rPr>
        <w:t>San Jacinto Power</w:t>
      </w:r>
      <w:bookmarkEnd w:id="91"/>
    </w:p>
    <w:tbl>
      <w:tblPr>
        <w:tblStyle w:val="TableGrid3"/>
        <w:tblW w:w="0" w:type="auto"/>
        <w:tblLook w:val="04A0" w:firstRow="1" w:lastRow="0" w:firstColumn="1" w:lastColumn="0" w:noHBand="0" w:noVBand="1"/>
      </w:tblPr>
      <w:tblGrid>
        <w:gridCol w:w="2761"/>
        <w:gridCol w:w="6589"/>
      </w:tblGrid>
      <w:tr w:rsidR="00BD702C" w:rsidRPr="00BD702C" w14:paraId="02BB9BD8" w14:textId="77777777" w:rsidTr="00BD702C">
        <w:tc>
          <w:tcPr>
            <w:tcW w:w="2761" w:type="dxa"/>
          </w:tcPr>
          <w:p w14:paraId="0608D822" w14:textId="77777777" w:rsidR="00BD702C" w:rsidRPr="00BD702C" w:rsidRDefault="00BD702C" w:rsidP="00C9173D">
            <w:pPr>
              <w:spacing w:before="60" w:after="60"/>
              <w:jc w:val="center"/>
              <w:rPr>
                <w:rFonts w:ascii="Book Antiqua" w:hAnsi="Book Antiqua"/>
                <w:b/>
                <w:sz w:val="24"/>
                <w:szCs w:val="24"/>
              </w:rPr>
            </w:pPr>
            <w:r w:rsidRPr="00BD702C">
              <w:rPr>
                <w:rFonts w:ascii="Book Antiqua" w:hAnsi="Book Antiqua"/>
                <w:b/>
                <w:sz w:val="24"/>
                <w:szCs w:val="24"/>
              </w:rPr>
              <w:t>Requirement</w:t>
            </w:r>
          </w:p>
        </w:tc>
        <w:tc>
          <w:tcPr>
            <w:tcW w:w="6589" w:type="dxa"/>
          </w:tcPr>
          <w:p w14:paraId="1C584E2B" w14:textId="77777777" w:rsidR="00BD702C" w:rsidRPr="00BD702C" w:rsidRDefault="00BD702C" w:rsidP="00C9173D">
            <w:pPr>
              <w:spacing w:before="60" w:after="60"/>
              <w:jc w:val="center"/>
              <w:rPr>
                <w:rFonts w:ascii="Book Antiqua" w:hAnsi="Book Antiqua"/>
                <w:b/>
                <w:sz w:val="24"/>
                <w:szCs w:val="24"/>
              </w:rPr>
            </w:pPr>
            <w:r w:rsidRPr="00BD702C">
              <w:rPr>
                <w:rFonts w:ascii="Book Antiqua" w:hAnsi="Book Antiqua"/>
                <w:b/>
                <w:sz w:val="24"/>
                <w:szCs w:val="24"/>
              </w:rPr>
              <w:t>Assessment</w:t>
            </w:r>
          </w:p>
        </w:tc>
      </w:tr>
      <w:tr w:rsidR="00BD702C" w:rsidRPr="00BD702C" w14:paraId="1EE22AC7" w14:textId="77777777" w:rsidTr="00BD702C">
        <w:tc>
          <w:tcPr>
            <w:tcW w:w="2761" w:type="dxa"/>
          </w:tcPr>
          <w:p w14:paraId="7256673C"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Study Design</w:t>
            </w:r>
          </w:p>
        </w:tc>
        <w:tc>
          <w:tcPr>
            <w:tcW w:w="6589" w:type="dxa"/>
          </w:tcPr>
          <w:p w14:paraId="77C36AB9"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San Jacinto Power (</w:t>
            </w:r>
            <w:r w:rsidR="00664E8A">
              <w:rPr>
                <w:rFonts w:ascii="Book Antiqua" w:hAnsi="Book Antiqua"/>
                <w:sz w:val="24"/>
                <w:szCs w:val="24"/>
              </w:rPr>
              <w:t>San Jacinto</w:t>
            </w:r>
            <w:r w:rsidRPr="00BD702C">
              <w:rPr>
                <w:rFonts w:ascii="Book Antiqua" w:hAnsi="Book Antiqua"/>
                <w:sz w:val="24"/>
                <w:szCs w:val="24"/>
              </w:rPr>
              <w:t>) provided an adequate description of modeling tools and approach used to develop its portfolio.</w:t>
            </w:r>
          </w:p>
        </w:tc>
      </w:tr>
      <w:tr w:rsidR="00BD702C" w:rsidRPr="00BD702C" w14:paraId="24A64988" w14:textId="77777777" w:rsidTr="00BD702C">
        <w:tc>
          <w:tcPr>
            <w:tcW w:w="2761" w:type="dxa"/>
          </w:tcPr>
          <w:p w14:paraId="658FD99A"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Preferred and Conforming Portfolios</w:t>
            </w:r>
          </w:p>
        </w:tc>
        <w:tc>
          <w:tcPr>
            <w:tcW w:w="6589" w:type="dxa"/>
          </w:tcPr>
          <w:p w14:paraId="5A9BC375"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S</w:t>
            </w:r>
            <w:r w:rsidR="00664E8A">
              <w:rPr>
                <w:rFonts w:ascii="Book Antiqua" w:hAnsi="Book Antiqua"/>
                <w:sz w:val="24"/>
                <w:szCs w:val="24"/>
              </w:rPr>
              <w:t xml:space="preserve">an </w:t>
            </w:r>
            <w:r w:rsidRPr="00BD702C">
              <w:rPr>
                <w:rFonts w:ascii="Book Antiqua" w:hAnsi="Book Antiqua"/>
                <w:sz w:val="24"/>
                <w:szCs w:val="24"/>
              </w:rPr>
              <w:t>J</w:t>
            </w:r>
            <w:r w:rsidR="00664E8A">
              <w:rPr>
                <w:rFonts w:ascii="Book Antiqua" w:hAnsi="Book Antiqua"/>
                <w:sz w:val="24"/>
                <w:szCs w:val="24"/>
              </w:rPr>
              <w:t>acinto</w:t>
            </w:r>
            <w:r w:rsidRPr="00BD702C">
              <w:rPr>
                <w:rFonts w:ascii="Book Antiqua" w:hAnsi="Book Antiqua"/>
                <w:sz w:val="24"/>
                <w:szCs w:val="24"/>
              </w:rPr>
              <w:t xml:space="preserve"> provided a Conforming Portfolio as its Preferred Portfolio showing both existing resources and new resources that it plans to invest in or contract with. </w:t>
            </w:r>
            <w:r w:rsidR="008672C5">
              <w:rPr>
                <w:rFonts w:ascii="Book Antiqua" w:hAnsi="Book Antiqua"/>
                <w:sz w:val="24"/>
                <w:szCs w:val="24"/>
              </w:rPr>
              <w:t xml:space="preserve"> </w:t>
            </w:r>
            <w:r w:rsidRPr="00BD702C">
              <w:rPr>
                <w:rFonts w:ascii="Book Antiqua" w:hAnsi="Book Antiqua"/>
                <w:sz w:val="24"/>
                <w:szCs w:val="24"/>
              </w:rPr>
              <w:t>It provided an adequate explanation of the reasons for its preference, but it did not explain how its Preferred Portfolio is consistent with each relevant statutory and administrative requirement.</w:t>
            </w:r>
            <w:r w:rsidR="008672C5">
              <w:rPr>
                <w:rFonts w:ascii="Book Antiqua" w:hAnsi="Book Antiqua"/>
                <w:sz w:val="24"/>
                <w:szCs w:val="24"/>
              </w:rPr>
              <w:t xml:space="preserve"> </w:t>
            </w:r>
            <w:r w:rsidRPr="00BD702C">
              <w:rPr>
                <w:rFonts w:ascii="Book Antiqua" w:hAnsi="Book Antiqua"/>
                <w:sz w:val="24"/>
                <w:szCs w:val="24"/>
              </w:rPr>
              <w:t xml:space="preserve"> </w:t>
            </w:r>
            <w:r w:rsidR="00664E8A">
              <w:rPr>
                <w:rFonts w:ascii="Book Antiqua" w:hAnsi="Book Antiqua"/>
                <w:sz w:val="24"/>
                <w:szCs w:val="24"/>
              </w:rPr>
              <w:t>San Jacinto</w:t>
            </w:r>
            <w:r w:rsidRPr="00BD702C">
              <w:rPr>
                <w:rFonts w:ascii="Book Antiqua" w:hAnsi="Book Antiqua"/>
                <w:sz w:val="24"/>
                <w:szCs w:val="24"/>
              </w:rPr>
              <w:t xml:space="preserve"> did not submit an optional Alternative Portfolio.</w:t>
            </w:r>
          </w:p>
        </w:tc>
      </w:tr>
      <w:tr w:rsidR="00BD702C" w:rsidRPr="00BD702C" w14:paraId="1624C61F" w14:textId="77777777" w:rsidTr="00BD702C">
        <w:tc>
          <w:tcPr>
            <w:tcW w:w="2761" w:type="dxa"/>
          </w:tcPr>
          <w:p w14:paraId="1A5F9AB5"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Local Air Pollutant Minimization</w:t>
            </w:r>
          </w:p>
        </w:tc>
        <w:tc>
          <w:tcPr>
            <w:tcW w:w="6589" w:type="dxa"/>
          </w:tcPr>
          <w:p w14:paraId="60BEE359" w14:textId="77777777" w:rsidR="00BD702C" w:rsidRPr="00BD702C" w:rsidRDefault="00664E8A" w:rsidP="00C9173D">
            <w:pPr>
              <w:spacing w:before="60" w:after="60"/>
              <w:rPr>
                <w:rFonts w:ascii="Book Antiqua" w:hAnsi="Book Antiqua"/>
                <w:sz w:val="24"/>
                <w:szCs w:val="24"/>
              </w:rPr>
            </w:pPr>
            <w:r>
              <w:rPr>
                <w:rFonts w:ascii="Book Antiqua" w:hAnsi="Book Antiqua"/>
                <w:sz w:val="24"/>
                <w:szCs w:val="24"/>
              </w:rPr>
              <w:t>San Jacinto</w:t>
            </w:r>
            <w:r w:rsidR="00BD702C" w:rsidRPr="00BD702C">
              <w:rPr>
                <w:rFonts w:ascii="Book Antiqua" w:hAnsi="Book Antiqua"/>
                <w:sz w:val="24"/>
                <w:szCs w:val="24"/>
              </w:rPr>
              <w:t xml:space="preserve"> stated that it minimizes localized air pollutants with early priority on disadvantaged communities but did not provide any quantitative evidence to back the claim. </w:t>
            </w:r>
            <w:r w:rsidR="008672C5">
              <w:rPr>
                <w:rFonts w:ascii="Book Antiqua" w:hAnsi="Book Antiqua"/>
                <w:sz w:val="24"/>
                <w:szCs w:val="24"/>
              </w:rPr>
              <w:t xml:space="preserve"> </w:t>
            </w:r>
            <w:r w:rsidR="00BD702C" w:rsidRPr="00BD702C">
              <w:rPr>
                <w:rFonts w:ascii="Book Antiqua" w:hAnsi="Book Antiqua"/>
                <w:sz w:val="24"/>
                <w:szCs w:val="24"/>
              </w:rPr>
              <w:t xml:space="preserve">No attempt to provide best available estimates of emissions of nitrogen oxides and particulate matter was made. </w:t>
            </w:r>
            <w:r w:rsidR="008672C5">
              <w:rPr>
                <w:rFonts w:ascii="Book Antiqua" w:hAnsi="Book Antiqua"/>
                <w:sz w:val="24"/>
                <w:szCs w:val="24"/>
              </w:rPr>
              <w:t xml:space="preserve"> </w:t>
            </w:r>
            <w:r w:rsidR="00BD702C" w:rsidRPr="00BD702C">
              <w:rPr>
                <w:rFonts w:ascii="Book Antiqua" w:hAnsi="Book Antiqua"/>
                <w:sz w:val="24"/>
                <w:szCs w:val="24"/>
              </w:rPr>
              <w:t xml:space="preserve">Identification of disadvantaged communities was adequate. </w:t>
            </w:r>
          </w:p>
        </w:tc>
      </w:tr>
      <w:tr w:rsidR="00BD702C" w:rsidRPr="00BD702C" w14:paraId="12E04335" w14:textId="77777777" w:rsidTr="00BD702C">
        <w:tc>
          <w:tcPr>
            <w:tcW w:w="2761" w:type="dxa"/>
          </w:tcPr>
          <w:p w14:paraId="1BD13F3F" w14:textId="77777777" w:rsidR="00BD702C" w:rsidRPr="00BD702C" w:rsidRDefault="00BD702C" w:rsidP="00C9173D">
            <w:pPr>
              <w:spacing w:before="60" w:after="60"/>
              <w:rPr>
                <w:rFonts w:ascii="Book Antiqua" w:hAnsi="Book Antiqua"/>
                <w:sz w:val="24"/>
                <w:szCs w:val="24"/>
              </w:rPr>
            </w:pPr>
            <w:r w:rsidRPr="00BD702C">
              <w:rPr>
                <w:rFonts w:ascii="Book Antiqua" w:hAnsi="Book Antiqua"/>
                <w:sz w:val="24"/>
                <w:szCs w:val="24"/>
              </w:rPr>
              <w:t>Study Results:</w:t>
            </w:r>
            <w:r w:rsidR="004731C2">
              <w:rPr>
                <w:rFonts w:ascii="Book Antiqua" w:hAnsi="Book Antiqua"/>
                <w:sz w:val="24"/>
                <w:szCs w:val="24"/>
              </w:rPr>
              <w:t xml:space="preserve"> </w:t>
            </w:r>
            <w:r w:rsidRPr="00BD702C">
              <w:rPr>
                <w:rFonts w:ascii="Book Antiqua" w:hAnsi="Book Antiqua"/>
                <w:sz w:val="24"/>
                <w:szCs w:val="24"/>
              </w:rPr>
              <w:t xml:space="preserve"> Cost and Rate Analysis</w:t>
            </w:r>
          </w:p>
        </w:tc>
        <w:tc>
          <w:tcPr>
            <w:tcW w:w="6589" w:type="dxa"/>
          </w:tcPr>
          <w:p w14:paraId="45741F44" w14:textId="77777777" w:rsidR="00BD702C" w:rsidRPr="00BD702C" w:rsidRDefault="00664E8A" w:rsidP="00C9173D">
            <w:pPr>
              <w:spacing w:before="60" w:after="60"/>
              <w:rPr>
                <w:rFonts w:ascii="Book Antiqua" w:hAnsi="Book Antiqua"/>
                <w:sz w:val="24"/>
                <w:szCs w:val="24"/>
              </w:rPr>
            </w:pPr>
            <w:r>
              <w:rPr>
                <w:rFonts w:ascii="Book Antiqua" w:hAnsi="Book Antiqua"/>
                <w:sz w:val="24"/>
                <w:szCs w:val="24"/>
              </w:rPr>
              <w:t>San Jacinto</w:t>
            </w:r>
            <w:r w:rsidR="00BD702C" w:rsidRPr="00BD702C">
              <w:rPr>
                <w:rFonts w:ascii="Book Antiqua" w:hAnsi="Book Antiqua"/>
                <w:sz w:val="24"/>
                <w:szCs w:val="24"/>
              </w:rPr>
              <w:t xml:space="preserve"> did not provide an adequate description of its approach in considering cost and rate impacts on its customers. </w:t>
            </w:r>
            <w:r w:rsidR="008672C5">
              <w:rPr>
                <w:rFonts w:ascii="Book Antiqua" w:hAnsi="Book Antiqua"/>
                <w:sz w:val="24"/>
                <w:szCs w:val="24"/>
              </w:rPr>
              <w:t xml:space="preserve"> </w:t>
            </w:r>
            <w:r w:rsidR="00BD702C" w:rsidRPr="00BD702C">
              <w:rPr>
                <w:rFonts w:ascii="Book Antiqua" w:hAnsi="Book Antiqua"/>
                <w:sz w:val="24"/>
                <w:szCs w:val="24"/>
              </w:rPr>
              <w:t>It provided only a list of generic factors affecting rates.</w:t>
            </w:r>
          </w:p>
        </w:tc>
      </w:tr>
      <w:tr w:rsidR="00BD702C" w:rsidRPr="00BD702C" w14:paraId="17911B56" w14:textId="77777777" w:rsidTr="00BD702C">
        <w:tc>
          <w:tcPr>
            <w:tcW w:w="2761" w:type="dxa"/>
          </w:tcPr>
          <w:p w14:paraId="407EF104"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Deviations from Current Resource Plans</w:t>
            </w:r>
          </w:p>
        </w:tc>
        <w:tc>
          <w:tcPr>
            <w:tcW w:w="6589" w:type="dxa"/>
          </w:tcPr>
          <w:p w14:paraId="60F0F919" w14:textId="77777777" w:rsidR="00BD702C" w:rsidRPr="00BD702C" w:rsidRDefault="00664E8A" w:rsidP="000E00E5">
            <w:pPr>
              <w:keepNext/>
              <w:keepLines/>
              <w:spacing w:before="60" w:after="60"/>
              <w:rPr>
                <w:rFonts w:ascii="Book Antiqua" w:hAnsi="Book Antiqua"/>
                <w:sz w:val="24"/>
                <w:szCs w:val="24"/>
              </w:rPr>
            </w:pPr>
            <w:r>
              <w:rPr>
                <w:rFonts w:ascii="Book Antiqua" w:hAnsi="Book Antiqua"/>
                <w:sz w:val="24"/>
                <w:szCs w:val="24"/>
              </w:rPr>
              <w:t>San Jacinto</w:t>
            </w:r>
            <w:r w:rsidR="00BD702C" w:rsidRPr="00BD702C">
              <w:rPr>
                <w:rFonts w:ascii="Book Antiqua" w:hAnsi="Book Antiqua"/>
                <w:sz w:val="24"/>
                <w:szCs w:val="24"/>
              </w:rPr>
              <w:t xml:space="preserve"> provided an adequate description of the differences in quantities and budgets for procurement between its Preferred Plan and currently filed or authorized resource plans, stating that there are no deviations.</w:t>
            </w:r>
          </w:p>
        </w:tc>
      </w:tr>
      <w:tr w:rsidR="00BD702C" w:rsidRPr="00BD702C" w14:paraId="76C2F580" w14:textId="77777777" w:rsidTr="00BD702C">
        <w:tc>
          <w:tcPr>
            <w:tcW w:w="2761" w:type="dxa"/>
          </w:tcPr>
          <w:p w14:paraId="34D27142" w14:textId="77777777" w:rsidR="00BD702C" w:rsidRPr="00BD702C" w:rsidRDefault="00BD702C" w:rsidP="00C9173D">
            <w:pPr>
              <w:spacing w:before="60" w:after="60"/>
              <w:rPr>
                <w:rFonts w:ascii="Book Antiqua" w:hAnsi="Book Antiqua"/>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Activities</w:t>
            </w:r>
          </w:p>
        </w:tc>
        <w:tc>
          <w:tcPr>
            <w:tcW w:w="6589" w:type="dxa"/>
          </w:tcPr>
          <w:p w14:paraId="084FC19A" w14:textId="77777777" w:rsidR="00BD702C" w:rsidRPr="00BD702C" w:rsidRDefault="00664E8A" w:rsidP="00C9173D">
            <w:pPr>
              <w:spacing w:before="60" w:after="60"/>
              <w:rPr>
                <w:rFonts w:ascii="Book Antiqua" w:hAnsi="Book Antiqua"/>
                <w:sz w:val="24"/>
                <w:szCs w:val="24"/>
              </w:rPr>
            </w:pPr>
            <w:r>
              <w:rPr>
                <w:rFonts w:ascii="Book Antiqua" w:hAnsi="Book Antiqua"/>
                <w:sz w:val="24"/>
                <w:szCs w:val="24"/>
              </w:rPr>
              <w:t>San Jacinto</w:t>
            </w:r>
            <w:r w:rsidR="00BD702C" w:rsidRPr="00BD702C">
              <w:rPr>
                <w:rFonts w:ascii="Book Antiqua" w:hAnsi="Book Antiqua"/>
                <w:sz w:val="24"/>
                <w:szCs w:val="24"/>
              </w:rPr>
              <w:t xml:space="preserve"> did not provide an adequate description of its proposed near</w:t>
            </w:r>
            <w:r w:rsidR="00D84A09">
              <w:rPr>
                <w:rFonts w:ascii="Book Antiqua" w:hAnsi="Book Antiqua"/>
                <w:sz w:val="24"/>
                <w:szCs w:val="24"/>
              </w:rPr>
              <w:noBreakHyphen/>
            </w:r>
            <w:r w:rsidR="00BD702C" w:rsidRPr="00BD702C">
              <w:rPr>
                <w:rFonts w:ascii="Book Antiqua" w:hAnsi="Book Antiqua"/>
                <w:sz w:val="24"/>
                <w:szCs w:val="24"/>
              </w:rPr>
              <w:t xml:space="preserve">term activities to implement its LSE Plan, as it did not provide clear links to its Preferred Portfolio findings. </w:t>
            </w:r>
            <w:r w:rsidR="008672C5">
              <w:rPr>
                <w:rFonts w:ascii="Book Antiqua" w:hAnsi="Book Antiqua"/>
                <w:sz w:val="24"/>
                <w:szCs w:val="24"/>
              </w:rPr>
              <w:t xml:space="preserve"> </w:t>
            </w:r>
            <w:r w:rsidR="00BD702C" w:rsidRPr="00BD702C">
              <w:rPr>
                <w:rFonts w:ascii="Book Antiqua" w:hAnsi="Book Antiqua"/>
                <w:sz w:val="24"/>
                <w:szCs w:val="24"/>
              </w:rPr>
              <w:t>However, its proposed activities appear consistent with its study results.</w:t>
            </w:r>
          </w:p>
        </w:tc>
      </w:tr>
      <w:tr w:rsidR="00BD702C" w:rsidRPr="00BD702C" w14:paraId="2F713FAF" w14:textId="77777777" w:rsidTr="00BD702C">
        <w:tc>
          <w:tcPr>
            <w:tcW w:w="2761" w:type="dxa"/>
          </w:tcPr>
          <w:p w14:paraId="3051376C" w14:textId="77777777" w:rsidR="00BD702C" w:rsidRPr="00BD702C" w:rsidRDefault="00BD702C" w:rsidP="00C9173D">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Barrier Analysis</w:t>
            </w:r>
          </w:p>
        </w:tc>
        <w:tc>
          <w:tcPr>
            <w:tcW w:w="6589" w:type="dxa"/>
          </w:tcPr>
          <w:p w14:paraId="36C7F0E5" w14:textId="77777777" w:rsidR="00BD702C" w:rsidRPr="00BD702C" w:rsidRDefault="00664E8A" w:rsidP="00C9173D">
            <w:pPr>
              <w:spacing w:before="60" w:after="60"/>
              <w:rPr>
                <w:rFonts w:ascii="Book Antiqua" w:hAnsi="Book Antiqua"/>
                <w:sz w:val="24"/>
                <w:szCs w:val="24"/>
              </w:rPr>
            </w:pPr>
            <w:r>
              <w:rPr>
                <w:rFonts w:ascii="Book Antiqua" w:hAnsi="Book Antiqua"/>
                <w:sz w:val="24"/>
                <w:szCs w:val="24"/>
              </w:rPr>
              <w:t>San Jacinto</w:t>
            </w:r>
            <w:r w:rsidR="00BD702C" w:rsidRPr="00BD702C">
              <w:rPr>
                <w:rFonts w:ascii="Book Antiqua" w:hAnsi="Book Antiqua"/>
                <w:sz w:val="24"/>
                <w:szCs w:val="24"/>
              </w:rPr>
              <w:t xml:space="preserve"> provided an adequate description of the market, regulatory, financial, or other barriers or risks associated with its Preferred Portfolio.</w:t>
            </w:r>
          </w:p>
        </w:tc>
      </w:tr>
      <w:tr w:rsidR="00BD702C" w:rsidRPr="00BD702C" w14:paraId="064BE8C0" w14:textId="77777777" w:rsidTr="00BD702C">
        <w:tc>
          <w:tcPr>
            <w:tcW w:w="2761" w:type="dxa"/>
          </w:tcPr>
          <w:p w14:paraId="26A4E2C9" w14:textId="77777777" w:rsidR="00BD702C" w:rsidRPr="00BD702C" w:rsidRDefault="00BD702C" w:rsidP="00C9173D">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589" w:type="dxa"/>
          </w:tcPr>
          <w:p w14:paraId="1E9CF411" w14:textId="77777777" w:rsidR="00BD702C" w:rsidRPr="00BD702C" w:rsidRDefault="00664E8A" w:rsidP="00C9173D">
            <w:pPr>
              <w:spacing w:before="60" w:after="60"/>
              <w:rPr>
                <w:rFonts w:ascii="Book Antiqua" w:hAnsi="Book Antiqua"/>
                <w:sz w:val="24"/>
                <w:szCs w:val="24"/>
              </w:rPr>
            </w:pPr>
            <w:r>
              <w:rPr>
                <w:rFonts w:ascii="Book Antiqua" w:hAnsi="Book Antiqua"/>
                <w:sz w:val="24"/>
                <w:szCs w:val="24"/>
              </w:rPr>
              <w:t>San Jacinto</w:t>
            </w:r>
            <w:r w:rsidR="00BD702C" w:rsidRPr="00BD702C">
              <w:rPr>
                <w:rFonts w:ascii="Book Antiqua" w:hAnsi="Book Antiqua"/>
                <w:sz w:val="24"/>
                <w:szCs w:val="24"/>
              </w:rPr>
              <w:t xml:space="preserve"> stated that it is not seeking any Commission direction at this time.</w:t>
            </w:r>
          </w:p>
        </w:tc>
      </w:tr>
      <w:tr w:rsidR="00BD702C" w:rsidRPr="00BD702C" w14:paraId="166D73A7" w14:textId="77777777" w:rsidTr="00BD702C">
        <w:tc>
          <w:tcPr>
            <w:tcW w:w="2761" w:type="dxa"/>
          </w:tcPr>
          <w:p w14:paraId="292CC68C" w14:textId="77777777" w:rsidR="00BD702C" w:rsidRPr="00BD702C" w:rsidRDefault="00BD702C" w:rsidP="00C9173D">
            <w:pPr>
              <w:spacing w:before="60" w:after="60"/>
              <w:rPr>
                <w:rFonts w:ascii="Book Antiqua" w:hAnsi="Book Antiqua"/>
                <w:color w:val="000000"/>
                <w:sz w:val="24"/>
                <w:szCs w:val="24"/>
              </w:rPr>
            </w:pPr>
            <w:r w:rsidRPr="00BD702C">
              <w:rPr>
                <w:rFonts w:ascii="Book Antiqua" w:hAnsi="Book Antiqua"/>
                <w:color w:val="000000"/>
                <w:sz w:val="24"/>
                <w:szCs w:val="24"/>
              </w:rPr>
              <w:t>Lessons Learned</w:t>
            </w:r>
          </w:p>
        </w:tc>
        <w:tc>
          <w:tcPr>
            <w:tcW w:w="6589" w:type="dxa"/>
          </w:tcPr>
          <w:p w14:paraId="35C9B690" w14:textId="77777777" w:rsidR="00BD702C" w:rsidRPr="00BD702C" w:rsidRDefault="00664E8A" w:rsidP="00C9173D">
            <w:pPr>
              <w:spacing w:before="60" w:after="60"/>
              <w:rPr>
                <w:rFonts w:ascii="Book Antiqua" w:hAnsi="Book Antiqua"/>
                <w:sz w:val="24"/>
                <w:szCs w:val="24"/>
              </w:rPr>
            </w:pPr>
            <w:r>
              <w:rPr>
                <w:rFonts w:ascii="Book Antiqua" w:hAnsi="Book Antiqua"/>
                <w:sz w:val="24"/>
                <w:szCs w:val="24"/>
              </w:rPr>
              <w:t>San Jacinto</w:t>
            </w:r>
            <w:r w:rsidR="00BD702C" w:rsidRPr="00BD702C">
              <w:rPr>
                <w:rFonts w:ascii="Book Antiqua" w:hAnsi="Book Antiqua"/>
                <w:sz w:val="24"/>
                <w:szCs w:val="24"/>
              </w:rPr>
              <w:t xml:space="preserve"> provided an adequate description of lessons learned.</w:t>
            </w:r>
          </w:p>
        </w:tc>
      </w:tr>
    </w:tbl>
    <w:p w14:paraId="7FFA9020" w14:textId="77777777" w:rsidR="00BD702C" w:rsidRPr="00C9173D" w:rsidRDefault="00BD702C" w:rsidP="00C9173D">
      <w:pPr>
        <w:keepNext/>
        <w:keepLines/>
        <w:spacing w:before="240" w:after="120" w:line="276" w:lineRule="auto"/>
        <w:outlineLvl w:val="3"/>
        <w:rPr>
          <w:rFonts w:ascii="Book Antiqua" w:eastAsiaTheme="majorEastAsia" w:hAnsi="Book Antiqua" w:cstheme="majorBidi"/>
          <w:b/>
          <w:i/>
          <w:iCs/>
          <w:szCs w:val="24"/>
        </w:rPr>
      </w:pPr>
      <w:r w:rsidRPr="00C9173D">
        <w:rPr>
          <w:rFonts w:ascii="Book Antiqua" w:eastAsiaTheme="majorEastAsia" w:hAnsi="Book Antiqua" w:cstheme="majorBidi"/>
          <w:b/>
          <w:i/>
          <w:iCs/>
          <w:szCs w:val="24"/>
        </w:rPr>
        <w:t xml:space="preserve">Next Steps for </w:t>
      </w:r>
      <w:r w:rsidR="00664E8A" w:rsidRPr="00C9173D">
        <w:rPr>
          <w:rFonts w:ascii="Book Antiqua" w:eastAsiaTheme="majorEastAsia" w:hAnsi="Book Antiqua" w:cstheme="majorBidi"/>
          <w:b/>
          <w:i/>
          <w:iCs/>
          <w:szCs w:val="24"/>
        </w:rPr>
        <w:t>San Jacinto</w:t>
      </w:r>
    </w:p>
    <w:p w14:paraId="4A78203F" w14:textId="77777777" w:rsidR="00BD702C" w:rsidRPr="00C9173D" w:rsidRDefault="00BD702C" w:rsidP="00BD702C">
      <w:pPr>
        <w:spacing w:after="200" w:line="276" w:lineRule="auto"/>
        <w:rPr>
          <w:rFonts w:ascii="Book Antiqua" w:hAnsi="Book Antiqua" w:cstheme="minorBidi"/>
          <w:szCs w:val="24"/>
        </w:rPr>
      </w:pPr>
      <w:r w:rsidRPr="00C9173D">
        <w:rPr>
          <w:rFonts w:ascii="Book Antiqua" w:hAnsi="Book Antiqua" w:cstheme="minorBidi"/>
          <w:b/>
          <w:szCs w:val="24"/>
        </w:rPr>
        <w:t>Action required in this IRP 2017</w:t>
      </w:r>
      <w:r w:rsidR="00D84A09" w:rsidRPr="00C9173D">
        <w:rPr>
          <w:rFonts w:ascii="Book Antiqua" w:hAnsi="Book Antiqua" w:cstheme="minorBidi"/>
          <w:b/>
          <w:szCs w:val="24"/>
        </w:rPr>
        <w:noBreakHyphen/>
      </w:r>
      <w:r w:rsidRPr="00C9173D">
        <w:rPr>
          <w:rFonts w:ascii="Book Antiqua" w:hAnsi="Book Antiqua" w:cstheme="minorBidi"/>
          <w:b/>
          <w:szCs w:val="24"/>
        </w:rPr>
        <w:t>18 cycle</w:t>
      </w:r>
      <w:r w:rsidRPr="00C9173D">
        <w:rPr>
          <w:rFonts w:ascii="Book Antiqua" w:hAnsi="Book Antiqua" w:cstheme="minorBidi"/>
          <w:szCs w:val="24"/>
        </w:rPr>
        <w:t xml:space="preserve">: </w:t>
      </w:r>
      <w:r w:rsidR="004731C2" w:rsidRPr="00C9173D">
        <w:rPr>
          <w:rFonts w:ascii="Book Antiqua" w:hAnsi="Book Antiqua" w:cstheme="minorBidi"/>
          <w:szCs w:val="24"/>
        </w:rPr>
        <w:t xml:space="preserve"> </w:t>
      </w:r>
      <w:r w:rsidRPr="00C9173D">
        <w:rPr>
          <w:rFonts w:ascii="Book Antiqua" w:hAnsi="Book Antiqua" w:cstheme="minorBidi"/>
          <w:szCs w:val="24"/>
        </w:rPr>
        <w:t>Provide best available estimates of emissions of nitrogen oxides and particulate matter associated with all emitting resources used to serve load, including system power.</w:t>
      </w:r>
      <w:r w:rsidR="008672C5" w:rsidRPr="00C9173D">
        <w:rPr>
          <w:rFonts w:ascii="Book Antiqua" w:hAnsi="Book Antiqua" w:cstheme="minorBidi"/>
          <w:szCs w:val="24"/>
        </w:rPr>
        <w:t xml:space="preserve"> </w:t>
      </w:r>
      <w:r w:rsidRPr="00C9173D">
        <w:rPr>
          <w:rFonts w:ascii="Book Antiqua" w:hAnsi="Book Antiqua" w:cstheme="minorBidi"/>
          <w:szCs w:val="24"/>
        </w:rPr>
        <w:t xml:space="preserve"> Refer to pages 19</w:t>
      </w:r>
      <w:r w:rsidR="00D84A09" w:rsidRPr="00C9173D">
        <w:rPr>
          <w:rFonts w:ascii="Book Antiqua" w:hAnsi="Book Antiqua" w:cstheme="minorBidi"/>
          <w:szCs w:val="24"/>
        </w:rPr>
        <w:noBreakHyphen/>
      </w:r>
      <w:r w:rsidRPr="00C9173D">
        <w:rPr>
          <w:rFonts w:ascii="Book Antiqua" w:hAnsi="Book Antiqua" w:cstheme="minorBidi"/>
          <w:szCs w:val="24"/>
        </w:rPr>
        <w:t xml:space="preserve">22 of Desert Community Energy’s IRP filing for </w:t>
      </w:r>
      <w:r w:rsidR="009E6885">
        <w:rPr>
          <w:rFonts w:ascii="Book Antiqua" w:hAnsi="Book Antiqua" w:cstheme="minorBidi"/>
          <w:szCs w:val="24"/>
        </w:rPr>
        <w:t xml:space="preserve">an </w:t>
      </w:r>
      <w:r w:rsidRPr="00C9173D">
        <w:rPr>
          <w:rFonts w:ascii="Book Antiqua" w:hAnsi="Book Antiqua" w:cstheme="minorBidi"/>
          <w:szCs w:val="24"/>
        </w:rPr>
        <w:t>example of the type of information a CCA can provide to fulfill this specific filing requirement.</w:t>
      </w:r>
    </w:p>
    <w:p w14:paraId="7D79FE34" w14:textId="77777777" w:rsidR="00BD702C" w:rsidRPr="00C9173D" w:rsidRDefault="00BD702C" w:rsidP="00BD702C">
      <w:pPr>
        <w:spacing w:after="200" w:line="276" w:lineRule="auto"/>
        <w:rPr>
          <w:rFonts w:ascii="Book Antiqua" w:hAnsi="Book Antiqua" w:cstheme="minorBidi"/>
          <w:szCs w:val="24"/>
        </w:rPr>
      </w:pPr>
      <w:r w:rsidRPr="00C9173D">
        <w:rPr>
          <w:rFonts w:ascii="Book Antiqua" w:hAnsi="Book Antiqua" w:cstheme="minorBidi"/>
          <w:b/>
          <w:szCs w:val="24"/>
        </w:rPr>
        <w:t>Guidance for LSE Plan development in the next IRP cycle</w:t>
      </w:r>
      <w:r w:rsidRPr="00C9173D">
        <w:rPr>
          <w:rFonts w:ascii="Book Antiqua" w:hAnsi="Book Antiqua" w:cstheme="minorBidi"/>
          <w:szCs w:val="24"/>
        </w:rPr>
        <w:t xml:space="preserve">: </w:t>
      </w:r>
      <w:r w:rsidR="004731C2" w:rsidRPr="00C9173D">
        <w:rPr>
          <w:rFonts w:ascii="Book Antiqua" w:hAnsi="Book Antiqua" w:cstheme="minorBidi"/>
          <w:szCs w:val="24"/>
        </w:rPr>
        <w:t xml:space="preserve"> </w:t>
      </w:r>
      <w:r w:rsidRPr="00C9173D">
        <w:rPr>
          <w:rFonts w:ascii="Book Antiqua" w:hAnsi="Book Antiqua" w:cstheme="minorBidi"/>
          <w:szCs w:val="24"/>
        </w:rPr>
        <w:t>Use the correct assigned load forecast when developing the Conforming Portfolio.</w:t>
      </w:r>
    </w:p>
    <w:p w14:paraId="4C1A119E" w14:textId="77777777" w:rsidR="00BD702C" w:rsidRPr="00C9173D" w:rsidRDefault="00BD702C" w:rsidP="00671FAB">
      <w:pPr>
        <w:keepNext/>
        <w:keepLines/>
        <w:spacing w:before="240" w:after="120" w:line="276" w:lineRule="auto"/>
        <w:outlineLvl w:val="2"/>
        <w:rPr>
          <w:rFonts w:ascii="Book Antiqua" w:eastAsiaTheme="majorEastAsia" w:hAnsi="Book Antiqua" w:cstheme="majorBidi"/>
          <w:b/>
          <w:szCs w:val="24"/>
        </w:rPr>
      </w:pPr>
      <w:bookmarkStart w:id="92" w:name="_Toc868777"/>
      <w:r w:rsidRPr="00C9173D">
        <w:rPr>
          <w:rFonts w:ascii="Book Antiqua" w:eastAsiaTheme="majorEastAsia" w:hAnsi="Book Antiqua" w:cstheme="majorBidi"/>
          <w:b/>
          <w:szCs w:val="24"/>
        </w:rPr>
        <w:t>San Jose Clean Energy</w:t>
      </w:r>
      <w:bookmarkEnd w:id="92"/>
    </w:p>
    <w:tbl>
      <w:tblPr>
        <w:tblStyle w:val="TableGrid3"/>
        <w:tblW w:w="0" w:type="auto"/>
        <w:tblLook w:val="04A0" w:firstRow="1" w:lastRow="0" w:firstColumn="1" w:lastColumn="0" w:noHBand="0" w:noVBand="1"/>
      </w:tblPr>
      <w:tblGrid>
        <w:gridCol w:w="2760"/>
        <w:gridCol w:w="6590"/>
      </w:tblGrid>
      <w:tr w:rsidR="00BD702C" w:rsidRPr="00BD702C" w14:paraId="5A755645" w14:textId="77777777" w:rsidTr="00BD702C">
        <w:tc>
          <w:tcPr>
            <w:tcW w:w="2760" w:type="dxa"/>
          </w:tcPr>
          <w:p w14:paraId="1F22B6A3" w14:textId="77777777" w:rsidR="00BD702C" w:rsidRPr="00BD702C" w:rsidRDefault="00BD702C" w:rsidP="00AB7D91">
            <w:pPr>
              <w:spacing w:before="60" w:after="60"/>
              <w:jc w:val="center"/>
              <w:rPr>
                <w:rFonts w:ascii="Book Antiqua" w:hAnsi="Book Antiqua"/>
                <w:b/>
                <w:sz w:val="24"/>
                <w:szCs w:val="24"/>
              </w:rPr>
            </w:pPr>
            <w:r w:rsidRPr="00BD702C">
              <w:rPr>
                <w:rFonts w:ascii="Book Antiqua" w:hAnsi="Book Antiqua"/>
                <w:b/>
                <w:sz w:val="24"/>
                <w:szCs w:val="24"/>
              </w:rPr>
              <w:t>Requirement</w:t>
            </w:r>
          </w:p>
        </w:tc>
        <w:tc>
          <w:tcPr>
            <w:tcW w:w="6590" w:type="dxa"/>
          </w:tcPr>
          <w:p w14:paraId="11C555B2" w14:textId="77777777" w:rsidR="00BD702C" w:rsidRPr="00BD702C" w:rsidRDefault="00BD702C" w:rsidP="00AB7D91">
            <w:pPr>
              <w:spacing w:before="60" w:after="60"/>
              <w:jc w:val="center"/>
              <w:rPr>
                <w:rFonts w:ascii="Book Antiqua" w:hAnsi="Book Antiqua"/>
                <w:b/>
                <w:sz w:val="24"/>
                <w:szCs w:val="24"/>
              </w:rPr>
            </w:pPr>
            <w:r w:rsidRPr="00BD702C">
              <w:rPr>
                <w:rFonts w:ascii="Book Antiqua" w:hAnsi="Book Antiqua"/>
                <w:b/>
                <w:sz w:val="24"/>
                <w:szCs w:val="24"/>
              </w:rPr>
              <w:t>Assessment</w:t>
            </w:r>
          </w:p>
        </w:tc>
      </w:tr>
      <w:tr w:rsidR="00BD702C" w:rsidRPr="00BD702C" w14:paraId="3817FA7C" w14:textId="77777777" w:rsidTr="00BD702C">
        <w:tc>
          <w:tcPr>
            <w:tcW w:w="2760" w:type="dxa"/>
          </w:tcPr>
          <w:p w14:paraId="627B6F47"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Study Design</w:t>
            </w:r>
          </w:p>
        </w:tc>
        <w:tc>
          <w:tcPr>
            <w:tcW w:w="6590" w:type="dxa"/>
          </w:tcPr>
          <w:p w14:paraId="3468EB4F"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San Jose Clean Energy (SJCE) provided an adequate description of modeling tools and approach used to develop its portfolios.</w:t>
            </w:r>
          </w:p>
        </w:tc>
      </w:tr>
      <w:tr w:rsidR="00BD702C" w:rsidRPr="00BD702C" w14:paraId="79ED1DAC" w14:textId="77777777" w:rsidTr="00BD702C">
        <w:tc>
          <w:tcPr>
            <w:tcW w:w="2760" w:type="dxa"/>
          </w:tcPr>
          <w:p w14:paraId="0AF13726"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Preferred and Conforming Portfolios</w:t>
            </w:r>
          </w:p>
        </w:tc>
        <w:tc>
          <w:tcPr>
            <w:tcW w:w="6590" w:type="dxa"/>
          </w:tcPr>
          <w:p w14:paraId="62DD66F2"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sz w:val="24"/>
                <w:szCs w:val="24"/>
              </w:rPr>
              <w:t xml:space="preserve">SJCE provided a Conforming Portfolio and an Alternative (Preferred) Portfolio showing both existing resources and new resources that </w:t>
            </w:r>
            <w:r w:rsidR="00FA2300">
              <w:rPr>
                <w:rFonts w:ascii="Book Antiqua" w:hAnsi="Book Antiqua"/>
                <w:sz w:val="24"/>
                <w:szCs w:val="24"/>
              </w:rPr>
              <w:t>it</w:t>
            </w:r>
            <w:r w:rsidRPr="00BD702C">
              <w:rPr>
                <w:rFonts w:ascii="Book Antiqua" w:hAnsi="Book Antiqua"/>
                <w:sz w:val="24"/>
                <w:szCs w:val="24"/>
              </w:rPr>
              <w:t xml:space="preserve"> plans to invest in or contract with.</w:t>
            </w:r>
            <w:r w:rsidR="008672C5">
              <w:rPr>
                <w:rFonts w:ascii="Book Antiqua" w:hAnsi="Book Antiqua"/>
                <w:sz w:val="24"/>
                <w:szCs w:val="24"/>
              </w:rPr>
              <w:t xml:space="preserve"> </w:t>
            </w:r>
            <w:r w:rsidRPr="00BD702C">
              <w:rPr>
                <w:rFonts w:ascii="Book Antiqua" w:hAnsi="Book Antiqua"/>
                <w:sz w:val="24"/>
                <w:szCs w:val="24"/>
              </w:rPr>
              <w:t xml:space="preserve"> It provided an exemplary explanation, supported by tables and figures, of how the portfolios differed and the reasons for its preference.</w:t>
            </w:r>
            <w:r w:rsidR="008672C5">
              <w:rPr>
                <w:rFonts w:ascii="Book Antiqua" w:hAnsi="Book Antiqua"/>
                <w:sz w:val="24"/>
                <w:szCs w:val="24"/>
              </w:rPr>
              <w:t xml:space="preserve"> </w:t>
            </w:r>
            <w:r w:rsidRPr="00BD702C">
              <w:rPr>
                <w:rFonts w:ascii="Book Antiqua" w:hAnsi="Book Antiqua"/>
                <w:sz w:val="24"/>
                <w:szCs w:val="24"/>
              </w:rPr>
              <w:t xml:space="preserve"> However, it did not explain how its Preferred Portfolio is consistent with each relevant statutory and administrative requirement.</w:t>
            </w:r>
          </w:p>
          <w:p w14:paraId="62C35051"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sz w:val="24"/>
                <w:szCs w:val="24"/>
              </w:rPr>
              <w:t xml:space="preserve">SJCE entered its load forecast into the CNS calculator incorrectly, using values for the years 2018, 19, 20, and 21 instead of 2018, 22, 26, and 30. </w:t>
            </w:r>
            <w:r w:rsidR="008672C5">
              <w:rPr>
                <w:rFonts w:ascii="Book Antiqua" w:hAnsi="Book Antiqua"/>
                <w:sz w:val="24"/>
                <w:szCs w:val="24"/>
              </w:rPr>
              <w:t xml:space="preserve"> </w:t>
            </w:r>
            <w:r w:rsidRPr="00BD702C">
              <w:rPr>
                <w:rFonts w:ascii="Book Antiqua" w:hAnsi="Book Antiqua"/>
                <w:sz w:val="24"/>
                <w:szCs w:val="24"/>
              </w:rPr>
              <w:t>Nevertheless, SJCE meets its assigned GHG Benchmark.</w:t>
            </w:r>
          </w:p>
        </w:tc>
      </w:tr>
      <w:tr w:rsidR="00BD702C" w:rsidRPr="00BD702C" w14:paraId="5B831A34" w14:textId="77777777" w:rsidTr="00BD702C">
        <w:tc>
          <w:tcPr>
            <w:tcW w:w="2760" w:type="dxa"/>
          </w:tcPr>
          <w:p w14:paraId="18983F0E"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Local Air Pollutant Minimization</w:t>
            </w:r>
          </w:p>
        </w:tc>
        <w:tc>
          <w:tcPr>
            <w:tcW w:w="6590" w:type="dxa"/>
          </w:tcPr>
          <w:p w14:paraId="23B7C166"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SJCE did not provide the required emissions estimates of nitrogen oxides and particulate matter associated with all emitting resources used to serve load; however, it did provide a proxy for those emissions by reporting criteria pollutant emissions levels relative to the rest of California. </w:t>
            </w:r>
            <w:r w:rsidR="008672C5">
              <w:rPr>
                <w:rFonts w:ascii="Book Antiqua" w:hAnsi="Book Antiqua"/>
                <w:sz w:val="24"/>
                <w:szCs w:val="24"/>
              </w:rPr>
              <w:t xml:space="preserve"> </w:t>
            </w:r>
            <w:r w:rsidRPr="00BD702C">
              <w:rPr>
                <w:rFonts w:ascii="Book Antiqua" w:hAnsi="Book Antiqua"/>
                <w:sz w:val="24"/>
                <w:szCs w:val="24"/>
              </w:rPr>
              <w:t>Identification of disadvantaged communities was adequate.</w:t>
            </w:r>
          </w:p>
        </w:tc>
      </w:tr>
      <w:tr w:rsidR="00BD702C" w:rsidRPr="00BD702C" w14:paraId="1475CD16" w14:textId="77777777" w:rsidTr="00BD702C">
        <w:tc>
          <w:tcPr>
            <w:tcW w:w="2760" w:type="dxa"/>
          </w:tcPr>
          <w:p w14:paraId="4F9126EA"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Cost and Rate Analysis</w:t>
            </w:r>
          </w:p>
        </w:tc>
        <w:tc>
          <w:tcPr>
            <w:tcW w:w="6590" w:type="dxa"/>
          </w:tcPr>
          <w:p w14:paraId="0E8EB9AD"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SJCE provided an adequate description of its approach in considering cost and rate impacts on its customers.</w:t>
            </w:r>
          </w:p>
        </w:tc>
      </w:tr>
      <w:tr w:rsidR="00BD702C" w:rsidRPr="00BD702C" w14:paraId="17C1C7EB" w14:textId="77777777" w:rsidTr="00BD702C">
        <w:tc>
          <w:tcPr>
            <w:tcW w:w="2760" w:type="dxa"/>
          </w:tcPr>
          <w:p w14:paraId="0649710E"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Deviations from Current Resource Plans</w:t>
            </w:r>
          </w:p>
        </w:tc>
        <w:tc>
          <w:tcPr>
            <w:tcW w:w="6590" w:type="dxa"/>
          </w:tcPr>
          <w:p w14:paraId="4A82D212"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SJCE marked this section as not applicable, stating that it has not filed any other resource plans.</w:t>
            </w:r>
          </w:p>
        </w:tc>
      </w:tr>
      <w:tr w:rsidR="00BD702C" w:rsidRPr="00BD702C" w14:paraId="7DDCBC5C" w14:textId="77777777" w:rsidTr="00BD702C">
        <w:tc>
          <w:tcPr>
            <w:tcW w:w="2760" w:type="dxa"/>
          </w:tcPr>
          <w:p w14:paraId="001F51E0" w14:textId="77777777" w:rsidR="00BD702C" w:rsidRPr="00BD702C" w:rsidRDefault="00BD702C" w:rsidP="00AB7D91">
            <w:pPr>
              <w:spacing w:before="60" w:after="60"/>
              <w:rPr>
                <w:rFonts w:ascii="Book Antiqua" w:hAnsi="Book Antiqua"/>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Activities</w:t>
            </w:r>
          </w:p>
        </w:tc>
        <w:tc>
          <w:tcPr>
            <w:tcW w:w="6590" w:type="dxa"/>
          </w:tcPr>
          <w:p w14:paraId="4C94A723"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SJCE provided an adequate description of its proposed near</w:t>
            </w:r>
            <w:r w:rsidR="00D84A09">
              <w:rPr>
                <w:rFonts w:ascii="Book Antiqua" w:hAnsi="Book Antiqua"/>
                <w:sz w:val="24"/>
                <w:szCs w:val="24"/>
              </w:rPr>
              <w:noBreakHyphen/>
            </w:r>
            <w:r w:rsidRPr="00BD702C">
              <w:rPr>
                <w:rFonts w:ascii="Book Antiqua" w:hAnsi="Book Antiqua"/>
                <w:sz w:val="24"/>
                <w:szCs w:val="24"/>
              </w:rPr>
              <w:t>term activities to implement its LSE Plan along with links to its Preferred Portfolio findings.</w:t>
            </w:r>
          </w:p>
        </w:tc>
      </w:tr>
      <w:tr w:rsidR="00BD702C" w:rsidRPr="00BD702C" w14:paraId="128514A9" w14:textId="77777777" w:rsidTr="00BD702C">
        <w:tc>
          <w:tcPr>
            <w:tcW w:w="2760" w:type="dxa"/>
          </w:tcPr>
          <w:p w14:paraId="18330B10"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Barrier Analysis</w:t>
            </w:r>
          </w:p>
        </w:tc>
        <w:tc>
          <w:tcPr>
            <w:tcW w:w="6590" w:type="dxa"/>
          </w:tcPr>
          <w:p w14:paraId="793C1F2E"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SJCE provided an adequate description of the market, regulatory, financial, or other barriers or risks associated with its Preferred Portfolio.</w:t>
            </w:r>
          </w:p>
        </w:tc>
      </w:tr>
      <w:tr w:rsidR="00BD702C" w:rsidRPr="00BD702C" w14:paraId="24C422D8" w14:textId="77777777" w:rsidTr="00BD702C">
        <w:tc>
          <w:tcPr>
            <w:tcW w:w="2760" w:type="dxa"/>
          </w:tcPr>
          <w:p w14:paraId="16764F12"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590" w:type="dxa"/>
          </w:tcPr>
          <w:p w14:paraId="53C41771"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SJCE used this section to recommend that the </w:t>
            </w:r>
            <w:r w:rsidR="00C31396">
              <w:rPr>
                <w:rFonts w:ascii="Book Antiqua" w:hAnsi="Book Antiqua"/>
                <w:sz w:val="24"/>
                <w:szCs w:val="24"/>
              </w:rPr>
              <w:t>Commission</w:t>
            </w:r>
            <w:r w:rsidR="00C31396" w:rsidRPr="00BD702C">
              <w:rPr>
                <w:rFonts w:ascii="Book Antiqua" w:hAnsi="Book Antiqua"/>
                <w:sz w:val="24"/>
                <w:szCs w:val="24"/>
              </w:rPr>
              <w:t xml:space="preserve"> </w:t>
            </w:r>
            <w:r w:rsidRPr="00BD702C">
              <w:rPr>
                <w:rFonts w:ascii="Book Antiqua" w:hAnsi="Book Antiqua"/>
                <w:sz w:val="24"/>
                <w:szCs w:val="24"/>
              </w:rPr>
              <w:t>provide greater certainty regarding allocation to CCAs of resources procured by the IOUs and nonbypassable charges.</w:t>
            </w:r>
          </w:p>
        </w:tc>
      </w:tr>
      <w:tr w:rsidR="00BD702C" w:rsidRPr="00BD702C" w14:paraId="60CBAC36" w14:textId="77777777" w:rsidTr="00BD702C">
        <w:tc>
          <w:tcPr>
            <w:tcW w:w="2760" w:type="dxa"/>
          </w:tcPr>
          <w:p w14:paraId="13797550"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Lessons Learned</w:t>
            </w:r>
          </w:p>
        </w:tc>
        <w:tc>
          <w:tcPr>
            <w:tcW w:w="6590" w:type="dxa"/>
          </w:tcPr>
          <w:p w14:paraId="3596446C"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SJCE provided an adequate description of lessons learned.</w:t>
            </w:r>
          </w:p>
        </w:tc>
      </w:tr>
    </w:tbl>
    <w:p w14:paraId="009A90AD" w14:textId="77777777" w:rsidR="00BD702C" w:rsidRPr="00AB7D91" w:rsidRDefault="00BD702C" w:rsidP="00AB7D91">
      <w:pPr>
        <w:keepNext/>
        <w:keepLines/>
        <w:spacing w:before="240" w:after="120" w:line="276" w:lineRule="auto"/>
        <w:outlineLvl w:val="3"/>
        <w:rPr>
          <w:rFonts w:ascii="Book Antiqua" w:eastAsiaTheme="majorEastAsia" w:hAnsi="Book Antiqua" w:cstheme="majorBidi"/>
          <w:b/>
          <w:i/>
          <w:iCs/>
          <w:szCs w:val="24"/>
        </w:rPr>
      </w:pPr>
      <w:r w:rsidRPr="00AB7D91">
        <w:rPr>
          <w:rFonts w:ascii="Book Antiqua" w:eastAsiaTheme="majorEastAsia" w:hAnsi="Book Antiqua" w:cstheme="majorBidi"/>
          <w:b/>
          <w:i/>
          <w:iCs/>
          <w:szCs w:val="24"/>
        </w:rPr>
        <w:t>Next Steps for SJCE</w:t>
      </w:r>
    </w:p>
    <w:p w14:paraId="44ACF665" w14:textId="77777777" w:rsidR="00BD702C" w:rsidRPr="00AB7D91" w:rsidRDefault="00BD702C" w:rsidP="00BD702C">
      <w:pPr>
        <w:spacing w:after="200" w:line="276" w:lineRule="auto"/>
        <w:rPr>
          <w:rFonts w:ascii="Book Antiqua" w:hAnsi="Book Antiqua" w:cstheme="minorBidi"/>
          <w:szCs w:val="24"/>
        </w:rPr>
      </w:pPr>
      <w:r w:rsidRPr="00AB7D91">
        <w:rPr>
          <w:rFonts w:ascii="Book Antiqua" w:hAnsi="Book Antiqua" w:cstheme="minorBidi"/>
          <w:b/>
          <w:szCs w:val="24"/>
        </w:rPr>
        <w:t>Action required in this IRP 2017</w:t>
      </w:r>
      <w:r w:rsidR="00D84A09" w:rsidRPr="00AB7D91">
        <w:rPr>
          <w:rFonts w:ascii="Book Antiqua" w:hAnsi="Book Antiqua" w:cstheme="minorBidi"/>
          <w:b/>
          <w:szCs w:val="24"/>
        </w:rPr>
        <w:noBreakHyphen/>
      </w:r>
      <w:r w:rsidRPr="00AB7D91">
        <w:rPr>
          <w:rFonts w:ascii="Book Antiqua" w:hAnsi="Book Antiqua" w:cstheme="minorBidi"/>
          <w:b/>
          <w:szCs w:val="24"/>
        </w:rPr>
        <w:t>18 cycle</w:t>
      </w:r>
      <w:r w:rsidRPr="00AB7D91">
        <w:rPr>
          <w:rFonts w:ascii="Book Antiqua" w:hAnsi="Book Antiqua" w:cstheme="minorBidi"/>
          <w:szCs w:val="24"/>
        </w:rPr>
        <w:t xml:space="preserve">: </w:t>
      </w:r>
      <w:r w:rsidR="004731C2" w:rsidRPr="00AB7D91">
        <w:rPr>
          <w:rFonts w:ascii="Book Antiqua" w:hAnsi="Book Antiqua" w:cstheme="minorBidi"/>
          <w:szCs w:val="24"/>
        </w:rPr>
        <w:t xml:space="preserve"> </w:t>
      </w:r>
      <w:r w:rsidRPr="00AB7D91">
        <w:rPr>
          <w:rFonts w:ascii="Book Antiqua" w:hAnsi="Book Antiqua" w:cstheme="minorBidi"/>
          <w:szCs w:val="24"/>
        </w:rPr>
        <w:t>Provide best available estimates of emissions of nitrogen oxides and particulate matter associated with all emitting resources used to serve load, including system power.</w:t>
      </w:r>
      <w:r w:rsidR="008672C5" w:rsidRPr="00AB7D91">
        <w:rPr>
          <w:rFonts w:ascii="Book Antiqua" w:hAnsi="Book Antiqua" w:cstheme="minorBidi"/>
          <w:szCs w:val="24"/>
        </w:rPr>
        <w:t xml:space="preserve"> </w:t>
      </w:r>
      <w:r w:rsidRPr="00AB7D91">
        <w:rPr>
          <w:rFonts w:ascii="Book Antiqua" w:hAnsi="Book Antiqua" w:cstheme="minorBidi"/>
          <w:szCs w:val="24"/>
        </w:rPr>
        <w:t xml:space="preserve"> Refer to pages 19</w:t>
      </w:r>
      <w:r w:rsidR="00D84A09" w:rsidRPr="00AB7D91">
        <w:rPr>
          <w:rFonts w:ascii="Book Antiqua" w:hAnsi="Book Antiqua" w:cstheme="minorBidi"/>
          <w:szCs w:val="24"/>
        </w:rPr>
        <w:noBreakHyphen/>
      </w:r>
      <w:r w:rsidRPr="00AB7D91">
        <w:rPr>
          <w:rFonts w:ascii="Book Antiqua" w:hAnsi="Book Antiqua" w:cstheme="minorBidi"/>
          <w:szCs w:val="24"/>
        </w:rPr>
        <w:t xml:space="preserve">22 of Desert Community Energy’s IRP filing for </w:t>
      </w:r>
      <w:r w:rsidR="009E6885">
        <w:rPr>
          <w:rFonts w:ascii="Book Antiqua" w:hAnsi="Book Antiqua" w:cstheme="minorBidi"/>
          <w:szCs w:val="24"/>
        </w:rPr>
        <w:t xml:space="preserve">an </w:t>
      </w:r>
      <w:r w:rsidRPr="00AB7D91">
        <w:rPr>
          <w:rFonts w:ascii="Book Antiqua" w:hAnsi="Book Antiqua" w:cstheme="minorBidi"/>
          <w:szCs w:val="24"/>
        </w:rPr>
        <w:t xml:space="preserve">example of the type of information a CCA can provide to fulfill this specific filing requirement. </w:t>
      </w:r>
    </w:p>
    <w:p w14:paraId="3A75475A" w14:textId="77777777" w:rsidR="00BD702C" w:rsidRPr="00AB7D91" w:rsidRDefault="00BD702C" w:rsidP="00BD702C">
      <w:pPr>
        <w:spacing w:after="200" w:line="276" w:lineRule="auto"/>
        <w:rPr>
          <w:rFonts w:ascii="Book Antiqua" w:hAnsi="Book Antiqua" w:cstheme="minorBidi"/>
          <w:szCs w:val="24"/>
        </w:rPr>
      </w:pPr>
      <w:r w:rsidRPr="00AB7D91">
        <w:rPr>
          <w:rFonts w:ascii="Book Antiqua" w:hAnsi="Book Antiqua" w:cstheme="minorBidi"/>
          <w:b/>
          <w:szCs w:val="24"/>
        </w:rPr>
        <w:t>Guidance for LSE Plan development in the next IRP cycle</w:t>
      </w:r>
      <w:r w:rsidRPr="00AB7D91">
        <w:rPr>
          <w:rFonts w:ascii="Book Antiqua" w:hAnsi="Book Antiqua" w:cstheme="minorBidi"/>
          <w:szCs w:val="24"/>
        </w:rPr>
        <w:t xml:space="preserve">: </w:t>
      </w:r>
      <w:r w:rsidR="004731C2" w:rsidRPr="00AB7D91">
        <w:rPr>
          <w:rFonts w:ascii="Book Antiqua" w:hAnsi="Book Antiqua" w:cstheme="minorBidi"/>
          <w:szCs w:val="24"/>
        </w:rPr>
        <w:t xml:space="preserve"> </w:t>
      </w:r>
      <w:r w:rsidRPr="00AB7D91">
        <w:rPr>
          <w:rFonts w:ascii="Book Antiqua" w:hAnsi="Book Antiqua" w:cstheme="minorBidi"/>
          <w:szCs w:val="24"/>
        </w:rPr>
        <w:t>Use the correct assigned load forecast when developing the Conforming Portfolio.</w:t>
      </w:r>
    </w:p>
    <w:p w14:paraId="403F11A6" w14:textId="77777777" w:rsidR="00BD702C" w:rsidRPr="00AB7D91" w:rsidRDefault="00BD702C" w:rsidP="00671FAB">
      <w:pPr>
        <w:keepNext/>
        <w:keepLines/>
        <w:spacing w:before="240" w:after="120" w:line="276" w:lineRule="auto"/>
        <w:outlineLvl w:val="2"/>
        <w:rPr>
          <w:rFonts w:ascii="Book Antiqua" w:eastAsiaTheme="majorEastAsia" w:hAnsi="Book Antiqua" w:cstheme="majorBidi"/>
          <w:b/>
          <w:szCs w:val="24"/>
        </w:rPr>
      </w:pPr>
      <w:bookmarkStart w:id="93" w:name="_Toc868778"/>
      <w:r w:rsidRPr="00AB7D91">
        <w:rPr>
          <w:rFonts w:ascii="Book Antiqua" w:eastAsiaTheme="majorEastAsia" w:hAnsi="Book Antiqua" w:cstheme="majorBidi"/>
          <w:b/>
          <w:szCs w:val="24"/>
        </w:rPr>
        <w:t>Shell Energy North America</w:t>
      </w:r>
      <w:bookmarkEnd w:id="93"/>
    </w:p>
    <w:tbl>
      <w:tblPr>
        <w:tblStyle w:val="TableGrid3"/>
        <w:tblW w:w="0" w:type="auto"/>
        <w:tblLook w:val="04A0" w:firstRow="1" w:lastRow="0" w:firstColumn="1" w:lastColumn="0" w:noHBand="0" w:noVBand="1"/>
      </w:tblPr>
      <w:tblGrid>
        <w:gridCol w:w="2761"/>
        <w:gridCol w:w="6589"/>
      </w:tblGrid>
      <w:tr w:rsidR="00BD702C" w:rsidRPr="00BD702C" w14:paraId="3E54804A" w14:textId="77777777" w:rsidTr="00BD702C">
        <w:tc>
          <w:tcPr>
            <w:tcW w:w="2761" w:type="dxa"/>
          </w:tcPr>
          <w:p w14:paraId="4E94F1DC" w14:textId="77777777" w:rsidR="00BD702C" w:rsidRPr="00BD702C" w:rsidRDefault="00BD702C" w:rsidP="00AB7D91">
            <w:pPr>
              <w:spacing w:before="60" w:after="60"/>
              <w:jc w:val="center"/>
              <w:rPr>
                <w:rFonts w:ascii="Book Antiqua" w:hAnsi="Book Antiqua"/>
                <w:b/>
                <w:sz w:val="24"/>
                <w:szCs w:val="24"/>
              </w:rPr>
            </w:pPr>
            <w:r w:rsidRPr="00BD702C">
              <w:rPr>
                <w:rFonts w:ascii="Book Antiqua" w:hAnsi="Book Antiqua"/>
                <w:b/>
                <w:sz w:val="24"/>
                <w:szCs w:val="24"/>
              </w:rPr>
              <w:t>Requirement</w:t>
            </w:r>
          </w:p>
        </w:tc>
        <w:tc>
          <w:tcPr>
            <w:tcW w:w="6589" w:type="dxa"/>
          </w:tcPr>
          <w:p w14:paraId="430F559F" w14:textId="77777777" w:rsidR="00BD702C" w:rsidRPr="00BD702C" w:rsidRDefault="00BD702C" w:rsidP="00AB7D91">
            <w:pPr>
              <w:spacing w:before="60" w:after="60"/>
              <w:jc w:val="center"/>
              <w:rPr>
                <w:rFonts w:ascii="Book Antiqua" w:hAnsi="Book Antiqua"/>
                <w:b/>
                <w:sz w:val="24"/>
                <w:szCs w:val="24"/>
              </w:rPr>
            </w:pPr>
            <w:r w:rsidRPr="00BD702C">
              <w:rPr>
                <w:rFonts w:ascii="Book Antiqua" w:hAnsi="Book Antiqua"/>
                <w:b/>
                <w:sz w:val="24"/>
                <w:szCs w:val="24"/>
              </w:rPr>
              <w:t>Assessment</w:t>
            </w:r>
          </w:p>
        </w:tc>
      </w:tr>
      <w:tr w:rsidR="00BD702C" w:rsidRPr="00BD702C" w14:paraId="683A7DE1" w14:textId="77777777" w:rsidTr="00BD702C">
        <w:tc>
          <w:tcPr>
            <w:tcW w:w="2761" w:type="dxa"/>
          </w:tcPr>
          <w:p w14:paraId="4ACA7451"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Study Design</w:t>
            </w:r>
          </w:p>
        </w:tc>
        <w:tc>
          <w:tcPr>
            <w:tcW w:w="6589" w:type="dxa"/>
          </w:tcPr>
          <w:p w14:paraId="53DD34AC"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Shell Energy </w:t>
            </w:r>
            <w:r w:rsidR="00664E8A">
              <w:rPr>
                <w:rFonts w:ascii="Book Antiqua" w:hAnsi="Book Antiqua"/>
                <w:sz w:val="24"/>
                <w:szCs w:val="24"/>
              </w:rPr>
              <w:t xml:space="preserve">(Shell) </w:t>
            </w:r>
            <w:r w:rsidRPr="00BD702C">
              <w:rPr>
                <w:rFonts w:ascii="Book Antiqua" w:hAnsi="Book Antiqua"/>
                <w:sz w:val="24"/>
                <w:szCs w:val="24"/>
              </w:rPr>
              <w:t>provided an adequate description of modeling tools and approach used to develop its portfolios.</w:t>
            </w:r>
          </w:p>
        </w:tc>
      </w:tr>
      <w:tr w:rsidR="00BD702C" w:rsidRPr="00BD702C" w14:paraId="052F61BB" w14:textId="77777777" w:rsidTr="00BD702C">
        <w:tc>
          <w:tcPr>
            <w:tcW w:w="2761" w:type="dxa"/>
          </w:tcPr>
          <w:p w14:paraId="26FC00F3"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Preferred and Conforming Portfolios</w:t>
            </w:r>
          </w:p>
        </w:tc>
        <w:tc>
          <w:tcPr>
            <w:tcW w:w="6589" w:type="dxa"/>
          </w:tcPr>
          <w:p w14:paraId="2CBD2672"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Shell provided a Conforming Portfolio and an Alternative (Preferred) Portfolio showing both existing resources and new resources that </w:t>
            </w:r>
            <w:r w:rsidR="00FA2300">
              <w:rPr>
                <w:rFonts w:ascii="Book Antiqua" w:hAnsi="Book Antiqua"/>
                <w:sz w:val="24"/>
                <w:szCs w:val="24"/>
              </w:rPr>
              <w:t>it</w:t>
            </w:r>
            <w:r w:rsidRPr="00BD702C">
              <w:rPr>
                <w:rFonts w:ascii="Book Antiqua" w:hAnsi="Book Antiqua"/>
                <w:sz w:val="24"/>
                <w:szCs w:val="24"/>
              </w:rPr>
              <w:t xml:space="preserve"> plans to invest in or contract with. </w:t>
            </w:r>
            <w:r w:rsidR="008672C5">
              <w:rPr>
                <w:rFonts w:ascii="Book Antiqua" w:hAnsi="Book Antiqua"/>
                <w:sz w:val="24"/>
                <w:szCs w:val="24"/>
              </w:rPr>
              <w:t xml:space="preserve"> </w:t>
            </w:r>
            <w:r w:rsidRPr="00BD702C">
              <w:rPr>
                <w:rFonts w:ascii="Book Antiqua" w:hAnsi="Book Antiqua"/>
                <w:sz w:val="24"/>
                <w:szCs w:val="24"/>
              </w:rPr>
              <w:t>It provided an adequate explanation of the reasons for its preference, but it did not explain how its Preferred Portfolio is consistent with each relevant statutory and administrative requirement.</w:t>
            </w:r>
          </w:p>
          <w:p w14:paraId="6F78B7C8"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Shell calculated its LSE</w:t>
            </w:r>
            <w:r w:rsidR="00D84A09">
              <w:rPr>
                <w:rFonts w:ascii="Book Antiqua" w:hAnsi="Book Antiqua"/>
                <w:sz w:val="24"/>
                <w:szCs w:val="24"/>
              </w:rPr>
              <w:noBreakHyphen/>
            </w:r>
            <w:r w:rsidRPr="00BD702C">
              <w:rPr>
                <w:rFonts w:ascii="Book Antiqua" w:hAnsi="Book Antiqua"/>
                <w:sz w:val="24"/>
                <w:szCs w:val="24"/>
              </w:rPr>
              <w:t xml:space="preserve">specific GHG Benchmark by using its 2017 load rather than its 2030 load, but its Conforming Portfolio achieves the benchmark using either value. </w:t>
            </w:r>
            <w:r w:rsidR="008672C5">
              <w:rPr>
                <w:rFonts w:ascii="Book Antiqua" w:hAnsi="Book Antiqua"/>
                <w:sz w:val="24"/>
                <w:szCs w:val="24"/>
              </w:rPr>
              <w:t xml:space="preserve"> </w:t>
            </w:r>
            <w:r w:rsidRPr="00BD702C">
              <w:rPr>
                <w:rFonts w:ascii="Book Antiqua" w:hAnsi="Book Antiqua"/>
                <w:sz w:val="24"/>
                <w:szCs w:val="24"/>
              </w:rPr>
              <w:t>It filed CNS Calculator results only for its Conforming Portfolio, and it used a different, unapproved methodology for calculating GHG emissions associated with its Preferred Portfolio.</w:t>
            </w:r>
          </w:p>
        </w:tc>
      </w:tr>
      <w:tr w:rsidR="00BD702C" w:rsidRPr="00BD702C" w14:paraId="2114F7B8" w14:textId="77777777" w:rsidTr="00BD702C">
        <w:tc>
          <w:tcPr>
            <w:tcW w:w="2761" w:type="dxa"/>
          </w:tcPr>
          <w:p w14:paraId="05C4EFF8"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Study Results:</w:t>
            </w:r>
            <w:r w:rsidR="004731C2">
              <w:rPr>
                <w:rFonts w:ascii="Book Antiqua" w:hAnsi="Book Antiqua"/>
                <w:sz w:val="24"/>
                <w:szCs w:val="24"/>
              </w:rPr>
              <w:t xml:space="preserve"> </w:t>
            </w:r>
            <w:r w:rsidRPr="00BD702C">
              <w:rPr>
                <w:rFonts w:ascii="Book Antiqua" w:hAnsi="Book Antiqua"/>
                <w:sz w:val="24"/>
                <w:szCs w:val="24"/>
              </w:rPr>
              <w:t xml:space="preserve"> Local Air Pollutant Minimization</w:t>
            </w:r>
          </w:p>
        </w:tc>
        <w:tc>
          <w:tcPr>
            <w:tcW w:w="6589" w:type="dxa"/>
          </w:tcPr>
          <w:p w14:paraId="6F36B6F0"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Shell made no attempt to provide best available estimates of emissions of nitrogen oxides and particulate matter. </w:t>
            </w:r>
            <w:r w:rsidR="008672C5">
              <w:rPr>
                <w:rFonts w:ascii="Book Antiqua" w:hAnsi="Book Antiqua"/>
                <w:sz w:val="24"/>
                <w:szCs w:val="24"/>
              </w:rPr>
              <w:t xml:space="preserve"> </w:t>
            </w:r>
            <w:r w:rsidRPr="00BD702C">
              <w:rPr>
                <w:rFonts w:ascii="Book Antiqua" w:hAnsi="Book Antiqua"/>
                <w:sz w:val="24"/>
                <w:szCs w:val="24"/>
              </w:rPr>
              <w:t>Identification of disadvantaged communities was adequate.</w:t>
            </w:r>
          </w:p>
        </w:tc>
      </w:tr>
      <w:tr w:rsidR="00BD702C" w:rsidRPr="00BD702C" w14:paraId="19F32027" w14:textId="77777777" w:rsidTr="00BD702C">
        <w:tc>
          <w:tcPr>
            <w:tcW w:w="2761" w:type="dxa"/>
          </w:tcPr>
          <w:p w14:paraId="3C70224A"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Study Results:</w:t>
            </w:r>
            <w:r w:rsidR="004731C2">
              <w:rPr>
                <w:rFonts w:ascii="Book Antiqua" w:hAnsi="Book Antiqua"/>
                <w:sz w:val="24"/>
                <w:szCs w:val="24"/>
              </w:rPr>
              <w:t xml:space="preserve"> </w:t>
            </w:r>
            <w:r w:rsidRPr="00BD702C">
              <w:rPr>
                <w:rFonts w:ascii="Book Antiqua" w:hAnsi="Book Antiqua"/>
                <w:sz w:val="24"/>
                <w:szCs w:val="24"/>
              </w:rPr>
              <w:t xml:space="preserve"> Cost and Rate Analysis</w:t>
            </w:r>
          </w:p>
        </w:tc>
        <w:tc>
          <w:tcPr>
            <w:tcW w:w="6589" w:type="dxa"/>
          </w:tcPr>
          <w:p w14:paraId="34E03F8F"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Shell provided an adequate description of its approach in considering cost and rate impacts on its customers.</w:t>
            </w:r>
          </w:p>
        </w:tc>
      </w:tr>
      <w:tr w:rsidR="00BD702C" w:rsidRPr="00BD702C" w14:paraId="398464C1" w14:textId="77777777" w:rsidTr="00BD702C">
        <w:tc>
          <w:tcPr>
            <w:tcW w:w="2761" w:type="dxa"/>
          </w:tcPr>
          <w:p w14:paraId="1F252B6C"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Deviations from Current Resource Plans</w:t>
            </w:r>
          </w:p>
        </w:tc>
        <w:tc>
          <w:tcPr>
            <w:tcW w:w="6589" w:type="dxa"/>
          </w:tcPr>
          <w:p w14:paraId="6FFF8B00"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Shell provided an adequate description of the differences in quantities and budgets for procurement between its Preferred Plan and currently filed or authorized resource plans, stating that there are no deviations.</w:t>
            </w:r>
          </w:p>
        </w:tc>
      </w:tr>
      <w:tr w:rsidR="00BD702C" w:rsidRPr="00BD702C" w14:paraId="115293D3" w14:textId="77777777" w:rsidTr="00BD702C">
        <w:tc>
          <w:tcPr>
            <w:tcW w:w="2761" w:type="dxa"/>
          </w:tcPr>
          <w:p w14:paraId="271A0D5E" w14:textId="77777777" w:rsidR="00BD702C" w:rsidRPr="00BD702C" w:rsidRDefault="00BD702C" w:rsidP="00AB7D91">
            <w:pPr>
              <w:spacing w:before="60" w:after="60"/>
              <w:rPr>
                <w:rFonts w:ascii="Book Antiqua" w:hAnsi="Book Antiqua"/>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Activities</w:t>
            </w:r>
          </w:p>
        </w:tc>
        <w:tc>
          <w:tcPr>
            <w:tcW w:w="6589" w:type="dxa"/>
          </w:tcPr>
          <w:p w14:paraId="2D7F8D0A"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Shell provided an adequate description of its proposed near</w:t>
            </w:r>
            <w:r w:rsidR="00D84A09">
              <w:rPr>
                <w:rFonts w:ascii="Book Antiqua" w:hAnsi="Book Antiqua"/>
                <w:sz w:val="24"/>
                <w:szCs w:val="24"/>
              </w:rPr>
              <w:noBreakHyphen/>
            </w:r>
            <w:r w:rsidRPr="00BD702C">
              <w:rPr>
                <w:rFonts w:ascii="Book Antiqua" w:hAnsi="Book Antiqua"/>
                <w:sz w:val="24"/>
                <w:szCs w:val="24"/>
              </w:rPr>
              <w:t>term activities to implement its LSE Plan along with links to its Preferred Portfolio findings.</w:t>
            </w:r>
          </w:p>
        </w:tc>
      </w:tr>
      <w:tr w:rsidR="00BD702C" w:rsidRPr="00BD702C" w14:paraId="5051439D" w14:textId="77777777" w:rsidTr="00BD702C">
        <w:tc>
          <w:tcPr>
            <w:tcW w:w="2761" w:type="dxa"/>
          </w:tcPr>
          <w:p w14:paraId="27FDBB4E"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Barrier Analysis</w:t>
            </w:r>
          </w:p>
        </w:tc>
        <w:tc>
          <w:tcPr>
            <w:tcW w:w="6589" w:type="dxa"/>
          </w:tcPr>
          <w:p w14:paraId="4C0754E9"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Shell provided an adequate description of the market, regulatory, financial, or other barriers or risks associated with its Preferred Portfolio.</w:t>
            </w:r>
          </w:p>
        </w:tc>
      </w:tr>
      <w:tr w:rsidR="00BD702C" w:rsidRPr="00BD702C" w14:paraId="203828D8" w14:textId="77777777" w:rsidTr="00BD702C">
        <w:tc>
          <w:tcPr>
            <w:tcW w:w="2761" w:type="dxa"/>
          </w:tcPr>
          <w:p w14:paraId="589BB720"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589" w:type="dxa"/>
          </w:tcPr>
          <w:p w14:paraId="68CD1F57"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Shell stated that it is not seeking any Commission direction at this time.</w:t>
            </w:r>
          </w:p>
        </w:tc>
      </w:tr>
      <w:tr w:rsidR="00BD702C" w:rsidRPr="00BD702C" w14:paraId="46CF1251" w14:textId="77777777" w:rsidTr="00BD702C">
        <w:tc>
          <w:tcPr>
            <w:tcW w:w="2761" w:type="dxa"/>
          </w:tcPr>
          <w:p w14:paraId="2583B0F3"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Lessons Learned</w:t>
            </w:r>
          </w:p>
        </w:tc>
        <w:tc>
          <w:tcPr>
            <w:tcW w:w="6589" w:type="dxa"/>
          </w:tcPr>
          <w:p w14:paraId="482822E2"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Shell provided an adequate description of lessons learned.</w:t>
            </w:r>
          </w:p>
        </w:tc>
      </w:tr>
    </w:tbl>
    <w:p w14:paraId="10FE7B94" w14:textId="77777777" w:rsidR="00BD702C" w:rsidRPr="00AB7D91" w:rsidRDefault="00BD702C" w:rsidP="00AB7D91">
      <w:pPr>
        <w:keepNext/>
        <w:keepLines/>
        <w:spacing w:before="240" w:after="120" w:line="276" w:lineRule="auto"/>
        <w:outlineLvl w:val="3"/>
        <w:rPr>
          <w:rFonts w:ascii="Book Antiqua" w:eastAsiaTheme="majorEastAsia" w:hAnsi="Book Antiqua" w:cstheme="majorBidi"/>
          <w:b/>
          <w:i/>
          <w:iCs/>
          <w:szCs w:val="24"/>
        </w:rPr>
      </w:pPr>
      <w:r w:rsidRPr="00AB7D91">
        <w:rPr>
          <w:rFonts w:ascii="Book Antiqua" w:eastAsiaTheme="majorEastAsia" w:hAnsi="Book Antiqua" w:cstheme="majorBidi"/>
          <w:b/>
          <w:i/>
          <w:iCs/>
          <w:szCs w:val="24"/>
        </w:rPr>
        <w:t xml:space="preserve">Next Steps for Shell </w:t>
      </w:r>
    </w:p>
    <w:p w14:paraId="0DD7A18E" w14:textId="77777777" w:rsidR="00BD702C" w:rsidRPr="00AB7D91" w:rsidRDefault="00BD702C" w:rsidP="00BD702C">
      <w:pPr>
        <w:spacing w:after="200" w:line="276" w:lineRule="auto"/>
        <w:rPr>
          <w:rFonts w:ascii="Book Antiqua" w:hAnsi="Book Antiqua" w:cstheme="minorBidi"/>
          <w:szCs w:val="24"/>
        </w:rPr>
      </w:pPr>
      <w:r w:rsidRPr="00AB7D91">
        <w:rPr>
          <w:rFonts w:ascii="Book Antiqua" w:hAnsi="Book Antiqua" w:cstheme="minorBidi"/>
          <w:b/>
          <w:szCs w:val="24"/>
        </w:rPr>
        <w:t>Action required in this IRP 2017</w:t>
      </w:r>
      <w:r w:rsidR="00D84A09" w:rsidRPr="00AB7D91">
        <w:rPr>
          <w:rFonts w:ascii="Book Antiqua" w:hAnsi="Book Antiqua" w:cstheme="minorBidi"/>
          <w:b/>
          <w:szCs w:val="24"/>
        </w:rPr>
        <w:noBreakHyphen/>
      </w:r>
      <w:r w:rsidRPr="00AB7D91">
        <w:rPr>
          <w:rFonts w:ascii="Book Antiqua" w:hAnsi="Book Antiqua" w:cstheme="minorBidi"/>
          <w:b/>
          <w:szCs w:val="24"/>
        </w:rPr>
        <w:t>18 cycle</w:t>
      </w:r>
      <w:r w:rsidRPr="00AB7D91">
        <w:rPr>
          <w:rFonts w:ascii="Book Antiqua" w:hAnsi="Book Antiqua" w:cstheme="minorBidi"/>
          <w:szCs w:val="24"/>
        </w:rPr>
        <w:t xml:space="preserve">: </w:t>
      </w:r>
      <w:r w:rsidR="004731C2" w:rsidRPr="00AB7D91">
        <w:rPr>
          <w:rFonts w:ascii="Book Antiqua" w:hAnsi="Book Antiqua" w:cstheme="minorBidi"/>
          <w:szCs w:val="24"/>
        </w:rPr>
        <w:t xml:space="preserve"> </w:t>
      </w:r>
      <w:r w:rsidRPr="00AB7D91">
        <w:rPr>
          <w:rFonts w:ascii="Book Antiqua" w:hAnsi="Book Antiqua" w:cstheme="minorBidi"/>
          <w:szCs w:val="24"/>
        </w:rPr>
        <w:t xml:space="preserve">Provide best available estimates of emissions of nitrogen oxides and particulate matter associated with all emitting resources used to serve load, including system power. </w:t>
      </w:r>
      <w:r w:rsidR="008672C5" w:rsidRPr="00AB7D91">
        <w:rPr>
          <w:rFonts w:ascii="Book Antiqua" w:hAnsi="Book Antiqua" w:cstheme="minorBidi"/>
          <w:szCs w:val="24"/>
        </w:rPr>
        <w:t xml:space="preserve"> </w:t>
      </w:r>
      <w:r w:rsidRPr="00AB7D91">
        <w:rPr>
          <w:rFonts w:ascii="Book Antiqua" w:hAnsi="Book Antiqua" w:cstheme="minorBidi"/>
          <w:i/>
          <w:szCs w:val="24"/>
        </w:rPr>
        <w:t>See</w:t>
      </w:r>
      <w:r w:rsidRPr="00AB7D91">
        <w:rPr>
          <w:rFonts w:ascii="Book Antiqua" w:hAnsi="Book Antiqua" w:cstheme="minorBidi"/>
          <w:szCs w:val="24"/>
        </w:rPr>
        <w:t xml:space="preserve"> page 16 of Calpine Energy Solutions’ plan for an example of the type of information an ESP can provide to fulfill this specific filing requirement. </w:t>
      </w:r>
    </w:p>
    <w:p w14:paraId="245D6E53" w14:textId="77777777" w:rsidR="00BD702C" w:rsidRPr="00AB7D91" w:rsidRDefault="00BD702C" w:rsidP="00C8182B">
      <w:pPr>
        <w:keepNext/>
        <w:keepLines/>
        <w:spacing w:after="200" w:line="276" w:lineRule="auto"/>
        <w:rPr>
          <w:rFonts w:ascii="Book Antiqua" w:hAnsi="Book Antiqua" w:cstheme="minorBidi"/>
          <w:szCs w:val="24"/>
        </w:rPr>
      </w:pPr>
      <w:r w:rsidRPr="00AB7D91">
        <w:rPr>
          <w:rFonts w:ascii="Book Antiqua" w:hAnsi="Book Antiqua" w:cstheme="minorBidi"/>
          <w:b/>
          <w:szCs w:val="24"/>
        </w:rPr>
        <w:t>Guidance for LSE Plan development in the next IRP cycle</w:t>
      </w:r>
      <w:r w:rsidRPr="00AB7D91">
        <w:rPr>
          <w:rFonts w:ascii="Book Antiqua" w:hAnsi="Book Antiqua" w:cstheme="minorBidi"/>
          <w:szCs w:val="24"/>
        </w:rPr>
        <w:t>:</w:t>
      </w:r>
    </w:p>
    <w:p w14:paraId="2F5E204C" w14:textId="77777777" w:rsidR="00BD702C" w:rsidRPr="00AB7D91" w:rsidRDefault="00BD702C" w:rsidP="00894BE0">
      <w:pPr>
        <w:numPr>
          <w:ilvl w:val="0"/>
          <w:numId w:val="16"/>
        </w:numPr>
        <w:spacing w:after="200" w:line="276" w:lineRule="auto"/>
        <w:rPr>
          <w:rFonts w:ascii="Book Antiqua" w:hAnsi="Book Antiqua"/>
          <w:szCs w:val="24"/>
        </w:rPr>
      </w:pPr>
      <w:r w:rsidRPr="00AB7D91">
        <w:rPr>
          <w:rFonts w:ascii="Book Antiqua" w:hAnsi="Book Antiqua"/>
          <w:szCs w:val="24"/>
        </w:rPr>
        <w:t>Use the correct assigned load forecast when developing the Conforming Portfolio.</w:t>
      </w:r>
    </w:p>
    <w:p w14:paraId="4909DBA6" w14:textId="77777777" w:rsidR="00BD702C" w:rsidRPr="00AB7D91" w:rsidRDefault="00BD702C" w:rsidP="00894BE0">
      <w:pPr>
        <w:numPr>
          <w:ilvl w:val="0"/>
          <w:numId w:val="16"/>
        </w:numPr>
        <w:spacing w:after="200" w:line="276" w:lineRule="auto"/>
        <w:rPr>
          <w:rFonts w:ascii="Book Antiqua" w:hAnsi="Book Antiqua"/>
          <w:szCs w:val="24"/>
        </w:rPr>
      </w:pPr>
      <w:bookmarkStart w:id="94" w:name="_Hlk534983552"/>
      <w:r w:rsidRPr="00AB7D91">
        <w:rPr>
          <w:rFonts w:ascii="Book Antiqua" w:hAnsi="Book Antiqua"/>
          <w:szCs w:val="24"/>
        </w:rPr>
        <w:t>Use the correct GHG emission accounting methodology established for the IRP proceeding.</w:t>
      </w:r>
    </w:p>
    <w:p w14:paraId="1A3C598E" w14:textId="77777777" w:rsidR="00BD702C" w:rsidRPr="00AB7D91" w:rsidRDefault="00BD702C" w:rsidP="00671FAB">
      <w:pPr>
        <w:keepNext/>
        <w:keepLines/>
        <w:spacing w:before="240" w:after="120" w:line="276" w:lineRule="auto"/>
        <w:outlineLvl w:val="2"/>
        <w:rPr>
          <w:rFonts w:ascii="Book Antiqua" w:eastAsiaTheme="majorEastAsia" w:hAnsi="Book Antiqua" w:cstheme="majorBidi"/>
          <w:b/>
          <w:szCs w:val="24"/>
        </w:rPr>
      </w:pPr>
      <w:bookmarkStart w:id="95" w:name="_Toc868779"/>
      <w:bookmarkEnd w:id="94"/>
      <w:r w:rsidRPr="00AB7D91">
        <w:rPr>
          <w:rFonts w:ascii="Book Antiqua" w:eastAsiaTheme="majorEastAsia" w:hAnsi="Book Antiqua" w:cstheme="majorBidi"/>
          <w:b/>
          <w:szCs w:val="24"/>
        </w:rPr>
        <w:t>Silicon Valley Clean Energy Authority</w:t>
      </w:r>
      <w:bookmarkEnd w:id="95"/>
    </w:p>
    <w:tbl>
      <w:tblPr>
        <w:tblStyle w:val="TableGrid3"/>
        <w:tblW w:w="0" w:type="auto"/>
        <w:tblLook w:val="04A0" w:firstRow="1" w:lastRow="0" w:firstColumn="1" w:lastColumn="0" w:noHBand="0" w:noVBand="1"/>
      </w:tblPr>
      <w:tblGrid>
        <w:gridCol w:w="2761"/>
        <w:gridCol w:w="6589"/>
      </w:tblGrid>
      <w:tr w:rsidR="00BD702C" w:rsidRPr="00BD702C" w14:paraId="4A472DBA" w14:textId="77777777" w:rsidTr="00BD702C">
        <w:tc>
          <w:tcPr>
            <w:tcW w:w="2761" w:type="dxa"/>
          </w:tcPr>
          <w:p w14:paraId="184465CB" w14:textId="77777777" w:rsidR="00BD702C" w:rsidRPr="00BD702C" w:rsidRDefault="00BD702C" w:rsidP="00AB7D91">
            <w:pPr>
              <w:keepNext/>
              <w:keepLines/>
              <w:spacing w:before="60" w:after="60"/>
              <w:jc w:val="center"/>
              <w:rPr>
                <w:rFonts w:ascii="Book Antiqua" w:hAnsi="Book Antiqua"/>
                <w:b/>
                <w:sz w:val="24"/>
                <w:szCs w:val="24"/>
              </w:rPr>
            </w:pPr>
            <w:r w:rsidRPr="00BD702C">
              <w:rPr>
                <w:rFonts w:ascii="Book Antiqua" w:hAnsi="Book Antiqua"/>
                <w:b/>
                <w:sz w:val="24"/>
                <w:szCs w:val="24"/>
              </w:rPr>
              <w:t>Requirement</w:t>
            </w:r>
          </w:p>
        </w:tc>
        <w:tc>
          <w:tcPr>
            <w:tcW w:w="6589" w:type="dxa"/>
          </w:tcPr>
          <w:p w14:paraId="1301E1FC" w14:textId="77777777" w:rsidR="00BD702C" w:rsidRPr="00BD702C" w:rsidRDefault="00BD702C" w:rsidP="00AB7D91">
            <w:pPr>
              <w:keepNext/>
              <w:keepLines/>
              <w:spacing w:before="60" w:after="60"/>
              <w:jc w:val="center"/>
              <w:rPr>
                <w:rFonts w:ascii="Book Antiqua" w:hAnsi="Book Antiqua"/>
                <w:b/>
                <w:sz w:val="24"/>
                <w:szCs w:val="24"/>
              </w:rPr>
            </w:pPr>
            <w:r w:rsidRPr="00BD702C">
              <w:rPr>
                <w:rFonts w:ascii="Book Antiqua" w:hAnsi="Book Antiqua"/>
                <w:b/>
                <w:sz w:val="24"/>
                <w:szCs w:val="24"/>
              </w:rPr>
              <w:t>Assessment</w:t>
            </w:r>
          </w:p>
        </w:tc>
      </w:tr>
      <w:tr w:rsidR="00BD702C" w:rsidRPr="00BD702C" w14:paraId="7E1D9EAE" w14:textId="77777777" w:rsidTr="00BD702C">
        <w:tc>
          <w:tcPr>
            <w:tcW w:w="2761" w:type="dxa"/>
          </w:tcPr>
          <w:p w14:paraId="27B226B7" w14:textId="77777777" w:rsidR="00BD702C" w:rsidRPr="00BD702C" w:rsidRDefault="00BD702C" w:rsidP="00AB7D91">
            <w:pPr>
              <w:keepNext/>
              <w:keepLines/>
              <w:spacing w:before="60" w:after="60"/>
              <w:rPr>
                <w:rFonts w:ascii="Book Antiqua" w:hAnsi="Book Antiqua"/>
                <w:sz w:val="24"/>
                <w:szCs w:val="24"/>
              </w:rPr>
            </w:pPr>
            <w:r w:rsidRPr="00BD702C">
              <w:rPr>
                <w:rFonts w:ascii="Book Antiqua" w:hAnsi="Book Antiqua"/>
                <w:sz w:val="24"/>
                <w:szCs w:val="24"/>
              </w:rPr>
              <w:t>Study Design</w:t>
            </w:r>
          </w:p>
        </w:tc>
        <w:tc>
          <w:tcPr>
            <w:tcW w:w="6589" w:type="dxa"/>
          </w:tcPr>
          <w:p w14:paraId="788414C4" w14:textId="77777777" w:rsidR="00BD702C" w:rsidRPr="00BD702C" w:rsidRDefault="00BD702C" w:rsidP="00AB7D91">
            <w:pPr>
              <w:keepNext/>
              <w:keepLines/>
              <w:spacing w:before="60" w:after="60"/>
              <w:rPr>
                <w:rFonts w:ascii="Book Antiqua" w:hAnsi="Book Antiqua"/>
                <w:sz w:val="24"/>
                <w:szCs w:val="24"/>
              </w:rPr>
            </w:pPr>
            <w:r w:rsidRPr="00BD702C">
              <w:rPr>
                <w:rFonts w:ascii="Book Antiqua" w:hAnsi="Book Antiqua"/>
                <w:sz w:val="24"/>
                <w:szCs w:val="24"/>
              </w:rPr>
              <w:t>Silicon Valley Clean Energy Authority (SVCE) provided an adequate description of modeling tools and approach used to develop its portfolios.</w:t>
            </w:r>
          </w:p>
        </w:tc>
      </w:tr>
      <w:tr w:rsidR="00BD702C" w:rsidRPr="00BD702C" w14:paraId="335DCFBB" w14:textId="77777777" w:rsidTr="00BD702C">
        <w:tc>
          <w:tcPr>
            <w:tcW w:w="2761" w:type="dxa"/>
          </w:tcPr>
          <w:p w14:paraId="515D869A"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Preferred and Conforming Portfolios</w:t>
            </w:r>
          </w:p>
        </w:tc>
        <w:tc>
          <w:tcPr>
            <w:tcW w:w="6589" w:type="dxa"/>
          </w:tcPr>
          <w:p w14:paraId="0C01927F"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SVCE provided a Conforming Portfolio and an Alternative (Preferred) Portfolio showing both existing resources and new resources that it plans to invest in or contract with.</w:t>
            </w:r>
            <w:r w:rsidR="008672C5">
              <w:rPr>
                <w:rFonts w:ascii="Book Antiqua" w:hAnsi="Book Antiqua"/>
                <w:sz w:val="24"/>
                <w:szCs w:val="24"/>
              </w:rPr>
              <w:t xml:space="preserve"> </w:t>
            </w:r>
            <w:r w:rsidRPr="00BD702C">
              <w:rPr>
                <w:rFonts w:ascii="Book Antiqua" w:hAnsi="Book Antiqua"/>
                <w:sz w:val="24"/>
                <w:szCs w:val="24"/>
              </w:rPr>
              <w:t xml:space="preserve"> It provided an adequate explanation of the reasons for its preference, but it did not explain how its Preferred Portfolio is consistent with each relevant statutory and administrative requirement.</w:t>
            </w:r>
          </w:p>
        </w:tc>
      </w:tr>
      <w:tr w:rsidR="00BD702C" w:rsidRPr="00BD702C" w14:paraId="130A0B0B" w14:textId="77777777" w:rsidTr="00BD702C">
        <w:tc>
          <w:tcPr>
            <w:tcW w:w="2761" w:type="dxa"/>
          </w:tcPr>
          <w:p w14:paraId="30F6F840"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Local Air Pollutant Minimization</w:t>
            </w:r>
          </w:p>
        </w:tc>
        <w:tc>
          <w:tcPr>
            <w:tcW w:w="6589" w:type="dxa"/>
          </w:tcPr>
          <w:p w14:paraId="0D9E7563"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SVCE stated that it minimizes localized air pollutants across its service area but did not provide any quantitative evidence to back the claim.  No attempt to provide best available estimates of emissions of nitrogen oxides and particulate matter was made.</w:t>
            </w:r>
            <w:r w:rsidR="008672C5">
              <w:rPr>
                <w:rFonts w:ascii="Book Antiqua" w:hAnsi="Book Antiqua"/>
                <w:sz w:val="24"/>
                <w:szCs w:val="24"/>
              </w:rPr>
              <w:t xml:space="preserve"> </w:t>
            </w:r>
            <w:r w:rsidRPr="00BD702C">
              <w:rPr>
                <w:rFonts w:ascii="Book Antiqua" w:hAnsi="Book Antiqua"/>
                <w:sz w:val="24"/>
                <w:szCs w:val="24"/>
              </w:rPr>
              <w:t xml:space="preserve"> Identification of disadvantaged communities was adequate.</w:t>
            </w:r>
          </w:p>
        </w:tc>
      </w:tr>
      <w:tr w:rsidR="00BD702C" w:rsidRPr="00BD702C" w14:paraId="0F0D396F" w14:textId="77777777" w:rsidTr="00BD702C">
        <w:tc>
          <w:tcPr>
            <w:tcW w:w="2761" w:type="dxa"/>
          </w:tcPr>
          <w:p w14:paraId="035661B1"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Cost and Rate Analysis</w:t>
            </w:r>
          </w:p>
        </w:tc>
        <w:tc>
          <w:tcPr>
            <w:tcW w:w="6589" w:type="dxa"/>
          </w:tcPr>
          <w:p w14:paraId="23EE7BB9"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SVCE provided an adequate description of its approach in considering cost and rate impacts on its customers.</w:t>
            </w:r>
          </w:p>
        </w:tc>
      </w:tr>
      <w:tr w:rsidR="00BD702C" w:rsidRPr="00BD702C" w14:paraId="01A4DE85" w14:textId="77777777" w:rsidTr="00BD702C">
        <w:tc>
          <w:tcPr>
            <w:tcW w:w="2761" w:type="dxa"/>
          </w:tcPr>
          <w:p w14:paraId="096106E8"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Deviations from Current Resource Plans</w:t>
            </w:r>
          </w:p>
        </w:tc>
        <w:tc>
          <w:tcPr>
            <w:tcW w:w="6589" w:type="dxa"/>
          </w:tcPr>
          <w:p w14:paraId="6A52B2DE"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SVCE provided an adequate description of the differences in quantities and budgets for procurement between its Preferred Plan and currently filed or authorized resource plans, stating that there are no deviations.</w:t>
            </w:r>
          </w:p>
        </w:tc>
      </w:tr>
      <w:tr w:rsidR="00BD702C" w:rsidRPr="00BD702C" w14:paraId="7FB1F527" w14:textId="77777777" w:rsidTr="00BD702C">
        <w:tc>
          <w:tcPr>
            <w:tcW w:w="2761" w:type="dxa"/>
          </w:tcPr>
          <w:p w14:paraId="2CF94F10" w14:textId="77777777" w:rsidR="00BD702C" w:rsidRPr="00BD702C" w:rsidRDefault="00BD702C" w:rsidP="00AB7D91">
            <w:pPr>
              <w:spacing w:before="60" w:after="60"/>
              <w:rPr>
                <w:rFonts w:ascii="Book Antiqua" w:hAnsi="Book Antiqua"/>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Activities</w:t>
            </w:r>
          </w:p>
        </w:tc>
        <w:tc>
          <w:tcPr>
            <w:tcW w:w="6589" w:type="dxa"/>
          </w:tcPr>
          <w:p w14:paraId="735ADBDF"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SVCE provided an adequate description of its proposed near</w:t>
            </w:r>
            <w:r w:rsidR="00D84A09">
              <w:rPr>
                <w:rFonts w:ascii="Book Antiqua" w:hAnsi="Book Antiqua"/>
                <w:sz w:val="24"/>
                <w:szCs w:val="24"/>
              </w:rPr>
              <w:noBreakHyphen/>
            </w:r>
            <w:r w:rsidRPr="00BD702C">
              <w:rPr>
                <w:rFonts w:ascii="Book Antiqua" w:hAnsi="Book Antiqua"/>
                <w:sz w:val="24"/>
                <w:szCs w:val="24"/>
              </w:rPr>
              <w:t>term activities to implement its LSE Plan along with links to its Preferred Portfolio findings.</w:t>
            </w:r>
          </w:p>
        </w:tc>
      </w:tr>
      <w:tr w:rsidR="00BD702C" w:rsidRPr="00BD702C" w14:paraId="47FE05CE" w14:textId="77777777" w:rsidTr="00BD702C">
        <w:tc>
          <w:tcPr>
            <w:tcW w:w="2761" w:type="dxa"/>
          </w:tcPr>
          <w:p w14:paraId="6916DA6B"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Barrier Analysis</w:t>
            </w:r>
          </w:p>
        </w:tc>
        <w:tc>
          <w:tcPr>
            <w:tcW w:w="6589" w:type="dxa"/>
          </w:tcPr>
          <w:p w14:paraId="2CC62173"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SVCE provided an adequate description of the market, regulatory, financial, or other barriers or risks associated with its Preferred Portfolio.</w:t>
            </w:r>
          </w:p>
        </w:tc>
      </w:tr>
      <w:tr w:rsidR="00BD702C" w:rsidRPr="00BD702C" w14:paraId="48EF762A" w14:textId="77777777" w:rsidTr="00BD702C">
        <w:tc>
          <w:tcPr>
            <w:tcW w:w="2761" w:type="dxa"/>
          </w:tcPr>
          <w:p w14:paraId="77317F2F"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589" w:type="dxa"/>
          </w:tcPr>
          <w:p w14:paraId="40E915A0"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SVCE stated that it is not seeking any Commission direction at this time.</w:t>
            </w:r>
          </w:p>
        </w:tc>
      </w:tr>
      <w:tr w:rsidR="00BD702C" w:rsidRPr="00BD702C" w14:paraId="06957FAC" w14:textId="77777777" w:rsidTr="00BD702C">
        <w:tc>
          <w:tcPr>
            <w:tcW w:w="2761" w:type="dxa"/>
          </w:tcPr>
          <w:p w14:paraId="2594F756"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Lessons Learned</w:t>
            </w:r>
          </w:p>
        </w:tc>
        <w:tc>
          <w:tcPr>
            <w:tcW w:w="6589" w:type="dxa"/>
          </w:tcPr>
          <w:p w14:paraId="5EE15C0E"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SVCE provided an adequate description of lessons learned.</w:t>
            </w:r>
          </w:p>
        </w:tc>
      </w:tr>
    </w:tbl>
    <w:p w14:paraId="304FA341" w14:textId="77777777" w:rsidR="00BD702C" w:rsidRPr="00AB7D91" w:rsidRDefault="00BD702C" w:rsidP="00AB7D91">
      <w:pPr>
        <w:keepNext/>
        <w:keepLines/>
        <w:spacing w:before="240" w:after="120" w:line="276" w:lineRule="auto"/>
        <w:outlineLvl w:val="3"/>
        <w:rPr>
          <w:rFonts w:ascii="Book Antiqua" w:eastAsiaTheme="majorEastAsia" w:hAnsi="Book Antiqua" w:cstheme="majorBidi"/>
          <w:b/>
          <w:i/>
          <w:iCs/>
          <w:szCs w:val="24"/>
        </w:rPr>
      </w:pPr>
      <w:r w:rsidRPr="00AB7D91">
        <w:rPr>
          <w:rFonts w:ascii="Book Antiqua" w:eastAsiaTheme="majorEastAsia" w:hAnsi="Book Antiqua" w:cstheme="majorBidi"/>
          <w:b/>
          <w:i/>
          <w:iCs/>
          <w:szCs w:val="24"/>
        </w:rPr>
        <w:t>Next Steps for SVCE</w:t>
      </w:r>
    </w:p>
    <w:p w14:paraId="7A36D02C" w14:textId="77777777" w:rsidR="00BD702C" w:rsidRPr="00AB7D91" w:rsidRDefault="00BD702C" w:rsidP="00BD702C">
      <w:pPr>
        <w:spacing w:after="200" w:line="276" w:lineRule="auto"/>
        <w:rPr>
          <w:rFonts w:ascii="Book Antiqua" w:hAnsi="Book Antiqua" w:cstheme="minorBidi"/>
          <w:szCs w:val="24"/>
        </w:rPr>
      </w:pPr>
      <w:r w:rsidRPr="00AB7D91">
        <w:rPr>
          <w:rFonts w:ascii="Book Antiqua" w:hAnsi="Book Antiqua" w:cstheme="minorBidi"/>
          <w:b/>
          <w:szCs w:val="24"/>
        </w:rPr>
        <w:t>Action required in this IRP 2017</w:t>
      </w:r>
      <w:r w:rsidR="00D84A09" w:rsidRPr="00AB7D91">
        <w:rPr>
          <w:rFonts w:ascii="Book Antiqua" w:hAnsi="Book Antiqua" w:cstheme="minorBidi"/>
          <w:b/>
          <w:szCs w:val="24"/>
        </w:rPr>
        <w:noBreakHyphen/>
      </w:r>
      <w:r w:rsidRPr="00AB7D91">
        <w:rPr>
          <w:rFonts w:ascii="Book Antiqua" w:hAnsi="Book Antiqua" w:cstheme="minorBidi"/>
          <w:b/>
          <w:szCs w:val="24"/>
        </w:rPr>
        <w:t>18 cycle</w:t>
      </w:r>
      <w:r w:rsidRPr="00AB7D91">
        <w:rPr>
          <w:rFonts w:ascii="Book Antiqua" w:hAnsi="Book Antiqua" w:cstheme="minorBidi"/>
          <w:szCs w:val="24"/>
        </w:rPr>
        <w:t xml:space="preserve">: </w:t>
      </w:r>
      <w:r w:rsidR="004731C2" w:rsidRPr="00AB7D91">
        <w:rPr>
          <w:rFonts w:ascii="Book Antiqua" w:hAnsi="Book Antiqua" w:cstheme="minorBidi"/>
          <w:szCs w:val="24"/>
        </w:rPr>
        <w:t xml:space="preserve"> </w:t>
      </w:r>
      <w:r w:rsidRPr="00AB7D91">
        <w:rPr>
          <w:rFonts w:ascii="Book Antiqua" w:hAnsi="Book Antiqua" w:cstheme="minorBidi"/>
          <w:szCs w:val="24"/>
        </w:rPr>
        <w:t xml:space="preserve">Provide best available estimates of emissions of nitrogen oxides and particulate matter associated with all emitting resources used to serve load, including system power. </w:t>
      </w:r>
      <w:r w:rsidR="008672C5" w:rsidRPr="00AB7D91">
        <w:rPr>
          <w:rFonts w:ascii="Book Antiqua" w:hAnsi="Book Antiqua" w:cstheme="minorBidi"/>
          <w:szCs w:val="24"/>
        </w:rPr>
        <w:t xml:space="preserve"> </w:t>
      </w:r>
      <w:r w:rsidRPr="00AB7D91">
        <w:rPr>
          <w:rFonts w:ascii="Book Antiqua" w:hAnsi="Book Antiqua" w:cstheme="minorBidi"/>
          <w:szCs w:val="24"/>
        </w:rPr>
        <w:t>Refer to pages 19</w:t>
      </w:r>
      <w:r w:rsidR="00D84A09" w:rsidRPr="00AB7D91">
        <w:rPr>
          <w:rFonts w:ascii="Book Antiqua" w:hAnsi="Book Antiqua" w:cstheme="minorBidi"/>
          <w:szCs w:val="24"/>
        </w:rPr>
        <w:noBreakHyphen/>
      </w:r>
      <w:r w:rsidRPr="00AB7D91">
        <w:rPr>
          <w:rFonts w:ascii="Book Antiqua" w:hAnsi="Book Antiqua" w:cstheme="minorBidi"/>
          <w:szCs w:val="24"/>
        </w:rPr>
        <w:t>22 of Desert Community Energy’s IRP filing for</w:t>
      </w:r>
      <w:r w:rsidR="009E6885">
        <w:rPr>
          <w:rFonts w:ascii="Book Antiqua" w:hAnsi="Book Antiqua" w:cstheme="minorBidi"/>
          <w:szCs w:val="24"/>
        </w:rPr>
        <w:t xml:space="preserve"> an</w:t>
      </w:r>
      <w:r w:rsidRPr="00AB7D91">
        <w:rPr>
          <w:rFonts w:ascii="Book Antiqua" w:hAnsi="Book Antiqua" w:cstheme="minorBidi"/>
          <w:szCs w:val="24"/>
        </w:rPr>
        <w:t xml:space="preserve"> example of the type of information a CCA can provide to fulfill this specific filing requirement. </w:t>
      </w:r>
    </w:p>
    <w:p w14:paraId="23DD26D7" w14:textId="77777777" w:rsidR="00BD702C" w:rsidRPr="00AB7D91" w:rsidRDefault="00BD702C" w:rsidP="000E00E5">
      <w:pPr>
        <w:spacing w:after="200" w:line="276" w:lineRule="auto"/>
        <w:rPr>
          <w:rFonts w:ascii="Book Antiqua" w:hAnsi="Book Antiqua" w:cstheme="minorBidi"/>
          <w:szCs w:val="24"/>
        </w:rPr>
      </w:pPr>
      <w:r w:rsidRPr="00AB7D91">
        <w:rPr>
          <w:rFonts w:ascii="Book Antiqua" w:hAnsi="Book Antiqua" w:cstheme="minorBidi"/>
          <w:b/>
          <w:szCs w:val="24"/>
        </w:rPr>
        <w:t>Guidance for LSE Plan development in the next IRP cycle</w:t>
      </w:r>
      <w:r w:rsidRPr="00AB7D91">
        <w:rPr>
          <w:rFonts w:ascii="Book Antiqua" w:hAnsi="Book Antiqua" w:cstheme="minorBidi"/>
          <w:szCs w:val="24"/>
        </w:rPr>
        <w:t>:</w:t>
      </w:r>
      <w:r w:rsidR="004731C2" w:rsidRPr="00AB7D91">
        <w:rPr>
          <w:rFonts w:ascii="Book Antiqua" w:hAnsi="Book Antiqua" w:cstheme="minorBidi"/>
          <w:szCs w:val="24"/>
        </w:rPr>
        <w:t xml:space="preserve"> </w:t>
      </w:r>
      <w:r w:rsidRPr="00AB7D91">
        <w:rPr>
          <w:rFonts w:ascii="Book Antiqua" w:hAnsi="Book Antiqua" w:cstheme="minorBidi"/>
          <w:szCs w:val="24"/>
        </w:rPr>
        <w:t xml:space="preserve"> None at this time.</w:t>
      </w:r>
    </w:p>
    <w:p w14:paraId="7627CD82" w14:textId="77777777" w:rsidR="00BD702C" w:rsidRPr="00AB7D91" w:rsidRDefault="00BD702C" w:rsidP="00671FAB">
      <w:pPr>
        <w:keepNext/>
        <w:keepLines/>
        <w:spacing w:before="240" w:after="120" w:line="276" w:lineRule="auto"/>
        <w:outlineLvl w:val="2"/>
        <w:rPr>
          <w:rFonts w:ascii="Book Antiqua" w:eastAsiaTheme="majorEastAsia" w:hAnsi="Book Antiqua" w:cstheme="majorBidi"/>
          <w:b/>
          <w:szCs w:val="24"/>
        </w:rPr>
      </w:pPr>
      <w:bookmarkStart w:id="96" w:name="_Toc868780"/>
      <w:r w:rsidRPr="00AB7D91">
        <w:rPr>
          <w:rFonts w:ascii="Book Antiqua" w:eastAsiaTheme="majorEastAsia" w:hAnsi="Book Antiqua" w:cstheme="majorBidi"/>
          <w:b/>
          <w:szCs w:val="24"/>
        </w:rPr>
        <w:t>Sonoma Clean Power Authority</w:t>
      </w:r>
      <w:bookmarkEnd w:id="96"/>
    </w:p>
    <w:tbl>
      <w:tblPr>
        <w:tblStyle w:val="TableGrid3"/>
        <w:tblW w:w="0" w:type="auto"/>
        <w:tblLook w:val="04A0" w:firstRow="1" w:lastRow="0" w:firstColumn="1" w:lastColumn="0" w:noHBand="0" w:noVBand="1"/>
      </w:tblPr>
      <w:tblGrid>
        <w:gridCol w:w="2761"/>
        <w:gridCol w:w="6589"/>
      </w:tblGrid>
      <w:tr w:rsidR="00BD702C" w:rsidRPr="00BD702C" w14:paraId="0D0A9986" w14:textId="77777777" w:rsidTr="00BD702C">
        <w:tc>
          <w:tcPr>
            <w:tcW w:w="2761" w:type="dxa"/>
          </w:tcPr>
          <w:p w14:paraId="7003F866" w14:textId="77777777" w:rsidR="00BD702C" w:rsidRPr="00BD702C" w:rsidRDefault="00BD702C" w:rsidP="000E00E5">
            <w:pPr>
              <w:keepNext/>
              <w:keepLines/>
              <w:spacing w:before="60" w:after="60"/>
              <w:jc w:val="center"/>
              <w:rPr>
                <w:rFonts w:ascii="Book Antiqua" w:hAnsi="Book Antiqua"/>
                <w:b/>
                <w:sz w:val="24"/>
                <w:szCs w:val="24"/>
              </w:rPr>
            </w:pPr>
            <w:r w:rsidRPr="00BD702C">
              <w:rPr>
                <w:rFonts w:ascii="Book Antiqua" w:hAnsi="Book Antiqua"/>
                <w:b/>
                <w:sz w:val="24"/>
                <w:szCs w:val="24"/>
              </w:rPr>
              <w:t>Requirement</w:t>
            </w:r>
          </w:p>
        </w:tc>
        <w:tc>
          <w:tcPr>
            <w:tcW w:w="6589" w:type="dxa"/>
          </w:tcPr>
          <w:p w14:paraId="635D4AC7" w14:textId="77777777" w:rsidR="00BD702C" w:rsidRPr="00BD702C" w:rsidRDefault="00BD702C" w:rsidP="000E00E5">
            <w:pPr>
              <w:keepNext/>
              <w:keepLines/>
              <w:spacing w:before="60" w:after="60"/>
              <w:jc w:val="center"/>
              <w:rPr>
                <w:rFonts w:ascii="Book Antiqua" w:hAnsi="Book Antiqua"/>
                <w:b/>
                <w:sz w:val="24"/>
                <w:szCs w:val="24"/>
              </w:rPr>
            </w:pPr>
            <w:r w:rsidRPr="00BD702C">
              <w:rPr>
                <w:rFonts w:ascii="Book Antiqua" w:hAnsi="Book Antiqua"/>
                <w:b/>
                <w:sz w:val="24"/>
                <w:szCs w:val="24"/>
              </w:rPr>
              <w:t>Assessment</w:t>
            </w:r>
          </w:p>
        </w:tc>
      </w:tr>
      <w:tr w:rsidR="00BD702C" w:rsidRPr="00BD702C" w14:paraId="09C23117" w14:textId="77777777" w:rsidTr="00BD702C">
        <w:tc>
          <w:tcPr>
            <w:tcW w:w="2761" w:type="dxa"/>
          </w:tcPr>
          <w:p w14:paraId="6AB06C5D"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sz w:val="24"/>
                <w:szCs w:val="24"/>
              </w:rPr>
              <w:t>Study Design</w:t>
            </w:r>
          </w:p>
        </w:tc>
        <w:tc>
          <w:tcPr>
            <w:tcW w:w="6589" w:type="dxa"/>
          </w:tcPr>
          <w:p w14:paraId="0D3A1EF4" w14:textId="77777777" w:rsidR="00BD702C" w:rsidRPr="00BD702C" w:rsidRDefault="00BD702C" w:rsidP="000E00E5">
            <w:pPr>
              <w:keepNext/>
              <w:keepLines/>
              <w:spacing w:before="60" w:after="60"/>
              <w:rPr>
                <w:rFonts w:ascii="Book Antiqua" w:hAnsi="Book Antiqua"/>
                <w:sz w:val="24"/>
                <w:szCs w:val="24"/>
              </w:rPr>
            </w:pPr>
            <w:r w:rsidRPr="00BD702C">
              <w:rPr>
                <w:rFonts w:ascii="Book Antiqua" w:hAnsi="Book Antiqua"/>
                <w:sz w:val="24"/>
                <w:szCs w:val="24"/>
              </w:rPr>
              <w:t>Sonoma Clean Power Authority (SCP) provided an adequate description of modeling tools and approach used to develop its portfolios.</w:t>
            </w:r>
          </w:p>
        </w:tc>
      </w:tr>
      <w:tr w:rsidR="00BD702C" w:rsidRPr="00BD702C" w14:paraId="0952A132" w14:textId="77777777" w:rsidTr="00BD702C">
        <w:tc>
          <w:tcPr>
            <w:tcW w:w="2761" w:type="dxa"/>
          </w:tcPr>
          <w:p w14:paraId="79E1E68A"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Preferred and Conforming Portfolios</w:t>
            </w:r>
          </w:p>
        </w:tc>
        <w:tc>
          <w:tcPr>
            <w:tcW w:w="6589" w:type="dxa"/>
          </w:tcPr>
          <w:p w14:paraId="6A563C42"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SCP provided a Conforming Portfolio as its Preferred Portfolio showing both existing resources and new resources that it plans to invest in or contract with.</w:t>
            </w:r>
            <w:r w:rsidR="008672C5">
              <w:rPr>
                <w:rFonts w:ascii="Book Antiqua" w:hAnsi="Book Antiqua"/>
                <w:sz w:val="24"/>
                <w:szCs w:val="24"/>
              </w:rPr>
              <w:t xml:space="preserve"> </w:t>
            </w:r>
            <w:r w:rsidRPr="00BD702C">
              <w:rPr>
                <w:rFonts w:ascii="Book Antiqua" w:hAnsi="Book Antiqua"/>
                <w:sz w:val="24"/>
                <w:szCs w:val="24"/>
              </w:rPr>
              <w:t xml:space="preserve"> It provided a very clear and detailed explanation of the reasons for its preference, along with an explanation of how its Preferred Portfolio is consistent with each relevant statutory and administrative requirement. </w:t>
            </w:r>
            <w:r w:rsidR="008672C5">
              <w:rPr>
                <w:rFonts w:ascii="Book Antiqua" w:hAnsi="Book Antiqua"/>
                <w:sz w:val="24"/>
                <w:szCs w:val="24"/>
              </w:rPr>
              <w:t xml:space="preserve"> </w:t>
            </w:r>
            <w:r w:rsidRPr="00BD702C">
              <w:rPr>
                <w:rFonts w:ascii="Book Antiqua" w:hAnsi="Book Antiqua"/>
                <w:sz w:val="24"/>
                <w:szCs w:val="24"/>
              </w:rPr>
              <w:t>SCP did not submit an optional Alternative Portfolio.</w:t>
            </w:r>
          </w:p>
        </w:tc>
      </w:tr>
      <w:tr w:rsidR="00BD702C" w:rsidRPr="00BD702C" w14:paraId="68B9F3F1" w14:textId="77777777" w:rsidTr="00BD702C">
        <w:tc>
          <w:tcPr>
            <w:tcW w:w="2761" w:type="dxa"/>
          </w:tcPr>
          <w:p w14:paraId="41FEC040"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Study Results:</w:t>
            </w:r>
            <w:r w:rsidR="004731C2">
              <w:rPr>
                <w:rFonts w:ascii="Book Antiqua" w:hAnsi="Book Antiqua"/>
                <w:sz w:val="24"/>
                <w:szCs w:val="24"/>
              </w:rPr>
              <w:t xml:space="preserve"> </w:t>
            </w:r>
            <w:r w:rsidRPr="00BD702C">
              <w:rPr>
                <w:rFonts w:ascii="Book Antiqua" w:hAnsi="Book Antiqua"/>
                <w:sz w:val="24"/>
                <w:szCs w:val="24"/>
              </w:rPr>
              <w:t xml:space="preserve"> Local Air Pollutant Minimization</w:t>
            </w:r>
          </w:p>
        </w:tc>
        <w:tc>
          <w:tcPr>
            <w:tcW w:w="6589" w:type="dxa"/>
          </w:tcPr>
          <w:p w14:paraId="65221CDB"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SCP stated that it works to minimize criteria air pollutants but did not provide any quantitative evidence to back the claim.</w:t>
            </w:r>
            <w:r w:rsidR="008672C5">
              <w:rPr>
                <w:rFonts w:ascii="Book Antiqua" w:hAnsi="Book Antiqua"/>
                <w:sz w:val="24"/>
                <w:szCs w:val="24"/>
              </w:rPr>
              <w:t xml:space="preserve"> </w:t>
            </w:r>
            <w:r w:rsidRPr="00BD702C">
              <w:rPr>
                <w:rFonts w:ascii="Book Antiqua" w:hAnsi="Book Antiqua"/>
                <w:sz w:val="24"/>
                <w:szCs w:val="24"/>
              </w:rPr>
              <w:t xml:space="preserve"> No attempt to provide best available estimates of emissions of nitrogen oxides and particulate matter was made. </w:t>
            </w:r>
            <w:r w:rsidR="008672C5">
              <w:rPr>
                <w:rFonts w:ascii="Book Antiqua" w:hAnsi="Book Antiqua"/>
                <w:sz w:val="24"/>
                <w:szCs w:val="24"/>
              </w:rPr>
              <w:t xml:space="preserve"> </w:t>
            </w:r>
            <w:r w:rsidRPr="00BD702C">
              <w:rPr>
                <w:rFonts w:ascii="Book Antiqua" w:hAnsi="Book Antiqua"/>
                <w:sz w:val="24"/>
                <w:szCs w:val="24"/>
              </w:rPr>
              <w:t>Identification of disadvantaged communities was adequate.</w:t>
            </w:r>
          </w:p>
        </w:tc>
      </w:tr>
      <w:tr w:rsidR="00BD702C" w:rsidRPr="00BD702C" w14:paraId="4BBB7DD9" w14:textId="77777777" w:rsidTr="00BD702C">
        <w:tc>
          <w:tcPr>
            <w:tcW w:w="2761" w:type="dxa"/>
          </w:tcPr>
          <w:p w14:paraId="40D06474"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Cost and Rate Analysis</w:t>
            </w:r>
          </w:p>
        </w:tc>
        <w:tc>
          <w:tcPr>
            <w:tcW w:w="6589" w:type="dxa"/>
          </w:tcPr>
          <w:p w14:paraId="15AA924E"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SCP provided an adequate description of its approach in considering cost and rate impacts on its customers.</w:t>
            </w:r>
          </w:p>
        </w:tc>
      </w:tr>
      <w:tr w:rsidR="00BD702C" w:rsidRPr="00BD702C" w14:paraId="42DBEC21" w14:textId="77777777" w:rsidTr="00BD702C">
        <w:tc>
          <w:tcPr>
            <w:tcW w:w="2761" w:type="dxa"/>
          </w:tcPr>
          <w:p w14:paraId="72D7BA8E"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Deviations from Current Resource Plans</w:t>
            </w:r>
          </w:p>
        </w:tc>
        <w:tc>
          <w:tcPr>
            <w:tcW w:w="6589" w:type="dxa"/>
          </w:tcPr>
          <w:p w14:paraId="591CD9C9"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SCP provided an adequate description of the differences in quantities and budgets for procurement between its Preferred Plan and currently filed or authorized resource plans.</w:t>
            </w:r>
          </w:p>
        </w:tc>
      </w:tr>
      <w:tr w:rsidR="00BD702C" w:rsidRPr="00BD702C" w14:paraId="0E0EB2D1" w14:textId="77777777" w:rsidTr="00BD702C">
        <w:tc>
          <w:tcPr>
            <w:tcW w:w="2761" w:type="dxa"/>
          </w:tcPr>
          <w:p w14:paraId="09FE8E5A" w14:textId="77777777" w:rsidR="00BD702C" w:rsidRPr="00BD702C" w:rsidRDefault="00BD702C" w:rsidP="00AB7D91">
            <w:pPr>
              <w:spacing w:before="60" w:after="60"/>
              <w:rPr>
                <w:rFonts w:ascii="Book Antiqua" w:hAnsi="Book Antiqua"/>
                <w:sz w:val="24"/>
                <w:szCs w:val="24"/>
              </w:rPr>
            </w:pPr>
            <w:r w:rsidRPr="00BD702C">
              <w:rPr>
                <w:rFonts w:ascii="Book Antiqua" w:hAnsi="Book Antiqua"/>
                <w:color w:val="000000"/>
                <w:sz w:val="24"/>
                <w:szCs w:val="24"/>
              </w:rPr>
              <w:t>Action Plan:</w:t>
            </w:r>
            <w:r w:rsidR="004731C2">
              <w:rPr>
                <w:rFonts w:ascii="Book Antiqua" w:hAnsi="Book Antiqua"/>
                <w:color w:val="000000"/>
                <w:sz w:val="24"/>
                <w:szCs w:val="24"/>
              </w:rPr>
              <w:t xml:space="preserve"> </w:t>
            </w:r>
            <w:r w:rsidRPr="00BD702C">
              <w:rPr>
                <w:rFonts w:ascii="Book Antiqua" w:hAnsi="Book Antiqua"/>
                <w:color w:val="000000"/>
                <w:sz w:val="24"/>
                <w:szCs w:val="24"/>
              </w:rPr>
              <w:t xml:space="preserve"> </w:t>
            </w:r>
            <w:r w:rsidRPr="00BD702C">
              <w:rPr>
                <w:rFonts w:ascii="Book Antiqua" w:hAnsi="Book Antiqua"/>
                <w:sz w:val="24"/>
                <w:szCs w:val="24"/>
              </w:rPr>
              <w:t>Proposed Activities</w:t>
            </w:r>
          </w:p>
        </w:tc>
        <w:tc>
          <w:tcPr>
            <w:tcW w:w="6589" w:type="dxa"/>
          </w:tcPr>
          <w:p w14:paraId="05A7B671"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SCP provided an adequate description of its proposed near</w:t>
            </w:r>
            <w:r w:rsidR="00D84A09">
              <w:rPr>
                <w:rFonts w:ascii="Book Antiqua" w:hAnsi="Book Antiqua"/>
                <w:sz w:val="24"/>
                <w:szCs w:val="24"/>
              </w:rPr>
              <w:noBreakHyphen/>
            </w:r>
            <w:r w:rsidRPr="00BD702C">
              <w:rPr>
                <w:rFonts w:ascii="Book Antiqua" w:hAnsi="Book Antiqua"/>
                <w:sz w:val="24"/>
                <w:szCs w:val="24"/>
              </w:rPr>
              <w:t xml:space="preserve">term activities to implement its LSE Plan along with links to its Preferred Portfolio findings. </w:t>
            </w:r>
            <w:r w:rsidR="008672C5">
              <w:rPr>
                <w:rFonts w:ascii="Book Antiqua" w:hAnsi="Book Antiqua"/>
                <w:sz w:val="24"/>
                <w:szCs w:val="24"/>
              </w:rPr>
              <w:t xml:space="preserve"> </w:t>
            </w:r>
            <w:r w:rsidRPr="00BD702C">
              <w:rPr>
                <w:rFonts w:ascii="Book Antiqua" w:hAnsi="Book Antiqua"/>
                <w:sz w:val="24"/>
                <w:szCs w:val="24"/>
              </w:rPr>
              <w:t>However, it did not provide any details about planned activities to conduct outreach and seek input from any disadvantaged communities that could be impacted by its Plan.</w:t>
            </w:r>
          </w:p>
        </w:tc>
      </w:tr>
      <w:tr w:rsidR="00BD702C" w:rsidRPr="00BD702C" w14:paraId="4A982121" w14:textId="77777777" w:rsidTr="00BD702C">
        <w:tc>
          <w:tcPr>
            <w:tcW w:w="2761" w:type="dxa"/>
          </w:tcPr>
          <w:p w14:paraId="64EEC461"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Barrier Analysis</w:t>
            </w:r>
          </w:p>
        </w:tc>
        <w:tc>
          <w:tcPr>
            <w:tcW w:w="6589" w:type="dxa"/>
          </w:tcPr>
          <w:p w14:paraId="36F0AFE1"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SCP provided an adequate description of the market, regulatory, financial, or other barriers or risks associated with its Preferred Portfolio.</w:t>
            </w:r>
          </w:p>
        </w:tc>
      </w:tr>
      <w:tr w:rsidR="00BD702C" w:rsidRPr="00BD702C" w14:paraId="25FF292A" w14:textId="77777777" w:rsidTr="00BD702C">
        <w:tc>
          <w:tcPr>
            <w:tcW w:w="2761" w:type="dxa"/>
          </w:tcPr>
          <w:p w14:paraId="493BD963"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589" w:type="dxa"/>
          </w:tcPr>
          <w:p w14:paraId="180F821C"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SCP marked this section as not applicable.</w:t>
            </w:r>
          </w:p>
        </w:tc>
      </w:tr>
      <w:tr w:rsidR="00BD702C" w:rsidRPr="00BD702C" w14:paraId="65905397" w14:textId="77777777" w:rsidTr="00BD702C">
        <w:tc>
          <w:tcPr>
            <w:tcW w:w="2761" w:type="dxa"/>
          </w:tcPr>
          <w:p w14:paraId="48DB048D"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Lessons Learned</w:t>
            </w:r>
          </w:p>
        </w:tc>
        <w:tc>
          <w:tcPr>
            <w:tcW w:w="6589" w:type="dxa"/>
          </w:tcPr>
          <w:p w14:paraId="154A7C54"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SCP provided an adequate description of lessons learned.</w:t>
            </w:r>
          </w:p>
        </w:tc>
      </w:tr>
    </w:tbl>
    <w:p w14:paraId="6CE3C715" w14:textId="77777777" w:rsidR="00BD702C" w:rsidRPr="00AB7D91" w:rsidRDefault="00BD702C" w:rsidP="00AB7D91">
      <w:pPr>
        <w:keepNext/>
        <w:keepLines/>
        <w:spacing w:before="240" w:after="120" w:line="276" w:lineRule="auto"/>
        <w:outlineLvl w:val="3"/>
        <w:rPr>
          <w:rFonts w:ascii="Book Antiqua" w:eastAsiaTheme="majorEastAsia" w:hAnsi="Book Antiqua" w:cstheme="majorBidi"/>
          <w:b/>
          <w:i/>
          <w:iCs/>
          <w:szCs w:val="24"/>
        </w:rPr>
      </w:pPr>
      <w:r w:rsidRPr="00AB7D91">
        <w:rPr>
          <w:rFonts w:ascii="Book Antiqua" w:eastAsiaTheme="majorEastAsia" w:hAnsi="Book Antiqua" w:cstheme="majorBidi"/>
          <w:b/>
          <w:i/>
          <w:iCs/>
          <w:szCs w:val="24"/>
        </w:rPr>
        <w:t>Next Steps for SCP</w:t>
      </w:r>
    </w:p>
    <w:p w14:paraId="79595ACD" w14:textId="77777777" w:rsidR="00BD702C" w:rsidRPr="00AB7D91" w:rsidRDefault="00BD702C" w:rsidP="00BD702C">
      <w:pPr>
        <w:spacing w:after="200" w:line="276" w:lineRule="auto"/>
        <w:rPr>
          <w:rFonts w:ascii="Book Antiqua" w:hAnsi="Book Antiqua" w:cstheme="minorBidi"/>
          <w:szCs w:val="24"/>
        </w:rPr>
      </w:pPr>
      <w:r w:rsidRPr="00AB7D91">
        <w:rPr>
          <w:rFonts w:ascii="Book Antiqua" w:hAnsi="Book Antiqua" w:cstheme="minorBidi"/>
          <w:b/>
          <w:szCs w:val="24"/>
        </w:rPr>
        <w:t>Action required in this IRP 2017</w:t>
      </w:r>
      <w:r w:rsidR="00D84A09" w:rsidRPr="00AB7D91">
        <w:rPr>
          <w:rFonts w:ascii="Book Antiqua" w:hAnsi="Book Antiqua" w:cstheme="minorBidi"/>
          <w:b/>
          <w:szCs w:val="24"/>
        </w:rPr>
        <w:noBreakHyphen/>
      </w:r>
      <w:r w:rsidRPr="00AB7D91">
        <w:rPr>
          <w:rFonts w:ascii="Book Antiqua" w:hAnsi="Book Antiqua" w:cstheme="minorBidi"/>
          <w:b/>
          <w:szCs w:val="24"/>
        </w:rPr>
        <w:t>18 cycle</w:t>
      </w:r>
      <w:r w:rsidRPr="00AB7D91">
        <w:rPr>
          <w:rFonts w:ascii="Book Antiqua" w:hAnsi="Book Antiqua" w:cstheme="minorBidi"/>
          <w:szCs w:val="24"/>
        </w:rPr>
        <w:t>:</w:t>
      </w:r>
      <w:r w:rsidR="004731C2" w:rsidRPr="00AB7D91">
        <w:rPr>
          <w:rFonts w:ascii="Book Antiqua" w:hAnsi="Book Antiqua" w:cstheme="minorBidi"/>
          <w:szCs w:val="24"/>
        </w:rPr>
        <w:t xml:space="preserve"> </w:t>
      </w:r>
      <w:r w:rsidRPr="00AB7D91">
        <w:rPr>
          <w:rFonts w:ascii="Book Antiqua" w:hAnsi="Book Antiqua" w:cstheme="minorBidi"/>
          <w:szCs w:val="24"/>
        </w:rPr>
        <w:t xml:space="preserve"> Provide best available estimates of emissions of nitrogen oxides and particulate matter associated with all emitting resources used to serve load, including system power. </w:t>
      </w:r>
      <w:r w:rsidR="008672C5" w:rsidRPr="00AB7D91">
        <w:rPr>
          <w:rFonts w:ascii="Book Antiqua" w:hAnsi="Book Antiqua" w:cstheme="minorBidi"/>
          <w:szCs w:val="24"/>
        </w:rPr>
        <w:t xml:space="preserve"> </w:t>
      </w:r>
      <w:r w:rsidRPr="00AB7D91">
        <w:rPr>
          <w:rFonts w:ascii="Book Antiqua" w:hAnsi="Book Antiqua" w:cstheme="minorBidi"/>
          <w:szCs w:val="24"/>
        </w:rPr>
        <w:t>Refer to pages 19</w:t>
      </w:r>
      <w:r w:rsidR="00D84A09" w:rsidRPr="00AB7D91">
        <w:rPr>
          <w:rFonts w:ascii="Book Antiqua" w:hAnsi="Book Antiqua" w:cstheme="minorBidi"/>
          <w:szCs w:val="24"/>
        </w:rPr>
        <w:noBreakHyphen/>
      </w:r>
      <w:r w:rsidRPr="00AB7D91">
        <w:rPr>
          <w:rFonts w:ascii="Book Antiqua" w:hAnsi="Book Antiqua" w:cstheme="minorBidi"/>
          <w:szCs w:val="24"/>
        </w:rPr>
        <w:t xml:space="preserve">22 of Desert Community Energy’s IRP filing for </w:t>
      </w:r>
      <w:r w:rsidR="009E6885">
        <w:rPr>
          <w:rFonts w:ascii="Book Antiqua" w:hAnsi="Book Antiqua" w:cstheme="minorBidi"/>
          <w:szCs w:val="24"/>
        </w:rPr>
        <w:t xml:space="preserve">an </w:t>
      </w:r>
      <w:r w:rsidRPr="00AB7D91">
        <w:rPr>
          <w:rFonts w:ascii="Book Antiqua" w:hAnsi="Book Antiqua" w:cstheme="minorBidi"/>
          <w:szCs w:val="24"/>
        </w:rPr>
        <w:t xml:space="preserve">example of the type of information a CCA can provide to fulfill this specific filing requirement. </w:t>
      </w:r>
    </w:p>
    <w:p w14:paraId="73FD5325" w14:textId="77777777" w:rsidR="00BD702C" w:rsidRPr="00AB7D91" w:rsidRDefault="00BD702C" w:rsidP="00BD702C">
      <w:pPr>
        <w:spacing w:after="200" w:line="276" w:lineRule="auto"/>
        <w:rPr>
          <w:rFonts w:ascii="Book Antiqua" w:hAnsi="Book Antiqua" w:cstheme="minorBidi"/>
          <w:szCs w:val="24"/>
        </w:rPr>
      </w:pPr>
      <w:r w:rsidRPr="00AB7D91">
        <w:rPr>
          <w:rFonts w:ascii="Book Antiqua" w:hAnsi="Book Antiqua" w:cstheme="minorBidi"/>
          <w:b/>
          <w:szCs w:val="24"/>
        </w:rPr>
        <w:t>Guidance for LSE Plan development in the next IRP cycle</w:t>
      </w:r>
      <w:r w:rsidRPr="00AB7D91">
        <w:rPr>
          <w:rFonts w:ascii="Book Antiqua" w:hAnsi="Book Antiqua" w:cstheme="minorBidi"/>
          <w:szCs w:val="24"/>
        </w:rPr>
        <w:t xml:space="preserve">: </w:t>
      </w:r>
      <w:r w:rsidR="004731C2" w:rsidRPr="00AB7D91">
        <w:rPr>
          <w:rFonts w:ascii="Book Antiqua" w:hAnsi="Book Antiqua" w:cstheme="minorBidi"/>
          <w:szCs w:val="24"/>
        </w:rPr>
        <w:t xml:space="preserve"> </w:t>
      </w:r>
      <w:r w:rsidRPr="00AB7D91">
        <w:rPr>
          <w:rFonts w:ascii="Book Antiqua" w:hAnsi="Book Antiqua" w:cstheme="minorBidi"/>
          <w:szCs w:val="24"/>
        </w:rPr>
        <w:t>None at this time.</w:t>
      </w:r>
    </w:p>
    <w:p w14:paraId="586BA934" w14:textId="77777777" w:rsidR="00BD702C" w:rsidRPr="00AB7D91" w:rsidRDefault="00BD702C" w:rsidP="00671FAB">
      <w:pPr>
        <w:keepNext/>
        <w:keepLines/>
        <w:spacing w:before="240" w:after="120" w:line="276" w:lineRule="auto"/>
        <w:outlineLvl w:val="2"/>
        <w:rPr>
          <w:rFonts w:ascii="Book Antiqua" w:eastAsiaTheme="majorEastAsia" w:hAnsi="Book Antiqua" w:cstheme="majorBidi"/>
          <w:b/>
          <w:szCs w:val="24"/>
        </w:rPr>
      </w:pPr>
      <w:bookmarkStart w:id="97" w:name="_Toc868781"/>
      <w:r w:rsidRPr="00AB7D91">
        <w:rPr>
          <w:rFonts w:ascii="Book Antiqua" w:eastAsiaTheme="majorEastAsia" w:hAnsi="Book Antiqua" w:cstheme="majorBidi"/>
          <w:b/>
          <w:szCs w:val="24"/>
        </w:rPr>
        <w:t>Southern California Edison</w:t>
      </w:r>
      <w:bookmarkEnd w:id="97"/>
    </w:p>
    <w:tbl>
      <w:tblPr>
        <w:tblStyle w:val="TableGrid3"/>
        <w:tblW w:w="0" w:type="auto"/>
        <w:tblLook w:val="04A0" w:firstRow="1" w:lastRow="0" w:firstColumn="1" w:lastColumn="0" w:noHBand="0" w:noVBand="1"/>
      </w:tblPr>
      <w:tblGrid>
        <w:gridCol w:w="2760"/>
        <w:gridCol w:w="6590"/>
      </w:tblGrid>
      <w:tr w:rsidR="00BD702C" w:rsidRPr="00BD702C" w14:paraId="7C8E9129" w14:textId="77777777" w:rsidTr="00BD702C">
        <w:tc>
          <w:tcPr>
            <w:tcW w:w="2760" w:type="dxa"/>
          </w:tcPr>
          <w:p w14:paraId="354705FC" w14:textId="77777777" w:rsidR="00BD702C" w:rsidRPr="00BD702C" w:rsidRDefault="00BD702C" w:rsidP="00AB7D91">
            <w:pPr>
              <w:spacing w:before="60" w:after="60"/>
              <w:jc w:val="center"/>
              <w:rPr>
                <w:rFonts w:ascii="Book Antiqua" w:hAnsi="Book Antiqua"/>
                <w:b/>
                <w:sz w:val="24"/>
                <w:szCs w:val="24"/>
              </w:rPr>
            </w:pPr>
            <w:r w:rsidRPr="00BD702C">
              <w:rPr>
                <w:rFonts w:ascii="Book Antiqua" w:hAnsi="Book Antiqua"/>
                <w:b/>
                <w:sz w:val="24"/>
                <w:szCs w:val="24"/>
              </w:rPr>
              <w:t>Requirement</w:t>
            </w:r>
          </w:p>
        </w:tc>
        <w:tc>
          <w:tcPr>
            <w:tcW w:w="6590" w:type="dxa"/>
          </w:tcPr>
          <w:p w14:paraId="00BD6313" w14:textId="77777777" w:rsidR="00BD702C" w:rsidRPr="00BD702C" w:rsidRDefault="00BD702C" w:rsidP="00AB7D91">
            <w:pPr>
              <w:spacing w:before="60" w:after="60"/>
              <w:jc w:val="center"/>
              <w:rPr>
                <w:rFonts w:ascii="Book Antiqua" w:hAnsi="Book Antiqua"/>
                <w:b/>
                <w:sz w:val="24"/>
                <w:szCs w:val="24"/>
              </w:rPr>
            </w:pPr>
            <w:r w:rsidRPr="00BD702C">
              <w:rPr>
                <w:rFonts w:ascii="Book Antiqua" w:hAnsi="Book Antiqua"/>
                <w:b/>
                <w:sz w:val="24"/>
                <w:szCs w:val="24"/>
              </w:rPr>
              <w:t>Assessment</w:t>
            </w:r>
          </w:p>
        </w:tc>
      </w:tr>
      <w:tr w:rsidR="00BD702C" w:rsidRPr="00BD702C" w14:paraId="5120E5E3" w14:textId="77777777" w:rsidTr="00BD702C">
        <w:tc>
          <w:tcPr>
            <w:tcW w:w="2760" w:type="dxa"/>
          </w:tcPr>
          <w:p w14:paraId="0463DA1F"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Study Design</w:t>
            </w:r>
          </w:p>
        </w:tc>
        <w:tc>
          <w:tcPr>
            <w:tcW w:w="6590" w:type="dxa"/>
          </w:tcPr>
          <w:p w14:paraId="05B37875"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Southern California Edison (SCE) provided an adequate description of modeling tools and approach used to develop its portfolios.</w:t>
            </w:r>
          </w:p>
        </w:tc>
      </w:tr>
      <w:tr w:rsidR="00BD702C" w:rsidRPr="00BD702C" w14:paraId="218D57F7" w14:textId="77777777" w:rsidTr="00BD702C">
        <w:tc>
          <w:tcPr>
            <w:tcW w:w="2760" w:type="dxa"/>
          </w:tcPr>
          <w:p w14:paraId="762016F2"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Preferred and Conforming Portfolios</w:t>
            </w:r>
          </w:p>
        </w:tc>
        <w:tc>
          <w:tcPr>
            <w:tcW w:w="6590" w:type="dxa"/>
          </w:tcPr>
          <w:p w14:paraId="481D27D1"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SCE provided a Conforming Portfolio and two Alternative Portfolios showing both existing resources and new resources that it plans to invest in or contract with. </w:t>
            </w:r>
            <w:r w:rsidR="008672C5">
              <w:rPr>
                <w:rFonts w:ascii="Book Antiqua" w:hAnsi="Book Antiqua"/>
                <w:sz w:val="24"/>
                <w:szCs w:val="24"/>
              </w:rPr>
              <w:t xml:space="preserve"> </w:t>
            </w:r>
            <w:r w:rsidRPr="00BD702C">
              <w:rPr>
                <w:rFonts w:ascii="Book Antiqua" w:hAnsi="Book Antiqua"/>
                <w:sz w:val="24"/>
                <w:szCs w:val="24"/>
              </w:rPr>
              <w:t>It provided an exemplary explanation of the reasons for its preference, accompanied by tables and figures in support of its rationale, along with a clear explanation of how its Preferred Portfolio is consistent with each relevant statutory and administrative requirement.</w:t>
            </w:r>
          </w:p>
        </w:tc>
      </w:tr>
      <w:tr w:rsidR="00BD702C" w:rsidRPr="00BD702C" w14:paraId="520A10AC" w14:textId="77777777" w:rsidTr="00BD702C">
        <w:tc>
          <w:tcPr>
            <w:tcW w:w="2760" w:type="dxa"/>
          </w:tcPr>
          <w:p w14:paraId="46746CCE"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Local Air Pollutant Minimization</w:t>
            </w:r>
          </w:p>
        </w:tc>
        <w:tc>
          <w:tcPr>
            <w:tcW w:w="6590" w:type="dxa"/>
          </w:tcPr>
          <w:p w14:paraId="7B7EFF03"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SCE provided an exemplary description of how its Preferred Portfolio minimizes localized air pollutants and other GHG emissions with early priority on </w:t>
            </w:r>
            <w:r w:rsidR="008A7EEE">
              <w:rPr>
                <w:rFonts w:ascii="Book Antiqua" w:hAnsi="Book Antiqua"/>
                <w:sz w:val="24"/>
                <w:szCs w:val="24"/>
              </w:rPr>
              <w:t>disadvantaged communities</w:t>
            </w:r>
            <w:r w:rsidRPr="00BD702C">
              <w:rPr>
                <w:rFonts w:ascii="Book Antiqua" w:hAnsi="Book Antiqua"/>
                <w:sz w:val="24"/>
                <w:szCs w:val="24"/>
              </w:rPr>
              <w:t>.</w:t>
            </w:r>
            <w:r w:rsidR="008672C5">
              <w:rPr>
                <w:rFonts w:ascii="Book Antiqua" w:hAnsi="Book Antiqua"/>
                <w:sz w:val="24"/>
                <w:szCs w:val="24"/>
              </w:rPr>
              <w:t xml:space="preserve"> </w:t>
            </w:r>
            <w:r w:rsidRPr="00BD702C">
              <w:rPr>
                <w:rFonts w:ascii="Book Antiqua" w:hAnsi="Book Antiqua"/>
                <w:sz w:val="24"/>
                <w:szCs w:val="24"/>
              </w:rPr>
              <w:t xml:space="preserve"> It used the PLEXOS model to develop hourly emissions intensities and provided potential sources for average emissions factors for starts and stops, formulating a comprehensive analysis that may be replicated in future IRP cycles. </w:t>
            </w:r>
            <w:r w:rsidR="008672C5">
              <w:rPr>
                <w:rFonts w:ascii="Book Antiqua" w:hAnsi="Book Antiqua"/>
                <w:sz w:val="24"/>
                <w:szCs w:val="24"/>
              </w:rPr>
              <w:t xml:space="preserve"> </w:t>
            </w:r>
            <w:r w:rsidRPr="00BD702C">
              <w:rPr>
                <w:rFonts w:ascii="Book Antiqua" w:hAnsi="Book Antiqua"/>
                <w:sz w:val="24"/>
                <w:szCs w:val="24"/>
              </w:rPr>
              <w:t>Identification of disadvantaged communities was exemplary.</w:t>
            </w:r>
          </w:p>
        </w:tc>
      </w:tr>
      <w:tr w:rsidR="00BD702C" w:rsidRPr="00BD702C" w14:paraId="3E3FC3DC" w14:textId="77777777" w:rsidTr="00BD702C">
        <w:tc>
          <w:tcPr>
            <w:tcW w:w="2760" w:type="dxa"/>
          </w:tcPr>
          <w:p w14:paraId="672E769E"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Study Results:</w:t>
            </w:r>
            <w:r w:rsidR="004731C2">
              <w:rPr>
                <w:rFonts w:ascii="Book Antiqua" w:hAnsi="Book Antiqua"/>
                <w:sz w:val="24"/>
                <w:szCs w:val="24"/>
              </w:rPr>
              <w:t xml:space="preserve"> </w:t>
            </w:r>
            <w:r w:rsidRPr="00BD702C">
              <w:rPr>
                <w:rFonts w:ascii="Book Antiqua" w:hAnsi="Book Antiqua"/>
                <w:sz w:val="24"/>
                <w:szCs w:val="24"/>
              </w:rPr>
              <w:t xml:space="preserve"> Cost and Rate Analysis</w:t>
            </w:r>
          </w:p>
        </w:tc>
        <w:tc>
          <w:tcPr>
            <w:tcW w:w="6590" w:type="dxa"/>
          </w:tcPr>
          <w:p w14:paraId="7C8966F5"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SCE provided an adequate description of its approach in considering cost and rate impacts on its customers.</w:t>
            </w:r>
          </w:p>
        </w:tc>
      </w:tr>
      <w:tr w:rsidR="00BD702C" w:rsidRPr="00BD702C" w14:paraId="191543E1" w14:textId="77777777" w:rsidTr="00BD702C">
        <w:tc>
          <w:tcPr>
            <w:tcW w:w="2760" w:type="dxa"/>
          </w:tcPr>
          <w:p w14:paraId="2F499654"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Deviations from Current Resource Plans</w:t>
            </w:r>
          </w:p>
        </w:tc>
        <w:tc>
          <w:tcPr>
            <w:tcW w:w="6590" w:type="dxa"/>
          </w:tcPr>
          <w:p w14:paraId="3518F254"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SCE</w:t>
            </w:r>
            <w:r w:rsidRPr="00BD702C">
              <w:rPr>
                <w:rFonts w:ascii="Book Antiqua" w:hAnsi="Book Antiqua"/>
                <w:b/>
                <w:sz w:val="24"/>
                <w:szCs w:val="24"/>
              </w:rPr>
              <w:t xml:space="preserve"> </w:t>
            </w:r>
            <w:r w:rsidRPr="00BD702C">
              <w:rPr>
                <w:rFonts w:ascii="Book Antiqua" w:hAnsi="Book Antiqua"/>
                <w:sz w:val="24"/>
                <w:szCs w:val="24"/>
              </w:rPr>
              <w:t>provided an adequate description of the differences in quantities and budgets for procurement between its Preferred Plan and currently filed or authorized resource plans.</w:t>
            </w:r>
          </w:p>
        </w:tc>
      </w:tr>
      <w:tr w:rsidR="00BD702C" w:rsidRPr="00BD702C" w14:paraId="61C21A8C" w14:textId="77777777" w:rsidTr="00BD702C">
        <w:tc>
          <w:tcPr>
            <w:tcW w:w="2760" w:type="dxa"/>
          </w:tcPr>
          <w:p w14:paraId="5FD9CD87" w14:textId="77777777" w:rsidR="00BD702C" w:rsidRPr="00BD702C" w:rsidRDefault="00BD702C" w:rsidP="00AB7D91">
            <w:pPr>
              <w:spacing w:before="60" w:after="60"/>
              <w:rPr>
                <w:rFonts w:ascii="Book Antiqua" w:hAnsi="Book Antiqua"/>
                <w:sz w:val="24"/>
                <w:szCs w:val="24"/>
              </w:rPr>
            </w:pPr>
            <w:r w:rsidRPr="00BD702C">
              <w:rPr>
                <w:rFonts w:ascii="Book Antiqua" w:hAnsi="Book Antiqua"/>
                <w:color w:val="000000"/>
                <w:sz w:val="24"/>
                <w:szCs w:val="24"/>
              </w:rPr>
              <w:t>Action Plan:</w:t>
            </w:r>
            <w:r w:rsidR="004731C2">
              <w:rPr>
                <w:rFonts w:ascii="Book Antiqua" w:hAnsi="Book Antiqua"/>
                <w:color w:val="000000"/>
                <w:sz w:val="24"/>
                <w:szCs w:val="24"/>
              </w:rPr>
              <w:t xml:space="preserve"> </w:t>
            </w:r>
            <w:r w:rsidRPr="00BD702C">
              <w:rPr>
                <w:rFonts w:ascii="Book Antiqua" w:hAnsi="Book Antiqua"/>
                <w:color w:val="000000"/>
                <w:sz w:val="24"/>
                <w:szCs w:val="24"/>
              </w:rPr>
              <w:t xml:space="preserve"> </w:t>
            </w:r>
            <w:r w:rsidRPr="00BD702C">
              <w:rPr>
                <w:rFonts w:ascii="Book Antiqua" w:hAnsi="Book Antiqua"/>
                <w:sz w:val="24"/>
                <w:szCs w:val="24"/>
              </w:rPr>
              <w:t>Proposed Activities</w:t>
            </w:r>
          </w:p>
        </w:tc>
        <w:tc>
          <w:tcPr>
            <w:tcW w:w="6590" w:type="dxa"/>
          </w:tcPr>
          <w:p w14:paraId="41AE9620"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SCE provided an adequate description of its proposed near</w:t>
            </w:r>
            <w:r w:rsidR="00D84A09">
              <w:rPr>
                <w:rFonts w:ascii="Book Antiqua" w:hAnsi="Book Antiqua"/>
                <w:sz w:val="24"/>
                <w:szCs w:val="24"/>
              </w:rPr>
              <w:noBreakHyphen/>
            </w:r>
            <w:r w:rsidRPr="00BD702C">
              <w:rPr>
                <w:rFonts w:ascii="Book Antiqua" w:hAnsi="Book Antiqua"/>
                <w:sz w:val="24"/>
                <w:szCs w:val="24"/>
              </w:rPr>
              <w:t>term activities to implement its LSE Plan along with links to its Preferred Portfolio findings.</w:t>
            </w:r>
          </w:p>
        </w:tc>
      </w:tr>
      <w:tr w:rsidR="00BD702C" w:rsidRPr="00BD702C" w14:paraId="31489CF2" w14:textId="77777777" w:rsidTr="00BD702C">
        <w:tc>
          <w:tcPr>
            <w:tcW w:w="2760" w:type="dxa"/>
          </w:tcPr>
          <w:p w14:paraId="6E814D4A"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Barrier Analysis</w:t>
            </w:r>
          </w:p>
        </w:tc>
        <w:tc>
          <w:tcPr>
            <w:tcW w:w="6590" w:type="dxa"/>
          </w:tcPr>
          <w:p w14:paraId="717F0751"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SCE provided an adequate description of the market, regulatory, financial, and other barriers or risks associated with its Preferred Portfolio.</w:t>
            </w:r>
          </w:p>
        </w:tc>
      </w:tr>
      <w:tr w:rsidR="00BD702C" w:rsidRPr="00BD702C" w14:paraId="73A5E6C8" w14:textId="77777777" w:rsidTr="00BD702C">
        <w:tc>
          <w:tcPr>
            <w:tcW w:w="2760" w:type="dxa"/>
          </w:tcPr>
          <w:p w14:paraId="49B9C6C1"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590" w:type="dxa"/>
            <w:shd w:val="clear" w:color="auto" w:fill="auto"/>
          </w:tcPr>
          <w:p w14:paraId="770AC7F5"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The Commission is considering only the LSEs’ Conforming Portfolios for adoption within the Preferred System Portfolio in this IRP cycle. </w:t>
            </w:r>
            <w:r w:rsidR="008672C5">
              <w:rPr>
                <w:rFonts w:ascii="Book Antiqua" w:hAnsi="Book Antiqua"/>
                <w:sz w:val="24"/>
                <w:szCs w:val="24"/>
              </w:rPr>
              <w:t xml:space="preserve"> </w:t>
            </w:r>
            <w:r w:rsidRPr="00BD702C">
              <w:rPr>
                <w:rFonts w:ascii="Book Antiqua" w:hAnsi="Book Antiqua"/>
                <w:sz w:val="24"/>
                <w:szCs w:val="24"/>
              </w:rPr>
              <w:t xml:space="preserve">SCE’s Conforming Portfolio did not include any new resource additions through 2030, and SCE did not make any request for procurement authority associated with this portfolio. </w:t>
            </w:r>
          </w:p>
        </w:tc>
      </w:tr>
      <w:tr w:rsidR="00BD702C" w:rsidRPr="00BD702C" w14:paraId="4F024E2F" w14:textId="77777777" w:rsidTr="00BD702C">
        <w:tc>
          <w:tcPr>
            <w:tcW w:w="2760" w:type="dxa"/>
          </w:tcPr>
          <w:p w14:paraId="3E936C56"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Lessons Learned</w:t>
            </w:r>
          </w:p>
        </w:tc>
        <w:tc>
          <w:tcPr>
            <w:tcW w:w="6590" w:type="dxa"/>
          </w:tcPr>
          <w:p w14:paraId="38AFE573"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SCE provided an adequate description of lessons learned.</w:t>
            </w:r>
          </w:p>
        </w:tc>
      </w:tr>
    </w:tbl>
    <w:p w14:paraId="267E4003" w14:textId="77777777" w:rsidR="00BD702C" w:rsidRPr="00AB7D91" w:rsidRDefault="00BD702C" w:rsidP="00AB7D91">
      <w:pPr>
        <w:keepNext/>
        <w:keepLines/>
        <w:spacing w:before="240" w:after="120" w:line="276" w:lineRule="auto"/>
        <w:outlineLvl w:val="3"/>
        <w:rPr>
          <w:rFonts w:ascii="Book Antiqua" w:eastAsiaTheme="majorEastAsia" w:hAnsi="Book Antiqua" w:cstheme="majorBidi"/>
          <w:b/>
          <w:i/>
          <w:iCs/>
          <w:szCs w:val="24"/>
        </w:rPr>
      </w:pPr>
      <w:r w:rsidRPr="00AB7D91">
        <w:rPr>
          <w:rFonts w:ascii="Book Antiqua" w:eastAsiaTheme="majorEastAsia" w:hAnsi="Book Antiqua" w:cstheme="majorBidi"/>
          <w:b/>
          <w:i/>
          <w:iCs/>
          <w:szCs w:val="24"/>
        </w:rPr>
        <w:t>Next Steps for SCE</w:t>
      </w:r>
    </w:p>
    <w:p w14:paraId="546A6BE2" w14:textId="77777777" w:rsidR="00BD702C" w:rsidRPr="00AB7D91" w:rsidRDefault="00BD702C" w:rsidP="00BD702C">
      <w:pPr>
        <w:spacing w:after="200" w:line="276" w:lineRule="auto"/>
        <w:rPr>
          <w:rFonts w:ascii="Book Antiqua" w:hAnsi="Book Antiqua" w:cstheme="minorBidi"/>
          <w:szCs w:val="24"/>
        </w:rPr>
      </w:pPr>
      <w:r w:rsidRPr="00AB7D91">
        <w:rPr>
          <w:rFonts w:ascii="Book Antiqua" w:hAnsi="Book Antiqua" w:cstheme="minorBidi"/>
          <w:b/>
          <w:szCs w:val="24"/>
        </w:rPr>
        <w:t>Action required in this IRP 2017</w:t>
      </w:r>
      <w:r w:rsidR="00D84A09" w:rsidRPr="00AB7D91">
        <w:rPr>
          <w:rFonts w:ascii="Book Antiqua" w:hAnsi="Book Antiqua" w:cstheme="minorBidi"/>
          <w:b/>
          <w:szCs w:val="24"/>
        </w:rPr>
        <w:noBreakHyphen/>
      </w:r>
      <w:r w:rsidRPr="00AB7D91">
        <w:rPr>
          <w:rFonts w:ascii="Book Antiqua" w:hAnsi="Book Antiqua" w:cstheme="minorBidi"/>
          <w:b/>
          <w:szCs w:val="24"/>
        </w:rPr>
        <w:t>18 cycle</w:t>
      </w:r>
      <w:r w:rsidRPr="00AB7D91">
        <w:rPr>
          <w:rFonts w:ascii="Book Antiqua" w:hAnsi="Book Antiqua" w:cstheme="minorBidi"/>
          <w:szCs w:val="24"/>
        </w:rPr>
        <w:t xml:space="preserve">: </w:t>
      </w:r>
      <w:r w:rsidR="004731C2" w:rsidRPr="00AB7D91">
        <w:rPr>
          <w:rFonts w:ascii="Book Antiqua" w:hAnsi="Book Antiqua" w:cstheme="minorBidi"/>
          <w:szCs w:val="24"/>
        </w:rPr>
        <w:t xml:space="preserve"> </w:t>
      </w:r>
      <w:r w:rsidRPr="00AB7D91">
        <w:rPr>
          <w:rFonts w:ascii="Book Antiqua" w:hAnsi="Book Antiqua" w:cstheme="minorBidi"/>
          <w:szCs w:val="24"/>
        </w:rPr>
        <w:t>None at this time.</w:t>
      </w:r>
    </w:p>
    <w:p w14:paraId="11B9B12B" w14:textId="77777777" w:rsidR="00BD702C" w:rsidRPr="00AB7D91" w:rsidRDefault="00BD702C" w:rsidP="00BD702C">
      <w:pPr>
        <w:spacing w:after="200" w:line="276" w:lineRule="auto"/>
        <w:rPr>
          <w:rFonts w:ascii="Book Antiqua" w:hAnsi="Book Antiqua" w:cstheme="minorBidi"/>
          <w:szCs w:val="24"/>
        </w:rPr>
      </w:pPr>
      <w:r w:rsidRPr="00AB7D91">
        <w:rPr>
          <w:rFonts w:ascii="Book Antiqua" w:hAnsi="Book Antiqua" w:cstheme="minorBidi"/>
          <w:b/>
          <w:szCs w:val="24"/>
        </w:rPr>
        <w:t>Guidance for LSE Plan development in the next IRP cycle</w:t>
      </w:r>
      <w:r w:rsidRPr="00AB7D91">
        <w:rPr>
          <w:rFonts w:ascii="Book Antiqua" w:hAnsi="Book Antiqua" w:cstheme="minorBidi"/>
          <w:szCs w:val="24"/>
        </w:rPr>
        <w:t xml:space="preserve">: </w:t>
      </w:r>
      <w:r w:rsidR="004731C2" w:rsidRPr="00AB7D91">
        <w:rPr>
          <w:rFonts w:ascii="Book Antiqua" w:hAnsi="Book Antiqua" w:cstheme="minorBidi"/>
          <w:szCs w:val="24"/>
        </w:rPr>
        <w:t xml:space="preserve"> </w:t>
      </w:r>
      <w:r w:rsidRPr="00AB7D91">
        <w:rPr>
          <w:rFonts w:ascii="Book Antiqua" w:hAnsi="Book Antiqua" w:cstheme="minorBidi"/>
          <w:szCs w:val="24"/>
        </w:rPr>
        <w:t>None at this time.</w:t>
      </w:r>
    </w:p>
    <w:p w14:paraId="1BCE7FF6" w14:textId="77777777" w:rsidR="00BD702C" w:rsidRPr="00AB7D91" w:rsidRDefault="00BD702C" w:rsidP="00FF0A3F">
      <w:pPr>
        <w:keepNext/>
        <w:keepLines/>
        <w:spacing w:before="240" w:after="120" w:line="276" w:lineRule="auto"/>
        <w:outlineLvl w:val="2"/>
        <w:rPr>
          <w:rFonts w:ascii="Book Antiqua" w:eastAsiaTheme="majorEastAsia" w:hAnsi="Book Antiqua" w:cstheme="majorBidi"/>
          <w:b/>
          <w:szCs w:val="24"/>
        </w:rPr>
      </w:pPr>
      <w:bookmarkStart w:id="98" w:name="_Toc868782"/>
      <w:r w:rsidRPr="00AB7D91">
        <w:rPr>
          <w:rFonts w:ascii="Book Antiqua" w:eastAsiaTheme="majorEastAsia" w:hAnsi="Book Antiqua" w:cstheme="majorBidi"/>
          <w:b/>
          <w:szCs w:val="24"/>
        </w:rPr>
        <w:t>Valley Clean Energy Alliance</w:t>
      </w:r>
      <w:bookmarkEnd w:id="98"/>
    </w:p>
    <w:tbl>
      <w:tblPr>
        <w:tblStyle w:val="TableGrid3"/>
        <w:tblW w:w="0" w:type="auto"/>
        <w:tblLook w:val="04A0" w:firstRow="1" w:lastRow="0" w:firstColumn="1" w:lastColumn="0" w:noHBand="0" w:noVBand="1"/>
      </w:tblPr>
      <w:tblGrid>
        <w:gridCol w:w="2761"/>
        <w:gridCol w:w="6589"/>
      </w:tblGrid>
      <w:tr w:rsidR="00BD702C" w:rsidRPr="00BD702C" w14:paraId="4319F39A" w14:textId="77777777" w:rsidTr="00BD702C">
        <w:tc>
          <w:tcPr>
            <w:tcW w:w="2761" w:type="dxa"/>
          </w:tcPr>
          <w:p w14:paraId="5C0FC2D4" w14:textId="77777777" w:rsidR="00BD702C" w:rsidRPr="00BD702C" w:rsidRDefault="00BD702C" w:rsidP="00AB7D91">
            <w:pPr>
              <w:spacing w:before="60" w:after="60"/>
              <w:jc w:val="center"/>
              <w:rPr>
                <w:rFonts w:ascii="Book Antiqua" w:hAnsi="Book Antiqua"/>
                <w:b/>
                <w:sz w:val="24"/>
                <w:szCs w:val="24"/>
              </w:rPr>
            </w:pPr>
            <w:r w:rsidRPr="00BD702C">
              <w:rPr>
                <w:rFonts w:ascii="Book Antiqua" w:hAnsi="Book Antiqua"/>
                <w:b/>
                <w:sz w:val="24"/>
                <w:szCs w:val="24"/>
              </w:rPr>
              <w:t>Requirement</w:t>
            </w:r>
          </w:p>
        </w:tc>
        <w:tc>
          <w:tcPr>
            <w:tcW w:w="6589" w:type="dxa"/>
          </w:tcPr>
          <w:p w14:paraId="63B21D46" w14:textId="77777777" w:rsidR="00BD702C" w:rsidRPr="00BD702C" w:rsidRDefault="00BD702C" w:rsidP="00AB7D91">
            <w:pPr>
              <w:spacing w:before="60" w:after="60"/>
              <w:jc w:val="center"/>
              <w:rPr>
                <w:rFonts w:ascii="Book Antiqua" w:hAnsi="Book Antiqua"/>
                <w:b/>
                <w:sz w:val="24"/>
                <w:szCs w:val="24"/>
              </w:rPr>
            </w:pPr>
            <w:r w:rsidRPr="00BD702C">
              <w:rPr>
                <w:rFonts w:ascii="Book Antiqua" w:hAnsi="Book Antiqua"/>
                <w:b/>
                <w:sz w:val="24"/>
                <w:szCs w:val="24"/>
              </w:rPr>
              <w:t>Assessment</w:t>
            </w:r>
          </w:p>
        </w:tc>
      </w:tr>
      <w:tr w:rsidR="00BD702C" w:rsidRPr="00BD702C" w14:paraId="44AC5943" w14:textId="77777777" w:rsidTr="00BD702C">
        <w:tc>
          <w:tcPr>
            <w:tcW w:w="2761" w:type="dxa"/>
          </w:tcPr>
          <w:p w14:paraId="55A3275F"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Study Design</w:t>
            </w:r>
          </w:p>
        </w:tc>
        <w:tc>
          <w:tcPr>
            <w:tcW w:w="6589" w:type="dxa"/>
          </w:tcPr>
          <w:p w14:paraId="6F2A4BD7"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Valley Clean Energy Alliance (VCE) provided an adequate description of modeling tools and approach used to develop its portfolios.</w:t>
            </w:r>
          </w:p>
        </w:tc>
      </w:tr>
      <w:tr w:rsidR="00BD702C" w:rsidRPr="00BD702C" w14:paraId="26E17A9E" w14:textId="77777777" w:rsidTr="00BD702C">
        <w:tc>
          <w:tcPr>
            <w:tcW w:w="2761" w:type="dxa"/>
          </w:tcPr>
          <w:p w14:paraId="22E93762"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Preferred and Conforming Portfolios</w:t>
            </w:r>
          </w:p>
        </w:tc>
        <w:tc>
          <w:tcPr>
            <w:tcW w:w="6589" w:type="dxa"/>
          </w:tcPr>
          <w:p w14:paraId="67FE6E7C"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VCE provided a Conforming Portfolio and two Alternative Portfolios showing both existing resources and new resources that it plans to invest in or contract with. </w:t>
            </w:r>
            <w:r w:rsidR="008672C5">
              <w:rPr>
                <w:rFonts w:ascii="Book Antiqua" w:hAnsi="Book Antiqua"/>
                <w:sz w:val="24"/>
                <w:szCs w:val="24"/>
              </w:rPr>
              <w:t xml:space="preserve"> </w:t>
            </w:r>
            <w:r w:rsidRPr="00BD702C">
              <w:rPr>
                <w:rFonts w:ascii="Book Antiqua" w:hAnsi="Book Antiqua"/>
                <w:sz w:val="24"/>
                <w:szCs w:val="24"/>
              </w:rPr>
              <w:t xml:space="preserve">It provided an exemplary explanation of the reasons for its preference, accompanied by tables and figures that supported its rationale. </w:t>
            </w:r>
            <w:r w:rsidR="008672C5">
              <w:rPr>
                <w:rFonts w:ascii="Book Antiqua" w:hAnsi="Book Antiqua"/>
                <w:sz w:val="24"/>
                <w:szCs w:val="24"/>
              </w:rPr>
              <w:t xml:space="preserve"> </w:t>
            </w:r>
            <w:r w:rsidRPr="00BD702C">
              <w:rPr>
                <w:rFonts w:ascii="Book Antiqua" w:hAnsi="Book Antiqua"/>
                <w:sz w:val="24"/>
                <w:szCs w:val="24"/>
              </w:rPr>
              <w:t>VCE also provided a very clear and organized description of how its Preferred Portfolio is consistent with each relevant statutory and administrative requirement.</w:t>
            </w:r>
          </w:p>
        </w:tc>
      </w:tr>
      <w:tr w:rsidR="00BD702C" w:rsidRPr="00BD702C" w14:paraId="36F166D6" w14:textId="77777777" w:rsidTr="00BD702C">
        <w:tc>
          <w:tcPr>
            <w:tcW w:w="2761" w:type="dxa"/>
          </w:tcPr>
          <w:p w14:paraId="3329C4A2"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Study Results:</w:t>
            </w:r>
            <w:r w:rsidR="004731C2">
              <w:rPr>
                <w:rFonts w:ascii="Book Antiqua" w:hAnsi="Book Antiqua"/>
                <w:sz w:val="24"/>
                <w:szCs w:val="24"/>
              </w:rPr>
              <w:t xml:space="preserve"> </w:t>
            </w:r>
            <w:r w:rsidRPr="00BD702C">
              <w:rPr>
                <w:rFonts w:ascii="Book Antiqua" w:hAnsi="Book Antiqua"/>
                <w:sz w:val="24"/>
                <w:szCs w:val="24"/>
              </w:rPr>
              <w:t xml:space="preserve"> Local Air Pollutant Minimization</w:t>
            </w:r>
          </w:p>
        </w:tc>
        <w:tc>
          <w:tcPr>
            <w:tcW w:w="6589" w:type="dxa"/>
          </w:tcPr>
          <w:p w14:paraId="64694E65"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VCE provided best available estimates of emissions of nitrogen oxides but did not provide estimates of particulate matter. </w:t>
            </w:r>
            <w:r w:rsidR="008672C5">
              <w:rPr>
                <w:rFonts w:ascii="Book Antiqua" w:hAnsi="Book Antiqua"/>
                <w:sz w:val="24"/>
                <w:szCs w:val="24"/>
              </w:rPr>
              <w:t xml:space="preserve"> </w:t>
            </w:r>
            <w:r w:rsidRPr="00BD702C">
              <w:rPr>
                <w:rFonts w:ascii="Book Antiqua" w:hAnsi="Book Antiqua"/>
                <w:sz w:val="24"/>
                <w:szCs w:val="24"/>
              </w:rPr>
              <w:t>Identification of disadvantaged communities was adequate.</w:t>
            </w:r>
          </w:p>
        </w:tc>
      </w:tr>
      <w:tr w:rsidR="00BD702C" w:rsidRPr="00BD702C" w14:paraId="553EFF35" w14:textId="77777777" w:rsidTr="00BD702C">
        <w:tc>
          <w:tcPr>
            <w:tcW w:w="2761" w:type="dxa"/>
          </w:tcPr>
          <w:p w14:paraId="6602FA07"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Study Results:</w:t>
            </w:r>
            <w:r w:rsidR="004731C2">
              <w:rPr>
                <w:rFonts w:ascii="Book Antiqua" w:hAnsi="Book Antiqua"/>
                <w:sz w:val="24"/>
                <w:szCs w:val="24"/>
              </w:rPr>
              <w:t xml:space="preserve"> </w:t>
            </w:r>
            <w:r w:rsidRPr="00BD702C">
              <w:rPr>
                <w:rFonts w:ascii="Book Antiqua" w:hAnsi="Book Antiqua"/>
                <w:sz w:val="24"/>
                <w:szCs w:val="24"/>
              </w:rPr>
              <w:t xml:space="preserve"> Cost and Rate Analysis</w:t>
            </w:r>
          </w:p>
        </w:tc>
        <w:tc>
          <w:tcPr>
            <w:tcW w:w="6589" w:type="dxa"/>
          </w:tcPr>
          <w:p w14:paraId="1B3EDA07"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VCE provided an adequate description of its approach in considering cost and rate impacts on its customers.</w:t>
            </w:r>
          </w:p>
        </w:tc>
      </w:tr>
      <w:tr w:rsidR="00BD702C" w:rsidRPr="00BD702C" w14:paraId="28120176" w14:textId="77777777" w:rsidTr="00BD702C">
        <w:tc>
          <w:tcPr>
            <w:tcW w:w="2761" w:type="dxa"/>
          </w:tcPr>
          <w:p w14:paraId="6CD164B9"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 xml:space="preserve">Study Results: </w:t>
            </w:r>
            <w:r w:rsidR="004731C2">
              <w:rPr>
                <w:rFonts w:ascii="Book Antiqua" w:hAnsi="Book Antiqua"/>
                <w:sz w:val="24"/>
                <w:szCs w:val="24"/>
              </w:rPr>
              <w:t xml:space="preserve"> </w:t>
            </w:r>
            <w:r w:rsidRPr="00BD702C">
              <w:rPr>
                <w:rFonts w:ascii="Book Antiqua" w:hAnsi="Book Antiqua"/>
                <w:sz w:val="24"/>
                <w:szCs w:val="24"/>
              </w:rPr>
              <w:t>Deviations from Current Resource Plans</w:t>
            </w:r>
          </w:p>
        </w:tc>
        <w:tc>
          <w:tcPr>
            <w:tcW w:w="6589" w:type="dxa"/>
          </w:tcPr>
          <w:p w14:paraId="3812108F"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VCE stated that it has not submitted other resource plans because it just launched in June 2018, so there are no deviations to report.</w:t>
            </w:r>
          </w:p>
        </w:tc>
      </w:tr>
      <w:tr w:rsidR="00BD702C" w:rsidRPr="00BD702C" w14:paraId="7DC6261E" w14:textId="77777777" w:rsidTr="00BD702C">
        <w:tc>
          <w:tcPr>
            <w:tcW w:w="2761" w:type="dxa"/>
          </w:tcPr>
          <w:p w14:paraId="55CED898" w14:textId="77777777" w:rsidR="00BD702C" w:rsidRPr="00BD702C" w:rsidRDefault="00BD702C" w:rsidP="00AB7D91">
            <w:pPr>
              <w:spacing w:before="60" w:after="60"/>
              <w:rPr>
                <w:rFonts w:ascii="Book Antiqua" w:hAnsi="Book Antiqua"/>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Activities</w:t>
            </w:r>
          </w:p>
        </w:tc>
        <w:tc>
          <w:tcPr>
            <w:tcW w:w="6589" w:type="dxa"/>
          </w:tcPr>
          <w:p w14:paraId="7B58190E"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VCE provided an adequate description of its proposed near</w:t>
            </w:r>
            <w:r w:rsidR="00D84A09">
              <w:rPr>
                <w:rFonts w:ascii="Book Antiqua" w:hAnsi="Book Antiqua"/>
                <w:sz w:val="24"/>
                <w:szCs w:val="24"/>
              </w:rPr>
              <w:noBreakHyphen/>
            </w:r>
            <w:r w:rsidRPr="00BD702C">
              <w:rPr>
                <w:rFonts w:ascii="Book Antiqua" w:hAnsi="Book Antiqua"/>
                <w:sz w:val="24"/>
                <w:szCs w:val="24"/>
              </w:rPr>
              <w:t>term activities to implement its LSE Plan along with links to its Preferred Portfolio findings.</w:t>
            </w:r>
          </w:p>
        </w:tc>
      </w:tr>
      <w:tr w:rsidR="00BD702C" w:rsidRPr="00BD702C" w14:paraId="33458099" w14:textId="77777777" w:rsidTr="00BD702C">
        <w:tc>
          <w:tcPr>
            <w:tcW w:w="2761" w:type="dxa"/>
          </w:tcPr>
          <w:p w14:paraId="35B14CCD"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Barrier Analysis</w:t>
            </w:r>
          </w:p>
        </w:tc>
        <w:tc>
          <w:tcPr>
            <w:tcW w:w="6589" w:type="dxa"/>
          </w:tcPr>
          <w:p w14:paraId="6DDC30B5"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VCE provided an exemplary description of risk factors specific to VCE and specific mitigation measures to reduce risk exposure.</w:t>
            </w:r>
          </w:p>
        </w:tc>
      </w:tr>
      <w:tr w:rsidR="00BD702C" w:rsidRPr="00BD702C" w14:paraId="0A600D9A" w14:textId="77777777" w:rsidTr="00BD702C">
        <w:tc>
          <w:tcPr>
            <w:tcW w:w="2761" w:type="dxa"/>
          </w:tcPr>
          <w:p w14:paraId="0C633657"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 xml:space="preserve">Action Plan: </w:t>
            </w:r>
            <w:r w:rsidR="004731C2">
              <w:rPr>
                <w:rFonts w:ascii="Book Antiqua" w:hAnsi="Book Antiqua"/>
                <w:color w:val="000000"/>
                <w:sz w:val="24"/>
                <w:szCs w:val="24"/>
              </w:rPr>
              <w:t xml:space="preserve"> </w:t>
            </w:r>
            <w:r w:rsidRPr="00BD702C">
              <w:rPr>
                <w:rFonts w:ascii="Book Antiqua" w:hAnsi="Book Antiqua"/>
                <w:sz w:val="24"/>
                <w:szCs w:val="24"/>
              </w:rPr>
              <w:t>Proposed Commission Direction</w:t>
            </w:r>
          </w:p>
        </w:tc>
        <w:tc>
          <w:tcPr>
            <w:tcW w:w="6589" w:type="dxa"/>
          </w:tcPr>
          <w:p w14:paraId="55286964"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VCE stated that is not seeking direction from the Commission at this time.</w:t>
            </w:r>
          </w:p>
        </w:tc>
      </w:tr>
      <w:tr w:rsidR="00BD702C" w:rsidRPr="00BD702C" w14:paraId="3A0CCD52" w14:textId="77777777" w:rsidTr="00BD702C">
        <w:tc>
          <w:tcPr>
            <w:tcW w:w="2761" w:type="dxa"/>
          </w:tcPr>
          <w:p w14:paraId="21F6927B" w14:textId="77777777" w:rsidR="00BD702C" w:rsidRPr="00BD702C" w:rsidRDefault="00BD702C" w:rsidP="00AB7D91">
            <w:pPr>
              <w:spacing w:before="60" w:after="60"/>
              <w:rPr>
                <w:rFonts w:ascii="Book Antiqua" w:hAnsi="Book Antiqua"/>
                <w:color w:val="000000"/>
                <w:sz w:val="24"/>
                <w:szCs w:val="24"/>
              </w:rPr>
            </w:pPr>
            <w:r w:rsidRPr="00BD702C">
              <w:rPr>
                <w:rFonts w:ascii="Book Antiqua" w:hAnsi="Book Antiqua"/>
                <w:color w:val="000000"/>
                <w:sz w:val="24"/>
                <w:szCs w:val="24"/>
              </w:rPr>
              <w:t>Lessons Learned</w:t>
            </w:r>
          </w:p>
        </w:tc>
        <w:tc>
          <w:tcPr>
            <w:tcW w:w="6589" w:type="dxa"/>
          </w:tcPr>
          <w:p w14:paraId="0B5E41BE" w14:textId="77777777" w:rsidR="00BD702C" w:rsidRPr="00BD702C" w:rsidRDefault="00BD702C" w:rsidP="00AB7D91">
            <w:pPr>
              <w:spacing w:before="60" w:after="60"/>
              <w:rPr>
                <w:rFonts w:ascii="Book Antiqua" w:hAnsi="Book Antiqua"/>
                <w:sz w:val="24"/>
                <w:szCs w:val="24"/>
              </w:rPr>
            </w:pPr>
            <w:r w:rsidRPr="00BD702C">
              <w:rPr>
                <w:rFonts w:ascii="Book Antiqua" w:hAnsi="Book Antiqua"/>
                <w:sz w:val="24"/>
                <w:szCs w:val="24"/>
              </w:rPr>
              <w:t>VCE provided an adequate description of lessons learned.</w:t>
            </w:r>
          </w:p>
        </w:tc>
      </w:tr>
    </w:tbl>
    <w:p w14:paraId="182D9E94" w14:textId="77777777" w:rsidR="00BD702C" w:rsidRPr="00AB7D91" w:rsidRDefault="00BD702C" w:rsidP="00AB7D91">
      <w:pPr>
        <w:keepNext/>
        <w:keepLines/>
        <w:spacing w:before="240" w:after="120" w:line="276" w:lineRule="auto"/>
        <w:outlineLvl w:val="3"/>
        <w:rPr>
          <w:rFonts w:ascii="Book Antiqua" w:eastAsiaTheme="majorEastAsia" w:hAnsi="Book Antiqua" w:cstheme="majorBidi"/>
          <w:b/>
          <w:i/>
          <w:iCs/>
          <w:szCs w:val="24"/>
        </w:rPr>
      </w:pPr>
      <w:r w:rsidRPr="00AB7D91">
        <w:rPr>
          <w:rFonts w:ascii="Book Antiqua" w:eastAsiaTheme="majorEastAsia" w:hAnsi="Book Antiqua" w:cstheme="majorBidi"/>
          <w:b/>
          <w:i/>
          <w:iCs/>
          <w:szCs w:val="24"/>
        </w:rPr>
        <w:t>Next Steps for VCE</w:t>
      </w:r>
    </w:p>
    <w:p w14:paraId="29295ACD" w14:textId="77777777" w:rsidR="00BD702C" w:rsidRPr="00AB7D91" w:rsidRDefault="00BD702C" w:rsidP="00BD702C">
      <w:pPr>
        <w:spacing w:after="200" w:line="276" w:lineRule="auto"/>
        <w:rPr>
          <w:rFonts w:ascii="Book Antiqua" w:hAnsi="Book Antiqua" w:cstheme="minorBidi"/>
          <w:szCs w:val="24"/>
        </w:rPr>
      </w:pPr>
      <w:r w:rsidRPr="00AB7D91">
        <w:rPr>
          <w:rFonts w:ascii="Book Antiqua" w:hAnsi="Book Antiqua" w:cstheme="minorBidi"/>
          <w:b/>
          <w:szCs w:val="24"/>
        </w:rPr>
        <w:t>Action required in this IRP 2017</w:t>
      </w:r>
      <w:r w:rsidR="00D84A09" w:rsidRPr="00AB7D91">
        <w:rPr>
          <w:rFonts w:ascii="Book Antiqua" w:hAnsi="Book Antiqua" w:cstheme="minorBidi"/>
          <w:b/>
          <w:szCs w:val="24"/>
        </w:rPr>
        <w:noBreakHyphen/>
      </w:r>
      <w:r w:rsidRPr="00AB7D91">
        <w:rPr>
          <w:rFonts w:ascii="Book Antiqua" w:hAnsi="Book Antiqua" w:cstheme="minorBidi"/>
          <w:b/>
          <w:szCs w:val="24"/>
        </w:rPr>
        <w:t>18 cycle</w:t>
      </w:r>
      <w:r w:rsidRPr="00AB7D91">
        <w:rPr>
          <w:rFonts w:ascii="Book Antiqua" w:hAnsi="Book Antiqua" w:cstheme="minorBidi"/>
          <w:szCs w:val="24"/>
        </w:rPr>
        <w:t xml:space="preserve">: </w:t>
      </w:r>
      <w:r w:rsidR="004731C2" w:rsidRPr="00AB7D91">
        <w:rPr>
          <w:rFonts w:ascii="Book Antiqua" w:hAnsi="Book Antiqua" w:cstheme="minorBidi"/>
          <w:szCs w:val="24"/>
        </w:rPr>
        <w:t xml:space="preserve"> </w:t>
      </w:r>
      <w:r w:rsidRPr="00AB7D91">
        <w:rPr>
          <w:rFonts w:ascii="Book Antiqua" w:hAnsi="Book Antiqua" w:cstheme="minorBidi"/>
          <w:szCs w:val="24"/>
        </w:rPr>
        <w:t>Provide best available estimates of emissions of particulate matter associated with all emitting resources used to serve load, including system power.</w:t>
      </w:r>
      <w:r w:rsidR="008672C5" w:rsidRPr="00AB7D91">
        <w:rPr>
          <w:rFonts w:ascii="Book Antiqua" w:hAnsi="Book Antiqua" w:cstheme="minorBidi"/>
          <w:szCs w:val="24"/>
        </w:rPr>
        <w:t xml:space="preserve"> </w:t>
      </w:r>
      <w:r w:rsidRPr="00AB7D91">
        <w:rPr>
          <w:rFonts w:ascii="Book Antiqua" w:hAnsi="Book Antiqua" w:cstheme="minorBidi"/>
          <w:szCs w:val="24"/>
        </w:rPr>
        <w:t xml:space="preserve"> Refer to pages 19</w:t>
      </w:r>
      <w:r w:rsidR="00D84A09" w:rsidRPr="00AB7D91">
        <w:rPr>
          <w:rFonts w:ascii="Book Antiqua" w:hAnsi="Book Antiqua" w:cstheme="minorBidi"/>
          <w:szCs w:val="24"/>
        </w:rPr>
        <w:noBreakHyphen/>
      </w:r>
      <w:r w:rsidRPr="00AB7D91">
        <w:rPr>
          <w:rFonts w:ascii="Book Antiqua" w:hAnsi="Book Antiqua" w:cstheme="minorBidi"/>
          <w:szCs w:val="24"/>
        </w:rPr>
        <w:t xml:space="preserve">22 of Desert Community Energy’s IRP filing for </w:t>
      </w:r>
      <w:r w:rsidR="009E6885">
        <w:rPr>
          <w:rFonts w:ascii="Book Antiqua" w:hAnsi="Book Antiqua" w:cstheme="minorBidi"/>
          <w:szCs w:val="24"/>
        </w:rPr>
        <w:t xml:space="preserve">an </w:t>
      </w:r>
      <w:r w:rsidRPr="00AB7D91">
        <w:rPr>
          <w:rFonts w:ascii="Book Antiqua" w:hAnsi="Book Antiqua" w:cstheme="minorBidi"/>
          <w:szCs w:val="24"/>
        </w:rPr>
        <w:t xml:space="preserve">example of the type of information a CCA can provide to fulfill this specific filing requirement. </w:t>
      </w:r>
    </w:p>
    <w:p w14:paraId="328D2571" w14:textId="77777777" w:rsidR="00BD702C" w:rsidRPr="00AB7D91" w:rsidRDefault="00BD702C" w:rsidP="00BD702C">
      <w:pPr>
        <w:spacing w:after="200" w:line="276" w:lineRule="auto"/>
        <w:rPr>
          <w:rFonts w:ascii="Book Antiqua" w:hAnsi="Book Antiqua" w:cstheme="minorBidi"/>
          <w:szCs w:val="24"/>
        </w:rPr>
      </w:pPr>
      <w:r w:rsidRPr="00AB7D91">
        <w:rPr>
          <w:rFonts w:ascii="Book Antiqua" w:hAnsi="Book Antiqua" w:cstheme="minorBidi"/>
          <w:b/>
          <w:szCs w:val="24"/>
        </w:rPr>
        <w:t>Guidance for LSE Plan development in the next IRP cycle</w:t>
      </w:r>
      <w:r w:rsidRPr="00AB7D91">
        <w:rPr>
          <w:rFonts w:ascii="Book Antiqua" w:hAnsi="Book Antiqua" w:cstheme="minorBidi"/>
          <w:szCs w:val="24"/>
        </w:rPr>
        <w:t xml:space="preserve">: </w:t>
      </w:r>
      <w:r w:rsidR="004731C2" w:rsidRPr="00AB7D91">
        <w:rPr>
          <w:rFonts w:ascii="Book Antiqua" w:hAnsi="Book Antiqua" w:cstheme="minorBidi"/>
          <w:szCs w:val="24"/>
        </w:rPr>
        <w:t xml:space="preserve"> </w:t>
      </w:r>
      <w:r w:rsidRPr="00AB7D91">
        <w:rPr>
          <w:rFonts w:ascii="Book Antiqua" w:hAnsi="Book Antiqua" w:cstheme="minorBidi"/>
          <w:szCs w:val="24"/>
        </w:rPr>
        <w:t>None at this time.</w:t>
      </w:r>
    </w:p>
    <w:p w14:paraId="6BE23804" w14:textId="77777777" w:rsidR="00693762" w:rsidRPr="001A7699" w:rsidRDefault="00BD702C" w:rsidP="001A7699">
      <w:pPr>
        <w:pStyle w:val="Heading3"/>
      </w:pPr>
      <w:bookmarkStart w:id="99" w:name="_Toc3803840"/>
      <w:r w:rsidRPr="001A7699">
        <w:t>Alternative Plans</w:t>
      </w:r>
      <w:bookmarkEnd w:id="99"/>
    </w:p>
    <w:p w14:paraId="608BD4BB" w14:textId="77777777" w:rsidR="006F44CB" w:rsidRPr="00AB7D91" w:rsidRDefault="006F44CB" w:rsidP="006F44CB">
      <w:pPr>
        <w:keepNext/>
        <w:keepLines/>
        <w:spacing w:before="240" w:after="120" w:line="276" w:lineRule="auto"/>
        <w:outlineLvl w:val="2"/>
        <w:rPr>
          <w:rFonts w:ascii="Book Antiqua" w:eastAsiaTheme="majorEastAsia" w:hAnsi="Book Antiqua" w:cstheme="majorBidi"/>
          <w:b/>
          <w:szCs w:val="24"/>
        </w:rPr>
      </w:pPr>
      <w:bookmarkStart w:id="100" w:name="_Toc868784"/>
      <w:r w:rsidRPr="00AB7D91">
        <w:rPr>
          <w:rFonts w:ascii="Book Antiqua" w:eastAsiaTheme="majorEastAsia" w:hAnsi="Book Antiqua" w:cstheme="majorBidi"/>
          <w:b/>
          <w:szCs w:val="24"/>
        </w:rPr>
        <w:t>3 Phases Renewables, Inc.</w:t>
      </w:r>
      <w:bookmarkEnd w:id="100"/>
    </w:p>
    <w:tbl>
      <w:tblPr>
        <w:tblStyle w:val="TableGrid4"/>
        <w:tblW w:w="0" w:type="auto"/>
        <w:tblLook w:val="04A0" w:firstRow="1" w:lastRow="0" w:firstColumn="1" w:lastColumn="0" w:noHBand="0" w:noVBand="1"/>
      </w:tblPr>
      <w:tblGrid>
        <w:gridCol w:w="2759"/>
        <w:gridCol w:w="6591"/>
      </w:tblGrid>
      <w:tr w:rsidR="006F44CB" w:rsidRPr="006F44CB" w14:paraId="1061AF82" w14:textId="77777777" w:rsidTr="006F44CB">
        <w:tc>
          <w:tcPr>
            <w:tcW w:w="2759" w:type="dxa"/>
          </w:tcPr>
          <w:p w14:paraId="6F6CFDB2" w14:textId="77777777" w:rsidR="006F44CB" w:rsidRPr="006F44CB" w:rsidRDefault="006F44CB" w:rsidP="00AB7D91">
            <w:pPr>
              <w:keepNext/>
              <w:keepLines/>
              <w:jc w:val="center"/>
              <w:rPr>
                <w:rFonts w:ascii="Book Antiqua" w:hAnsi="Book Antiqua"/>
                <w:b/>
                <w:sz w:val="24"/>
                <w:szCs w:val="24"/>
              </w:rPr>
            </w:pPr>
            <w:r w:rsidRPr="006F44CB">
              <w:rPr>
                <w:rFonts w:ascii="Book Antiqua" w:hAnsi="Book Antiqua"/>
                <w:b/>
                <w:sz w:val="24"/>
                <w:szCs w:val="24"/>
              </w:rPr>
              <w:t>Requirement</w:t>
            </w:r>
          </w:p>
        </w:tc>
        <w:tc>
          <w:tcPr>
            <w:tcW w:w="6591" w:type="dxa"/>
          </w:tcPr>
          <w:p w14:paraId="434D87DB" w14:textId="77777777" w:rsidR="006F44CB" w:rsidRPr="006F44CB" w:rsidRDefault="006F44CB" w:rsidP="00AB7D91">
            <w:pPr>
              <w:keepNext/>
              <w:keepLines/>
              <w:jc w:val="center"/>
              <w:rPr>
                <w:rFonts w:ascii="Book Antiqua" w:hAnsi="Book Antiqua"/>
                <w:b/>
                <w:sz w:val="24"/>
                <w:szCs w:val="24"/>
              </w:rPr>
            </w:pPr>
            <w:r w:rsidRPr="006F44CB">
              <w:rPr>
                <w:rFonts w:ascii="Book Antiqua" w:hAnsi="Book Antiqua"/>
                <w:b/>
                <w:sz w:val="24"/>
                <w:szCs w:val="24"/>
              </w:rPr>
              <w:t>Assessment</w:t>
            </w:r>
          </w:p>
        </w:tc>
      </w:tr>
      <w:tr w:rsidR="006F44CB" w:rsidRPr="006F44CB" w14:paraId="791C89F0" w14:textId="77777777" w:rsidTr="006F44CB">
        <w:tc>
          <w:tcPr>
            <w:tcW w:w="2759" w:type="dxa"/>
          </w:tcPr>
          <w:p w14:paraId="0E96C4A1" w14:textId="77777777" w:rsidR="006F44CB" w:rsidRPr="006F44CB" w:rsidRDefault="006F44CB" w:rsidP="00AB7D91">
            <w:pPr>
              <w:keepNext/>
              <w:keepLines/>
              <w:spacing w:before="60" w:after="60"/>
              <w:rPr>
                <w:rFonts w:ascii="Book Antiqua" w:hAnsi="Book Antiqua"/>
                <w:sz w:val="24"/>
                <w:szCs w:val="24"/>
              </w:rPr>
            </w:pPr>
            <w:r w:rsidRPr="006F44CB">
              <w:rPr>
                <w:rFonts w:ascii="Book Antiqua" w:hAnsi="Book Antiqua"/>
                <w:sz w:val="24"/>
                <w:szCs w:val="24"/>
              </w:rPr>
              <w:t>Required Forms</w:t>
            </w:r>
          </w:p>
        </w:tc>
        <w:tc>
          <w:tcPr>
            <w:tcW w:w="6591" w:type="dxa"/>
          </w:tcPr>
          <w:p w14:paraId="49020305" w14:textId="77777777" w:rsidR="006F44CB" w:rsidRPr="006F44CB" w:rsidRDefault="006F44CB" w:rsidP="00AB7D91">
            <w:pPr>
              <w:keepNext/>
              <w:keepLines/>
              <w:spacing w:before="60" w:after="60"/>
              <w:rPr>
                <w:rFonts w:ascii="Book Antiqua" w:hAnsi="Book Antiqua"/>
                <w:sz w:val="24"/>
                <w:szCs w:val="24"/>
              </w:rPr>
            </w:pPr>
            <w:r w:rsidRPr="006F44CB">
              <w:rPr>
                <w:rFonts w:ascii="Book Antiqua" w:hAnsi="Book Antiqua"/>
                <w:sz w:val="24"/>
                <w:szCs w:val="24"/>
              </w:rPr>
              <w:t>3 Phases Renewables, Inc. (3</w:t>
            </w:r>
            <w:r w:rsidR="00664E8A">
              <w:rPr>
                <w:rFonts w:ascii="Book Antiqua" w:hAnsi="Book Antiqua"/>
                <w:sz w:val="24"/>
                <w:szCs w:val="24"/>
              </w:rPr>
              <w:t xml:space="preserve"> </w:t>
            </w:r>
            <w:r w:rsidRPr="006F44CB">
              <w:rPr>
                <w:rFonts w:ascii="Book Antiqua" w:hAnsi="Book Antiqua"/>
                <w:sz w:val="24"/>
                <w:szCs w:val="24"/>
              </w:rPr>
              <w:t>P</w:t>
            </w:r>
            <w:r w:rsidR="00664E8A">
              <w:rPr>
                <w:rFonts w:ascii="Book Antiqua" w:hAnsi="Book Antiqua"/>
                <w:sz w:val="24"/>
                <w:szCs w:val="24"/>
              </w:rPr>
              <w:t>hases</w:t>
            </w:r>
            <w:r w:rsidRPr="006F44CB">
              <w:rPr>
                <w:rFonts w:ascii="Book Antiqua" w:hAnsi="Book Antiqua"/>
                <w:sz w:val="24"/>
                <w:szCs w:val="24"/>
              </w:rPr>
              <w:t>) provided the following required forms:</w:t>
            </w:r>
          </w:p>
          <w:p w14:paraId="6D3AA8EF" w14:textId="77777777" w:rsidR="006F44CB" w:rsidRPr="006F44CB" w:rsidRDefault="006F44CB" w:rsidP="00AB7D91">
            <w:pPr>
              <w:keepNext/>
              <w:keepLines/>
              <w:numPr>
                <w:ilvl w:val="0"/>
                <w:numId w:val="17"/>
              </w:numPr>
              <w:spacing w:before="60" w:after="60"/>
              <w:rPr>
                <w:rFonts w:ascii="Book Antiqua" w:hAnsi="Book Antiqua"/>
                <w:sz w:val="24"/>
                <w:szCs w:val="24"/>
              </w:rPr>
            </w:pPr>
            <w:r w:rsidRPr="006F44CB">
              <w:rPr>
                <w:rFonts w:ascii="Book Antiqua" w:hAnsi="Book Antiqua"/>
                <w:sz w:val="24"/>
                <w:szCs w:val="24"/>
              </w:rPr>
              <w:t>CEC Form S1</w:t>
            </w:r>
          </w:p>
          <w:p w14:paraId="7E6FDC05" w14:textId="77777777" w:rsidR="006F44CB" w:rsidRPr="006F44CB" w:rsidRDefault="006F44CB" w:rsidP="00AB7D91">
            <w:pPr>
              <w:keepNext/>
              <w:keepLines/>
              <w:numPr>
                <w:ilvl w:val="0"/>
                <w:numId w:val="17"/>
              </w:numPr>
              <w:spacing w:before="60" w:after="60"/>
              <w:rPr>
                <w:rFonts w:ascii="Book Antiqua" w:hAnsi="Book Antiqua"/>
                <w:color w:val="000000"/>
                <w:sz w:val="24"/>
                <w:szCs w:val="24"/>
              </w:rPr>
            </w:pPr>
            <w:r w:rsidRPr="006F44CB">
              <w:rPr>
                <w:rFonts w:ascii="Book Antiqua" w:hAnsi="Book Antiqua"/>
                <w:color w:val="000000"/>
                <w:sz w:val="24"/>
                <w:szCs w:val="24"/>
              </w:rPr>
              <w:t>CEC Form S2 or EIA Form 861 or EIA Form 861S</w:t>
            </w:r>
          </w:p>
          <w:p w14:paraId="2458AE1E" w14:textId="77777777" w:rsidR="006F44CB" w:rsidRPr="006F44CB" w:rsidRDefault="006F44CB" w:rsidP="00AB7D91">
            <w:pPr>
              <w:keepNext/>
              <w:keepLines/>
              <w:numPr>
                <w:ilvl w:val="0"/>
                <w:numId w:val="17"/>
              </w:numPr>
              <w:spacing w:before="60" w:after="60"/>
              <w:rPr>
                <w:rFonts w:ascii="Book Antiqua" w:hAnsi="Book Antiqua"/>
                <w:sz w:val="24"/>
                <w:szCs w:val="24"/>
              </w:rPr>
            </w:pPr>
            <w:r w:rsidRPr="006F44CB">
              <w:rPr>
                <w:rFonts w:ascii="Book Antiqua" w:hAnsi="Book Antiqua"/>
                <w:color w:val="000000"/>
                <w:sz w:val="24"/>
                <w:szCs w:val="24"/>
              </w:rPr>
              <w:t>CEC Power Content Report</w:t>
            </w:r>
          </w:p>
        </w:tc>
      </w:tr>
      <w:tr w:rsidR="006F44CB" w:rsidRPr="006F44CB" w14:paraId="31F8600F" w14:textId="77777777" w:rsidTr="006F44CB">
        <w:tc>
          <w:tcPr>
            <w:tcW w:w="2759" w:type="dxa"/>
          </w:tcPr>
          <w:p w14:paraId="56E4C29C"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Treatment of Disadvantaged Communities</w:t>
            </w:r>
          </w:p>
        </w:tc>
        <w:tc>
          <w:tcPr>
            <w:tcW w:w="6591" w:type="dxa"/>
          </w:tcPr>
          <w:p w14:paraId="210AAF6B"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3</w:t>
            </w:r>
            <w:r w:rsidR="00664E8A">
              <w:rPr>
                <w:rFonts w:ascii="Book Antiqua" w:hAnsi="Book Antiqua"/>
                <w:sz w:val="24"/>
                <w:szCs w:val="24"/>
              </w:rPr>
              <w:t xml:space="preserve"> </w:t>
            </w:r>
            <w:r w:rsidRPr="006F44CB">
              <w:rPr>
                <w:rFonts w:ascii="Book Antiqua" w:hAnsi="Book Antiqua"/>
                <w:sz w:val="24"/>
                <w:szCs w:val="24"/>
              </w:rPr>
              <w:t>P</w:t>
            </w:r>
            <w:r w:rsidR="00664E8A">
              <w:rPr>
                <w:rFonts w:ascii="Book Antiqua" w:hAnsi="Book Antiqua"/>
                <w:sz w:val="24"/>
                <w:szCs w:val="24"/>
              </w:rPr>
              <w:t>hases</w:t>
            </w:r>
            <w:r w:rsidRPr="006F44CB">
              <w:rPr>
                <w:rFonts w:ascii="Book Antiqua" w:hAnsi="Book Antiqua"/>
                <w:sz w:val="24"/>
                <w:szCs w:val="24"/>
              </w:rPr>
              <w:t xml:space="preserve"> provided an adequate description of treatment of disadvantaged communities in its LSE Plan.</w:t>
            </w:r>
          </w:p>
        </w:tc>
      </w:tr>
      <w:tr w:rsidR="006F44CB" w:rsidRPr="006F44CB" w14:paraId="3FD92D8E" w14:textId="77777777" w:rsidTr="006F44CB">
        <w:tc>
          <w:tcPr>
            <w:tcW w:w="2759" w:type="dxa"/>
          </w:tcPr>
          <w:p w14:paraId="2089DE2B"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GHG Target Planning</w:t>
            </w:r>
          </w:p>
        </w:tc>
        <w:tc>
          <w:tcPr>
            <w:tcW w:w="6591" w:type="dxa"/>
          </w:tcPr>
          <w:p w14:paraId="641CCC5E"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3</w:t>
            </w:r>
            <w:r w:rsidR="00664E8A">
              <w:rPr>
                <w:rFonts w:ascii="Book Antiqua" w:hAnsi="Book Antiqua"/>
                <w:sz w:val="24"/>
                <w:szCs w:val="24"/>
              </w:rPr>
              <w:t xml:space="preserve"> </w:t>
            </w:r>
            <w:r w:rsidRPr="006F44CB">
              <w:rPr>
                <w:rFonts w:ascii="Book Antiqua" w:hAnsi="Book Antiqua"/>
                <w:sz w:val="24"/>
                <w:szCs w:val="24"/>
              </w:rPr>
              <w:t>P</w:t>
            </w:r>
            <w:r w:rsidR="00664E8A">
              <w:rPr>
                <w:rFonts w:ascii="Book Antiqua" w:hAnsi="Book Antiqua"/>
                <w:sz w:val="24"/>
                <w:szCs w:val="24"/>
              </w:rPr>
              <w:t>hases</w:t>
            </w:r>
            <w:r w:rsidRPr="006F44CB">
              <w:rPr>
                <w:rFonts w:ascii="Book Antiqua" w:hAnsi="Book Antiqua"/>
                <w:sz w:val="24"/>
                <w:szCs w:val="24"/>
              </w:rPr>
              <w:t xml:space="preserve"> did not explain what shares of its projected 2030 load falls under which IOU territory, so it is not possible to determine whether its LSE</w:t>
            </w:r>
            <w:r w:rsidR="00D84A09">
              <w:rPr>
                <w:rFonts w:ascii="Book Antiqua" w:hAnsi="Book Antiqua"/>
                <w:sz w:val="24"/>
                <w:szCs w:val="24"/>
              </w:rPr>
              <w:noBreakHyphen/>
            </w:r>
            <w:r w:rsidRPr="006F44CB">
              <w:rPr>
                <w:rFonts w:ascii="Book Antiqua" w:hAnsi="Book Antiqua"/>
                <w:sz w:val="24"/>
                <w:szCs w:val="24"/>
              </w:rPr>
              <w:t>specific 2030 GHG Benchmark was calculated correctly.</w:t>
            </w:r>
            <w:r w:rsidR="008672C5">
              <w:rPr>
                <w:rFonts w:ascii="Book Antiqua" w:hAnsi="Book Antiqua"/>
                <w:sz w:val="24"/>
                <w:szCs w:val="24"/>
              </w:rPr>
              <w:t xml:space="preserve"> </w:t>
            </w:r>
            <w:r w:rsidRPr="006F44CB">
              <w:rPr>
                <w:rFonts w:ascii="Book Antiqua" w:hAnsi="Book Antiqua"/>
                <w:sz w:val="24"/>
                <w:szCs w:val="24"/>
              </w:rPr>
              <w:t xml:space="preserve"> However, due to its relatively small load, this oversight is unlikely to have a significant impact on </w:t>
            </w:r>
            <w:r w:rsidR="00664E8A">
              <w:rPr>
                <w:rFonts w:ascii="Book Antiqua" w:hAnsi="Book Antiqua"/>
                <w:sz w:val="24"/>
                <w:szCs w:val="24"/>
              </w:rPr>
              <w:t>3 Phases’</w:t>
            </w:r>
            <w:r w:rsidRPr="006F44CB">
              <w:rPr>
                <w:rFonts w:ascii="Book Antiqua" w:hAnsi="Book Antiqua"/>
                <w:sz w:val="24"/>
                <w:szCs w:val="24"/>
              </w:rPr>
              <w:t xml:space="preserve"> GHG Benchmark.</w:t>
            </w:r>
          </w:p>
        </w:tc>
      </w:tr>
      <w:tr w:rsidR="006F44CB" w:rsidRPr="006F44CB" w14:paraId="29DB7A62" w14:textId="77777777" w:rsidTr="006F44CB">
        <w:tc>
          <w:tcPr>
            <w:tcW w:w="2759" w:type="dxa"/>
          </w:tcPr>
          <w:p w14:paraId="09B580A6"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 xml:space="preserve">Conforming and </w:t>
            </w:r>
            <w:r w:rsidRPr="006F44CB">
              <w:rPr>
                <w:rFonts w:ascii="Book Antiqua" w:hAnsi="Book Antiqua"/>
                <w:color w:val="000000"/>
                <w:sz w:val="24"/>
                <w:szCs w:val="24"/>
              </w:rPr>
              <w:t xml:space="preserve">Alternative </w:t>
            </w:r>
            <w:r w:rsidRPr="006F44CB">
              <w:rPr>
                <w:rFonts w:ascii="Book Antiqua" w:hAnsi="Book Antiqua"/>
                <w:sz w:val="24"/>
                <w:szCs w:val="24"/>
              </w:rPr>
              <w:t>Portfolios</w:t>
            </w:r>
          </w:p>
        </w:tc>
        <w:tc>
          <w:tcPr>
            <w:tcW w:w="6591" w:type="dxa"/>
          </w:tcPr>
          <w:p w14:paraId="13150E8A"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The 2030 emissions associated with 3</w:t>
            </w:r>
            <w:r w:rsidR="00E31C6B">
              <w:rPr>
                <w:rFonts w:ascii="Book Antiqua" w:hAnsi="Book Antiqua"/>
                <w:sz w:val="24"/>
                <w:szCs w:val="24"/>
              </w:rPr>
              <w:t xml:space="preserve"> </w:t>
            </w:r>
            <w:r w:rsidRPr="006F44CB">
              <w:rPr>
                <w:rFonts w:ascii="Book Antiqua" w:hAnsi="Book Antiqua"/>
                <w:sz w:val="24"/>
                <w:szCs w:val="24"/>
              </w:rPr>
              <w:t>P</w:t>
            </w:r>
            <w:r w:rsidR="00E31C6B">
              <w:rPr>
                <w:rFonts w:ascii="Book Antiqua" w:hAnsi="Book Antiqua"/>
                <w:sz w:val="24"/>
                <w:szCs w:val="24"/>
              </w:rPr>
              <w:t>hases</w:t>
            </w:r>
            <w:r w:rsidRPr="006F44CB">
              <w:rPr>
                <w:rFonts w:ascii="Book Antiqua" w:hAnsi="Book Antiqua"/>
                <w:sz w:val="24"/>
                <w:szCs w:val="24"/>
              </w:rPr>
              <w:t>’ Conforming Portfolio exceeds its GHG Benchmark by approximately 0.5%, which is acceptable for IRP planning purposes. 3</w:t>
            </w:r>
            <w:r w:rsidR="00664E8A">
              <w:rPr>
                <w:rFonts w:ascii="Book Antiqua" w:hAnsi="Book Antiqua"/>
                <w:sz w:val="24"/>
                <w:szCs w:val="24"/>
              </w:rPr>
              <w:t xml:space="preserve"> </w:t>
            </w:r>
            <w:r w:rsidRPr="006F44CB">
              <w:rPr>
                <w:rFonts w:ascii="Book Antiqua" w:hAnsi="Book Antiqua"/>
                <w:sz w:val="24"/>
                <w:szCs w:val="24"/>
              </w:rPr>
              <w:t>P</w:t>
            </w:r>
            <w:r w:rsidR="00664E8A">
              <w:rPr>
                <w:rFonts w:ascii="Book Antiqua" w:hAnsi="Book Antiqua"/>
                <w:sz w:val="24"/>
                <w:szCs w:val="24"/>
              </w:rPr>
              <w:t>hases</w:t>
            </w:r>
            <w:r w:rsidRPr="006F44CB">
              <w:rPr>
                <w:rFonts w:ascii="Book Antiqua" w:hAnsi="Book Antiqua"/>
                <w:sz w:val="24"/>
                <w:szCs w:val="24"/>
              </w:rPr>
              <w:t xml:space="preserve"> did not submit an optional Alternative Portfolio.</w:t>
            </w:r>
          </w:p>
        </w:tc>
      </w:tr>
      <w:tr w:rsidR="006F44CB" w:rsidRPr="006F44CB" w14:paraId="5758257A" w14:textId="77777777" w:rsidTr="006F44CB">
        <w:tc>
          <w:tcPr>
            <w:tcW w:w="2759" w:type="dxa"/>
          </w:tcPr>
          <w:p w14:paraId="63F2C88F" w14:textId="77777777" w:rsidR="006F44CB" w:rsidRPr="006F44CB" w:rsidRDefault="006F44CB" w:rsidP="00AB7D91">
            <w:pPr>
              <w:spacing w:before="60" w:after="60"/>
              <w:rPr>
                <w:rFonts w:ascii="Book Antiqua" w:hAnsi="Book Antiqua"/>
                <w:sz w:val="24"/>
                <w:szCs w:val="24"/>
              </w:rPr>
            </w:pPr>
            <w:r w:rsidRPr="006F44CB">
              <w:rPr>
                <w:rFonts w:ascii="Book Antiqua" w:hAnsi="Book Antiqua"/>
                <w:color w:val="000000"/>
                <w:sz w:val="24"/>
                <w:szCs w:val="24"/>
              </w:rPr>
              <w:t>Statutory or Administrative Requirements</w:t>
            </w:r>
          </w:p>
        </w:tc>
        <w:tc>
          <w:tcPr>
            <w:tcW w:w="6591" w:type="dxa"/>
          </w:tcPr>
          <w:p w14:paraId="7404F04F"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3</w:t>
            </w:r>
            <w:r w:rsidR="00664E8A">
              <w:rPr>
                <w:rFonts w:ascii="Book Antiqua" w:hAnsi="Book Antiqua"/>
                <w:sz w:val="24"/>
                <w:szCs w:val="24"/>
              </w:rPr>
              <w:t xml:space="preserve"> </w:t>
            </w:r>
            <w:r w:rsidRPr="006F44CB">
              <w:rPr>
                <w:rFonts w:ascii="Book Antiqua" w:hAnsi="Book Antiqua"/>
                <w:sz w:val="24"/>
                <w:szCs w:val="24"/>
              </w:rPr>
              <w:t>P</w:t>
            </w:r>
            <w:r w:rsidR="00664E8A">
              <w:rPr>
                <w:rFonts w:ascii="Book Antiqua" w:hAnsi="Book Antiqua"/>
                <w:sz w:val="24"/>
                <w:szCs w:val="24"/>
              </w:rPr>
              <w:t xml:space="preserve">hases </w:t>
            </w:r>
            <w:r w:rsidRPr="006F44CB">
              <w:rPr>
                <w:rFonts w:ascii="Book Antiqua" w:hAnsi="Book Antiqua"/>
                <w:sz w:val="24"/>
                <w:szCs w:val="24"/>
              </w:rPr>
              <w:t xml:space="preserve">did not speak directly to the following requirements: </w:t>
            </w:r>
          </w:p>
          <w:p w14:paraId="7C840925" w14:textId="77777777" w:rsidR="006F44CB" w:rsidRPr="006F44CB" w:rsidRDefault="006F44CB" w:rsidP="00AB7D91">
            <w:pPr>
              <w:numPr>
                <w:ilvl w:val="0"/>
                <w:numId w:val="16"/>
              </w:numPr>
              <w:spacing w:before="60" w:after="60"/>
              <w:rPr>
                <w:rFonts w:ascii="Book Antiqua" w:hAnsi="Book Antiqua"/>
                <w:sz w:val="24"/>
                <w:szCs w:val="24"/>
              </w:rPr>
            </w:pPr>
            <w:r w:rsidRPr="006F44CB">
              <w:rPr>
                <w:rFonts w:ascii="Book Antiqua" w:hAnsi="Book Antiqua"/>
                <w:sz w:val="24"/>
                <w:szCs w:val="24"/>
              </w:rPr>
              <w:t>50% RPS by 2030</w:t>
            </w:r>
          </w:p>
          <w:p w14:paraId="705FD9C8" w14:textId="77777777" w:rsidR="006F44CB" w:rsidRPr="006F44CB" w:rsidRDefault="006F44CB" w:rsidP="00AB7D91">
            <w:pPr>
              <w:numPr>
                <w:ilvl w:val="0"/>
                <w:numId w:val="16"/>
              </w:numPr>
              <w:spacing w:before="60" w:after="60"/>
              <w:rPr>
                <w:rFonts w:ascii="Book Antiqua" w:hAnsi="Book Antiqua"/>
                <w:sz w:val="24"/>
                <w:szCs w:val="24"/>
              </w:rPr>
            </w:pPr>
            <w:r w:rsidRPr="006F44CB">
              <w:rPr>
                <w:rFonts w:ascii="Book Antiqua" w:hAnsi="Book Antiqua"/>
                <w:color w:val="000000"/>
                <w:sz w:val="24"/>
                <w:szCs w:val="24"/>
              </w:rPr>
              <w:t>Strengthen the diversity, sustainability, and resilience of the bulk transmission and distribution systems, and local communities</w:t>
            </w:r>
          </w:p>
          <w:p w14:paraId="2832CBEA" w14:textId="77777777" w:rsidR="006F44CB" w:rsidRPr="006F44CB" w:rsidRDefault="006F44CB" w:rsidP="00AB7D91">
            <w:pPr>
              <w:numPr>
                <w:ilvl w:val="0"/>
                <w:numId w:val="16"/>
              </w:numPr>
              <w:spacing w:before="60" w:after="60"/>
              <w:rPr>
                <w:rFonts w:ascii="Book Antiqua" w:hAnsi="Book Antiqua"/>
                <w:sz w:val="24"/>
                <w:szCs w:val="24"/>
              </w:rPr>
            </w:pPr>
            <w:r w:rsidRPr="006F44CB">
              <w:rPr>
                <w:rFonts w:ascii="Book Antiqua" w:hAnsi="Book Antiqua"/>
                <w:color w:val="000000"/>
                <w:sz w:val="24"/>
                <w:szCs w:val="24"/>
              </w:rPr>
              <w:t>Enhance distribution systems and demand</w:t>
            </w:r>
            <w:r w:rsidR="00D84A09">
              <w:rPr>
                <w:rFonts w:ascii="Book Antiqua" w:hAnsi="Book Antiqua"/>
                <w:color w:val="000000"/>
                <w:sz w:val="24"/>
                <w:szCs w:val="24"/>
              </w:rPr>
              <w:noBreakHyphen/>
            </w:r>
            <w:r w:rsidRPr="006F44CB">
              <w:rPr>
                <w:rFonts w:ascii="Book Antiqua" w:hAnsi="Book Antiqua"/>
                <w:color w:val="000000"/>
                <w:sz w:val="24"/>
                <w:szCs w:val="24"/>
              </w:rPr>
              <w:t>side energy management</w:t>
            </w:r>
          </w:p>
          <w:p w14:paraId="3FC58608"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3</w:t>
            </w:r>
            <w:r w:rsidR="00664E8A">
              <w:rPr>
                <w:rFonts w:ascii="Book Antiqua" w:hAnsi="Book Antiqua"/>
                <w:sz w:val="24"/>
                <w:szCs w:val="24"/>
              </w:rPr>
              <w:t xml:space="preserve"> Phases</w:t>
            </w:r>
            <w:r w:rsidRPr="006F44CB">
              <w:rPr>
                <w:rFonts w:ascii="Book Antiqua" w:hAnsi="Book Antiqua"/>
                <w:sz w:val="24"/>
                <w:szCs w:val="24"/>
              </w:rPr>
              <w:t xml:space="preserve"> provided vague references to the following requirements:</w:t>
            </w:r>
          </w:p>
          <w:p w14:paraId="17B3B953" w14:textId="77777777" w:rsidR="006F44CB" w:rsidRPr="006F44CB" w:rsidRDefault="006F44CB" w:rsidP="00AB7D91">
            <w:pPr>
              <w:numPr>
                <w:ilvl w:val="0"/>
                <w:numId w:val="16"/>
              </w:numPr>
              <w:spacing w:before="60" w:after="60"/>
              <w:rPr>
                <w:rFonts w:ascii="Book Antiqua" w:hAnsi="Book Antiqua"/>
                <w:sz w:val="24"/>
                <w:szCs w:val="24"/>
              </w:rPr>
            </w:pPr>
            <w:r w:rsidRPr="006F44CB">
              <w:rPr>
                <w:rFonts w:ascii="Book Antiqua" w:hAnsi="Book Antiqua"/>
                <w:color w:val="000000"/>
                <w:sz w:val="24"/>
                <w:szCs w:val="24"/>
              </w:rPr>
              <w:t>Serve customers at just and reasonable rates</w:t>
            </w:r>
          </w:p>
          <w:p w14:paraId="64D96584" w14:textId="77777777" w:rsidR="006F44CB" w:rsidRPr="006F44CB" w:rsidRDefault="006F44CB" w:rsidP="00AB7D91">
            <w:pPr>
              <w:numPr>
                <w:ilvl w:val="0"/>
                <w:numId w:val="16"/>
              </w:numPr>
              <w:spacing w:before="60" w:after="60"/>
              <w:rPr>
                <w:rFonts w:ascii="Book Antiqua" w:hAnsi="Book Antiqua"/>
                <w:sz w:val="24"/>
                <w:szCs w:val="24"/>
              </w:rPr>
            </w:pPr>
            <w:r w:rsidRPr="006F44CB">
              <w:rPr>
                <w:rFonts w:ascii="Book Antiqua" w:hAnsi="Book Antiqua"/>
                <w:color w:val="000000"/>
                <w:sz w:val="24"/>
                <w:szCs w:val="24"/>
              </w:rPr>
              <w:t>Minimize impacts on ratepayers’ bills</w:t>
            </w:r>
          </w:p>
          <w:p w14:paraId="031853EC" w14:textId="77777777" w:rsidR="006F44CB" w:rsidRPr="006F44CB" w:rsidRDefault="006F44CB" w:rsidP="00AB7D91">
            <w:pPr>
              <w:numPr>
                <w:ilvl w:val="0"/>
                <w:numId w:val="16"/>
              </w:numPr>
              <w:spacing w:before="60" w:after="60"/>
              <w:rPr>
                <w:rFonts w:ascii="Book Antiqua" w:hAnsi="Book Antiqua"/>
                <w:sz w:val="24"/>
                <w:szCs w:val="24"/>
              </w:rPr>
            </w:pPr>
            <w:r w:rsidRPr="006F44CB">
              <w:rPr>
                <w:rFonts w:ascii="Book Antiqua" w:hAnsi="Book Antiqua"/>
                <w:color w:val="000000"/>
                <w:sz w:val="24"/>
                <w:szCs w:val="24"/>
              </w:rPr>
              <w:t>Ensure system and local reliability</w:t>
            </w:r>
          </w:p>
        </w:tc>
      </w:tr>
      <w:tr w:rsidR="006F44CB" w:rsidRPr="006F44CB" w14:paraId="1E3EAA6A" w14:textId="77777777" w:rsidTr="006F44CB">
        <w:tc>
          <w:tcPr>
            <w:tcW w:w="2759" w:type="dxa"/>
          </w:tcPr>
          <w:p w14:paraId="6BA2A19F" w14:textId="77777777" w:rsidR="006F44CB" w:rsidRPr="006F44CB" w:rsidRDefault="006F44CB" w:rsidP="00AB7D91">
            <w:pPr>
              <w:spacing w:before="60" w:after="60"/>
              <w:rPr>
                <w:rFonts w:ascii="Book Antiqua" w:hAnsi="Book Antiqua"/>
                <w:sz w:val="24"/>
                <w:szCs w:val="24"/>
              </w:rPr>
            </w:pPr>
            <w:r w:rsidRPr="006F44CB">
              <w:rPr>
                <w:rFonts w:ascii="Book Antiqua" w:hAnsi="Book Antiqua"/>
                <w:color w:val="000000"/>
                <w:sz w:val="24"/>
                <w:szCs w:val="24"/>
              </w:rPr>
              <w:t>Action Plan</w:t>
            </w:r>
          </w:p>
        </w:tc>
        <w:tc>
          <w:tcPr>
            <w:tcW w:w="6591" w:type="dxa"/>
          </w:tcPr>
          <w:p w14:paraId="591F3B9C"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3</w:t>
            </w:r>
            <w:r w:rsidR="00664E8A">
              <w:rPr>
                <w:rFonts w:ascii="Book Antiqua" w:hAnsi="Book Antiqua"/>
                <w:sz w:val="24"/>
                <w:szCs w:val="24"/>
              </w:rPr>
              <w:t xml:space="preserve"> </w:t>
            </w:r>
            <w:r w:rsidRPr="006F44CB">
              <w:rPr>
                <w:rFonts w:ascii="Book Antiqua" w:hAnsi="Book Antiqua"/>
                <w:sz w:val="24"/>
                <w:szCs w:val="24"/>
              </w:rPr>
              <w:t>P</w:t>
            </w:r>
            <w:r w:rsidR="00664E8A">
              <w:rPr>
                <w:rFonts w:ascii="Book Antiqua" w:hAnsi="Book Antiqua"/>
                <w:sz w:val="24"/>
                <w:szCs w:val="24"/>
              </w:rPr>
              <w:t>hases</w:t>
            </w:r>
            <w:r w:rsidRPr="006F44CB">
              <w:rPr>
                <w:rFonts w:ascii="Book Antiqua" w:hAnsi="Book Antiqua"/>
                <w:sz w:val="24"/>
                <w:szCs w:val="24"/>
              </w:rPr>
              <w:t xml:space="preserve"> provided an adequate description of the actions it proposes to take in the next one to three years to implement its plan.</w:t>
            </w:r>
          </w:p>
        </w:tc>
      </w:tr>
      <w:tr w:rsidR="006F44CB" w:rsidRPr="006F44CB" w14:paraId="6461A597" w14:textId="77777777" w:rsidTr="006F44CB">
        <w:tc>
          <w:tcPr>
            <w:tcW w:w="2759" w:type="dxa"/>
          </w:tcPr>
          <w:p w14:paraId="651C56B5" w14:textId="77777777" w:rsidR="006F44CB" w:rsidRPr="006F44CB" w:rsidRDefault="006F44CB" w:rsidP="00AB7D91">
            <w:pPr>
              <w:spacing w:before="60" w:after="60"/>
              <w:rPr>
                <w:rFonts w:ascii="Book Antiqua" w:hAnsi="Book Antiqua"/>
                <w:sz w:val="24"/>
                <w:szCs w:val="24"/>
              </w:rPr>
            </w:pPr>
            <w:r w:rsidRPr="006F44CB">
              <w:rPr>
                <w:rFonts w:ascii="Book Antiqua" w:hAnsi="Book Antiqua"/>
                <w:color w:val="000000"/>
                <w:sz w:val="24"/>
                <w:szCs w:val="24"/>
              </w:rPr>
              <w:t>Barriers and Lessons Learned</w:t>
            </w:r>
          </w:p>
        </w:tc>
        <w:tc>
          <w:tcPr>
            <w:tcW w:w="6591" w:type="dxa"/>
          </w:tcPr>
          <w:p w14:paraId="0B37526C"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3</w:t>
            </w:r>
            <w:r w:rsidR="00664E8A">
              <w:rPr>
                <w:rFonts w:ascii="Book Antiqua" w:hAnsi="Book Antiqua"/>
                <w:sz w:val="24"/>
                <w:szCs w:val="24"/>
              </w:rPr>
              <w:t xml:space="preserve"> </w:t>
            </w:r>
            <w:r w:rsidRPr="006F44CB">
              <w:rPr>
                <w:rFonts w:ascii="Book Antiqua" w:hAnsi="Book Antiqua"/>
                <w:sz w:val="24"/>
                <w:szCs w:val="24"/>
              </w:rPr>
              <w:t>P</w:t>
            </w:r>
            <w:r w:rsidR="00664E8A">
              <w:rPr>
                <w:rFonts w:ascii="Book Antiqua" w:hAnsi="Book Antiqua"/>
                <w:sz w:val="24"/>
                <w:szCs w:val="24"/>
              </w:rPr>
              <w:t>hases</w:t>
            </w:r>
            <w:r w:rsidRPr="006F44CB">
              <w:rPr>
                <w:rFonts w:ascii="Book Antiqua" w:hAnsi="Book Antiqua"/>
                <w:sz w:val="24"/>
                <w:szCs w:val="24"/>
              </w:rPr>
              <w:t xml:space="preserve"> provided an adequate description of barriers and lessons learned from the IRP cycle.</w:t>
            </w:r>
          </w:p>
        </w:tc>
      </w:tr>
    </w:tbl>
    <w:p w14:paraId="111A8014" w14:textId="77777777" w:rsidR="006F44CB" w:rsidRPr="00AB7D91" w:rsidRDefault="006F44CB" w:rsidP="00AB7D91">
      <w:pPr>
        <w:keepNext/>
        <w:keepLines/>
        <w:spacing w:before="240" w:after="120" w:line="276" w:lineRule="auto"/>
        <w:outlineLvl w:val="3"/>
        <w:rPr>
          <w:rFonts w:ascii="Book Antiqua" w:eastAsiaTheme="majorEastAsia" w:hAnsi="Book Antiqua" w:cstheme="majorBidi"/>
          <w:b/>
          <w:i/>
          <w:iCs/>
          <w:szCs w:val="24"/>
        </w:rPr>
      </w:pPr>
      <w:r w:rsidRPr="00AB7D91">
        <w:rPr>
          <w:rFonts w:ascii="Book Antiqua" w:eastAsiaTheme="majorEastAsia" w:hAnsi="Book Antiqua" w:cstheme="majorBidi"/>
          <w:b/>
          <w:i/>
          <w:iCs/>
          <w:szCs w:val="24"/>
        </w:rPr>
        <w:t>Next Steps for 3</w:t>
      </w:r>
      <w:r w:rsidR="00664E8A" w:rsidRPr="00AB7D91">
        <w:rPr>
          <w:rFonts w:ascii="Book Antiqua" w:eastAsiaTheme="majorEastAsia" w:hAnsi="Book Antiqua" w:cstheme="majorBidi"/>
          <w:b/>
          <w:i/>
          <w:iCs/>
          <w:szCs w:val="24"/>
        </w:rPr>
        <w:t xml:space="preserve"> </w:t>
      </w:r>
      <w:r w:rsidRPr="00AB7D91">
        <w:rPr>
          <w:rFonts w:ascii="Book Antiqua" w:eastAsiaTheme="majorEastAsia" w:hAnsi="Book Antiqua" w:cstheme="majorBidi"/>
          <w:b/>
          <w:i/>
          <w:iCs/>
          <w:szCs w:val="24"/>
        </w:rPr>
        <w:t>P</w:t>
      </w:r>
      <w:r w:rsidR="00664E8A" w:rsidRPr="00AB7D91">
        <w:rPr>
          <w:rFonts w:ascii="Book Antiqua" w:eastAsiaTheme="majorEastAsia" w:hAnsi="Book Antiqua" w:cstheme="majorBidi"/>
          <w:b/>
          <w:i/>
          <w:iCs/>
          <w:szCs w:val="24"/>
        </w:rPr>
        <w:t>hases</w:t>
      </w:r>
    </w:p>
    <w:p w14:paraId="40B03A29" w14:textId="77777777" w:rsidR="006F44CB" w:rsidRPr="00AB7D91" w:rsidRDefault="006F44CB" w:rsidP="006F44CB">
      <w:pPr>
        <w:spacing w:after="200" w:line="276" w:lineRule="auto"/>
        <w:rPr>
          <w:rFonts w:ascii="Book Antiqua" w:hAnsi="Book Antiqua" w:cstheme="minorBidi"/>
          <w:szCs w:val="24"/>
        </w:rPr>
      </w:pPr>
      <w:r w:rsidRPr="00AB7D91">
        <w:rPr>
          <w:rFonts w:ascii="Book Antiqua" w:hAnsi="Book Antiqua" w:cstheme="minorBidi"/>
          <w:b/>
          <w:szCs w:val="24"/>
        </w:rPr>
        <w:t>Action required in this IRP 2017</w:t>
      </w:r>
      <w:r w:rsidR="00D84A09" w:rsidRPr="00AB7D91">
        <w:rPr>
          <w:rFonts w:ascii="Book Antiqua" w:hAnsi="Book Antiqua" w:cstheme="minorBidi"/>
          <w:b/>
          <w:szCs w:val="24"/>
        </w:rPr>
        <w:noBreakHyphen/>
      </w:r>
      <w:r w:rsidRPr="00AB7D91">
        <w:rPr>
          <w:rFonts w:ascii="Book Antiqua" w:hAnsi="Book Antiqua" w:cstheme="minorBidi"/>
          <w:b/>
          <w:szCs w:val="24"/>
        </w:rPr>
        <w:t>18 cycle</w:t>
      </w:r>
      <w:r w:rsidRPr="00AB7D91">
        <w:rPr>
          <w:rFonts w:ascii="Book Antiqua" w:hAnsi="Book Antiqua" w:cstheme="minorBidi"/>
          <w:szCs w:val="24"/>
        </w:rPr>
        <w:t xml:space="preserve">: </w:t>
      </w:r>
      <w:r w:rsidR="004731C2" w:rsidRPr="00AB7D91">
        <w:rPr>
          <w:rFonts w:ascii="Book Antiqua" w:hAnsi="Book Antiqua" w:cstheme="minorBidi"/>
          <w:szCs w:val="24"/>
        </w:rPr>
        <w:t xml:space="preserve"> </w:t>
      </w:r>
      <w:r w:rsidRPr="00AB7D91">
        <w:rPr>
          <w:rFonts w:ascii="Book Antiqua" w:hAnsi="Book Antiqua" w:cstheme="minorBidi"/>
          <w:szCs w:val="24"/>
        </w:rPr>
        <w:t>None at this time.</w:t>
      </w:r>
    </w:p>
    <w:p w14:paraId="43B407E4" w14:textId="77777777" w:rsidR="006F44CB" w:rsidRPr="00AB7D91" w:rsidRDefault="006F44CB" w:rsidP="006F44CB">
      <w:pPr>
        <w:spacing w:after="200" w:line="276" w:lineRule="auto"/>
        <w:rPr>
          <w:rFonts w:ascii="Book Antiqua" w:hAnsi="Book Antiqua" w:cstheme="minorBidi"/>
          <w:szCs w:val="24"/>
        </w:rPr>
      </w:pPr>
      <w:r w:rsidRPr="00AB7D91">
        <w:rPr>
          <w:rFonts w:ascii="Book Antiqua" w:hAnsi="Book Antiqua" w:cstheme="minorBidi"/>
          <w:b/>
          <w:szCs w:val="24"/>
        </w:rPr>
        <w:t>Guidance for LSE Plan development in the next IRP cycle</w:t>
      </w:r>
      <w:r w:rsidRPr="00AB7D91">
        <w:rPr>
          <w:rFonts w:ascii="Book Antiqua" w:hAnsi="Book Antiqua" w:cstheme="minorBidi"/>
          <w:szCs w:val="24"/>
        </w:rPr>
        <w:t xml:space="preserve">: </w:t>
      </w:r>
      <w:r w:rsidR="004731C2" w:rsidRPr="00AB7D91">
        <w:rPr>
          <w:rFonts w:ascii="Book Antiqua" w:hAnsi="Book Antiqua" w:cstheme="minorBidi"/>
          <w:szCs w:val="24"/>
        </w:rPr>
        <w:t xml:space="preserve"> </w:t>
      </w:r>
      <w:r w:rsidRPr="00AB7D91">
        <w:rPr>
          <w:rFonts w:ascii="Book Antiqua" w:hAnsi="Book Antiqua" w:cstheme="minorBidi"/>
          <w:szCs w:val="24"/>
        </w:rPr>
        <w:t>Use the correct methodology and values when calculating the LSE</w:t>
      </w:r>
      <w:r w:rsidR="00D84A09" w:rsidRPr="00AB7D91">
        <w:rPr>
          <w:rFonts w:ascii="Book Antiqua" w:hAnsi="Book Antiqua" w:cstheme="minorBidi"/>
          <w:szCs w:val="24"/>
        </w:rPr>
        <w:noBreakHyphen/>
      </w:r>
      <w:r w:rsidRPr="00AB7D91">
        <w:rPr>
          <w:rFonts w:ascii="Book Antiqua" w:hAnsi="Book Antiqua" w:cstheme="minorBidi"/>
          <w:szCs w:val="24"/>
        </w:rPr>
        <w:t>specific 2030 GHG Benchmark.</w:t>
      </w:r>
    </w:p>
    <w:p w14:paraId="6C9F9D3A" w14:textId="77777777" w:rsidR="006F44CB" w:rsidRPr="00AB7D91" w:rsidRDefault="006F44CB" w:rsidP="006F44CB">
      <w:pPr>
        <w:keepNext/>
        <w:keepLines/>
        <w:spacing w:before="240" w:after="120" w:line="276" w:lineRule="auto"/>
        <w:outlineLvl w:val="2"/>
        <w:rPr>
          <w:rFonts w:ascii="Book Antiqua" w:eastAsiaTheme="majorEastAsia" w:hAnsi="Book Antiqua" w:cstheme="majorBidi"/>
          <w:b/>
          <w:sz w:val="28"/>
          <w:szCs w:val="24"/>
        </w:rPr>
      </w:pPr>
      <w:bookmarkStart w:id="101" w:name="_Toc868785"/>
      <w:r w:rsidRPr="00AB7D91">
        <w:rPr>
          <w:rFonts w:ascii="Book Antiqua" w:eastAsiaTheme="majorEastAsia" w:hAnsi="Book Antiqua" w:cstheme="majorBidi"/>
          <w:b/>
          <w:sz w:val="28"/>
          <w:szCs w:val="24"/>
        </w:rPr>
        <w:t>Agera Energy, LLC</w:t>
      </w:r>
      <w:bookmarkEnd w:id="101"/>
    </w:p>
    <w:tbl>
      <w:tblPr>
        <w:tblStyle w:val="TableGrid4"/>
        <w:tblW w:w="0" w:type="auto"/>
        <w:tblLook w:val="04A0" w:firstRow="1" w:lastRow="0" w:firstColumn="1" w:lastColumn="0" w:noHBand="0" w:noVBand="1"/>
      </w:tblPr>
      <w:tblGrid>
        <w:gridCol w:w="2759"/>
        <w:gridCol w:w="6591"/>
      </w:tblGrid>
      <w:tr w:rsidR="006F44CB" w:rsidRPr="006F44CB" w14:paraId="60713682" w14:textId="77777777" w:rsidTr="006F44CB">
        <w:tc>
          <w:tcPr>
            <w:tcW w:w="2759" w:type="dxa"/>
          </w:tcPr>
          <w:p w14:paraId="425FAD63" w14:textId="77777777" w:rsidR="006F44CB" w:rsidRPr="006F44CB" w:rsidRDefault="006F44CB" w:rsidP="00AB7D91">
            <w:pPr>
              <w:spacing w:before="60" w:after="60"/>
              <w:jc w:val="center"/>
              <w:rPr>
                <w:rFonts w:ascii="Book Antiqua" w:hAnsi="Book Antiqua"/>
                <w:b/>
                <w:sz w:val="24"/>
                <w:szCs w:val="24"/>
              </w:rPr>
            </w:pPr>
            <w:r w:rsidRPr="006F44CB">
              <w:rPr>
                <w:rFonts w:ascii="Book Antiqua" w:hAnsi="Book Antiqua"/>
                <w:b/>
                <w:sz w:val="24"/>
                <w:szCs w:val="24"/>
              </w:rPr>
              <w:t>Requirement</w:t>
            </w:r>
          </w:p>
        </w:tc>
        <w:tc>
          <w:tcPr>
            <w:tcW w:w="6591" w:type="dxa"/>
          </w:tcPr>
          <w:p w14:paraId="6B8B776B" w14:textId="77777777" w:rsidR="006F44CB" w:rsidRPr="006F44CB" w:rsidRDefault="006F44CB" w:rsidP="00AB7D91">
            <w:pPr>
              <w:spacing w:before="60" w:after="60"/>
              <w:jc w:val="center"/>
              <w:rPr>
                <w:rFonts w:ascii="Book Antiqua" w:hAnsi="Book Antiqua"/>
                <w:b/>
                <w:sz w:val="24"/>
                <w:szCs w:val="24"/>
              </w:rPr>
            </w:pPr>
            <w:r w:rsidRPr="006F44CB">
              <w:rPr>
                <w:rFonts w:ascii="Book Antiqua" w:hAnsi="Book Antiqua"/>
                <w:b/>
                <w:sz w:val="24"/>
                <w:szCs w:val="24"/>
              </w:rPr>
              <w:t>Assessment</w:t>
            </w:r>
          </w:p>
        </w:tc>
      </w:tr>
      <w:tr w:rsidR="006F44CB" w:rsidRPr="006F44CB" w14:paraId="31CA685D" w14:textId="77777777" w:rsidTr="006F44CB">
        <w:tc>
          <w:tcPr>
            <w:tcW w:w="2759" w:type="dxa"/>
          </w:tcPr>
          <w:p w14:paraId="72451621"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Required Forms</w:t>
            </w:r>
          </w:p>
        </w:tc>
        <w:tc>
          <w:tcPr>
            <w:tcW w:w="6591" w:type="dxa"/>
          </w:tcPr>
          <w:p w14:paraId="5F6EE852"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Agera Energy, LLC (Agera) provided the following required forms:</w:t>
            </w:r>
          </w:p>
          <w:p w14:paraId="3CD38734" w14:textId="77777777" w:rsidR="006F44CB" w:rsidRPr="006F44CB" w:rsidRDefault="006F44CB" w:rsidP="00AB7D91">
            <w:pPr>
              <w:numPr>
                <w:ilvl w:val="0"/>
                <w:numId w:val="17"/>
              </w:numPr>
              <w:spacing w:before="60" w:after="60"/>
              <w:rPr>
                <w:rFonts w:ascii="Book Antiqua" w:hAnsi="Book Antiqua"/>
                <w:sz w:val="24"/>
                <w:szCs w:val="24"/>
              </w:rPr>
            </w:pPr>
            <w:r w:rsidRPr="006F44CB">
              <w:rPr>
                <w:rFonts w:ascii="Book Antiqua" w:hAnsi="Book Antiqua"/>
                <w:sz w:val="24"/>
                <w:szCs w:val="24"/>
              </w:rPr>
              <w:t>CEC Form S1</w:t>
            </w:r>
          </w:p>
          <w:p w14:paraId="19F6A192" w14:textId="77777777" w:rsidR="006F44CB" w:rsidRPr="006F44CB" w:rsidRDefault="006F44CB" w:rsidP="00AB7D91">
            <w:pPr>
              <w:numPr>
                <w:ilvl w:val="0"/>
                <w:numId w:val="17"/>
              </w:numPr>
              <w:spacing w:before="60" w:after="60"/>
              <w:rPr>
                <w:rFonts w:ascii="Book Antiqua" w:hAnsi="Book Antiqua"/>
                <w:color w:val="000000"/>
                <w:sz w:val="24"/>
                <w:szCs w:val="24"/>
              </w:rPr>
            </w:pPr>
            <w:r w:rsidRPr="006F44CB">
              <w:rPr>
                <w:rFonts w:ascii="Book Antiqua" w:hAnsi="Book Antiqua"/>
                <w:color w:val="000000"/>
                <w:sz w:val="24"/>
                <w:szCs w:val="24"/>
              </w:rPr>
              <w:t>CEC Form S2 or EIA Form 861 or EIA Form 861S</w:t>
            </w:r>
          </w:p>
          <w:p w14:paraId="25A1230D" w14:textId="77777777" w:rsidR="006F44CB" w:rsidRPr="006F44CB" w:rsidRDefault="006F44CB" w:rsidP="00AB7D91">
            <w:pPr>
              <w:numPr>
                <w:ilvl w:val="0"/>
                <w:numId w:val="17"/>
              </w:numPr>
              <w:spacing w:before="60" w:after="60"/>
              <w:rPr>
                <w:rFonts w:ascii="Book Antiqua" w:hAnsi="Book Antiqua"/>
                <w:sz w:val="24"/>
                <w:szCs w:val="24"/>
              </w:rPr>
            </w:pPr>
            <w:r w:rsidRPr="006F44CB">
              <w:rPr>
                <w:rFonts w:ascii="Book Antiqua" w:hAnsi="Book Antiqua"/>
                <w:color w:val="000000"/>
                <w:sz w:val="24"/>
                <w:szCs w:val="24"/>
              </w:rPr>
              <w:t>CEC Power Content Report</w:t>
            </w:r>
          </w:p>
        </w:tc>
      </w:tr>
      <w:tr w:rsidR="006F44CB" w:rsidRPr="006F44CB" w14:paraId="086493D0" w14:textId="77777777" w:rsidTr="006F44CB">
        <w:tc>
          <w:tcPr>
            <w:tcW w:w="2759" w:type="dxa"/>
          </w:tcPr>
          <w:p w14:paraId="3D128BEE"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Treatment of Disadvantaged Communities</w:t>
            </w:r>
          </w:p>
        </w:tc>
        <w:tc>
          <w:tcPr>
            <w:tcW w:w="6591" w:type="dxa"/>
          </w:tcPr>
          <w:p w14:paraId="0B8F02A1"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Agera provided an adequate description of treatment of disadvantaged communities in its LSE Plan.</w:t>
            </w:r>
          </w:p>
        </w:tc>
      </w:tr>
      <w:tr w:rsidR="006F44CB" w:rsidRPr="006F44CB" w14:paraId="26E2693E" w14:textId="77777777" w:rsidTr="006F44CB">
        <w:tc>
          <w:tcPr>
            <w:tcW w:w="2759" w:type="dxa"/>
          </w:tcPr>
          <w:p w14:paraId="15874451"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GHG Target Planning</w:t>
            </w:r>
          </w:p>
        </w:tc>
        <w:tc>
          <w:tcPr>
            <w:tcW w:w="6591" w:type="dxa"/>
          </w:tcPr>
          <w:p w14:paraId="0154A249"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Agera calculated its LSE</w:t>
            </w:r>
            <w:r w:rsidR="00D84A09">
              <w:rPr>
                <w:rFonts w:ascii="Book Antiqua" w:hAnsi="Book Antiqua"/>
                <w:sz w:val="24"/>
                <w:szCs w:val="24"/>
              </w:rPr>
              <w:noBreakHyphen/>
            </w:r>
            <w:r w:rsidRPr="006F44CB">
              <w:rPr>
                <w:rFonts w:ascii="Book Antiqua" w:hAnsi="Book Antiqua"/>
                <w:sz w:val="24"/>
                <w:szCs w:val="24"/>
              </w:rPr>
              <w:t>specific GHG Benchmark using the correct methodology.</w:t>
            </w:r>
          </w:p>
        </w:tc>
      </w:tr>
      <w:tr w:rsidR="006F44CB" w:rsidRPr="006F44CB" w14:paraId="485C5D86" w14:textId="77777777" w:rsidTr="006F44CB">
        <w:tc>
          <w:tcPr>
            <w:tcW w:w="2759" w:type="dxa"/>
          </w:tcPr>
          <w:p w14:paraId="56EC3522"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 xml:space="preserve">Conforming and </w:t>
            </w:r>
            <w:r w:rsidRPr="006F44CB">
              <w:rPr>
                <w:rFonts w:ascii="Book Antiqua" w:hAnsi="Book Antiqua"/>
                <w:color w:val="000000"/>
                <w:sz w:val="24"/>
                <w:szCs w:val="24"/>
              </w:rPr>
              <w:t xml:space="preserve">Alternative </w:t>
            </w:r>
            <w:r w:rsidRPr="006F44CB">
              <w:rPr>
                <w:rFonts w:ascii="Book Antiqua" w:hAnsi="Book Antiqua"/>
                <w:sz w:val="24"/>
                <w:szCs w:val="24"/>
              </w:rPr>
              <w:t>Portfolios</w:t>
            </w:r>
          </w:p>
        </w:tc>
        <w:tc>
          <w:tcPr>
            <w:tcW w:w="6591" w:type="dxa"/>
          </w:tcPr>
          <w:p w14:paraId="3EBF34E0"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Agera described a Conforming Portfolio, but it did not use or submit the CNS calculator, so it is not possible for staff to verify whether Agera’s portfolio meets its LSE</w:t>
            </w:r>
            <w:r w:rsidR="00D84A09">
              <w:rPr>
                <w:rFonts w:ascii="Book Antiqua" w:hAnsi="Book Antiqua"/>
                <w:sz w:val="24"/>
                <w:szCs w:val="24"/>
              </w:rPr>
              <w:noBreakHyphen/>
            </w:r>
            <w:r w:rsidRPr="006F44CB">
              <w:rPr>
                <w:rFonts w:ascii="Book Antiqua" w:hAnsi="Book Antiqua"/>
                <w:sz w:val="24"/>
                <w:szCs w:val="24"/>
              </w:rPr>
              <w:t>specific GHG Benchmark.</w:t>
            </w:r>
            <w:r w:rsidR="008672C5">
              <w:rPr>
                <w:rFonts w:ascii="Book Antiqua" w:hAnsi="Book Antiqua"/>
                <w:sz w:val="24"/>
                <w:szCs w:val="24"/>
              </w:rPr>
              <w:t xml:space="preserve"> </w:t>
            </w:r>
            <w:r w:rsidRPr="006F44CB">
              <w:rPr>
                <w:rFonts w:ascii="Book Antiqua" w:hAnsi="Book Antiqua"/>
                <w:sz w:val="24"/>
                <w:szCs w:val="24"/>
              </w:rPr>
              <w:t xml:space="preserve"> Agera did not submit an optional Alternative Portfolio.</w:t>
            </w:r>
          </w:p>
        </w:tc>
      </w:tr>
      <w:tr w:rsidR="006F44CB" w:rsidRPr="006F44CB" w14:paraId="21A6BB2A" w14:textId="77777777" w:rsidTr="006F44CB">
        <w:tc>
          <w:tcPr>
            <w:tcW w:w="2759" w:type="dxa"/>
          </w:tcPr>
          <w:p w14:paraId="1A7CC9F4" w14:textId="77777777" w:rsidR="006F44CB" w:rsidRPr="006F44CB" w:rsidRDefault="006F44CB" w:rsidP="00AB7D91">
            <w:pPr>
              <w:spacing w:before="60" w:after="60"/>
              <w:rPr>
                <w:rFonts w:ascii="Book Antiqua" w:hAnsi="Book Antiqua"/>
                <w:sz w:val="24"/>
                <w:szCs w:val="24"/>
              </w:rPr>
            </w:pPr>
            <w:r w:rsidRPr="006F44CB">
              <w:rPr>
                <w:rFonts w:ascii="Book Antiqua" w:hAnsi="Book Antiqua"/>
                <w:color w:val="000000"/>
                <w:sz w:val="24"/>
                <w:szCs w:val="24"/>
              </w:rPr>
              <w:t>Statutory or Administrative Requirements</w:t>
            </w:r>
          </w:p>
        </w:tc>
        <w:tc>
          <w:tcPr>
            <w:tcW w:w="6591" w:type="dxa"/>
          </w:tcPr>
          <w:p w14:paraId="405C5B2D"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 xml:space="preserve">Agera did not speak directly to the following requirements: </w:t>
            </w:r>
          </w:p>
          <w:p w14:paraId="32229667" w14:textId="77777777" w:rsidR="006F44CB" w:rsidRPr="006F44CB" w:rsidRDefault="006F44CB" w:rsidP="00AB7D91">
            <w:pPr>
              <w:numPr>
                <w:ilvl w:val="0"/>
                <w:numId w:val="16"/>
              </w:numPr>
              <w:spacing w:before="60" w:after="60"/>
              <w:rPr>
                <w:rFonts w:ascii="Book Antiqua" w:hAnsi="Book Antiqua"/>
                <w:sz w:val="24"/>
                <w:szCs w:val="24"/>
              </w:rPr>
            </w:pPr>
            <w:r w:rsidRPr="006F44CB">
              <w:rPr>
                <w:rFonts w:ascii="Book Antiqua" w:hAnsi="Book Antiqua"/>
                <w:sz w:val="24"/>
                <w:szCs w:val="24"/>
              </w:rPr>
              <w:t>Serve customers at just and reasonable rates</w:t>
            </w:r>
            <w:r w:rsidR="00E31C6B">
              <w:rPr>
                <w:rFonts w:ascii="Book Antiqua" w:hAnsi="Book Antiqua"/>
                <w:sz w:val="24"/>
                <w:szCs w:val="24"/>
              </w:rPr>
              <w:t>.</w:t>
            </w:r>
          </w:p>
          <w:p w14:paraId="73F0CB13" w14:textId="77777777" w:rsidR="006F44CB" w:rsidRPr="006F44CB" w:rsidRDefault="006F44CB" w:rsidP="00AB7D91">
            <w:pPr>
              <w:numPr>
                <w:ilvl w:val="0"/>
                <w:numId w:val="16"/>
              </w:numPr>
              <w:spacing w:before="60" w:after="60"/>
              <w:rPr>
                <w:rFonts w:ascii="Book Antiqua" w:hAnsi="Book Antiqua"/>
                <w:sz w:val="24"/>
                <w:szCs w:val="24"/>
              </w:rPr>
            </w:pPr>
            <w:r w:rsidRPr="006F44CB">
              <w:rPr>
                <w:rFonts w:ascii="Book Antiqua" w:hAnsi="Book Antiqua"/>
                <w:sz w:val="24"/>
                <w:szCs w:val="24"/>
              </w:rPr>
              <w:t xml:space="preserve">Minimize impacts on </w:t>
            </w:r>
            <w:r w:rsidRPr="006F44CB">
              <w:rPr>
                <w:rFonts w:ascii="Book Antiqua" w:hAnsi="Book Antiqua"/>
                <w:color w:val="000000"/>
                <w:sz w:val="24"/>
                <w:szCs w:val="24"/>
              </w:rPr>
              <w:t>ratepayers’ bills</w:t>
            </w:r>
            <w:r w:rsidRPr="006F44CB">
              <w:rPr>
                <w:rFonts w:ascii="Book Antiqua" w:hAnsi="Book Antiqua"/>
                <w:sz w:val="24"/>
                <w:szCs w:val="24"/>
              </w:rPr>
              <w:t>.</w:t>
            </w:r>
          </w:p>
          <w:p w14:paraId="77AB9A0D" w14:textId="77777777" w:rsidR="006F44CB" w:rsidRPr="006F44CB" w:rsidRDefault="006F44CB" w:rsidP="00AB7D91">
            <w:pPr>
              <w:numPr>
                <w:ilvl w:val="0"/>
                <w:numId w:val="16"/>
              </w:numPr>
              <w:spacing w:before="60" w:after="60"/>
              <w:rPr>
                <w:rFonts w:ascii="Book Antiqua" w:hAnsi="Book Antiqua"/>
                <w:sz w:val="24"/>
                <w:szCs w:val="24"/>
              </w:rPr>
            </w:pPr>
            <w:r w:rsidRPr="006F44CB">
              <w:rPr>
                <w:rFonts w:ascii="Book Antiqua" w:hAnsi="Book Antiqua"/>
                <w:sz w:val="24"/>
                <w:szCs w:val="24"/>
              </w:rPr>
              <w:t>Ensure system and local reliability.</w:t>
            </w:r>
          </w:p>
          <w:p w14:paraId="0D41D232" w14:textId="77777777" w:rsidR="006F44CB" w:rsidRPr="006F44CB" w:rsidRDefault="006F44CB" w:rsidP="00AB7D91">
            <w:pPr>
              <w:numPr>
                <w:ilvl w:val="0"/>
                <w:numId w:val="16"/>
              </w:numPr>
              <w:spacing w:before="60" w:after="60"/>
              <w:rPr>
                <w:rFonts w:ascii="Book Antiqua" w:hAnsi="Book Antiqua"/>
                <w:sz w:val="24"/>
                <w:szCs w:val="24"/>
              </w:rPr>
            </w:pPr>
            <w:r w:rsidRPr="006F44CB">
              <w:rPr>
                <w:rFonts w:ascii="Book Antiqua" w:hAnsi="Book Antiqua"/>
                <w:sz w:val="24"/>
                <w:szCs w:val="24"/>
              </w:rPr>
              <w:t>Strengthen the diversity, sustainability, and resilience of the bulk transmission and distribution systems, and local communities.</w:t>
            </w:r>
          </w:p>
          <w:p w14:paraId="31298A2D" w14:textId="77777777" w:rsidR="006F44CB" w:rsidRPr="006F44CB" w:rsidRDefault="006F44CB" w:rsidP="00AB7D91">
            <w:pPr>
              <w:numPr>
                <w:ilvl w:val="0"/>
                <w:numId w:val="16"/>
              </w:numPr>
              <w:spacing w:before="60" w:after="60"/>
              <w:rPr>
                <w:rFonts w:ascii="Book Antiqua" w:hAnsi="Book Antiqua"/>
                <w:sz w:val="24"/>
                <w:szCs w:val="24"/>
              </w:rPr>
            </w:pPr>
            <w:r w:rsidRPr="006F44CB">
              <w:rPr>
                <w:rFonts w:ascii="Book Antiqua" w:hAnsi="Book Antiqua"/>
                <w:sz w:val="24"/>
                <w:szCs w:val="24"/>
              </w:rPr>
              <w:t>Enhance distribution systems and demand</w:t>
            </w:r>
            <w:r w:rsidR="00D84A09">
              <w:rPr>
                <w:rFonts w:ascii="Book Antiqua" w:hAnsi="Book Antiqua"/>
                <w:sz w:val="24"/>
                <w:szCs w:val="24"/>
              </w:rPr>
              <w:noBreakHyphen/>
            </w:r>
            <w:r w:rsidRPr="006F44CB">
              <w:rPr>
                <w:rFonts w:ascii="Book Antiqua" w:hAnsi="Book Antiqua"/>
                <w:sz w:val="24"/>
                <w:szCs w:val="24"/>
              </w:rPr>
              <w:t>side energy management.</w:t>
            </w:r>
          </w:p>
        </w:tc>
      </w:tr>
      <w:tr w:rsidR="006F44CB" w:rsidRPr="006F44CB" w14:paraId="2054712D" w14:textId="77777777" w:rsidTr="006F44CB">
        <w:tc>
          <w:tcPr>
            <w:tcW w:w="2759" w:type="dxa"/>
          </w:tcPr>
          <w:p w14:paraId="1466F36E" w14:textId="77777777" w:rsidR="006F44CB" w:rsidRPr="006F44CB" w:rsidRDefault="006F44CB" w:rsidP="00AB7D91">
            <w:pPr>
              <w:spacing w:before="60" w:after="60"/>
              <w:rPr>
                <w:rFonts w:ascii="Book Antiqua" w:hAnsi="Book Antiqua"/>
                <w:sz w:val="24"/>
                <w:szCs w:val="24"/>
              </w:rPr>
            </w:pPr>
            <w:r w:rsidRPr="006F44CB">
              <w:rPr>
                <w:rFonts w:ascii="Book Antiqua" w:hAnsi="Book Antiqua"/>
                <w:color w:val="000000"/>
                <w:sz w:val="24"/>
                <w:szCs w:val="24"/>
              </w:rPr>
              <w:t>Action Plan</w:t>
            </w:r>
          </w:p>
        </w:tc>
        <w:tc>
          <w:tcPr>
            <w:tcW w:w="6591" w:type="dxa"/>
          </w:tcPr>
          <w:p w14:paraId="4C958D24"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Agera provided an adequate description of the actions it proposes to take in the next one to three years to implement its plan.</w:t>
            </w:r>
          </w:p>
        </w:tc>
      </w:tr>
      <w:tr w:rsidR="006F44CB" w:rsidRPr="006F44CB" w14:paraId="275FF8F1" w14:textId="77777777" w:rsidTr="006F44CB">
        <w:tc>
          <w:tcPr>
            <w:tcW w:w="2759" w:type="dxa"/>
          </w:tcPr>
          <w:p w14:paraId="62868FAE" w14:textId="77777777" w:rsidR="006F44CB" w:rsidRPr="006F44CB" w:rsidRDefault="006F44CB" w:rsidP="00AB7D91">
            <w:pPr>
              <w:spacing w:before="60" w:after="60"/>
              <w:rPr>
                <w:rFonts w:ascii="Book Antiqua" w:hAnsi="Book Antiqua"/>
                <w:sz w:val="24"/>
                <w:szCs w:val="24"/>
              </w:rPr>
            </w:pPr>
            <w:r w:rsidRPr="006F44CB">
              <w:rPr>
                <w:rFonts w:ascii="Book Antiqua" w:hAnsi="Book Antiqua"/>
                <w:color w:val="000000"/>
                <w:sz w:val="24"/>
                <w:szCs w:val="24"/>
              </w:rPr>
              <w:t>Barriers and Lessons Learned</w:t>
            </w:r>
          </w:p>
        </w:tc>
        <w:tc>
          <w:tcPr>
            <w:tcW w:w="6591" w:type="dxa"/>
          </w:tcPr>
          <w:p w14:paraId="5F42F939" w14:textId="77777777" w:rsidR="006F44CB" w:rsidRPr="006F44CB" w:rsidRDefault="006F44CB" w:rsidP="00AB7D91">
            <w:pPr>
              <w:spacing w:before="60" w:after="60"/>
              <w:rPr>
                <w:rFonts w:ascii="Book Antiqua" w:hAnsi="Book Antiqua"/>
                <w:sz w:val="24"/>
                <w:szCs w:val="24"/>
              </w:rPr>
            </w:pPr>
            <w:r w:rsidRPr="006F44CB">
              <w:rPr>
                <w:rFonts w:ascii="Book Antiqua" w:hAnsi="Book Antiqua"/>
                <w:sz w:val="24"/>
                <w:szCs w:val="24"/>
              </w:rPr>
              <w:t>Agera provided an adequate description of barriers and lessons learned from the IRP cycle.</w:t>
            </w:r>
          </w:p>
        </w:tc>
      </w:tr>
    </w:tbl>
    <w:p w14:paraId="27DE0B58" w14:textId="77777777" w:rsidR="006F44CB" w:rsidRPr="00F501CF" w:rsidRDefault="006F44CB" w:rsidP="00F501CF">
      <w:pPr>
        <w:keepNext/>
        <w:keepLines/>
        <w:spacing w:before="240" w:after="120" w:line="276" w:lineRule="auto"/>
        <w:outlineLvl w:val="3"/>
        <w:rPr>
          <w:rFonts w:ascii="Book Antiqua" w:eastAsiaTheme="majorEastAsia" w:hAnsi="Book Antiqua" w:cstheme="majorBidi"/>
          <w:b/>
          <w:i/>
          <w:iCs/>
          <w:szCs w:val="24"/>
        </w:rPr>
      </w:pPr>
      <w:r w:rsidRPr="00F501CF">
        <w:rPr>
          <w:rFonts w:ascii="Book Antiqua" w:eastAsiaTheme="majorEastAsia" w:hAnsi="Book Antiqua" w:cstheme="majorBidi"/>
          <w:b/>
          <w:i/>
          <w:iCs/>
          <w:szCs w:val="24"/>
        </w:rPr>
        <w:t>Next Steps for Agera</w:t>
      </w:r>
    </w:p>
    <w:p w14:paraId="0C6607FD" w14:textId="77777777" w:rsidR="006F44CB" w:rsidRPr="00F501CF" w:rsidRDefault="006F44CB" w:rsidP="006F44CB">
      <w:pPr>
        <w:spacing w:after="200" w:line="276" w:lineRule="auto"/>
        <w:rPr>
          <w:rFonts w:ascii="Book Antiqua" w:hAnsi="Book Antiqua" w:cstheme="minorBidi"/>
          <w:szCs w:val="24"/>
        </w:rPr>
      </w:pPr>
      <w:r w:rsidRPr="00F501CF">
        <w:rPr>
          <w:rFonts w:ascii="Book Antiqua" w:hAnsi="Book Antiqua" w:cstheme="minorBidi"/>
          <w:b/>
          <w:szCs w:val="24"/>
        </w:rPr>
        <w:t>Action required in this IRP 2017</w:t>
      </w:r>
      <w:r w:rsidR="00D84A09" w:rsidRPr="00F501CF">
        <w:rPr>
          <w:rFonts w:ascii="Book Antiqua" w:hAnsi="Book Antiqua" w:cstheme="minorBidi"/>
          <w:b/>
          <w:szCs w:val="24"/>
        </w:rPr>
        <w:noBreakHyphen/>
      </w:r>
      <w:r w:rsidRPr="00F501CF">
        <w:rPr>
          <w:rFonts w:ascii="Book Antiqua" w:hAnsi="Book Antiqua" w:cstheme="minorBidi"/>
          <w:b/>
          <w:szCs w:val="24"/>
        </w:rPr>
        <w:t>18 cycle</w:t>
      </w:r>
      <w:r w:rsidRPr="00F501CF">
        <w:rPr>
          <w:rFonts w:ascii="Book Antiqua" w:hAnsi="Book Antiqua" w:cstheme="minorBidi"/>
          <w:szCs w:val="24"/>
        </w:rPr>
        <w:t xml:space="preserve">: </w:t>
      </w:r>
      <w:r w:rsidR="004731C2" w:rsidRPr="00F501CF">
        <w:rPr>
          <w:rFonts w:ascii="Book Antiqua" w:hAnsi="Book Antiqua" w:cstheme="minorBidi"/>
          <w:szCs w:val="24"/>
        </w:rPr>
        <w:t xml:space="preserve"> </w:t>
      </w:r>
      <w:r w:rsidRPr="00F501CF">
        <w:rPr>
          <w:rFonts w:ascii="Book Antiqua" w:hAnsi="Book Antiqua" w:cstheme="minorBidi"/>
          <w:szCs w:val="24"/>
        </w:rPr>
        <w:t>None at this time.</w:t>
      </w:r>
    </w:p>
    <w:p w14:paraId="414D204B" w14:textId="77777777" w:rsidR="006F44CB" w:rsidRPr="00F501CF" w:rsidRDefault="006F44CB" w:rsidP="006F44CB">
      <w:pPr>
        <w:spacing w:after="200" w:line="276" w:lineRule="auto"/>
        <w:rPr>
          <w:rFonts w:ascii="Book Antiqua" w:hAnsi="Book Antiqua" w:cstheme="minorBidi"/>
          <w:szCs w:val="24"/>
        </w:rPr>
      </w:pPr>
      <w:r w:rsidRPr="00F501CF">
        <w:rPr>
          <w:rFonts w:ascii="Book Antiqua" w:hAnsi="Book Antiqua" w:cstheme="minorBidi"/>
          <w:b/>
          <w:szCs w:val="24"/>
        </w:rPr>
        <w:t>Guidance for LSE Plan development in the next IRP cycle</w:t>
      </w:r>
      <w:r w:rsidRPr="00F501CF">
        <w:rPr>
          <w:rFonts w:ascii="Book Antiqua" w:hAnsi="Book Antiqua" w:cstheme="minorBidi"/>
          <w:szCs w:val="24"/>
        </w:rPr>
        <w:t>:</w:t>
      </w:r>
    </w:p>
    <w:p w14:paraId="46DCBD9B" w14:textId="77777777" w:rsidR="006F44CB" w:rsidRPr="00F501CF" w:rsidRDefault="006F44CB" w:rsidP="00894BE0">
      <w:pPr>
        <w:numPr>
          <w:ilvl w:val="0"/>
          <w:numId w:val="16"/>
        </w:numPr>
        <w:spacing w:after="200" w:line="276" w:lineRule="auto"/>
        <w:rPr>
          <w:rFonts w:ascii="Book Antiqua" w:hAnsi="Book Antiqua"/>
          <w:szCs w:val="24"/>
        </w:rPr>
      </w:pPr>
      <w:r w:rsidRPr="00F501CF">
        <w:rPr>
          <w:rFonts w:ascii="Book Antiqua" w:hAnsi="Book Antiqua"/>
          <w:szCs w:val="24"/>
        </w:rPr>
        <w:t>Use the correct assigned load forecast when developing the Conforming Portfolio.</w:t>
      </w:r>
    </w:p>
    <w:p w14:paraId="1D62AD6A" w14:textId="77777777" w:rsidR="006F44CB" w:rsidRPr="00F501CF" w:rsidRDefault="006F44CB" w:rsidP="00894BE0">
      <w:pPr>
        <w:numPr>
          <w:ilvl w:val="0"/>
          <w:numId w:val="16"/>
        </w:numPr>
        <w:spacing w:after="200" w:line="276" w:lineRule="auto"/>
        <w:rPr>
          <w:rFonts w:ascii="Book Antiqua" w:hAnsi="Book Antiqua"/>
          <w:szCs w:val="24"/>
        </w:rPr>
      </w:pPr>
      <w:r w:rsidRPr="00F501CF">
        <w:rPr>
          <w:rFonts w:ascii="Book Antiqua" w:hAnsi="Book Antiqua"/>
          <w:szCs w:val="24"/>
        </w:rPr>
        <w:t xml:space="preserve">Use the </w:t>
      </w:r>
      <w:bookmarkStart w:id="102" w:name="_Hlk534985376"/>
      <w:r w:rsidRPr="00F501CF">
        <w:rPr>
          <w:rFonts w:ascii="Book Antiqua" w:hAnsi="Book Antiqua"/>
          <w:szCs w:val="24"/>
        </w:rPr>
        <w:t xml:space="preserve">correct GHG emission accounting methodology </w:t>
      </w:r>
      <w:bookmarkEnd w:id="102"/>
      <w:r w:rsidRPr="00F501CF">
        <w:rPr>
          <w:rFonts w:ascii="Book Antiqua" w:hAnsi="Book Antiqua"/>
          <w:szCs w:val="24"/>
        </w:rPr>
        <w:t>established for the IRP proceeding.</w:t>
      </w:r>
    </w:p>
    <w:p w14:paraId="6DA387A2" w14:textId="77777777" w:rsidR="006F44CB" w:rsidRPr="00F501CF" w:rsidRDefault="006F44CB" w:rsidP="006F44CB">
      <w:pPr>
        <w:keepNext/>
        <w:keepLines/>
        <w:spacing w:before="240" w:after="120" w:line="276" w:lineRule="auto"/>
        <w:outlineLvl w:val="2"/>
        <w:rPr>
          <w:rFonts w:ascii="Book Antiqua" w:eastAsiaTheme="majorEastAsia" w:hAnsi="Book Antiqua" w:cstheme="majorBidi"/>
          <w:b/>
          <w:szCs w:val="24"/>
        </w:rPr>
      </w:pPr>
      <w:bookmarkStart w:id="103" w:name="_Toc868786"/>
      <w:r w:rsidRPr="00F501CF">
        <w:rPr>
          <w:rFonts w:ascii="Book Antiqua" w:eastAsiaTheme="majorEastAsia" w:hAnsi="Book Antiqua" w:cstheme="majorBidi"/>
          <w:b/>
          <w:szCs w:val="24"/>
        </w:rPr>
        <w:t>American PowerNet Management, LP</w:t>
      </w:r>
      <w:bookmarkEnd w:id="103"/>
    </w:p>
    <w:tbl>
      <w:tblPr>
        <w:tblStyle w:val="TableGrid4"/>
        <w:tblW w:w="0" w:type="auto"/>
        <w:tblLook w:val="04A0" w:firstRow="1" w:lastRow="0" w:firstColumn="1" w:lastColumn="0" w:noHBand="0" w:noVBand="1"/>
      </w:tblPr>
      <w:tblGrid>
        <w:gridCol w:w="2759"/>
        <w:gridCol w:w="6591"/>
      </w:tblGrid>
      <w:tr w:rsidR="006F44CB" w:rsidRPr="006F44CB" w14:paraId="2FDD391B" w14:textId="77777777" w:rsidTr="006F44CB">
        <w:tc>
          <w:tcPr>
            <w:tcW w:w="2759" w:type="dxa"/>
          </w:tcPr>
          <w:p w14:paraId="359740AC" w14:textId="77777777" w:rsidR="006F44CB" w:rsidRPr="006F44CB" w:rsidRDefault="006F44CB" w:rsidP="00F501CF">
            <w:pPr>
              <w:spacing w:before="60" w:after="60"/>
              <w:jc w:val="center"/>
              <w:rPr>
                <w:rFonts w:ascii="Book Antiqua" w:hAnsi="Book Antiqua"/>
                <w:b/>
                <w:sz w:val="24"/>
                <w:szCs w:val="24"/>
              </w:rPr>
            </w:pPr>
            <w:r w:rsidRPr="006F44CB">
              <w:rPr>
                <w:rFonts w:ascii="Book Antiqua" w:hAnsi="Book Antiqua"/>
                <w:b/>
                <w:sz w:val="24"/>
                <w:szCs w:val="24"/>
              </w:rPr>
              <w:t>Requirement</w:t>
            </w:r>
          </w:p>
        </w:tc>
        <w:tc>
          <w:tcPr>
            <w:tcW w:w="6591" w:type="dxa"/>
          </w:tcPr>
          <w:p w14:paraId="0698D2D7" w14:textId="77777777" w:rsidR="006F44CB" w:rsidRPr="006F44CB" w:rsidRDefault="006F44CB" w:rsidP="00F501CF">
            <w:pPr>
              <w:spacing w:before="60" w:after="60"/>
              <w:jc w:val="center"/>
              <w:rPr>
                <w:rFonts w:ascii="Book Antiqua" w:hAnsi="Book Antiqua"/>
                <w:b/>
                <w:sz w:val="24"/>
                <w:szCs w:val="24"/>
              </w:rPr>
            </w:pPr>
            <w:r w:rsidRPr="006F44CB">
              <w:rPr>
                <w:rFonts w:ascii="Book Antiqua" w:hAnsi="Book Antiqua"/>
                <w:b/>
                <w:sz w:val="24"/>
                <w:szCs w:val="24"/>
              </w:rPr>
              <w:t>Assessment</w:t>
            </w:r>
          </w:p>
        </w:tc>
      </w:tr>
      <w:tr w:rsidR="006F44CB" w:rsidRPr="006F44CB" w14:paraId="3F2E9B0E" w14:textId="77777777" w:rsidTr="006F44CB">
        <w:tc>
          <w:tcPr>
            <w:tcW w:w="2759" w:type="dxa"/>
          </w:tcPr>
          <w:p w14:paraId="54E480B9"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Required Forms</w:t>
            </w:r>
          </w:p>
        </w:tc>
        <w:tc>
          <w:tcPr>
            <w:tcW w:w="6591" w:type="dxa"/>
          </w:tcPr>
          <w:p w14:paraId="5D2B10B9"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American PowerNet provided the following required forms:</w:t>
            </w:r>
          </w:p>
          <w:p w14:paraId="582D690A" w14:textId="77777777" w:rsidR="006F44CB" w:rsidRPr="006F44CB" w:rsidRDefault="006F44CB" w:rsidP="00F501CF">
            <w:pPr>
              <w:numPr>
                <w:ilvl w:val="0"/>
                <w:numId w:val="17"/>
              </w:numPr>
              <w:spacing w:before="60" w:after="60"/>
              <w:rPr>
                <w:rFonts w:ascii="Book Antiqua" w:hAnsi="Book Antiqua"/>
                <w:sz w:val="24"/>
                <w:szCs w:val="24"/>
              </w:rPr>
            </w:pPr>
            <w:r w:rsidRPr="006F44CB">
              <w:rPr>
                <w:rFonts w:ascii="Book Antiqua" w:hAnsi="Book Antiqua"/>
                <w:sz w:val="24"/>
                <w:szCs w:val="24"/>
              </w:rPr>
              <w:t>CEC Form S1</w:t>
            </w:r>
          </w:p>
          <w:p w14:paraId="61238AAF" w14:textId="77777777" w:rsidR="006F44CB" w:rsidRPr="006F44CB" w:rsidRDefault="006F44CB" w:rsidP="00F501CF">
            <w:pPr>
              <w:numPr>
                <w:ilvl w:val="0"/>
                <w:numId w:val="17"/>
              </w:numPr>
              <w:spacing w:before="60" w:after="60"/>
              <w:rPr>
                <w:rFonts w:ascii="Book Antiqua" w:hAnsi="Book Antiqua"/>
                <w:color w:val="000000"/>
                <w:sz w:val="24"/>
                <w:szCs w:val="24"/>
              </w:rPr>
            </w:pPr>
            <w:r w:rsidRPr="006F44CB">
              <w:rPr>
                <w:rFonts w:ascii="Book Antiqua" w:hAnsi="Book Antiqua"/>
                <w:color w:val="000000"/>
                <w:sz w:val="24"/>
                <w:szCs w:val="24"/>
              </w:rPr>
              <w:t>CEC Form S2 or EIA Form 861 or EIA Form 861S</w:t>
            </w:r>
          </w:p>
          <w:p w14:paraId="2B8C448D" w14:textId="77777777" w:rsidR="006F44CB" w:rsidRPr="006F44CB" w:rsidRDefault="006F44CB" w:rsidP="00F501CF">
            <w:pPr>
              <w:numPr>
                <w:ilvl w:val="0"/>
                <w:numId w:val="17"/>
              </w:numPr>
              <w:spacing w:before="60" w:after="60"/>
              <w:rPr>
                <w:rFonts w:ascii="Book Antiqua" w:hAnsi="Book Antiqua"/>
                <w:sz w:val="24"/>
                <w:szCs w:val="24"/>
              </w:rPr>
            </w:pPr>
            <w:r w:rsidRPr="006F44CB">
              <w:rPr>
                <w:rFonts w:ascii="Book Antiqua" w:hAnsi="Book Antiqua"/>
                <w:color w:val="000000"/>
                <w:sz w:val="24"/>
                <w:szCs w:val="24"/>
              </w:rPr>
              <w:t>CEC Power Content Report</w:t>
            </w:r>
          </w:p>
        </w:tc>
      </w:tr>
      <w:tr w:rsidR="006F44CB" w:rsidRPr="006F44CB" w14:paraId="247380ED" w14:textId="77777777" w:rsidTr="006F44CB">
        <w:tc>
          <w:tcPr>
            <w:tcW w:w="2759" w:type="dxa"/>
          </w:tcPr>
          <w:p w14:paraId="79FF4D03"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Treatment of Disadvantaged Communities</w:t>
            </w:r>
          </w:p>
        </w:tc>
        <w:tc>
          <w:tcPr>
            <w:tcW w:w="6591" w:type="dxa"/>
          </w:tcPr>
          <w:p w14:paraId="523A5FA1"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American PowerNet provided an adequate description of treatment of disadvantaged communities in its LSE Plan.</w:t>
            </w:r>
          </w:p>
        </w:tc>
      </w:tr>
      <w:tr w:rsidR="006F44CB" w:rsidRPr="006F44CB" w14:paraId="20E3580D" w14:textId="77777777" w:rsidTr="006F44CB">
        <w:tc>
          <w:tcPr>
            <w:tcW w:w="2759" w:type="dxa"/>
          </w:tcPr>
          <w:p w14:paraId="7E25CAFA"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GHG Target Planning</w:t>
            </w:r>
          </w:p>
        </w:tc>
        <w:tc>
          <w:tcPr>
            <w:tcW w:w="6591" w:type="dxa"/>
          </w:tcPr>
          <w:p w14:paraId="0AE8D295"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American PowerNet did not calculate its LSE</w:t>
            </w:r>
            <w:r w:rsidR="00D84A09">
              <w:rPr>
                <w:rFonts w:ascii="Book Antiqua" w:hAnsi="Book Antiqua"/>
                <w:sz w:val="24"/>
                <w:szCs w:val="24"/>
              </w:rPr>
              <w:noBreakHyphen/>
            </w:r>
            <w:r w:rsidRPr="006F44CB">
              <w:rPr>
                <w:rFonts w:ascii="Book Antiqua" w:hAnsi="Book Antiqua"/>
                <w:sz w:val="24"/>
                <w:szCs w:val="24"/>
              </w:rPr>
              <w:t>specific GHG Benchmark, nor did it use the CNS Calculator.</w:t>
            </w:r>
          </w:p>
        </w:tc>
      </w:tr>
      <w:tr w:rsidR="006F44CB" w:rsidRPr="006F44CB" w14:paraId="34C2DD11" w14:textId="77777777" w:rsidTr="006F44CB">
        <w:tc>
          <w:tcPr>
            <w:tcW w:w="2759" w:type="dxa"/>
          </w:tcPr>
          <w:p w14:paraId="4CB5ADDC"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Conforming and </w:t>
            </w:r>
            <w:r w:rsidRPr="006F44CB">
              <w:rPr>
                <w:rFonts w:ascii="Book Antiqua" w:hAnsi="Book Antiqua"/>
                <w:color w:val="000000"/>
                <w:sz w:val="24"/>
                <w:szCs w:val="24"/>
              </w:rPr>
              <w:t xml:space="preserve">Alternative </w:t>
            </w:r>
            <w:r w:rsidRPr="006F44CB">
              <w:rPr>
                <w:rFonts w:ascii="Book Antiqua" w:hAnsi="Book Antiqua"/>
                <w:sz w:val="24"/>
                <w:szCs w:val="24"/>
              </w:rPr>
              <w:t>Portfolios</w:t>
            </w:r>
          </w:p>
        </w:tc>
        <w:tc>
          <w:tcPr>
            <w:tcW w:w="6591" w:type="dxa"/>
          </w:tcPr>
          <w:p w14:paraId="70DBA12B"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American PowerNet did not provide a Conforming or Alternative Portfolio.</w:t>
            </w:r>
          </w:p>
        </w:tc>
      </w:tr>
      <w:tr w:rsidR="006F44CB" w:rsidRPr="006F44CB" w14:paraId="09A8B8A2" w14:textId="77777777" w:rsidTr="006F44CB">
        <w:tc>
          <w:tcPr>
            <w:tcW w:w="2759" w:type="dxa"/>
          </w:tcPr>
          <w:p w14:paraId="32A7A520" w14:textId="77777777" w:rsidR="006F44CB" w:rsidRPr="006F44CB" w:rsidRDefault="006F44CB" w:rsidP="00F501CF">
            <w:pPr>
              <w:spacing w:before="60" w:after="60"/>
              <w:rPr>
                <w:rFonts w:ascii="Book Antiqua" w:hAnsi="Book Antiqua"/>
                <w:sz w:val="24"/>
                <w:szCs w:val="24"/>
              </w:rPr>
            </w:pPr>
            <w:r w:rsidRPr="006F44CB">
              <w:rPr>
                <w:rFonts w:ascii="Book Antiqua" w:hAnsi="Book Antiqua"/>
                <w:color w:val="000000"/>
                <w:sz w:val="24"/>
                <w:szCs w:val="24"/>
              </w:rPr>
              <w:t>Statutory or Administrative Requirements</w:t>
            </w:r>
          </w:p>
        </w:tc>
        <w:tc>
          <w:tcPr>
            <w:tcW w:w="6591" w:type="dxa"/>
          </w:tcPr>
          <w:p w14:paraId="64768F32"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American PowerNet did not speak directly to the following requirements: </w:t>
            </w:r>
          </w:p>
          <w:p w14:paraId="33605173"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sz w:val="24"/>
                <w:szCs w:val="24"/>
              </w:rPr>
              <w:t>50% RPS by 2030.</w:t>
            </w:r>
          </w:p>
          <w:p w14:paraId="11216BEB"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sz w:val="24"/>
                <w:szCs w:val="24"/>
              </w:rPr>
              <w:t>Serve customers at just and reasonable rates</w:t>
            </w:r>
          </w:p>
          <w:p w14:paraId="4A35C041"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sz w:val="24"/>
                <w:szCs w:val="24"/>
              </w:rPr>
              <w:t xml:space="preserve">Minimize impacts on </w:t>
            </w:r>
            <w:r w:rsidRPr="006F44CB">
              <w:rPr>
                <w:rFonts w:ascii="Book Antiqua" w:hAnsi="Book Antiqua"/>
                <w:color w:val="000000"/>
                <w:sz w:val="24"/>
                <w:szCs w:val="24"/>
              </w:rPr>
              <w:t>ratepayers’ bills</w:t>
            </w:r>
            <w:r w:rsidRPr="006F44CB">
              <w:rPr>
                <w:rFonts w:ascii="Book Antiqua" w:hAnsi="Book Antiqua"/>
                <w:sz w:val="24"/>
                <w:szCs w:val="24"/>
              </w:rPr>
              <w:t>.</w:t>
            </w:r>
          </w:p>
          <w:p w14:paraId="0B1D6C10"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sz w:val="24"/>
                <w:szCs w:val="24"/>
              </w:rPr>
              <w:t>Ensure system and local reliability.</w:t>
            </w:r>
          </w:p>
          <w:p w14:paraId="02C74B40"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sz w:val="24"/>
                <w:szCs w:val="24"/>
              </w:rPr>
              <w:t>Strengthen the diversity, sustainability, and resilience of the bulk transmission and distribution systems, and local communities.</w:t>
            </w:r>
          </w:p>
          <w:p w14:paraId="329E9AE3"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sz w:val="24"/>
                <w:szCs w:val="24"/>
              </w:rPr>
              <w:t>Enhance distribution systems and demand</w:t>
            </w:r>
            <w:r w:rsidR="00D84A09">
              <w:rPr>
                <w:rFonts w:ascii="Book Antiqua" w:hAnsi="Book Antiqua"/>
                <w:sz w:val="24"/>
                <w:szCs w:val="24"/>
              </w:rPr>
              <w:noBreakHyphen/>
            </w:r>
            <w:r w:rsidRPr="006F44CB">
              <w:rPr>
                <w:rFonts w:ascii="Book Antiqua" w:hAnsi="Book Antiqua"/>
                <w:sz w:val="24"/>
                <w:szCs w:val="24"/>
              </w:rPr>
              <w:t>side energy management.</w:t>
            </w:r>
          </w:p>
        </w:tc>
      </w:tr>
      <w:tr w:rsidR="006F44CB" w:rsidRPr="006F44CB" w14:paraId="6DBE397B" w14:textId="77777777" w:rsidTr="006F44CB">
        <w:tc>
          <w:tcPr>
            <w:tcW w:w="2759" w:type="dxa"/>
          </w:tcPr>
          <w:p w14:paraId="28BFD1E1" w14:textId="77777777" w:rsidR="006F44CB" w:rsidRPr="006F44CB" w:rsidRDefault="006F44CB" w:rsidP="000E00E5">
            <w:pPr>
              <w:keepNext/>
              <w:keepLines/>
              <w:spacing w:before="60" w:after="60"/>
              <w:rPr>
                <w:rFonts w:ascii="Book Antiqua" w:hAnsi="Book Antiqua"/>
                <w:sz w:val="24"/>
                <w:szCs w:val="24"/>
              </w:rPr>
            </w:pPr>
            <w:r w:rsidRPr="006F44CB">
              <w:rPr>
                <w:rFonts w:ascii="Book Antiqua" w:hAnsi="Book Antiqua"/>
                <w:color w:val="000000"/>
                <w:sz w:val="24"/>
                <w:szCs w:val="24"/>
              </w:rPr>
              <w:t>Action Plan</w:t>
            </w:r>
          </w:p>
        </w:tc>
        <w:tc>
          <w:tcPr>
            <w:tcW w:w="6591" w:type="dxa"/>
          </w:tcPr>
          <w:p w14:paraId="61E372F6" w14:textId="77777777" w:rsidR="006F44CB" w:rsidRPr="006F44CB" w:rsidRDefault="006F44CB" w:rsidP="000E00E5">
            <w:pPr>
              <w:keepNext/>
              <w:keepLines/>
              <w:spacing w:before="60" w:after="60"/>
              <w:rPr>
                <w:rFonts w:ascii="Book Antiqua" w:hAnsi="Book Antiqua"/>
                <w:sz w:val="24"/>
                <w:szCs w:val="24"/>
              </w:rPr>
            </w:pPr>
            <w:r w:rsidRPr="006F44CB">
              <w:rPr>
                <w:rFonts w:ascii="Book Antiqua" w:hAnsi="Book Antiqua"/>
                <w:sz w:val="24"/>
                <w:szCs w:val="24"/>
              </w:rPr>
              <w:t>American PowerNet provided an adequate description of the actions it proposes to take in the next one to three years to implement its plan.</w:t>
            </w:r>
          </w:p>
        </w:tc>
      </w:tr>
      <w:tr w:rsidR="006F44CB" w:rsidRPr="006F44CB" w14:paraId="0C1F8B14" w14:textId="77777777" w:rsidTr="006F44CB">
        <w:tc>
          <w:tcPr>
            <w:tcW w:w="2759" w:type="dxa"/>
          </w:tcPr>
          <w:p w14:paraId="35B01606" w14:textId="77777777" w:rsidR="006F44CB" w:rsidRPr="006F44CB" w:rsidRDefault="006F44CB" w:rsidP="000E00E5">
            <w:pPr>
              <w:keepNext/>
              <w:keepLines/>
              <w:spacing w:before="60" w:after="60"/>
              <w:rPr>
                <w:rFonts w:ascii="Book Antiqua" w:hAnsi="Book Antiqua"/>
                <w:sz w:val="24"/>
                <w:szCs w:val="24"/>
              </w:rPr>
            </w:pPr>
            <w:r w:rsidRPr="006F44CB">
              <w:rPr>
                <w:rFonts w:ascii="Book Antiqua" w:hAnsi="Book Antiqua"/>
                <w:color w:val="000000"/>
                <w:sz w:val="24"/>
                <w:szCs w:val="24"/>
              </w:rPr>
              <w:t>Barriers and Lessons Learned</w:t>
            </w:r>
          </w:p>
        </w:tc>
        <w:tc>
          <w:tcPr>
            <w:tcW w:w="6591" w:type="dxa"/>
          </w:tcPr>
          <w:p w14:paraId="3F49C536" w14:textId="77777777" w:rsidR="006F44CB" w:rsidRPr="006F44CB" w:rsidRDefault="006F44CB" w:rsidP="000E00E5">
            <w:pPr>
              <w:keepNext/>
              <w:keepLines/>
              <w:spacing w:before="60" w:after="60"/>
              <w:rPr>
                <w:rFonts w:ascii="Book Antiqua" w:hAnsi="Book Antiqua"/>
                <w:sz w:val="24"/>
                <w:szCs w:val="24"/>
              </w:rPr>
            </w:pPr>
            <w:r w:rsidRPr="006F44CB">
              <w:rPr>
                <w:rFonts w:ascii="Book Antiqua" w:hAnsi="Book Antiqua"/>
                <w:sz w:val="24"/>
                <w:szCs w:val="24"/>
              </w:rPr>
              <w:t>American PowerNet provided an adequate description of barriers and lessons learned from the IRP cycle.</w:t>
            </w:r>
          </w:p>
        </w:tc>
      </w:tr>
    </w:tbl>
    <w:p w14:paraId="3127254E" w14:textId="77777777" w:rsidR="006F44CB" w:rsidRPr="00F501CF" w:rsidRDefault="006F44CB" w:rsidP="00F501CF">
      <w:pPr>
        <w:keepNext/>
        <w:keepLines/>
        <w:spacing w:before="240" w:after="120" w:line="276" w:lineRule="auto"/>
        <w:outlineLvl w:val="3"/>
        <w:rPr>
          <w:rFonts w:ascii="Book Antiqua" w:eastAsiaTheme="majorEastAsia" w:hAnsi="Book Antiqua" w:cstheme="majorBidi"/>
          <w:b/>
          <w:i/>
          <w:iCs/>
          <w:szCs w:val="24"/>
        </w:rPr>
      </w:pPr>
      <w:r w:rsidRPr="00F501CF">
        <w:rPr>
          <w:rFonts w:ascii="Book Antiqua" w:eastAsiaTheme="majorEastAsia" w:hAnsi="Book Antiqua" w:cstheme="majorBidi"/>
          <w:b/>
          <w:i/>
          <w:iCs/>
          <w:szCs w:val="24"/>
        </w:rPr>
        <w:t>Next Steps for American PowerNet</w:t>
      </w:r>
    </w:p>
    <w:p w14:paraId="45CEED2A" w14:textId="77777777" w:rsidR="006F44CB" w:rsidRPr="00F501CF" w:rsidRDefault="006F44CB" w:rsidP="006F44CB">
      <w:pPr>
        <w:spacing w:after="200" w:line="276" w:lineRule="auto"/>
        <w:rPr>
          <w:rFonts w:ascii="Book Antiqua" w:hAnsi="Book Antiqua" w:cstheme="minorBidi"/>
          <w:szCs w:val="24"/>
        </w:rPr>
      </w:pPr>
      <w:r w:rsidRPr="00F501CF">
        <w:rPr>
          <w:rFonts w:ascii="Book Antiqua" w:hAnsi="Book Antiqua" w:cstheme="minorBidi"/>
          <w:b/>
          <w:szCs w:val="24"/>
        </w:rPr>
        <w:t>Action required in this IRP 2017</w:t>
      </w:r>
      <w:r w:rsidR="00D84A09" w:rsidRPr="00F501CF">
        <w:rPr>
          <w:rFonts w:ascii="Book Antiqua" w:hAnsi="Book Antiqua" w:cstheme="minorBidi"/>
          <w:b/>
          <w:szCs w:val="24"/>
        </w:rPr>
        <w:noBreakHyphen/>
      </w:r>
      <w:r w:rsidRPr="00F501CF">
        <w:rPr>
          <w:rFonts w:ascii="Book Antiqua" w:hAnsi="Book Antiqua" w:cstheme="minorBidi"/>
          <w:b/>
          <w:szCs w:val="24"/>
        </w:rPr>
        <w:t>18 cycle</w:t>
      </w:r>
      <w:r w:rsidRPr="00F501CF">
        <w:rPr>
          <w:rFonts w:ascii="Book Antiqua" w:hAnsi="Book Antiqua" w:cstheme="minorBidi"/>
          <w:szCs w:val="24"/>
        </w:rPr>
        <w:t xml:space="preserve">: </w:t>
      </w:r>
      <w:r w:rsidR="004731C2" w:rsidRPr="00F501CF">
        <w:rPr>
          <w:rFonts w:ascii="Book Antiqua" w:hAnsi="Book Antiqua" w:cstheme="minorBidi"/>
          <w:szCs w:val="24"/>
        </w:rPr>
        <w:t xml:space="preserve"> </w:t>
      </w:r>
      <w:r w:rsidRPr="00F501CF">
        <w:rPr>
          <w:rFonts w:ascii="Book Antiqua" w:hAnsi="Book Antiqua" w:cstheme="minorBidi"/>
          <w:szCs w:val="24"/>
        </w:rPr>
        <w:t>None at this time.</w:t>
      </w:r>
    </w:p>
    <w:p w14:paraId="2E6D3734" w14:textId="77777777" w:rsidR="006F44CB" w:rsidRPr="00F501CF" w:rsidRDefault="006F44CB" w:rsidP="006F44CB">
      <w:pPr>
        <w:spacing w:after="200" w:line="276" w:lineRule="auto"/>
        <w:rPr>
          <w:rFonts w:ascii="Book Antiqua" w:hAnsi="Book Antiqua" w:cstheme="minorBidi"/>
          <w:szCs w:val="24"/>
        </w:rPr>
      </w:pPr>
      <w:r w:rsidRPr="00F501CF">
        <w:rPr>
          <w:rFonts w:ascii="Book Antiqua" w:hAnsi="Book Antiqua" w:cstheme="minorBidi"/>
          <w:b/>
          <w:szCs w:val="24"/>
        </w:rPr>
        <w:t>Guidance for LSE Plan development in the next IRP cycle</w:t>
      </w:r>
      <w:r w:rsidRPr="00F501CF">
        <w:rPr>
          <w:rFonts w:ascii="Book Antiqua" w:hAnsi="Book Antiqua" w:cstheme="minorBidi"/>
          <w:szCs w:val="24"/>
        </w:rPr>
        <w:t>:</w:t>
      </w:r>
    </w:p>
    <w:p w14:paraId="2EEBA2A7" w14:textId="77777777" w:rsidR="006F44CB" w:rsidRPr="00F501CF" w:rsidRDefault="006F44CB" w:rsidP="00894BE0">
      <w:pPr>
        <w:numPr>
          <w:ilvl w:val="0"/>
          <w:numId w:val="16"/>
        </w:numPr>
        <w:spacing w:after="200" w:line="276" w:lineRule="auto"/>
        <w:rPr>
          <w:rFonts w:ascii="Book Antiqua" w:hAnsi="Book Antiqua"/>
          <w:szCs w:val="24"/>
        </w:rPr>
      </w:pPr>
      <w:r w:rsidRPr="00F501CF">
        <w:rPr>
          <w:rFonts w:ascii="Book Antiqua" w:hAnsi="Book Antiqua"/>
          <w:szCs w:val="24"/>
        </w:rPr>
        <w:t>Provide a resource portfolio that conforms to Commission requirements.</w:t>
      </w:r>
    </w:p>
    <w:p w14:paraId="20CBB590" w14:textId="77777777" w:rsidR="006F44CB" w:rsidRPr="00F501CF" w:rsidRDefault="006F44CB" w:rsidP="00894BE0">
      <w:pPr>
        <w:numPr>
          <w:ilvl w:val="0"/>
          <w:numId w:val="16"/>
        </w:numPr>
        <w:spacing w:after="200" w:line="276" w:lineRule="auto"/>
        <w:rPr>
          <w:rFonts w:ascii="Book Antiqua" w:hAnsi="Book Antiqua"/>
          <w:szCs w:val="24"/>
        </w:rPr>
      </w:pPr>
      <w:r w:rsidRPr="00F501CF">
        <w:rPr>
          <w:rFonts w:ascii="Book Antiqua" w:hAnsi="Book Antiqua"/>
          <w:szCs w:val="24"/>
        </w:rPr>
        <w:t>Use the correct methodology and values when calculating the LSE</w:t>
      </w:r>
      <w:r w:rsidR="00D84A09" w:rsidRPr="00F501CF">
        <w:rPr>
          <w:rFonts w:ascii="Book Antiqua" w:hAnsi="Book Antiqua"/>
          <w:szCs w:val="24"/>
        </w:rPr>
        <w:noBreakHyphen/>
      </w:r>
      <w:r w:rsidRPr="00F501CF">
        <w:rPr>
          <w:rFonts w:ascii="Book Antiqua" w:hAnsi="Book Antiqua"/>
          <w:szCs w:val="24"/>
        </w:rPr>
        <w:t>specific 2030 GHG Benchmark.</w:t>
      </w:r>
    </w:p>
    <w:p w14:paraId="4201276F" w14:textId="77777777" w:rsidR="006F44CB" w:rsidRPr="00F501CF" w:rsidRDefault="006F44CB" w:rsidP="00894BE0">
      <w:pPr>
        <w:numPr>
          <w:ilvl w:val="0"/>
          <w:numId w:val="16"/>
        </w:numPr>
        <w:spacing w:after="200" w:line="276" w:lineRule="auto"/>
        <w:rPr>
          <w:rFonts w:ascii="Book Antiqua" w:hAnsi="Book Antiqua"/>
          <w:szCs w:val="24"/>
        </w:rPr>
      </w:pPr>
      <w:r w:rsidRPr="00F501CF">
        <w:rPr>
          <w:rFonts w:ascii="Book Antiqua" w:hAnsi="Book Antiqua"/>
          <w:szCs w:val="24"/>
        </w:rPr>
        <w:t>Use the correct GHG emission accounting methodology established for the IRP proceeding.</w:t>
      </w:r>
    </w:p>
    <w:p w14:paraId="4152AA29" w14:textId="77777777" w:rsidR="006F44CB" w:rsidRPr="00F501CF" w:rsidRDefault="006F44CB" w:rsidP="006F44CB">
      <w:pPr>
        <w:keepNext/>
        <w:keepLines/>
        <w:spacing w:before="240" w:after="120" w:line="276" w:lineRule="auto"/>
        <w:outlineLvl w:val="2"/>
        <w:rPr>
          <w:rFonts w:ascii="Book Antiqua" w:eastAsiaTheme="majorEastAsia" w:hAnsi="Book Antiqua" w:cstheme="majorBidi"/>
          <w:b/>
          <w:szCs w:val="24"/>
        </w:rPr>
      </w:pPr>
      <w:bookmarkStart w:id="104" w:name="_Toc868787"/>
      <w:r w:rsidRPr="00F501CF">
        <w:rPr>
          <w:rFonts w:ascii="Book Antiqua" w:eastAsiaTheme="majorEastAsia" w:hAnsi="Book Antiqua" w:cstheme="majorBidi"/>
          <w:b/>
          <w:szCs w:val="24"/>
        </w:rPr>
        <w:t>Bear Valley Electric Service</w:t>
      </w:r>
      <w:bookmarkEnd w:id="104"/>
    </w:p>
    <w:tbl>
      <w:tblPr>
        <w:tblStyle w:val="TableGrid4"/>
        <w:tblW w:w="0" w:type="auto"/>
        <w:tblLook w:val="04A0" w:firstRow="1" w:lastRow="0" w:firstColumn="1" w:lastColumn="0" w:noHBand="0" w:noVBand="1"/>
      </w:tblPr>
      <w:tblGrid>
        <w:gridCol w:w="2759"/>
        <w:gridCol w:w="6591"/>
      </w:tblGrid>
      <w:tr w:rsidR="006F44CB" w:rsidRPr="006F44CB" w14:paraId="72EDD787" w14:textId="77777777" w:rsidTr="006F44CB">
        <w:tc>
          <w:tcPr>
            <w:tcW w:w="2759" w:type="dxa"/>
          </w:tcPr>
          <w:p w14:paraId="1B56C2C2" w14:textId="77777777" w:rsidR="006F44CB" w:rsidRPr="006F44CB" w:rsidRDefault="006F44CB" w:rsidP="006F44CB">
            <w:pPr>
              <w:jc w:val="center"/>
              <w:rPr>
                <w:rFonts w:ascii="Book Antiqua" w:hAnsi="Book Antiqua"/>
                <w:b/>
                <w:sz w:val="24"/>
                <w:szCs w:val="24"/>
              </w:rPr>
            </w:pPr>
            <w:r w:rsidRPr="006F44CB">
              <w:rPr>
                <w:rFonts w:ascii="Book Antiqua" w:hAnsi="Book Antiqua"/>
                <w:b/>
                <w:sz w:val="24"/>
                <w:szCs w:val="24"/>
              </w:rPr>
              <w:t>Requirement</w:t>
            </w:r>
          </w:p>
        </w:tc>
        <w:tc>
          <w:tcPr>
            <w:tcW w:w="6591" w:type="dxa"/>
          </w:tcPr>
          <w:p w14:paraId="6A7A5A7A" w14:textId="77777777" w:rsidR="006F44CB" w:rsidRPr="006F44CB" w:rsidRDefault="006F44CB" w:rsidP="006F44CB">
            <w:pPr>
              <w:jc w:val="center"/>
              <w:rPr>
                <w:rFonts w:ascii="Book Antiqua" w:hAnsi="Book Antiqua"/>
                <w:b/>
                <w:sz w:val="24"/>
                <w:szCs w:val="24"/>
              </w:rPr>
            </w:pPr>
            <w:r w:rsidRPr="006F44CB">
              <w:rPr>
                <w:rFonts w:ascii="Book Antiqua" w:hAnsi="Book Antiqua"/>
                <w:b/>
                <w:sz w:val="24"/>
                <w:szCs w:val="24"/>
              </w:rPr>
              <w:t>Assessment</w:t>
            </w:r>
          </w:p>
        </w:tc>
      </w:tr>
      <w:tr w:rsidR="006F44CB" w:rsidRPr="006F44CB" w14:paraId="3001AE92" w14:textId="77777777" w:rsidTr="006F44CB">
        <w:tc>
          <w:tcPr>
            <w:tcW w:w="2759" w:type="dxa"/>
          </w:tcPr>
          <w:p w14:paraId="297254C0" w14:textId="77777777" w:rsidR="006F44CB" w:rsidRPr="006F44CB" w:rsidRDefault="006F44CB" w:rsidP="006F44CB">
            <w:pPr>
              <w:rPr>
                <w:rFonts w:ascii="Book Antiqua" w:hAnsi="Book Antiqua"/>
                <w:sz w:val="24"/>
                <w:szCs w:val="24"/>
              </w:rPr>
            </w:pPr>
            <w:r w:rsidRPr="006F44CB">
              <w:rPr>
                <w:rFonts w:ascii="Book Antiqua" w:hAnsi="Book Antiqua"/>
                <w:sz w:val="24"/>
                <w:szCs w:val="24"/>
              </w:rPr>
              <w:t>Required Forms</w:t>
            </w:r>
          </w:p>
        </w:tc>
        <w:tc>
          <w:tcPr>
            <w:tcW w:w="6591" w:type="dxa"/>
          </w:tcPr>
          <w:p w14:paraId="222A0339" w14:textId="77777777" w:rsidR="006F44CB" w:rsidRPr="006F44CB" w:rsidRDefault="006F44CB" w:rsidP="006F44CB">
            <w:pPr>
              <w:rPr>
                <w:rFonts w:ascii="Book Antiqua" w:hAnsi="Book Antiqua"/>
                <w:sz w:val="24"/>
                <w:szCs w:val="24"/>
              </w:rPr>
            </w:pPr>
            <w:r w:rsidRPr="006F44CB">
              <w:rPr>
                <w:rFonts w:ascii="Book Antiqua" w:hAnsi="Book Antiqua"/>
                <w:sz w:val="24"/>
                <w:szCs w:val="24"/>
              </w:rPr>
              <w:t>Bear Valley Electric Service (BVES) provided the following required forms:</w:t>
            </w:r>
          </w:p>
          <w:p w14:paraId="40CA6165" w14:textId="77777777" w:rsidR="006F44CB" w:rsidRPr="006F44CB" w:rsidRDefault="006F44CB" w:rsidP="00894BE0">
            <w:pPr>
              <w:numPr>
                <w:ilvl w:val="0"/>
                <w:numId w:val="23"/>
              </w:numPr>
              <w:rPr>
                <w:rFonts w:ascii="Book Antiqua" w:hAnsi="Book Antiqua"/>
                <w:sz w:val="24"/>
                <w:szCs w:val="24"/>
              </w:rPr>
            </w:pPr>
            <w:r w:rsidRPr="006F44CB">
              <w:rPr>
                <w:rFonts w:ascii="Book Antiqua" w:hAnsi="Book Antiqua"/>
                <w:sz w:val="24"/>
                <w:szCs w:val="24"/>
              </w:rPr>
              <w:t>CEC Form S1</w:t>
            </w:r>
          </w:p>
          <w:p w14:paraId="2F0748AB" w14:textId="77777777" w:rsidR="006F44CB" w:rsidRPr="006F44CB" w:rsidRDefault="006F44CB" w:rsidP="00894BE0">
            <w:pPr>
              <w:numPr>
                <w:ilvl w:val="0"/>
                <w:numId w:val="23"/>
              </w:numPr>
              <w:rPr>
                <w:rFonts w:ascii="Book Antiqua" w:hAnsi="Book Antiqua"/>
                <w:color w:val="000000"/>
                <w:sz w:val="24"/>
                <w:szCs w:val="24"/>
              </w:rPr>
            </w:pPr>
            <w:r w:rsidRPr="006F44CB">
              <w:rPr>
                <w:rFonts w:ascii="Book Antiqua" w:hAnsi="Book Antiqua"/>
                <w:color w:val="000000"/>
                <w:sz w:val="24"/>
                <w:szCs w:val="24"/>
              </w:rPr>
              <w:t>CEC Form S2 or EIA Form 861 or EIA Form 861S</w:t>
            </w:r>
          </w:p>
          <w:p w14:paraId="457B8DF4" w14:textId="77777777" w:rsidR="006F44CB" w:rsidRPr="006F44CB" w:rsidRDefault="006F44CB" w:rsidP="00894BE0">
            <w:pPr>
              <w:numPr>
                <w:ilvl w:val="0"/>
                <w:numId w:val="23"/>
              </w:numPr>
              <w:rPr>
                <w:rFonts w:ascii="Book Antiqua" w:hAnsi="Book Antiqua"/>
                <w:sz w:val="24"/>
                <w:szCs w:val="24"/>
              </w:rPr>
            </w:pPr>
            <w:r w:rsidRPr="006F44CB">
              <w:rPr>
                <w:rFonts w:ascii="Book Antiqua" w:hAnsi="Book Antiqua"/>
                <w:color w:val="000000"/>
                <w:sz w:val="24"/>
                <w:szCs w:val="24"/>
              </w:rPr>
              <w:t>CEC Power Content Report</w:t>
            </w:r>
          </w:p>
        </w:tc>
      </w:tr>
      <w:tr w:rsidR="006F44CB" w:rsidRPr="006F44CB" w14:paraId="786CE302" w14:textId="77777777" w:rsidTr="006F44CB">
        <w:tc>
          <w:tcPr>
            <w:tcW w:w="2759" w:type="dxa"/>
          </w:tcPr>
          <w:p w14:paraId="4B92E437" w14:textId="77777777" w:rsidR="006F44CB" w:rsidRPr="006F44CB" w:rsidRDefault="006F44CB" w:rsidP="006F44CB">
            <w:pPr>
              <w:rPr>
                <w:rFonts w:ascii="Book Antiqua" w:hAnsi="Book Antiqua"/>
                <w:sz w:val="24"/>
                <w:szCs w:val="24"/>
              </w:rPr>
            </w:pPr>
            <w:r w:rsidRPr="006F44CB">
              <w:rPr>
                <w:rFonts w:ascii="Book Antiqua" w:hAnsi="Book Antiqua"/>
                <w:sz w:val="24"/>
                <w:szCs w:val="24"/>
              </w:rPr>
              <w:t>Treatment of Disadvantaged Communities</w:t>
            </w:r>
          </w:p>
        </w:tc>
        <w:tc>
          <w:tcPr>
            <w:tcW w:w="6591" w:type="dxa"/>
          </w:tcPr>
          <w:p w14:paraId="5D49EF44" w14:textId="77777777" w:rsidR="006F44CB" w:rsidRPr="006F44CB" w:rsidRDefault="006F44CB" w:rsidP="006F44CB">
            <w:pPr>
              <w:rPr>
                <w:rFonts w:ascii="Book Antiqua" w:hAnsi="Book Antiqua"/>
                <w:sz w:val="24"/>
                <w:szCs w:val="24"/>
              </w:rPr>
            </w:pPr>
            <w:r w:rsidRPr="006F44CB">
              <w:rPr>
                <w:rFonts w:ascii="Book Antiqua" w:hAnsi="Book Antiqua"/>
                <w:sz w:val="24"/>
                <w:szCs w:val="24"/>
              </w:rPr>
              <w:t>BVES provided an adequate description of treatment of disadvantaged communities in its LSE Plan.</w:t>
            </w:r>
          </w:p>
        </w:tc>
      </w:tr>
      <w:tr w:rsidR="006F44CB" w:rsidRPr="006F44CB" w14:paraId="4BB8E5FD" w14:textId="77777777" w:rsidTr="006F44CB">
        <w:tc>
          <w:tcPr>
            <w:tcW w:w="2759" w:type="dxa"/>
          </w:tcPr>
          <w:p w14:paraId="044DC5BB" w14:textId="77777777" w:rsidR="006F44CB" w:rsidRPr="006F44CB" w:rsidRDefault="006F44CB" w:rsidP="006F44CB">
            <w:pPr>
              <w:rPr>
                <w:rFonts w:ascii="Book Antiqua" w:hAnsi="Book Antiqua"/>
                <w:sz w:val="24"/>
                <w:szCs w:val="24"/>
              </w:rPr>
            </w:pPr>
            <w:r w:rsidRPr="006F44CB">
              <w:rPr>
                <w:rFonts w:ascii="Book Antiqua" w:hAnsi="Book Antiqua"/>
                <w:sz w:val="24"/>
                <w:szCs w:val="24"/>
              </w:rPr>
              <w:t>GHG Target Planning</w:t>
            </w:r>
          </w:p>
        </w:tc>
        <w:tc>
          <w:tcPr>
            <w:tcW w:w="6591" w:type="dxa"/>
          </w:tcPr>
          <w:p w14:paraId="36A7501B" w14:textId="77777777" w:rsidR="006F44CB" w:rsidRPr="006F44CB" w:rsidRDefault="006F44CB" w:rsidP="006F44CB">
            <w:pPr>
              <w:rPr>
                <w:rFonts w:ascii="Book Antiqua" w:hAnsi="Book Antiqua"/>
                <w:sz w:val="24"/>
                <w:szCs w:val="24"/>
              </w:rPr>
            </w:pPr>
            <w:r w:rsidRPr="006F44CB">
              <w:rPr>
                <w:rFonts w:ascii="Book Antiqua" w:hAnsi="Book Antiqua"/>
                <w:sz w:val="24"/>
                <w:szCs w:val="24"/>
              </w:rPr>
              <w:t>BVES did not use or submit the CNS calculator, so it is not possible for staff to verify whether BVES’s portfolio meets its LSE</w:t>
            </w:r>
            <w:r w:rsidR="00D84A09">
              <w:rPr>
                <w:rFonts w:ascii="Book Antiqua" w:hAnsi="Book Antiqua"/>
                <w:sz w:val="24"/>
                <w:szCs w:val="24"/>
              </w:rPr>
              <w:noBreakHyphen/>
            </w:r>
            <w:r w:rsidRPr="006F44CB">
              <w:rPr>
                <w:rFonts w:ascii="Book Antiqua" w:hAnsi="Book Antiqua"/>
                <w:sz w:val="24"/>
                <w:szCs w:val="24"/>
              </w:rPr>
              <w:t>specific GHG Benchmark.</w:t>
            </w:r>
            <w:r w:rsidR="008672C5">
              <w:rPr>
                <w:rFonts w:ascii="Book Antiqua" w:hAnsi="Book Antiqua"/>
                <w:sz w:val="24"/>
                <w:szCs w:val="24"/>
              </w:rPr>
              <w:t xml:space="preserve"> </w:t>
            </w:r>
            <w:r w:rsidRPr="006F44CB">
              <w:rPr>
                <w:rFonts w:ascii="Book Antiqua" w:hAnsi="Book Antiqua"/>
                <w:sz w:val="24"/>
                <w:szCs w:val="24"/>
              </w:rPr>
              <w:t xml:space="preserve"> Instead, BVES provided a narrative description and tables explaining how BVES meets the benchmark using a different annual method, which was not approved by the Commission for IRP.</w:t>
            </w:r>
          </w:p>
        </w:tc>
      </w:tr>
      <w:tr w:rsidR="006F44CB" w:rsidRPr="006F44CB" w14:paraId="5F383D76" w14:textId="77777777" w:rsidTr="006F44CB">
        <w:tc>
          <w:tcPr>
            <w:tcW w:w="2759" w:type="dxa"/>
          </w:tcPr>
          <w:p w14:paraId="0F5BEE02" w14:textId="77777777" w:rsidR="006F44CB" w:rsidRPr="006F44CB" w:rsidRDefault="006F44CB" w:rsidP="000E00E5">
            <w:pPr>
              <w:keepNext/>
              <w:keepLines/>
              <w:spacing w:before="60" w:after="60"/>
              <w:rPr>
                <w:rFonts w:ascii="Book Antiqua" w:hAnsi="Book Antiqua"/>
                <w:sz w:val="24"/>
                <w:szCs w:val="24"/>
              </w:rPr>
            </w:pPr>
            <w:r w:rsidRPr="006F44CB">
              <w:rPr>
                <w:rFonts w:ascii="Book Antiqua" w:hAnsi="Book Antiqua"/>
                <w:sz w:val="24"/>
                <w:szCs w:val="24"/>
              </w:rPr>
              <w:t xml:space="preserve">Conforming and </w:t>
            </w:r>
            <w:r w:rsidRPr="006F44CB">
              <w:rPr>
                <w:rFonts w:ascii="Book Antiqua" w:hAnsi="Book Antiqua"/>
                <w:color w:val="000000"/>
                <w:sz w:val="24"/>
                <w:szCs w:val="24"/>
              </w:rPr>
              <w:t xml:space="preserve">Alternative </w:t>
            </w:r>
            <w:r w:rsidRPr="006F44CB">
              <w:rPr>
                <w:rFonts w:ascii="Book Antiqua" w:hAnsi="Book Antiqua"/>
                <w:sz w:val="24"/>
                <w:szCs w:val="24"/>
              </w:rPr>
              <w:t>Portfolios</w:t>
            </w:r>
          </w:p>
        </w:tc>
        <w:tc>
          <w:tcPr>
            <w:tcW w:w="6591" w:type="dxa"/>
          </w:tcPr>
          <w:p w14:paraId="54C6870F" w14:textId="77777777" w:rsidR="006F44CB" w:rsidRPr="006F44CB" w:rsidRDefault="006F44CB" w:rsidP="000E00E5">
            <w:pPr>
              <w:keepNext/>
              <w:keepLines/>
              <w:spacing w:before="60" w:after="60"/>
              <w:rPr>
                <w:rFonts w:ascii="Book Antiqua" w:hAnsi="Book Antiqua"/>
                <w:sz w:val="24"/>
                <w:szCs w:val="24"/>
              </w:rPr>
            </w:pPr>
            <w:r w:rsidRPr="006F44CB">
              <w:rPr>
                <w:rFonts w:ascii="Book Antiqua" w:hAnsi="Book Antiqua"/>
                <w:sz w:val="24"/>
                <w:szCs w:val="24"/>
              </w:rPr>
              <w:t xml:space="preserve">BVES’s Conforming Portfolio does not conform to Commission requirements. </w:t>
            </w:r>
            <w:r w:rsidR="008672C5">
              <w:rPr>
                <w:rFonts w:ascii="Book Antiqua" w:hAnsi="Book Antiqua"/>
                <w:sz w:val="24"/>
                <w:szCs w:val="24"/>
              </w:rPr>
              <w:t xml:space="preserve"> </w:t>
            </w:r>
            <w:r w:rsidRPr="006F44CB">
              <w:rPr>
                <w:rFonts w:ascii="Book Antiqua" w:hAnsi="Book Antiqua"/>
                <w:sz w:val="24"/>
                <w:szCs w:val="24"/>
              </w:rPr>
              <w:t xml:space="preserve">The portfolio did not use BVES’s assigned load forecast for IRP; it did not plan out to 2030; and it used inputs and assumptions that differed from those used to develop the 2017 Reference System </w:t>
            </w:r>
            <w:r w:rsidR="00FA2300">
              <w:rPr>
                <w:rFonts w:ascii="Book Antiqua" w:hAnsi="Book Antiqua"/>
                <w:sz w:val="24"/>
                <w:szCs w:val="24"/>
              </w:rPr>
              <w:t>Portfolio</w:t>
            </w:r>
            <w:r w:rsidRPr="006F44CB">
              <w:rPr>
                <w:rFonts w:ascii="Book Antiqua" w:hAnsi="Book Antiqua"/>
                <w:sz w:val="24"/>
                <w:szCs w:val="24"/>
              </w:rPr>
              <w:t xml:space="preserve">. </w:t>
            </w:r>
            <w:r w:rsidR="008672C5">
              <w:rPr>
                <w:rFonts w:ascii="Book Antiqua" w:hAnsi="Book Antiqua"/>
                <w:sz w:val="24"/>
                <w:szCs w:val="24"/>
              </w:rPr>
              <w:t xml:space="preserve"> </w:t>
            </w:r>
            <w:r w:rsidRPr="006F44CB">
              <w:rPr>
                <w:rFonts w:ascii="Book Antiqua" w:hAnsi="Book Antiqua"/>
                <w:sz w:val="24"/>
                <w:szCs w:val="24"/>
              </w:rPr>
              <w:t>BVES did not submit an optional Alternative Portfolio.</w:t>
            </w:r>
          </w:p>
        </w:tc>
      </w:tr>
      <w:tr w:rsidR="006F44CB" w:rsidRPr="006F44CB" w14:paraId="533E5C8C" w14:textId="77777777" w:rsidTr="006F44CB">
        <w:tc>
          <w:tcPr>
            <w:tcW w:w="2759" w:type="dxa"/>
          </w:tcPr>
          <w:p w14:paraId="0B9AD11B" w14:textId="77777777" w:rsidR="006F44CB" w:rsidRPr="006F44CB" w:rsidRDefault="006F44CB" w:rsidP="006F44CB">
            <w:pPr>
              <w:rPr>
                <w:rFonts w:ascii="Book Antiqua" w:hAnsi="Book Antiqua"/>
                <w:sz w:val="24"/>
                <w:szCs w:val="24"/>
              </w:rPr>
            </w:pPr>
            <w:r w:rsidRPr="006F44CB">
              <w:rPr>
                <w:rFonts w:ascii="Book Antiqua" w:hAnsi="Book Antiqua"/>
                <w:color w:val="000000"/>
                <w:sz w:val="24"/>
                <w:szCs w:val="24"/>
              </w:rPr>
              <w:t>Statutory or Administrative Requirements</w:t>
            </w:r>
          </w:p>
        </w:tc>
        <w:tc>
          <w:tcPr>
            <w:tcW w:w="6591" w:type="dxa"/>
          </w:tcPr>
          <w:p w14:paraId="4D54A83D" w14:textId="77777777" w:rsidR="006F44CB" w:rsidRPr="006F44CB" w:rsidRDefault="006F44CB" w:rsidP="006F44CB">
            <w:pPr>
              <w:rPr>
                <w:rFonts w:ascii="Book Antiqua" w:hAnsi="Book Antiqua"/>
                <w:sz w:val="24"/>
                <w:szCs w:val="24"/>
              </w:rPr>
            </w:pPr>
            <w:r w:rsidRPr="006F44CB">
              <w:rPr>
                <w:rFonts w:ascii="Book Antiqua" w:hAnsi="Book Antiqua"/>
                <w:sz w:val="24"/>
                <w:szCs w:val="24"/>
              </w:rPr>
              <w:t xml:space="preserve">BVES did not speak directly to the following requirements: </w:t>
            </w:r>
          </w:p>
          <w:p w14:paraId="43C7052D" w14:textId="77777777" w:rsidR="006F44CB" w:rsidRPr="006F44CB" w:rsidRDefault="006F44CB" w:rsidP="00894BE0">
            <w:pPr>
              <w:numPr>
                <w:ilvl w:val="0"/>
                <w:numId w:val="16"/>
              </w:numPr>
              <w:rPr>
                <w:rFonts w:ascii="Book Antiqua" w:hAnsi="Book Antiqua"/>
                <w:sz w:val="24"/>
                <w:szCs w:val="24"/>
              </w:rPr>
            </w:pPr>
            <w:r w:rsidRPr="006F44CB">
              <w:rPr>
                <w:rFonts w:ascii="Book Antiqua" w:hAnsi="Book Antiqua"/>
                <w:sz w:val="24"/>
                <w:szCs w:val="24"/>
              </w:rPr>
              <w:t>50% RPS by 2030.</w:t>
            </w:r>
          </w:p>
          <w:p w14:paraId="451E6118" w14:textId="77777777" w:rsidR="006F44CB" w:rsidRPr="006F44CB" w:rsidRDefault="006F44CB" w:rsidP="00894BE0">
            <w:pPr>
              <w:numPr>
                <w:ilvl w:val="0"/>
                <w:numId w:val="16"/>
              </w:numPr>
              <w:rPr>
                <w:rFonts w:ascii="Book Antiqua" w:hAnsi="Book Antiqua"/>
                <w:sz w:val="24"/>
                <w:szCs w:val="24"/>
              </w:rPr>
            </w:pPr>
            <w:r w:rsidRPr="006F44CB">
              <w:rPr>
                <w:rFonts w:ascii="Book Antiqua" w:hAnsi="Book Antiqua"/>
                <w:sz w:val="24"/>
                <w:szCs w:val="24"/>
              </w:rPr>
              <w:t>Serve customers at just and reasonable rates</w:t>
            </w:r>
          </w:p>
          <w:p w14:paraId="397FB614" w14:textId="77777777" w:rsidR="006F44CB" w:rsidRPr="006F44CB" w:rsidRDefault="006F44CB" w:rsidP="00894BE0">
            <w:pPr>
              <w:numPr>
                <w:ilvl w:val="0"/>
                <w:numId w:val="16"/>
              </w:numPr>
              <w:rPr>
                <w:rFonts w:ascii="Book Antiqua" w:hAnsi="Book Antiqua"/>
                <w:sz w:val="24"/>
                <w:szCs w:val="24"/>
              </w:rPr>
            </w:pPr>
            <w:r w:rsidRPr="006F44CB">
              <w:rPr>
                <w:rFonts w:ascii="Book Antiqua" w:hAnsi="Book Antiqua"/>
                <w:sz w:val="24"/>
                <w:szCs w:val="24"/>
              </w:rPr>
              <w:t xml:space="preserve">Minimize impacts on </w:t>
            </w:r>
            <w:r w:rsidRPr="006F44CB">
              <w:rPr>
                <w:rFonts w:ascii="Book Antiqua" w:hAnsi="Book Antiqua"/>
                <w:color w:val="000000"/>
                <w:sz w:val="24"/>
                <w:szCs w:val="24"/>
              </w:rPr>
              <w:t>ratepayers’ bills</w:t>
            </w:r>
            <w:r w:rsidRPr="006F44CB">
              <w:rPr>
                <w:rFonts w:ascii="Book Antiqua" w:hAnsi="Book Antiqua"/>
                <w:sz w:val="24"/>
                <w:szCs w:val="24"/>
              </w:rPr>
              <w:t>.</w:t>
            </w:r>
          </w:p>
          <w:p w14:paraId="7378E75E" w14:textId="77777777" w:rsidR="006F44CB" w:rsidRPr="006F44CB" w:rsidRDefault="006F44CB" w:rsidP="00894BE0">
            <w:pPr>
              <w:numPr>
                <w:ilvl w:val="0"/>
                <w:numId w:val="16"/>
              </w:numPr>
              <w:rPr>
                <w:rFonts w:ascii="Book Antiqua" w:hAnsi="Book Antiqua"/>
                <w:sz w:val="24"/>
                <w:szCs w:val="24"/>
              </w:rPr>
            </w:pPr>
            <w:r w:rsidRPr="006F44CB">
              <w:rPr>
                <w:rFonts w:ascii="Book Antiqua" w:hAnsi="Book Antiqua"/>
                <w:sz w:val="24"/>
                <w:szCs w:val="24"/>
              </w:rPr>
              <w:t>Ensure system and local reliability.</w:t>
            </w:r>
          </w:p>
          <w:p w14:paraId="0050F3A5" w14:textId="77777777" w:rsidR="006F44CB" w:rsidRPr="006F44CB" w:rsidRDefault="006F44CB" w:rsidP="00894BE0">
            <w:pPr>
              <w:numPr>
                <w:ilvl w:val="0"/>
                <w:numId w:val="16"/>
              </w:numPr>
              <w:rPr>
                <w:rFonts w:ascii="Book Antiqua" w:hAnsi="Book Antiqua"/>
                <w:sz w:val="24"/>
                <w:szCs w:val="24"/>
              </w:rPr>
            </w:pPr>
            <w:r w:rsidRPr="006F44CB">
              <w:rPr>
                <w:rFonts w:ascii="Book Antiqua" w:hAnsi="Book Antiqua"/>
                <w:sz w:val="24"/>
                <w:szCs w:val="24"/>
              </w:rPr>
              <w:t>Strengthen the diversity, sustainability, and resilience of the bulk transmission and distribution systems, and local communities.</w:t>
            </w:r>
          </w:p>
          <w:p w14:paraId="3C9FA309" w14:textId="77777777" w:rsidR="006F44CB" w:rsidRPr="006F44CB" w:rsidRDefault="006F44CB" w:rsidP="00894BE0">
            <w:pPr>
              <w:numPr>
                <w:ilvl w:val="0"/>
                <w:numId w:val="16"/>
              </w:numPr>
              <w:rPr>
                <w:rFonts w:ascii="Book Antiqua" w:hAnsi="Book Antiqua"/>
                <w:sz w:val="24"/>
                <w:szCs w:val="24"/>
              </w:rPr>
            </w:pPr>
            <w:r w:rsidRPr="006F44CB">
              <w:rPr>
                <w:rFonts w:ascii="Book Antiqua" w:hAnsi="Book Antiqua"/>
                <w:sz w:val="24"/>
                <w:szCs w:val="24"/>
              </w:rPr>
              <w:t>Enhance distribution systems and demand</w:t>
            </w:r>
            <w:r w:rsidR="00D84A09">
              <w:rPr>
                <w:rFonts w:ascii="Book Antiqua" w:hAnsi="Book Antiqua"/>
                <w:sz w:val="24"/>
                <w:szCs w:val="24"/>
              </w:rPr>
              <w:noBreakHyphen/>
            </w:r>
            <w:r w:rsidRPr="006F44CB">
              <w:rPr>
                <w:rFonts w:ascii="Book Antiqua" w:hAnsi="Book Antiqua"/>
                <w:sz w:val="24"/>
                <w:szCs w:val="24"/>
              </w:rPr>
              <w:t>side energy management.</w:t>
            </w:r>
          </w:p>
        </w:tc>
      </w:tr>
      <w:tr w:rsidR="006F44CB" w:rsidRPr="006F44CB" w14:paraId="5E39E474" w14:textId="77777777" w:rsidTr="006F44CB">
        <w:tc>
          <w:tcPr>
            <w:tcW w:w="2759" w:type="dxa"/>
          </w:tcPr>
          <w:p w14:paraId="1A714BA4" w14:textId="77777777" w:rsidR="006F44CB" w:rsidRPr="006F44CB" w:rsidRDefault="006F44CB" w:rsidP="006F44CB">
            <w:pPr>
              <w:rPr>
                <w:rFonts w:ascii="Book Antiqua" w:hAnsi="Book Antiqua"/>
                <w:sz w:val="24"/>
                <w:szCs w:val="24"/>
              </w:rPr>
            </w:pPr>
            <w:r w:rsidRPr="006F44CB">
              <w:rPr>
                <w:rFonts w:ascii="Book Antiqua" w:hAnsi="Book Antiqua"/>
                <w:color w:val="000000"/>
                <w:sz w:val="24"/>
                <w:szCs w:val="24"/>
              </w:rPr>
              <w:t>Action Plan</w:t>
            </w:r>
          </w:p>
        </w:tc>
        <w:tc>
          <w:tcPr>
            <w:tcW w:w="6591" w:type="dxa"/>
          </w:tcPr>
          <w:p w14:paraId="076F91D2" w14:textId="77777777" w:rsidR="006F44CB" w:rsidRPr="006F44CB" w:rsidRDefault="006F44CB" w:rsidP="006F44CB">
            <w:pPr>
              <w:rPr>
                <w:rFonts w:ascii="Book Antiqua" w:hAnsi="Book Antiqua"/>
                <w:sz w:val="24"/>
                <w:szCs w:val="24"/>
              </w:rPr>
            </w:pPr>
            <w:r w:rsidRPr="006F44CB">
              <w:rPr>
                <w:rFonts w:ascii="Book Antiqua" w:hAnsi="Book Antiqua"/>
                <w:sz w:val="24"/>
                <w:szCs w:val="24"/>
              </w:rPr>
              <w:t>BVES did not include a specific “Action Plan” section as required, but it did include detailed information on its procurement plan.</w:t>
            </w:r>
          </w:p>
        </w:tc>
      </w:tr>
      <w:tr w:rsidR="006F44CB" w:rsidRPr="006F44CB" w14:paraId="3AB47723" w14:textId="77777777" w:rsidTr="006F44CB">
        <w:tc>
          <w:tcPr>
            <w:tcW w:w="2759" w:type="dxa"/>
          </w:tcPr>
          <w:p w14:paraId="6DFE14B3" w14:textId="77777777" w:rsidR="006F44CB" w:rsidRPr="006F44CB" w:rsidRDefault="006F44CB" w:rsidP="006F44CB">
            <w:pPr>
              <w:rPr>
                <w:rFonts w:ascii="Book Antiqua" w:hAnsi="Book Antiqua"/>
                <w:sz w:val="24"/>
                <w:szCs w:val="24"/>
              </w:rPr>
            </w:pPr>
            <w:r w:rsidRPr="006F44CB">
              <w:rPr>
                <w:rFonts w:ascii="Book Antiqua" w:hAnsi="Book Antiqua"/>
                <w:color w:val="000000"/>
                <w:sz w:val="24"/>
                <w:szCs w:val="24"/>
              </w:rPr>
              <w:t>Barriers and Lessons Learned</w:t>
            </w:r>
          </w:p>
        </w:tc>
        <w:tc>
          <w:tcPr>
            <w:tcW w:w="6591" w:type="dxa"/>
          </w:tcPr>
          <w:p w14:paraId="476CF9B5" w14:textId="77777777" w:rsidR="006F44CB" w:rsidRPr="006F44CB" w:rsidRDefault="006F44CB" w:rsidP="006F44CB">
            <w:pPr>
              <w:rPr>
                <w:rFonts w:ascii="Book Antiqua" w:hAnsi="Book Antiqua"/>
                <w:sz w:val="24"/>
                <w:szCs w:val="24"/>
              </w:rPr>
            </w:pPr>
            <w:r w:rsidRPr="006F44CB">
              <w:rPr>
                <w:rFonts w:ascii="Book Antiqua" w:hAnsi="Book Antiqua"/>
                <w:sz w:val="24"/>
                <w:szCs w:val="24"/>
              </w:rPr>
              <w:t>BVES provided an adequate description of barriers and lessons learned from the IRP cycle.</w:t>
            </w:r>
          </w:p>
        </w:tc>
      </w:tr>
    </w:tbl>
    <w:p w14:paraId="384B4026" w14:textId="77777777" w:rsidR="006F44CB" w:rsidRPr="00F501CF" w:rsidRDefault="006F44CB" w:rsidP="00F501CF">
      <w:pPr>
        <w:keepNext/>
        <w:keepLines/>
        <w:spacing w:before="240" w:after="120" w:line="276" w:lineRule="auto"/>
        <w:outlineLvl w:val="3"/>
        <w:rPr>
          <w:rFonts w:ascii="Book Antiqua" w:eastAsiaTheme="majorEastAsia" w:hAnsi="Book Antiqua" w:cstheme="majorBidi"/>
          <w:b/>
          <w:i/>
          <w:iCs/>
          <w:szCs w:val="24"/>
        </w:rPr>
      </w:pPr>
      <w:r w:rsidRPr="00F501CF">
        <w:rPr>
          <w:rFonts w:ascii="Book Antiqua" w:eastAsiaTheme="majorEastAsia" w:hAnsi="Book Antiqua" w:cstheme="majorBidi"/>
          <w:b/>
          <w:i/>
          <w:iCs/>
          <w:szCs w:val="24"/>
        </w:rPr>
        <w:t>Next Steps for BVES</w:t>
      </w:r>
    </w:p>
    <w:p w14:paraId="39E8C1C1" w14:textId="77777777" w:rsidR="006F44CB" w:rsidRPr="00F501CF" w:rsidRDefault="006F44CB" w:rsidP="006F44CB">
      <w:pPr>
        <w:spacing w:after="200" w:line="276" w:lineRule="auto"/>
        <w:rPr>
          <w:rFonts w:ascii="Book Antiqua" w:hAnsi="Book Antiqua" w:cstheme="minorBidi"/>
          <w:szCs w:val="24"/>
        </w:rPr>
      </w:pPr>
      <w:r w:rsidRPr="00F501CF">
        <w:rPr>
          <w:rFonts w:ascii="Book Antiqua" w:hAnsi="Book Antiqua" w:cstheme="minorBidi"/>
          <w:b/>
          <w:szCs w:val="24"/>
        </w:rPr>
        <w:t>Action required in this IRP 2017</w:t>
      </w:r>
      <w:r w:rsidR="00D84A09" w:rsidRPr="00F501CF">
        <w:rPr>
          <w:rFonts w:ascii="Book Antiqua" w:hAnsi="Book Antiqua" w:cstheme="minorBidi"/>
          <w:b/>
          <w:szCs w:val="24"/>
        </w:rPr>
        <w:noBreakHyphen/>
      </w:r>
      <w:r w:rsidRPr="00F501CF">
        <w:rPr>
          <w:rFonts w:ascii="Book Antiqua" w:hAnsi="Book Antiqua" w:cstheme="minorBidi"/>
          <w:b/>
          <w:szCs w:val="24"/>
        </w:rPr>
        <w:t>18 cycle</w:t>
      </w:r>
      <w:r w:rsidRPr="00F501CF">
        <w:rPr>
          <w:rFonts w:ascii="Book Antiqua" w:hAnsi="Book Antiqua" w:cstheme="minorBidi"/>
          <w:szCs w:val="24"/>
        </w:rPr>
        <w:t>:</w:t>
      </w:r>
      <w:r w:rsidR="004731C2" w:rsidRPr="00F501CF">
        <w:rPr>
          <w:rFonts w:ascii="Book Antiqua" w:hAnsi="Book Antiqua" w:cstheme="minorBidi"/>
          <w:szCs w:val="24"/>
        </w:rPr>
        <w:t xml:space="preserve"> </w:t>
      </w:r>
      <w:r w:rsidRPr="00F501CF">
        <w:rPr>
          <w:rFonts w:ascii="Book Antiqua" w:hAnsi="Book Antiqua" w:cstheme="minorBidi"/>
          <w:szCs w:val="24"/>
        </w:rPr>
        <w:t xml:space="preserve"> None at this time.</w:t>
      </w:r>
    </w:p>
    <w:p w14:paraId="315DDBAF" w14:textId="77777777" w:rsidR="006F44CB" w:rsidRPr="00F501CF" w:rsidRDefault="006F44CB" w:rsidP="006F44CB">
      <w:pPr>
        <w:spacing w:after="200" w:line="276" w:lineRule="auto"/>
        <w:rPr>
          <w:rFonts w:ascii="Book Antiqua" w:hAnsi="Book Antiqua" w:cstheme="minorBidi"/>
          <w:szCs w:val="24"/>
        </w:rPr>
      </w:pPr>
      <w:r w:rsidRPr="00F501CF">
        <w:rPr>
          <w:rFonts w:ascii="Book Antiqua" w:hAnsi="Book Antiqua" w:cstheme="minorBidi"/>
          <w:b/>
          <w:szCs w:val="24"/>
        </w:rPr>
        <w:t>Guidance for LSE Plan development in the next IRP cycle</w:t>
      </w:r>
      <w:r w:rsidRPr="00F501CF">
        <w:rPr>
          <w:rFonts w:ascii="Book Antiqua" w:hAnsi="Book Antiqua" w:cstheme="minorBidi"/>
          <w:szCs w:val="24"/>
        </w:rPr>
        <w:t>:</w:t>
      </w:r>
    </w:p>
    <w:p w14:paraId="78C1A8DB" w14:textId="77777777" w:rsidR="006F44CB" w:rsidRPr="00F501CF" w:rsidRDefault="006F44CB" w:rsidP="00894BE0">
      <w:pPr>
        <w:numPr>
          <w:ilvl w:val="0"/>
          <w:numId w:val="16"/>
        </w:numPr>
        <w:spacing w:after="200" w:line="276" w:lineRule="auto"/>
        <w:rPr>
          <w:rFonts w:ascii="Book Antiqua" w:hAnsi="Book Antiqua"/>
          <w:szCs w:val="24"/>
        </w:rPr>
      </w:pPr>
      <w:r w:rsidRPr="00F501CF">
        <w:rPr>
          <w:rFonts w:ascii="Book Antiqua" w:hAnsi="Book Antiqua"/>
          <w:szCs w:val="24"/>
        </w:rPr>
        <w:t>Provide a resource portfolio that conforms to Commission requirements.</w:t>
      </w:r>
    </w:p>
    <w:p w14:paraId="3877C30F" w14:textId="77777777" w:rsidR="006F44CB" w:rsidRPr="00F501CF" w:rsidRDefault="006F44CB" w:rsidP="00894BE0">
      <w:pPr>
        <w:numPr>
          <w:ilvl w:val="0"/>
          <w:numId w:val="16"/>
        </w:numPr>
        <w:spacing w:after="200" w:line="276" w:lineRule="auto"/>
        <w:rPr>
          <w:rFonts w:ascii="Book Antiqua" w:hAnsi="Book Antiqua"/>
          <w:szCs w:val="24"/>
        </w:rPr>
      </w:pPr>
      <w:r w:rsidRPr="00F501CF">
        <w:rPr>
          <w:rFonts w:ascii="Book Antiqua" w:hAnsi="Book Antiqua"/>
          <w:szCs w:val="24"/>
        </w:rPr>
        <w:t>Provide an action plan that includes all the actions the LSE proposes to take in the next one to three years to implement its plan.</w:t>
      </w:r>
    </w:p>
    <w:p w14:paraId="6582E6B2" w14:textId="77777777" w:rsidR="006F44CB" w:rsidRPr="00F501CF" w:rsidRDefault="006F44CB" w:rsidP="00894BE0">
      <w:pPr>
        <w:numPr>
          <w:ilvl w:val="0"/>
          <w:numId w:val="16"/>
        </w:numPr>
        <w:spacing w:after="200" w:line="276" w:lineRule="auto"/>
        <w:rPr>
          <w:rFonts w:ascii="Book Antiqua" w:hAnsi="Book Antiqua"/>
          <w:szCs w:val="24"/>
        </w:rPr>
      </w:pPr>
      <w:r w:rsidRPr="00F501CF">
        <w:rPr>
          <w:rFonts w:ascii="Book Antiqua" w:hAnsi="Book Antiqua"/>
          <w:szCs w:val="24"/>
        </w:rPr>
        <w:t>Use the correct GHG emission accounting methodology established for the IRP proceeding.</w:t>
      </w:r>
    </w:p>
    <w:p w14:paraId="69D9291B" w14:textId="77777777" w:rsidR="006F44CB" w:rsidRPr="00F501CF" w:rsidRDefault="006F44CB" w:rsidP="000E00E5">
      <w:pPr>
        <w:keepNext/>
        <w:keepLines/>
        <w:spacing w:before="240" w:after="120" w:line="276" w:lineRule="auto"/>
        <w:outlineLvl w:val="2"/>
        <w:rPr>
          <w:rFonts w:ascii="Book Antiqua" w:eastAsiaTheme="majorEastAsia" w:hAnsi="Book Antiqua" w:cstheme="majorBidi"/>
          <w:b/>
          <w:szCs w:val="24"/>
        </w:rPr>
      </w:pPr>
      <w:bookmarkStart w:id="105" w:name="_Toc868788"/>
      <w:r w:rsidRPr="00F501CF">
        <w:rPr>
          <w:rFonts w:ascii="Book Antiqua" w:eastAsiaTheme="majorEastAsia" w:hAnsi="Book Antiqua" w:cstheme="majorBidi"/>
          <w:b/>
          <w:szCs w:val="24"/>
        </w:rPr>
        <w:t>EDF Industrial Power Services CA, LLC</w:t>
      </w:r>
      <w:bookmarkEnd w:id="105"/>
    </w:p>
    <w:tbl>
      <w:tblPr>
        <w:tblStyle w:val="TableGrid4"/>
        <w:tblW w:w="0" w:type="auto"/>
        <w:tblLook w:val="04A0" w:firstRow="1" w:lastRow="0" w:firstColumn="1" w:lastColumn="0" w:noHBand="0" w:noVBand="1"/>
      </w:tblPr>
      <w:tblGrid>
        <w:gridCol w:w="2759"/>
        <w:gridCol w:w="6591"/>
      </w:tblGrid>
      <w:tr w:rsidR="006F44CB" w:rsidRPr="006F44CB" w14:paraId="7CBC91E1" w14:textId="77777777" w:rsidTr="006F44CB">
        <w:tc>
          <w:tcPr>
            <w:tcW w:w="2759" w:type="dxa"/>
          </w:tcPr>
          <w:p w14:paraId="4B0AE6F8" w14:textId="77777777" w:rsidR="006F44CB" w:rsidRPr="006F44CB" w:rsidRDefault="006F44CB" w:rsidP="000E00E5">
            <w:pPr>
              <w:keepNext/>
              <w:keepLines/>
              <w:spacing w:before="60" w:after="60"/>
              <w:jc w:val="center"/>
              <w:rPr>
                <w:rFonts w:ascii="Book Antiqua" w:hAnsi="Book Antiqua"/>
                <w:b/>
                <w:sz w:val="24"/>
                <w:szCs w:val="24"/>
              </w:rPr>
            </w:pPr>
            <w:r w:rsidRPr="006F44CB">
              <w:rPr>
                <w:rFonts w:ascii="Book Antiqua" w:hAnsi="Book Antiqua"/>
                <w:b/>
                <w:sz w:val="24"/>
                <w:szCs w:val="24"/>
              </w:rPr>
              <w:t>Requirement</w:t>
            </w:r>
          </w:p>
        </w:tc>
        <w:tc>
          <w:tcPr>
            <w:tcW w:w="6591" w:type="dxa"/>
          </w:tcPr>
          <w:p w14:paraId="7C4BA317" w14:textId="77777777" w:rsidR="006F44CB" w:rsidRPr="006F44CB" w:rsidRDefault="006F44CB" w:rsidP="000E00E5">
            <w:pPr>
              <w:keepNext/>
              <w:keepLines/>
              <w:spacing w:before="60" w:after="60"/>
              <w:jc w:val="center"/>
              <w:rPr>
                <w:rFonts w:ascii="Book Antiqua" w:hAnsi="Book Antiqua"/>
                <w:b/>
                <w:sz w:val="24"/>
                <w:szCs w:val="24"/>
              </w:rPr>
            </w:pPr>
            <w:r w:rsidRPr="006F44CB">
              <w:rPr>
                <w:rFonts w:ascii="Book Antiqua" w:hAnsi="Book Antiqua"/>
                <w:b/>
                <w:sz w:val="24"/>
                <w:szCs w:val="24"/>
              </w:rPr>
              <w:t>Assessment</w:t>
            </w:r>
          </w:p>
        </w:tc>
      </w:tr>
      <w:tr w:rsidR="006F44CB" w:rsidRPr="006F44CB" w14:paraId="10BB908E" w14:textId="77777777" w:rsidTr="006F44CB">
        <w:tc>
          <w:tcPr>
            <w:tcW w:w="2759" w:type="dxa"/>
          </w:tcPr>
          <w:p w14:paraId="69354D90" w14:textId="77777777" w:rsidR="006F44CB" w:rsidRPr="006F44CB" w:rsidRDefault="006F44CB" w:rsidP="000E00E5">
            <w:pPr>
              <w:keepNext/>
              <w:keepLines/>
              <w:spacing w:before="60" w:after="60"/>
              <w:rPr>
                <w:rFonts w:ascii="Book Antiqua" w:hAnsi="Book Antiqua"/>
                <w:sz w:val="24"/>
                <w:szCs w:val="24"/>
              </w:rPr>
            </w:pPr>
            <w:r w:rsidRPr="006F44CB">
              <w:rPr>
                <w:rFonts w:ascii="Book Antiqua" w:hAnsi="Book Antiqua"/>
                <w:sz w:val="24"/>
                <w:szCs w:val="24"/>
              </w:rPr>
              <w:t>Required Forms</w:t>
            </w:r>
          </w:p>
        </w:tc>
        <w:tc>
          <w:tcPr>
            <w:tcW w:w="6591" w:type="dxa"/>
          </w:tcPr>
          <w:p w14:paraId="3CED6BA6" w14:textId="77777777" w:rsidR="006F44CB" w:rsidRPr="006F44CB" w:rsidRDefault="006F44CB" w:rsidP="000E00E5">
            <w:pPr>
              <w:keepNext/>
              <w:keepLines/>
              <w:spacing w:before="60" w:after="60"/>
              <w:rPr>
                <w:rFonts w:ascii="Book Antiqua" w:hAnsi="Book Antiqua"/>
                <w:sz w:val="24"/>
                <w:szCs w:val="24"/>
              </w:rPr>
            </w:pPr>
            <w:r w:rsidRPr="006F44CB">
              <w:rPr>
                <w:rFonts w:ascii="Book Antiqua" w:hAnsi="Book Antiqua"/>
                <w:sz w:val="24"/>
                <w:szCs w:val="24"/>
              </w:rPr>
              <w:t>EDF Industrial Power Services CA, LLC (EDF</w:t>
            </w:r>
            <w:r>
              <w:rPr>
                <w:rFonts w:ascii="Book Antiqua" w:hAnsi="Book Antiqua"/>
                <w:sz w:val="24"/>
                <w:szCs w:val="24"/>
              </w:rPr>
              <w:t xml:space="preserve"> Industrial</w:t>
            </w:r>
            <w:r w:rsidRPr="006F44CB">
              <w:rPr>
                <w:rFonts w:ascii="Book Antiqua" w:hAnsi="Book Antiqua"/>
                <w:sz w:val="24"/>
                <w:szCs w:val="24"/>
              </w:rPr>
              <w:t>) provided the following required forms:</w:t>
            </w:r>
          </w:p>
          <w:p w14:paraId="7B478D14" w14:textId="77777777" w:rsidR="006F44CB" w:rsidRPr="006F44CB" w:rsidRDefault="006F44CB" w:rsidP="000E00E5">
            <w:pPr>
              <w:keepNext/>
              <w:keepLines/>
              <w:numPr>
                <w:ilvl w:val="0"/>
                <w:numId w:val="24"/>
              </w:numPr>
              <w:spacing w:before="60" w:after="60"/>
              <w:rPr>
                <w:rFonts w:ascii="Book Antiqua" w:hAnsi="Book Antiqua"/>
                <w:sz w:val="24"/>
                <w:szCs w:val="24"/>
              </w:rPr>
            </w:pPr>
            <w:r w:rsidRPr="006F44CB">
              <w:rPr>
                <w:rFonts w:ascii="Book Antiqua" w:hAnsi="Book Antiqua"/>
                <w:sz w:val="24"/>
                <w:szCs w:val="24"/>
              </w:rPr>
              <w:t>CEC Form S1</w:t>
            </w:r>
          </w:p>
          <w:p w14:paraId="02FC26F0" w14:textId="77777777" w:rsidR="006F44CB" w:rsidRPr="006F44CB" w:rsidRDefault="006F44CB" w:rsidP="000E00E5">
            <w:pPr>
              <w:keepNext/>
              <w:keepLines/>
              <w:numPr>
                <w:ilvl w:val="0"/>
                <w:numId w:val="24"/>
              </w:numPr>
              <w:spacing w:before="60" w:after="60"/>
              <w:rPr>
                <w:rFonts w:ascii="Book Antiqua" w:hAnsi="Book Antiqua"/>
                <w:color w:val="000000"/>
                <w:sz w:val="24"/>
                <w:szCs w:val="24"/>
              </w:rPr>
            </w:pPr>
            <w:r w:rsidRPr="006F44CB">
              <w:rPr>
                <w:rFonts w:ascii="Book Antiqua" w:hAnsi="Book Antiqua"/>
                <w:color w:val="000000"/>
                <w:sz w:val="24"/>
                <w:szCs w:val="24"/>
              </w:rPr>
              <w:t>CEC Form S2 or EIA Form 861 or EIA Form 861S</w:t>
            </w:r>
          </w:p>
          <w:p w14:paraId="1E6E839B" w14:textId="77777777" w:rsidR="006F44CB" w:rsidRPr="006F44CB" w:rsidRDefault="006F44CB" w:rsidP="000E00E5">
            <w:pPr>
              <w:keepNext/>
              <w:keepLines/>
              <w:numPr>
                <w:ilvl w:val="0"/>
                <w:numId w:val="24"/>
              </w:numPr>
              <w:spacing w:before="60" w:after="60"/>
              <w:rPr>
                <w:rFonts w:ascii="Book Antiqua" w:hAnsi="Book Antiqua"/>
                <w:sz w:val="24"/>
                <w:szCs w:val="24"/>
              </w:rPr>
            </w:pPr>
            <w:r w:rsidRPr="006F44CB">
              <w:rPr>
                <w:rFonts w:ascii="Book Antiqua" w:hAnsi="Book Antiqua"/>
                <w:color w:val="000000"/>
                <w:sz w:val="24"/>
                <w:szCs w:val="24"/>
              </w:rPr>
              <w:t>CEC Power Content Report</w:t>
            </w:r>
          </w:p>
        </w:tc>
      </w:tr>
      <w:tr w:rsidR="006F44CB" w:rsidRPr="006F44CB" w14:paraId="4B7D07CB" w14:textId="77777777" w:rsidTr="006F44CB">
        <w:tc>
          <w:tcPr>
            <w:tcW w:w="2759" w:type="dxa"/>
          </w:tcPr>
          <w:p w14:paraId="06A54765"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Treatment of Disadvantaged Communities</w:t>
            </w:r>
          </w:p>
        </w:tc>
        <w:tc>
          <w:tcPr>
            <w:tcW w:w="6591" w:type="dxa"/>
          </w:tcPr>
          <w:p w14:paraId="0DB09CD3"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EDF </w:t>
            </w:r>
            <w:r>
              <w:rPr>
                <w:rFonts w:ascii="Book Antiqua" w:hAnsi="Book Antiqua"/>
                <w:sz w:val="24"/>
                <w:szCs w:val="24"/>
              </w:rPr>
              <w:t xml:space="preserve">Industrial </w:t>
            </w:r>
            <w:r w:rsidRPr="006F44CB">
              <w:rPr>
                <w:rFonts w:ascii="Book Antiqua" w:hAnsi="Book Antiqua"/>
                <w:sz w:val="24"/>
                <w:szCs w:val="24"/>
              </w:rPr>
              <w:t>provided an adequate description of treatment of disadvantaged communities in its LSE Plan.</w:t>
            </w:r>
          </w:p>
        </w:tc>
      </w:tr>
      <w:tr w:rsidR="006F44CB" w:rsidRPr="006F44CB" w14:paraId="20CF6467" w14:textId="77777777" w:rsidTr="006F44CB">
        <w:tc>
          <w:tcPr>
            <w:tcW w:w="2759" w:type="dxa"/>
          </w:tcPr>
          <w:p w14:paraId="16A0D8FB"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GHG Target Planning</w:t>
            </w:r>
          </w:p>
        </w:tc>
        <w:tc>
          <w:tcPr>
            <w:tcW w:w="6591" w:type="dxa"/>
          </w:tcPr>
          <w:p w14:paraId="33B0CDAE"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EDF</w:t>
            </w:r>
            <w:r>
              <w:rPr>
                <w:rFonts w:ascii="Book Antiqua" w:hAnsi="Book Antiqua"/>
                <w:sz w:val="24"/>
                <w:szCs w:val="24"/>
              </w:rPr>
              <w:t xml:space="preserve"> Industrial</w:t>
            </w:r>
            <w:r w:rsidRPr="006F44CB">
              <w:rPr>
                <w:rFonts w:ascii="Book Antiqua" w:hAnsi="Book Antiqua"/>
                <w:sz w:val="24"/>
                <w:szCs w:val="24"/>
              </w:rPr>
              <w:t xml:space="preserve"> did not explain how it calculated its LSE</w:t>
            </w:r>
            <w:r w:rsidR="00D84A09">
              <w:rPr>
                <w:rFonts w:ascii="Book Antiqua" w:hAnsi="Book Antiqua"/>
                <w:sz w:val="24"/>
                <w:szCs w:val="24"/>
              </w:rPr>
              <w:noBreakHyphen/>
            </w:r>
            <w:r w:rsidRPr="006F44CB">
              <w:rPr>
                <w:rFonts w:ascii="Book Antiqua" w:hAnsi="Book Antiqua"/>
                <w:sz w:val="24"/>
                <w:szCs w:val="24"/>
              </w:rPr>
              <w:t>specific 2030 GHG Benchmark, so it is not possible to determine whether it was done correctly.</w:t>
            </w:r>
          </w:p>
        </w:tc>
      </w:tr>
      <w:tr w:rsidR="006F44CB" w:rsidRPr="006F44CB" w14:paraId="721C7D64" w14:textId="77777777" w:rsidTr="006F44CB">
        <w:tc>
          <w:tcPr>
            <w:tcW w:w="2759" w:type="dxa"/>
          </w:tcPr>
          <w:p w14:paraId="4F4B953D"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Conforming and </w:t>
            </w:r>
            <w:r w:rsidRPr="006F44CB">
              <w:rPr>
                <w:rFonts w:ascii="Book Antiqua" w:hAnsi="Book Antiqua"/>
                <w:color w:val="000000"/>
                <w:sz w:val="24"/>
                <w:szCs w:val="24"/>
              </w:rPr>
              <w:t xml:space="preserve">Alternative </w:t>
            </w:r>
            <w:r w:rsidRPr="006F44CB">
              <w:rPr>
                <w:rFonts w:ascii="Book Antiqua" w:hAnsi="Book Antiqua"/>
                <w:sz w:val="24"/>
                <w:szCs w:val="24"/>
              </w:rPr>
              <w:t>Portfolios</w:t>
            </w:r>
          </w:p>
        </w:tc>
        <w:tc>
          <w:tcPr>
            <w:tcW w:w="6591" w:type="dxa"/>
          </w:tcPr>
          <w:p w14:paraId="21A92C7D"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The 2030 emissions associated with EDF</w:t>
            </w:r>
            <w:r>
              <w:rPr>
                <w:rFonts w:ascii="Book Antiqua" w:hAnsi="Book Antiqua"/>
                <w:sz w:val="24"/>
                <w:szCs w:val="24"/>
              </w:rPr>
              <w:t xml:space="preserve"> Industrial</w:t>
            </w:r>
            <w:r w:rsidRPr="006F44CB">
              <w:rPr>
                <w:rFonts w:ascii="Book Antiqua" w:hAnsi="Book Antiqua"/>
                <w:sz w:val="24"/>
                <w:szCs w:val="24"/>
              </w:rPr>
              <w:t xml:space="preserve">’s Conforming Portfolio exceeds its GHG Benchmark by roughly 18%. </w:t>
            </w:r>
            <w:r w:rsidR="008672C5">
              <w:rPr>
                <w:rFonts w:ascii="Book Antiqua" w:hAnsi="Book Antiqua"/>
                <w:sz w:val="24"/>
                <w:szCs w:val="24"/>
              </w:rPr>
              <w:t xml:space="preserve"> </w:t>
            </w:r>
            <w:r w:rsidRPr="006F44CB">
              <w:rPr>
                <w:rFonts w:ascii="Book Antiqua" w:hAnsi="Book Antiqua"/>
                <w:sz w:val="24"/>
                <w:szCs w:val="24"/>
              </w:rPr>
              <w:t xml:space="preserve">However, EDF </w:t>
            </w:r>
            <w:r w:rsidR="00E31C6B">
              <w:rPr>
                <w:rFonts w:ascii="Book Antiqua" w:hAnsi="Book Antiqua"/>
                <w:sz w:val="24"/>
                <w:szCs w:val="24"/>
              </w:rPr>
              <w:t xml:space="preserve">Industrial </w:t>
            </w:r>
            <w:r w:rsidRPr="006F44CB">
              <w:rPr>
                <w:rFonts w:ascii="Book Antiqua" w:hAnsi="Book Antiqua"/>
                <w:sz w:val="24"/>
                <w:szCs w:val="24"/>
              </w:rPr>
              <w:t>provided an “Alt2” portfolio that demonstrates its ability to achieve its GHG Benchmark at a higher cost.</w:t>
            </w:r>
          </w:p>
        </w:tc>
      </w:tr>
      <w:tr w:rsidR="006F44CB" w:rsidRPr="006F44CB" w14:paraId="4EBAFD67" w14:textId="77777777" w:rsidTr="006F44CB">
        <w:tc>
          <w:tcPr>
            <w:tcW w:w="2759" w:type="dxa"/>
          </w:tcPr>
          <w:p w14:paraId="4A035831" w14:textId="77777777" w:rsidR="006F44CB" w:rsidRPr="006F44CB" w:rsidRDefault="006F44CB" w:rsidP="00F501CF">
            <w:pPr>
              <w:spacing w:before="60" w:after="60"/>
              <w:rPr>
                <w:rFonts w:ascii="Book Antiqua" w:hAnsi="Book Antiqua"/>
                <w:sz w:val="24"/>
                <w:szCs w:val="24"/>
              </w:rPr>
            </w:pPr>
            <w:r w:rsidRPr="006F44CB">
              <w:rPr>
                <w:rFonts w:ascii="Book Antiqua" w:hAnsi="Book Antiqua"/>
                <w:color w:val="000000"/>
                <w:sz w:val="24"/>
                <w:szCs w:val="24"/>
              </w:rPr>
              <w:t>Statutory or Administrative Requirements</w:t>
            </w:r>
          </w:p>
        </w:tc>
        <w:tc>
          <w:tcPr>
            <w:tcW w:w="6591" w:type="dxa"/>
          </w:tcPr>
          <w:p w14:paraId="7D5B3B2B"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EDF </w:t>
            </w:r>
            <w:r>
              <w:rPr>
                <w:rFonts w:ascii="Book Antiqua" w:hAnsi="Book Antiqua"/>
                <w:sz w:val="24"/>
                <w:szCs w:val="24"/>
              </w:rPr>
              <w:t xml:space="preserve">Industrial </w:t>
            </w:r>
            <w:r w:rsidRPr="006F44CB">
              <w:rPr>
                <w:rFonts w:ascii="Book Antiqua" w:hAnsi="Book Antiqua"/>
                <w:sz w:val="24"/>
                <w:szCs w:val="24"/>
              </w:rPr>
              <w:t xml:space="preserve">did not speak directly to the following requirements: </w:t>
            </w:r>
          </w:p>
          <w:p w14:paraId="2FF9EBFD"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sz w:val="24"/>
                <w:szCs w:val="24"/>
              </w:rPr>
              <w:t>Serve customers at just and reasonable rates</w:t>
            </w:r>
            <w:r w:rsidR="00E31C6B">
              <w:rPr>
                <w:rFonts w:ascii="Book Antiqua" w:hAnsi="Book Antiqua"/>
                <w:sz w:val="24"/>
                <w:szCs w:val="24"/>
              </w:rPr>
              <w:t>.</w:t>
            </w:r>
          </w:p>
          <w:p w14:paraId="21DF1D0F"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sz w:val="24"/>
                <w:szCs w:val="24"/>
              </w:rPr>
              <w:t xml:space="preserve">Minimize impacts on </w:t>
            </w:r>
            <w:r w:rsidRPr="006F44CB">
              <w:rPr>
                <w:rFonts w:ascii="Book Antiqua" w:hAnsi="Book Antiqua"/>
                <w:color w:val="000000"/>
                <w:sz w:val="24"/>
                <w:szCs w:val="24"/>
              </w:rPr>
              <w:t>ratepayers’ bills</w:t>
            </w:r>
            <w:r w:rsidRPr="006F44CB">
              <w:rPr>
                <w:rFonts w:ascii="Book Antiqua" w:hAnsi="Book Antiqua"/>
                <w:sz w:val="24"/>
                <w:szCs w:val="24"/>
              </w:rPr>
              <w:t>.</w:t>
            </w:r>
          </w:p>
          <w:p w14:paraId="076A7B41"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sz w:val="24"/>
                <w:szCs w:val="24"/>
              </w:rPr>
              <w:t>Ensure system and local reliability.</w:t>
            </w:r>
          </w:p>
          <w:p w14:paraId="1B0725F0"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sz w:val="24"/>
                <w:szCs w:val="24"/>
              </w:rPr>
              <w:t>Strengthen the diversity, sustainability, and resilience of the bulk transmission and distribution systems, and local communities.</w:t>
            </w:r>
          </w:p>
          <w:p w14:paraId="7C4719F0"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sz w:val="24"/>
                <w:szCs w:val="24"/>
              </w:rPr>
              <w:t>Enhance distribution systems and demand</w:t>
            </w:r>
            <w:r w:rsidR="00D84A09">
              <w:rPr>
                <w:rFonts w:ascii="Book Antiqua" w:hAnsi="Book Antiqua"/>
                <w:sz w:val="24"/>
                <w:szCs w:val="24"/>
              </w:rPr>
              <w:noBreakHyphen/>
            </w:r>
            <w:r w:rsidRPr="006F44CB">
              <w:rPr>
                <w:rFonts w:ascii="Book Antiqua" w:hAnsi="Book Antiqua"/>
                <w:sz w:val="24"/>
                <w:szCs w:val="24"/>
              </w:rPr>
              <w:t>side energy management.</w:t>
            </w:r>
          </w:p>
        </w:tc>
      </w:tr>
      <w:tr w:rsidR="006F44CB" w:rsidRPr="006F44CB" w14:paraId="42965B0A" w14:textId="77777777" w:rsidTr="006F44CB">
        <w:tc>
          <w:tcPr>
            <w:tcW w:w="2759" w:type="dxa"/>
          </w:tcPr>
          <w:p w14:paraId="769843F0" w14:textId="77777777" w:rsidR="006F44CB" w:rsidRPr="006F44CB" w:rsidRDefault="006F44CB" w:rsidP="00F501CF">
            <w:pPr>
              <w:spacing w:before="60" w:after="60"/>
              <w:rPr>
                <w:rFonts w:ascii="Book Antiqua" w:hAnsi="Book Antiqua"/>
                <w:sz w:val="24"/>
                <w:szCs w:val="24"/>
              </w:rPr>
            </w:pPr>
            <w:r w:rsidRPr="006F44CB">
              <w:rPr>
                <w:rFonts w:ascii="Book Antiqua" w:hAnsi="Book Antiqua"/>
                <w:color w:val="000000"/>
                <w:sz w:val="24"/>
                <w:szCs w:val="24"/>
              </w:rPr>
              <w:t>Action Plan</w:t>
            </w:r>
          </w:p>
        </w:tc>
        <w:tc>
          <w:tcPr>
            <w:tcW w:w="6591" w:type="dxa"/>
          </w:tcPr>
          <w:p w14:paraId="4A734121"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EDF </w:t>
            </w:r>
            <w:r>
              <w:rPr>
                <w:rFonts w:ascii="Book Antiqua" w:hAnsi="Book Antiqua"/>
                <w:sz w:val="24"/>
                <w:szCs w:val="24"/>
              </w:rPr>
              <w:t xml:space="preserve">Industrial </w:t>
            </w:r>
            <w:r w:rsidRPr="006F44CB">
              <w:rPr>
                <w:rFonts w:ascii="Book Antiqua" w:hAnsi="Book Antiqua"/>
                <w:sz w:val="24"/>
                <w:szCs w:val="24"/>
              </w:rPr>
              <w:t>provided an adequate description of the actions it proposes to take in the next one to three years to implement its plan.</w:t>
            </w:r>
          </w:p>
        </w:tc>
      </w:tr>
      <w:tr w:rsidR="006F44CB" w:rsidRPr="006F44CB" w14:paraId="1CE5426F" w14:textId="77777777" w:rsidTr="006F44CB">
        <w:tc>
          <w:tcPr>
            <w:tcW w:w="2759" w:type="dxa"/>
          </w:tcPr>
          <w:p w14:paraId="1D2F767C" w14:textId="77777777" w:rsidR="006F44CB" w:rsidRPr="006F44CB" w:rsidRDefault="006F44CB" w:rsidP="00F501CF">
            <w:pPr>
              <w:spacing w:before="60" w:after="60"/>
              <w:rPr>
                <w:rFonts w:ascii="Book Antiqua" w:hAnsi="Book Antiqua"/>
                <w:sz w:val="24"/>
                <w:szCs w:val="24"/>
              </w:rPr>
            </w:pPr>
            <w:r w:rsidRPr="006F44CB">
              <w:rPr>
                <w:rFonts w:ascii="Book Antiqua" w:hAnsi="Book Antiqua"/>
                <w:color w:val="000000"/>
                <w:sz w:val="24"/>
                <w:szCs w:val="24"/>
              </w:rPr>
              <w:t>Barriers and Lessons Learned</w:t>
            </w:r>
          </w:p>
        </w:tc>
        <w:tc>
          <w:tcPr>
            <w:tcW w:w="6591" w:type="dxa"/>
          </w:tcPr>
          <w:p w14:paraId="40E14372"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EDF </w:t>
            </w:r>
            <w:r>
              <w:rPr>
                <w:rFonts w:ascii="Book Antiqua" w:hAnsi="Book Antiqua"/>
                <w:sz w:val="24"/>
                <w:szCs w:val="24"/>
              </w:rPr>
              <w:t xml:space="preserve">Industrial </w:t>
            </w:r>
            <w:r w:rsidRPr="006F44CB">
              <w:rPr>
                <w:rFonts w:ascii="Book Antiqua" w:hAnsi="Book Antiqua"/>
                <w:sz w:val="24"/>
                <w:szCs w:val="24"/>
              </w:rPr>
              <w:t>provided an adequate description of barriers and lessons learned from the IRP cycle.</w:t>
            </w:r>
          </w:p>
        </w:tc>
      </w:tr>
    </w:tbl>
    <w:p w14:paraId="223263E2" w14:textId="77777777" w:rsidR="006F44CB" w:rsidRPr="00F501CF" w:rsidRDefault="006F44CB" w:rsidP="00F501CF">
      <w:pPr>
        <w:keepNext/>
        <w:keepLines/>
        <w:spacing w:before="240" w:after="120" w:line="276" w:lineRule="auto"/>
        <w:outlineLvl w:val="3"/>
        <w:rPr>
          <w:rFonts w:ascii="Book Antiqua" w:eastAsiaTheme="majorEastAsia" w:hAnsi="Book Antiqua" w:cstheme="majorBidi"/>
          <w:b/>
          <w:i/>
          <w:iCs/>
          <w:szCs w:val="24"/>
        </w:rPr>
      </w:pPr>
      <w:r w:rsidRPr="00F501CF">
        <w:rPr>
          <w:rFonts w:ascii="Book Antiqua" w:eastAsiaTheme="majorEastAsia" w:hAnsi="Book Antiqua" w:cstheme="majorBidi"/>
          <w:b/>
          <w:i/>
          <w:iCs/>
          <w:szCs w:val="24"/>
        </w:rPr>
        <w:t>Next Steps for EDF Industrial</w:t>
      </w:r>
    </w:p>
    <w:p w14:paraId="022E9A7D" w14:textId="77777777" w:rsidR="006F44CB" w:rsidRPr="00F501CF" w:rsidRDefault="006F44CB" w:rsidP="006F44CB">
      <w:pPr>
        <w:spacing w:after="200" w:line="276" w:lineRule="auto"/>
        <w:rPr>
          <w:rFonts w:ascii="Book Antiqua" w:hAnsi="Book Antiqua" w:cstheme="minorBidi"/>
          <w:szCs w:val="24"/>
        </w:rPr>
      </w:pPr>
      <w:r w:rsidRPr="00F501CF">
        <w:rPr>
          <w:rFonts w:ascii="Book Antiqua" w:hAnsi="Book Antiqua" w:cstheme="minorBidi"/>
          <w:b/>
          <w:szCs w:val="24"/>
        </w:rPr>
        <w:t>Action required in this IRP 2017</w:t>
      </w:r>
      <w:r w:rsidR="00D84A09" w:rsidRPr="00F501CF">
        <w:rPr>
          <w:rFonts w:ascii="Book Antiqua" w:hAnsi="Book Antiqua" w:cstheme="minorBidi"/>
          <w:b/>
          <w:szCs w:val="24"/>
        </w:rPr>
        <w:noBreakHyphen/>
      </w:r>
      <w:r w:rsidRPr="00F501CF">
        <w:rPr>
          <w:rFonts w:ascii="Book Antiqua" w:hAnsi="Book Antiqua" w:cstheme="minorBidi"/>
          <w:b/>
          <w:szCs w:val="24"/>
        </w:rPr>
        <w:t>18 cycle</w:t>
      </w:r>
      <w:r w:rsidRPr="00F501CF">
        <w:rPr>
          <w:rFonts w:ascii="Book Antiqua" w:hAnsi="Book Antiqua" w:cstheme="minorBidi"/>
          <w:szCs w:val="24"/>
        </w:rPr>
        <w:t>:</w:t>
      </w:r>
      <w:r w:rsidR="004731C2" w:rsidRPr="00F501CF">
        <w:rPr>
          <w:rFonts w:ascii="Book Antiqua" w:hAnsi="Book Antiqua" w:cstheme="minorBidi"/>
          <w:szCs w:val="24"/>
        </w:rPr>
        <w:t xml:space="preserve"> </w:t>
      </w:r>
      <w:r w:rsidRPr="00F501CF">
        <w:rPr>
          <w:rFonts w:ascii="Book Antiqua" w:hAnsi="Book Antiqua" w:cstheme="minorBidi"/>
          <w:szCs w:val="24"/>
        </w:rPr>
        <w:t xml:space="preserve"> None at this time.</w:t>
      </w:r>
    </w:p>
    <w:p w14:paraId="50E96887" w14:textId="77777777" w:rsidR="006F44CB" w:rsidRPr="00F501CF" w:rsidRDefault="006F44CB" w:rsidP="006F44CB">
      <w:pPr>
        <w:spacing w:after="200" w:line="276" w:lineRule="auto"/>
        <w:rPr>
          <w:rFonts w:ascii="Book Antiqua" w:hAnsi="Book Antiqua" w:cstheme="minorBidi"/>
          <w:szCs w:val="24"/>
        </w:rPr>
      </w:pPr>
      <w:r w:rsidRPr="00F501CF">
        <w:rPr>
          <w:rFonts w:ascii="Book Antiqua" w:hAnsi="Book Antiqua" w:cstheme="minorBidi"/>
          <w:b/>
          <w:szCs w:val="24"/>
        </w:rPr>
        <w:t>Guidance for LSE Plan development in the next IRP cycle</w:t>
      </w:r>
      <w:r w:rsidRPr="00F501CF">
        <w:rPr>
          <w:rFonts w:ascii="Book Antiqua" w:hAnsi="Book Antiqua" w:cstheme="minorBidi"/>
          <w:szCs w:val="24"/>
        </w:rPr>
        <w:t xml:space="preserve">: </w:t>
      </w:r>
      <w:r w:rsidR="004731C2" w:rsidRPr="00F501CF">
        <w:rPr>
          <w:rFonts w:ascii="Book Antiqua" w:hAnsi="Book Antiqua" w:cstheme="minorBidi"/>
          <w:szCs w:val="24"/>
        </w:rPr>
        <w:t xml:space="preserve"> </w:t>
      </w:r>
      <w:r w:rsidRPr="00F501CF">
        <w:rPr>
          <w:rFonts w:ascii="Book Antiqua" w:hAnsi="Book Antiqua" w:cstheme="minorBidi"/>
          <w:szCs w:val="24"/>
        </w:rPr>
        <w:t>Use the correct methodology and values when calculating the LSE</w:t>
      </w:r>
      <w:r w:rsidR="00D84A09" w:rsidRPr="00F501CF">
        <w:rPr>
          <w:rFonts w:ascii="Book Antiqua" w:hAnsi="Book Antiqua" w:cstheme="minorBidi"/>
          <w:szCs w:val="24"/>
        </w:rPr>
        <w:noBreakHyphen/>
      </w:r>
      <w:r w:rsidRPr="00F501CF">
        <w:rPr>
          <w:rFonts w:ascii="Book Antiqua" w:hAnsi="Book Antiqua" w:cstheme="minorBidi"/>
          <w:szCs w:val="24"/>
        </w:rPr>
        <w:t>specific 2030 GHG Benchmark.</w:t>
      </w:r>
    </w:p>
    <w:p w14:paraId="255BE8F3" w14:textId="77777777" w:rsidR="006F44CB" w:rsidRPr="00F501CF" w:rsidRDefault="006F44CB" w:rsidP="006F44CB">
      <w:pPr>
        <w:keepNext/>
        <w:keepLines/>
        <w:spacing w:before="240" w:after="120" w:line="276" w:lineRule="auto"/>
        <w:outlineLvl w:val="2"/>
        <w:rPr>
          <w:rFonts w:ascii="Book Antiqua" w:eastAsiaTheme="majorEastAsia" w:hAnsi="Book Antiqua" w:cstheme="majorBidi"/>
          <w:b/>
          <w:szCs w:val="24"/>
        </w:rPr>
      </w:pPr>
      <w:bookmarkStart w:id="106" w:name="_Toc868789"/>
      <w:r w:rsidRPr="00F501CF">
        <w:rPr>
          <w:rFonts w:ascii="Book Antiqua" w:eastAsiaTheme="majorEastAsia" w:hAnsi="Book Antiqua" w:cstheme="majorBidi"/>
          <w:b/>
          <w:szCs w:val="24"/>
        </w:rPr>
        <w:t>Just Energy Solutions Inc.</w:t>
      </w:r>
      <w:bookmarkEnd w:id="106"/>
    </w:p>
    <w:tbl>
      <w:tblPr>
        <w:tblStyle w:val="TableGrid4"/>
        <w:tblW w:w="0" w:type="auto"/>
        <w:tblLook w:val="04A0" w:firstRow="1" w:lastRow="0" w:firstColumn="1" w:lastColumn="0" w:noHBand="0" w:noVBand="1"/>
      </w:tblPr>
      <w:tblGrid>
        <w:gridCol w:w="2763"/>
        <w:gridCol w:w="6587"/>
      </w:tblGrid>
      <w:tr w:rsidR="006F44CB" w:rsidRPr="006F44CB" w14:paraId="4D3E8918" w14:textId="77777777" w:rsidTr="006F44CB">
        <w:tc>
          <w:tcPr>
            <w:tcW w:w="2763" w:type="dxa"/>
          </w:tcPr>
          <w:p w14:paraId="52047DF4" w14:textId="77777777" w:rsidR="006F44CB" w:rsidRPr="006F44CB" w:rsidRDefault="006F44CB" w:rsidP="00F501CF">
            <w:pPr>
              <w:spacing w:before="60" w:after="60"/>
              <w:jc w:val="center"/>
              <w:rPr>
                <w:rFonts w:ascii="Book Antiqua" w:hAnsi="Book Antiqua"/>
                <w:b/>
                <w:sz w:val="24"/>
                <w:szCs w:val="24"/>
              </w:rPr>
            </w:pPr>
            <w:r w:rsidRPr="006F44CB">
              <w:rPr>
                <w:rFonts w:ascii="Book Antiqua" w:hAnsi="Book Antiqua"/>
                <w:b/>
                <w:sz w:val="24"/>
                <w:szCs w:val="24"/>
              </w:rPr>
              <w:t>Requirement</w:t>
            </w:r>
          </w:p>
        </w:tc>
        <w:tc>
          <w:tcPr>
            <w:tcW w:w="6587" w:type="dxa"/>
          </w:tcPr>
          <w:p w14:paraId="1160E504" w14:textId="77777777" w:rsidR="006F44CB" w:rsidRPr="006F44CB" w:rsidRDefault="006F44CB" w:rsidP="00F501CF">
            <w:pPr>
              <w:spacing w:before="60" w:after="60"/>
              <w:jc w:val="center"/>
              <w:rPr>
                <w:rFonts w:ascii="Book Antiqua" w:hAnsi="Book Antiqua"/>
                <w:b/>
                <w:sz w:val="24"/>
                <w:szCs w:val="24"/>
              </w:rPr>
            </w:pPr>
            <w:r w:rsidRPr="006F44CB">
              <w:rPr>
                <w:rFonts w:ascii="Book Antiqua" w:hAnsi="Book Antiqua"/>
                <w:b/>
                <w:sz w:val="24"/>
                <w:szCs w:val="24"/>
              </w:rPr>
              <w:t>Assessment</w:t>
            </w:r>
          </w:p>
        </w:tc>
      </w:tr>
      <w:tr w:rsidR="006F44CB" w:rsidRPr="006F44CB" w14:paraId="3B912BE8" w14:textId="77777777" w:rsidTr="006F44CB">
        <w:tc>
          <w:tcPr>
            <w:tcW w:w="2763" w:type="dxa"/>
          </w:tcPr>
          <w:p w14:paraId="731E31DC"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Required Forms</w:t>
            </w:r>
          </w:p>
        </w:tc>
        <w:tc>
          <w:tcPr>
            <w:tcW w:w="6587" w:type="dxa"/>
          </w:tcPr>
          <w:p w14:paraId="686BC473"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Just Energy provided the following required forms:</w:t>
            </w:r>
          </w:p>
          <w:p w14:paraId="095C4F9D" w14:textId="77777777" w:rsidR="006F44CB" w:rsidRPr="006F44CB" w:rsidRDefault="006F44CB" w:rsidP="00F501CF">
            <w:pPr>
              <w:numPr>
                <w:ilvl w:val="0"/>
                <w:numId w:val="25"/>
              </w:numPr>
              <w:spacing w:before="60" w:after="60"/>
              <w:rPr>
                <w:rFonts w:ascii="Book Antiqua" w:hAnsi="Book Antiqua"/>
                <w:sz w:val="24"/>
                <w:szCs w:val="24"/>
              </w:rPr>
            </w:pPr>
            <w:r w:rsidRPr="006F44CB">
              <w:rPr>
                <w:rFonts w:ascii="Book Antiqua" w:hAnsi="Book Antiqua"/>
                <w:sz w:val="24"/>
                <w:szCs w:val="24"/>
              </w:rPr>
              <w:t>CEC Form S1</w:t>
            </w:r>
          </w:p>
          <w:p w14:paraId="3566F9BA" w14:textId="77777777" w:rsidR="006F44CB" w:rsidRPr="006F44CB" w:rsidRDefault="006F44CB" w:rsidP="00F501CF">
            <w:pPr>
              <w:numPr>
                <w:ilvl w:val="0"/>
                <w:numId w:val="25"/>
              </w:numPr>
              <w:spacing w:before="60" w:after="60"/>
              <w:rPr>
                <w:rFonts w:ascii="Book Antiqua" w:hAnsi="Book Antiqua"/>
                <w:color w:val="000000"/>
                <w:sz w:val="24"/>
                <w:szCs w:val="24"/>
              </w:rPr>
            </w:pPr>
            <w:r w:rsidRPr="006F44CB">
              <w:rPr>
                <w:rFonts w:ascii="Book Antiqua" w:hAnsi="Book Antiqua"/>
                <w:color w:val="000000"/>
                <w:sz w:val="24"/>
                <w:szCs w:val="24"/>
              </w:rPr>
              <w:t>CEC Form S2 or EIA Form 861 or EIA Form 861S</w:t>
            </w:r>
          </w:p>
          <w:p w14:paraId="4A87172E" w14:textId="77777777" w:rsidR="006F44CB" w:rsidRPr="006F44CB" w:rsidRDefault="006F44CB" w:rsidP="00F501CF">
            <w:pPr>
              <w:numPr>
                <w:ilvl w:val="0"/>
                <w:numId w:val="25"/>
              </w:numPr>
              <w:spacing w:before="60" w:after="60"/>
              <w:rPr>
                <w:rFonts w:ascii="Book Antiqua" w:hAnsi="Book Antiqua"/>
                <w:sz w:val="24"/>
                <w:szCs w:val="24"/>
              </w:rPr>
            </w:pPr>
            <w:r w:rsidRPr="006F44CB">
              <w:rPr>
                <w:rFonts w:ascii="Book Antiqua" w:hAnsi="Book Antiqua"/>
                <w:color w:val="000000"/>
                <w:sz w:val="24"/>
                <w:szCs w:val="24"/>
              </w:rPr>
              <w:t>CEC Power Content Report</w:t>
            </w:r>
          </w:p>
        </w:tc>
      </w:tr>
      <w:tr w:rsidR="006F44CB" w:rsidRPr="006F44CB" w14:paraId="2F38A508" w14:textId="77777777" w:rsidTr="006F44CB">
        <w:tc>
          <w:tcPr>
            <w:tcW w:w="2763" w:type="dxa"/>
          </w:tcPr>
          <w:p w14:paraId="4B4E4836"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Treatment of Disadvantaged Communities</w:t>
            </w:r>
          </w:p>
        </w:tc>
        <w:tc>
          <w:tcPr>
            <w:tcW w:w="6587" w:type="dxa"/>
          </w:tcPr>
          <w:p w14:paraId="15350CCC"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Just Energy provided an adequate description of treatment of disadvantaged communities in its LSE Plan.</w:t>
            </w:r>
          </w:p>
        </w:tc>
      </w:tr>
      <w:tr w:rsidR="006F44CB" w:rsidRPr="006F44CB" w14:paraId="4EDDFCDB" w14:textId="77777777" w:rsidTr="006F44CB">
        <w:tc>
          <w:tcPr>
            <w:tcW w:w="2763" w:type="dxa"/>
          </w:tcPr>
          <w:p w14:paraId="2B200337"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GHG Target Planning</w:t>
            </w:r>
          </w:p>
        </w:tc>
        <w:tc>
          <w:tcPr>
            <w:tcW w:w="6587" w:type="dxa"/>
          </w:tcPr>
          <w:p w14:paraId="0628309F"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Just Energy did not calculate its LSE</w:t>
            </w:r>
            <w:r w:rsidR="00D84A09">
              <w:rPr>
                <w:rFonts w:ascii="Book Antiqua" w:hAnsi="Book Antiqua"/>
                <w:sz w:val="24"/>
                <w:szCs w:val="24"/>
              </w:rPr>
              <w:noBreakHyphen/>
            </w:r>
            <w:r w:rsidRPr="006F44CB">
              <w:rPr>
                <w:rFonts w:ascii="Book Antiqua" w:hAnsi="Book Antiqua"/>
                <w:sz w:val="24"/>
                <w:szCs w:val="24"/>
              </w:rPr>
              <w:t>specific GHG Benchmark correctly.</w:t>
            </w:r>
          </w:p>
        </w:tc>
      </w:tr>
      <w:tr w:rsidR="006F44CB" w:rsidRPr="006F44CB" w14:paraId="644D36FF" w14:textId="77777777" w:rsidTr="006F44CB">
        <w:tc>
          <w:tcPr>
            <w:tcW w:w="2763" w:type="dxa"/>
          </w:tcPr>
          <w:p w14:paraId="353A4722"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Conforming and </w:t>
            </w:r>
            <w:r w:rsidRPr="006F44CB">
              <w:rPr>
                <w:rFonts w:ascii="Book Antiqua" w:hAnsi="Book Antiqua"/>
                <w:color w:val="000000"/>
                <w:sz w:val="24"/>
                <w:szCs w:val="24"/>
              </w:rPr>
              <w:t xml:space="preserve">Alternative </w:t>
            </w:r>
            <w:r w:rsidRPr="006F44CB">
              <w:rPr>
                <w:rFonts w:ascii="Book Antiqua" w:hAnsi="Book Antiqua"/>
                <w:sz w:val="24"/>
                <w:szCs w:val="24"/>
              </w:rPr>
              <w:t>Portfolios</w:t>
            </w:r>
          </w:p>
        </w:tc>
        <w:tc>
          <w:tcPr>
            <w:tcW w:w="6587" w:type="dxa"/>
          </w:tcPr>
          <w:p w14:paraId="17C7BA92"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Just Energy provided the CNS calculator as its Conforming Portfolio, but it did not describe its procurement plan. </w:t>
            </w:r>
            <w:r w:rsidR="008672C5">
              <w:rPr>
                <w:rFonts w:ascii="Book Antiqua" w:hAnsi="Book Antiqua"/>
                <w:sz w:val="24"/>
                <w:szCs w:val="24"/>
              </w:rPr>
              <w:t xml:space="preserve"> </w:t>
            </w:r>
            <w:r w:rsidRPr="006F44CB">
              <w:rPr>
                <w:rFonts w:ascii="Book Antiqua" w:hAnsi="Book Antiqua"/>
                <w:sz w:val="24"/>
                <w:szCs w:val="24"/>
              </w:rPr>
              <w:t xml:space="preserve">The CNS calculator was used incorrectly. </w:t>
            </w:r>
            <w:r w:rsidR="008672C5">
              <w:rPr>
                <w:rFonts w:ascii="Book Antiqua" w:hAnsi="Book Antiqua"/>
                <w:sz w:val="24"/>
                <w:szCs w:val="24"/>
              </w:rPr>
              <w:t xml:space="preserve"> </w:t>
            </w:r>
            <w:r w:rsidRPr="006F44CB">
              <w:rPr>
                <w:rFonts w:ascii="Book Antiqua" w:hAnsi="Book Antiqua"/>
                <w:sz w:val="24"/>
                <w:szCs w:val="24"/>
              </w:rPr>
              <w:t>The only resources entered were in the “Owned or contracted non</w:t>
            </w:r>
            <w:r w:rsidR="00D84A09">
              <w:rPr>
                <w:rFonts w:ascii="Book Antiqua" w:hAnsi="Book Antiqua"/>
                <w:sz w:val="24"/>
                <w:szCs w:val="24"/>
              </w:rPr>
              <w:noBreakHyphen/>
            </w:r>
            <w:r w:rsidRPr="006F44CB">
              <w:rPr>
                <w:rFonts w:ascii="Book Antiqua" w:hAnsi="Book Antiqua"/>
                <w:sz w:val="24"/>
                <w:szCs w:val="24"/>
              </w:rPr>
              <w:t>dispatchable GHG</w:t>
            </w:r>
            <w:r w:rsidR="00D84A09">
              <w:rPr>
                <w:rFonts w:ascii="Book Antiqua" w:hAnsi="Book Antiqua"/>
                <w:sz w:val="24"/>
                <w:szCs w:val="24"/>
              </w:rPr>
              <w:noBreakHyphen/>
            </w:r>
            <w:r w:rsidRPr="006F44CB">
              <w:rPr>
                <w:rFonts w:ascii="Book Antiqua" w:hAnsi="Book Antiqua"/>
                <w:sz w:val="24"/>
                <w:szCs w:val="24"/>
              </w:rPr>
              <w:t xml:space="preserve">emitting resources” row, and they were given a very low emissions without explanation. </w:t>
            </w:r>
            <w:r w:rsidR="008672C5">
              <w:rPr>
                <w:rFonts w:ascii="Book Antiqua" w:hAnsi="Book Antiqua"/>
                <w:sz w:val="24"/>
                <w:szCs w:val="24"/>
              </w:rPr>
              <w:t xml:space="preserve"> </w:t>
            </w:r>
            <w:r w:rsidRPr="006F44CB">
              <w:rPr>
                <w:rFonts w:ascii="Book Antiqua" w:hAnsi="Book Antiqua"/>
                <w:sz w:val="24"/>
                <w:szCs w:val="24"/>
              </w:rPr>
              <w:t>As a result, the CNS calculation resulted in negative emissions in 2030, despite containing no renewable resources in the supply portfolio.</w:t>
            </w:r>
            <w:r w:rsidR="008672C5">
              <w:rPr>
                <w:rFonts w:ascii="Book Antiqua" w:hAnsi="Book Antiqua"/>
                <w:sz w:val="24"/>
                <w:szCs w:val="24"/>
              </w:rPr>
              <w:t xml:space="preserve"> </w:t>
            </w:r>
            <w:r w:rsidRPr="006F44CB">
              <w:rPr>
                <w:rFonts w:ascii="Book Antiqua" w:hAnsi="Book Antiqua"/>
                <w:sz w:val="24"/>
                <w:szCs w:val="24"/>
              </w:rPr>
              <w:t xml:space="preserve"> Just Energy did not submit an optional Alternative Portfolio.</w:t>
            </w:r>
          </w:p>
        </w:tc>
      </w:tr>
      <w:tr w:rsidR="006F44CB" w:rsidRPr="006F44CB" w14:paraId="562708C9" w14:textId="77777777" w:rsidTr="006F44CB">
        <w:tc>
          <w:tcPr>
            <w:tcW w:w="2763" w:type="dxa"/>
          </w:tcPr>
          <w:p w14:paraId="0143CB2D" w14:textId="77777777" w:rsidR="006F44CB" w:rsidRPr="006F44CB" w:rsidRDefault="006F44CB" w:rsidP="00F501CF">
            <w:pPr>
              <w:spacing w:before="60" w:after="60"/>
              <w:rPr>
                <w:rFonts w:ascii="Book Antiqua" w:hAnsi="Book Antiqua"/>
                <w:sz w:val="24"/>
                <w:szCs w:val="24"/>
              </w:rPr>
            </w:pPr>
            <w:r w:rsidRPr="006F44CB">
              <w:rPr>
                <w:rFonts w:ascii="Book Antiqua" w:hAnsi="Book Antiqua"/>
                <w:color w:val="000000"/>
                <w:sz w:val="24"/>
                <w:szCs w:val="24"/>
              </w:rPr>
              <w:t>Statutory or Administrative Requirements</w:t>
            </w:r>
          </w:p>
        </w:tc>
        <w:tc>
          <w:tcPr>
            <w:tcW w:w="6587" w:type="dxa"/>
          </w:tcPr>
          <w:p w14:paraId="20D63E76"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Just Energy stated that it meets all statutory requirements but it does not describe how.</w:t>
            </w:r>
          </w:p>
        </w:tc>
      </w:tr>
      <w:tr w:rsidR="006F44CB" w:rsidRPr="006F44CB" w14:paraId="3E4A1B45" w14:textId="77777777" w:rsidTr="006F44CB">
        <w:tc>
          <w:tcPr>
            <w:tcW w:w="2763" w:type="dxa"/>
          </w:tcPr>
          <w:p w14:paraId="3288FD25" w14:textId="77777777" w:rsidR="006F44CB" w:rsidRPr="006F44CB" w:rsidRDefault="006F44CB" w:rsidP="00F501CF">
            <w:pPr>
              <w:spacing w:before="60" w:after="60"/>
              <w:rPr>
                <w:rFonts w:ascii="Book Antiqua" w:hAnsi="Book Antiqua"/>
                <w:sz w:val="24"/>
                <w:szCs w:val="24"/>
              </w:rPr>
            </w:pPr>
            <w:r w:rsidRPr="006F44CB">
              <w:rPr>
                <w:rFonts w:ascii="Book Antiqua" w:hAnsi="Book Antiqua"/>
                <w:color w:val="000000"/>
                <w:sz w:val="24"/>
                <w:szCs w:val="24"/>
              </w:rPr>
              <w:t>Action Plan</w:t>
            </w:r>
          </w:p>
        </w:tc>
        <w:tc>
          <w:tcPr>
            <w:tcW w:w="6587" w:type="dxa"/>
          </w:tcPr>
          <w:p w14:paraId="4C6448CF"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Just Energy provided an adequate description of the actions it proposes to take in the next one to three years to implement its plan.</w:t>
            </w:r>
          </w:p>
        </w:tc>
      </w:tr>
      <w:tr w:rsidR="006F44CB" w:rsidRPr="006F44CB" w14:paraId="22D9C58B" w14:textId="77777777" w:rsidTr="006F44CB">
        <w:tc>
          <w:tcPr>
            <w:tcW w:w="2763" w:type="dxa"/>
          </w:tcPr>
          <w:p w14:paraId="3C04F963" w14:textId="77777777" w:rsidR="006F44CB" w:rsidRPr="006F44CB" w:rsidRDefault="006F44CB" w:rsidP="00F501CF">
            <w:pPr>
              <w:spacing w:before="60" w:after="60"/>
              <w:rPr>
                <w:rFonts w:ascii="Book Antiqua" w:hAnsi="Book Antiqua"/>
                <w:sz w:val="24"/>
                <w:szCs w:val="24"/>
              </w:rPr>
            </w:pPr>
            <w:r w:rsidRPr="006F44CB">
              <w:rPr>
                <w:rFonts w:ascii="Book Antiqua" w:hAnsi="Book Antiqua"/>
                <w:color w:val="000000"/>
                <w:sz w:val="24"/>
                <w:szCs w:val="24"/>
              </w:rPr>
              <w:t>Barriers and Lessons Learned</w:t>
            </w:r>
          </w:p>
        </w:tc>
        <w:tc>
          <w:tcPr>
            <w:tcW w:w="6587" w:type="dxa"/>
          </w:tcPr>
          <w:p w14:paraId="25E02435"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Just Energy provided an adequate description of barriers and lessons learned from the IRP cycle.</w:t>
            </w:r>
          </w:p>
        </w:tc>
      </w:tr>
    </w:tbl>
    <w:p w14:paraId="177C397E" w14:textId="77777777" w:rsidR="006F44CB" w:rsidRPr="00F501CF" w:rsidRDefault="006F44CB" w:rsidP="006F44CB">
      <w:pPr>
        <w:keepNext/>
        <w:keepLines/>
        <w:spacing w:before="120" w:after="120" w:line="276" w:lineRule="auto"/>
        <w:outlineLvl w:val="3"/>
        <w:rPr>
          <w:rFonts w:ascii="Book Antiqua" w:eastAsiaTheme="majorEastAsia" w:hAnsi="Book Antiqua" w:cstheme="majorBidi"/>
          <w:b/>
          <w:i/>
          <w:iCs/>
          <w:szCs w:val="26"/>
        </w:rPr>
      </w:pPr>
      <w:r w:rsidRPr="00F501CF">
        <w:rPr>
          <w:rFonts w:ascii="Book Antiqua" w:eastAsiaTheme="majorEastAsia" w:hAnsi="Book Antiqua" w:cstheme="majorBidi"/>
          <w:b/>
          <w:i/>
          <w:iCs/>
          <w:szCs w:val="26"/>
        </w:rPr>
        <w:t>Next Steps for Just Energy</w:t>
      </w:r>
    </w:p>
    <w:p w14:paraId="13B66201" w14:textId="77777777" w:rsidR="006F44CB" w:rsidRPr="00F501CF" w:rsidRDefault="006F44CB" w:rsidP="006F44CB">
      <w:pPr>
        <w:spacing w:after="200" w:line="276" w:lineRule="auto"/>
        <w:rPr>
          <w:rFonts w:ascii="Book Antiqua" w:hAnsi="Book Antiqua" w:cstheme="minorBidi"/>
          <w:szCs w:val="26"/>
        </w:rPr>
      </w:pPr>
      <w:r w:rsidRPr="00F501CF">
        <w:rPr>
          <w:rFonts w:ascii="Book Antiqua" w:hAnsi="Book Antiqua" w:cstheme="minorBidi"/>
          <w:b/>
          <w:szCs w:val="26"/>
        </w:rPr>
        <w:t>Action required in this IRP 2017</w:t>
      </w:r>
      <w:r w:rsidR="00D84A09" w:rsidRPr="00F501CF">
        <w:rPr>
          <w:rFonts w:ascii="Book Antiqua" w:hAnsi="Book Antiqua" w:cstheme="minorBidi"/>
          <w:b/>
          <w:szCs w:val="26"/>
        </w:rPr>
        <w:noBreakHyphen/>
      </w:r>
      <w:r w:rsidRPr="00F501CF">
        <w:rPr>
          <w:rFonts w:ascii="Book Antiqua" w:hAnsi="Book Antiqua" w:cstheme="minorBidi"/>
          <w:b/>
          <w:szCs w:val="26"/>
        </w:rPr>
        <w:t>18 cycle</w:t>
      </w:r>
      <w:r w:rsidRPr="00F501CF">
        <w:rPr>
          <w:rFonts w:ascii="Book Antiqua" w:hAnsi="Book Antiqua" w:cstheme="minorBidi"/>
          <w:szCs w:val="26"/>
        </w:rPr>
        <w:t xml:space="preserve">: </w:t>
      </w:r>
      <w:r w:rsidR="004731C2" w:rsidRPr="00F501CF">
        <w:rPr>
          <w:rFonts w:ascii="Book Antiqua" w:hAnsi="Book Antiqua" w:cstheme="minorBidi"/>
          <w:szCs w:val="26"/>
        </w:rPr>
        <w:t xml:space="preserve"> </w:t>
      </w:r>
      <w:r w:rsidRPr="00F501CF">
        <w:rPr>
          <w:rFonts w:ascii="Book Antiqua" w:hAnsi="Book Antiqua" w:cstheme="minorBidi"/>
          <w:szCs w:val="26"/>
        </w:rPr>
        <w:t>None at this time.</w:t>
      </w:r>
    </w:p>
    <w:p w14:paraId="56DA81ED" w14:textId="77777777" w:rsidR="006F44CB" w:rsidRPr="00F501CF" w:rsidRDefault="006F44CB" w:rsidP="006F44CB">
      <w:pPr>
        <w:spacing w:after="200" w:line="276" w:lineRule="auto"/>
        <w:rPr>
          <w:rFonts w:ascii="Book Antiqua" w:hAnsi="Book Antiqua" w:cstheme="minorBidi"/>
          <w:szCs w:val="26"/>
        </w:rPr>
      </w:pPr>
      <w:r w:rsidRPr="00F501CF">
        <w:rPr>
          <w:rFonts w:ascii="Book Antiqua" w:hAnsi="Book Antiqua" w:cstheme="minorBidi"/>
          <w:b/>
          <w:szCs w:val="26"/>
        </w:rPr>
        <w:t>Guidance for LSE Plan development in the next IRP cycle</w:t>
      </w:r>
      <w:r w:rsidRPr="00F501CF">
        <w:rPr>
          <w:rFonts w:ascii="Book Antiqua" w:hAnsi="Book Antiqua" w:cstheme="minorBidi"/>
          <w:szCs w:val="26"/>
        </w:rPr>
        <w:t>:</w:t>
      </w:r>
    </w:p>
    <w:p w14:paraId="17B73878" w14:textId="77777777" w:rsidR="006F44CB" w:rsidRPr="00F501CF" w:rsidRDefault="006F44CB" w:rsidP="00894BE0">
      <w:pPr>
        <w:numPr>
          <w:ilvl w:val="0"/>
          <w:numId w:val="16"/>
        </w:numPr>
        <w:spacing w:after="200" w:line="276" w:lineRule="auto"/>
        <w:rPr>
          <w:rFonts w:ascii="Book Antiqua" w:hAnsi="Book Antiqua"/>
          <w:szCs w:val="26"/>
        </w:rPr>
      </w:pPr>
      <w:r w:rsidRPr="00F501CF">
        <w:rPr>
          <w:rFonts w:ascii="Book Antiqua" w:hAnsi="Book Antiqua"/>
          <w:szCs w:val="26"/>
        </w:rPr>
        <w:t>Use the correct assigned load forecast when developing the Conforming Portfolio.</w:t>
      </w:r>
    </w:p>
    <w:p w14:paraId="6AFDFF20" w14:textId="77777777" w:rsidR="006F44CB" w:rsidRPr="00F501CF" w:rsidRDefault="006F44CB" w:rsidP="00894BE0">
      <w:pPr>
        <w:numPr>
          <w:ilvl w:val="0"/>
          <w:numId w:val="16"/>
        </w:numPr>
        <w:spacing w:after="200" w:line="276" w:lineRule="auto"/>
        <w:rPr>
          <w:rFonts w:ascii="Book Antiqua" w:hAnsi="Book Antiqua"/>
          <w:szCs w:val="26"/>
        </w:rPr>
      </w:pPr>
      <w:r w:rsidRPr="00F501CF">
        <w:rPr>
          <w:rFonts w:ascii="Book Antiqua" w:hAnsi="Book Antiqua"/>
          <w:szCs w:val="26"/>
        </w:rPr>
        <w:t>Use the correct methodology and values when calculating the LSE</w:t>
      </w:r>
      <w:r w:rsidR="00D84A09" w:rsidRPr="00F501CF">
        <w:rPr>
          <w:rFonts w:ascii="Book Antiqua" w:hAnsi="Book Antiqua"/>
          <w:szCs w:val="26"/>
        </w:rPr>
        <w:noBreakHyphen/>
      </w:r>
      <w:r w:rsidRPr="00F501CF">
        <w:rPr>
          <w:rFonts w:ascii="Book Antiqua" w:hAnsi="Book Antiqua"/>
          <w:szCs w:val="26"/>
        </w:rPr>
        <w:t>specific 2030 GHG Benchmark.</w:t>
      </w:r>
    </w:p>
    <w:p w14:paraId="2D315CEC" w14:textId="77777777" w:rsidR="006F44CB" w:rsidRPr="00F501CF" w:rsidRDefault="006F44CB" w:rsidP="00894BE0">
      <w:pPr>
        <w:numPr>
          <w:ilvl w:val="0"/>
          <w:numId w:val="16"/>
        </w:numPr>
        <w:spacing w:after="200" w:line="276" w:lineRule="auto"/>
        <w:rPr>
          <w:rFonts w:ascii="Book Antiqua" w:hAnsi="Book Antiqua"/>
          <w:szCs w:val="26"/>
        </w:rPr>
      </w:pPr>
      <w:r w:rsidRPr="00F501CF">
        <w:rPr>
          <w:rFonts w:ascii="Book Antiqua" w:hAnsi="Book Antiqua"/>
          <w:szCs w:val="26"/>
        </w:rPr>
        <w:t>Use the correct GHG emission accounting methodology established for the IRP proceeding.</w:t>
      </w:r>
    </w:p>
    <w:p w14:paraId="59C68B98" w14:textId="77777777" w:rsidR="006F44CB" w:rsidRPr="00F501CF" w:rsidRDefault="006F44CB" w:rsidP="006F44CB">
      <w:pPr>
        <w:keepNext/>
        <w:keepLines/>
        <w:spacing w:before="240" w:after="120" w:line="276" w:lineRule="auto"/>
        <w:outlineLvl w:val="2"/>
        <w:rPr>
          <w:rFonts w:ascii="Book Antiqua" w:eastAsiaTheme="majorEastAsia" w:hAnsi="Book Antiqua" w:cstheme="majorBidi"/>
          <w:b/>
          <w:szCs w:val="26"/>
        </w:rPr>
      </w:pPr>
      <w:bookmarkStart w:id="107" w:name="_Toc868790"/>
      <w:r w:rsidRPr="00F501CF">
        <w:rPr>
          <w:rFonts w:ascii="Book Antiqua" w:eastAsiaTheme="majorEastAsia" w:hAnsi="Book Antiqua" w:cstheme="majorBidi"/>
          <w:b/>
          <w:szCs w:val="26"/>
        </w:rPr>
        <w:t>King City Community Power</w:t>
      </w:r>
      <w:bookmarkEnd w:id="107"/>
    </w:p>
    <w:tbl>
      <w:tblPr>
        <w:tblStyle w:val="TableGrid4"/>
        <w:tblW w:w="0" w:type="auto"/>
        <w:tblLook w:val="04A0" w:firstRow="1" w:lastRow="0" w:firstColumn="1" w:lastColumn="0" w:noHBand="0" w:noVBand="1"/>
      </w:tblPr>
      <w:tblGrid>
        <w:gridCol w:w="2759"/>
        <w:gridCol w:w="6591"/>
      </w:tblGrid>
      <w:tr w:rsidR="006F44CB" w:rsidRPr="006F44CB" w14:paraId="5D9E0496" w14:textId="77777777" w:rsidTr="006F44CB">
        <w:tc>
          <w:tcPr>
            <w:tcW w:w="2759" w:type="dxa"/>
          </w:tcPr>
          <w:p w14:paraId="30E63976" w14:textId="77777777" w:rsidR="006F44CB" w:rsidRPr="006F44CB" w:rsidRDefault="006F44CB" w:rsidP="00F501CF">
            <w:pPr>
              <w:spacing w:before="60" w:after="60"/>
              <w:jc w:val="center"/>
              <w:rPr>
                <w:rFonts w:ascii="Book Antiqua" w:hAnsi="Book Antiqua"/>
                <w:b/>
                <w:sz w:val="24"/>
                <w:szCs w:val="24"/>
              </w:rPr>
            </w:pPr>
            <w:r w:rsidRPr="006F44CB">
              <w:rPr>
                <w:rFonts w:ascii="Book Antiqua" w:hAnsi="Book Antiqua"/>
                <w:b/>
                <w:sz w:val="24"/>
                <w:szCs w:val="24"/>
              </w:rPr>
              <w:t>Requirement</w:t>
            </w:r>
          </w:p>
        </w:tc>
        <w:tc>
          <w:tcPr>
            <w:tcW w:w="6591" w:type="dxa"/>
          </w:tcPr>
          <w:p w14:paraId="0B372548" w14:textId="77777777" w:rsidR="006F44CB" w:rsidRPr="006F44CB" w:rsidRDefault="006F44CB" w:rsidP="00F501CF">
            <w:pPr>
              <w:spacing w:before="60" w:after="60"/>
              <w:jc w:val="center"/>
              <w:rPr>
                <w:rFonts w:ascii="Book Antiqua" w:hAnsi="Book Antiqua"/>
                <w:b/>
                <w:sz w:val="24"/>
                <w:szCs w:val="24"/>
              </w:rPr>
            </w:pPr>
            <w:r w:rsidRPr="006F44CB">
              <w:rPr>
                <w:rFonts w:ascii="Book Antiqua" w:hAnsi="Book Antiqua"/>
                <w:b/>
                <w:sz w:val="24"/>
                <w:szCs w:val="24"/>
              </w:rPr>
              <w:t>Assessment</w:t>
            </w:r>
          </w:p>
        </w:tc>
      </w:tr>
      <w:tr w:rsidR="006F44CB" w:rsidRPr="006F44CB" w14:paraId="7079A929" w14:textId="77777777" w:rsidTr="006F44CB">
        <w:tc>
          <w:tcPr>
            <w:tcW w:w="2759" w:type="dxa"/>
          </w:tcPr>
          <w:p w14:paraId="1222C8A2"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Required Forms</w:t>
            </w:r>
          </w:p>
        </w:tc>
        <w:tc>
          <w:tcPr>
            <w:tcW w:w="6591" w:type="dxa"/>
          </w:tcPr>
          <w:p w14:paraId="5B77B608"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King City Community Power (KCCP) provided the following required forms:</w:t>
            </w:r>
          </w:p>
          <w:p w14:paraId="1A8F402D" w14:textId="77777777" w:rsidR="006F44CB" w:rsidRPr="006F44CB" w:rsidRDefault="006F44CB" w:rsidP="00F501CF">
            <w:pPr>
              <w:numPr>
                <w:ilvl w:val="0"/>
                <w:numId w:val="17"/>
              </w:numPr>
              <w:spacing w:before="60" w:after="60"/>
              <w:rPr>
                <w:rFonts w:ascii="Book Antiqua" w:hAnsi="Book Antiqua"/>
                <w:sz w:val="24"/>
                <w:szCs w:val="24"/>
              </w:rPr>
            </w:pPr>
            <w:r w:rsidRPr="006F44CB">
              <w:rPr>
                <w:rFonts w:ascii="Book Antiqua" w:hAnsi="Book Antiqua"/>
                <w:sz w:val="24"/>
                <w:szCs w:val="24"/>
              </w:rPr>
              <w:t>CEC Form S1</w:t>
            </w:r>
          </w:p>
          <w:p w14:paraId="049DCE13" w14:textId="77777777" w:rsidR="006F44CB" w:rsidRPr="006F44CB" w:rsidRDefault="006F44CB" w:rsidP="00F501CF">
            <w:pPr>
              <w:numPr>
                <w:ilvl w:val="0"/>
                <w:numId w:val="17"/>
              </w:numPr>
              <w:spacing w:before="60" w:after="60"/>
              <w:rPr>
                <w:rFonts w:ascii="Book Antiqua" w:hAnsi="Book Antiqua"/>
                <w:color w:val="000000"/>
                <w:sz w:val="24"/>
                <w:szCs w:val="24"/>
              </w:rPr>
            </w:pPr>
            <w:r w:rsidRPr="006F44CB">
              <w:rPr>
                <w:rFonts w:ascii="Book Antiqua" w:hAnsi="Book Antiqua"/>
                <w:color w:val="000000"/>
                <w:sz w:val="24"/>
                <w:szCs w:val="24"/>
              </w:rPr>
              <w:t>CEC Form S2 or EIA Form 861 or EIA Form 861S</w:t>
            </w:r>
          </w:p>
          <w:p w14:paraId="34F76C92" w14:textId="77777777" w:rsidR="006F44CB" w:rsidRPr="006F44CB" w:rsidRDefault="006F44CB" w:rsidP="00F501CF">
            <w:pPr>
              <w:spacing w:before="60" w:after="60"/>
              <w:rPr>
                <w:rFonts w:ascii="Book Antiqua" w:hAnsi="Book Antiqua"/>
                <w:color w:val="000000"/>
                <w:sz w:val="24"/>
                <w:szCs w:val="24"/>
              </w:rPr>
            </w:pPr>
          </w:p>
          <w:p w14:paraId="130CE353"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KCCP did not file </w:t>
            </w:r>
            <w:r w:rsidRPr="006F44CB">
              <w:rPr>
                <w:rFonts w:ascii="Book Antiqua" w:hAnsi="Book Antiqua"/>
                <w:color w:val="000000"/>
                <w:sz w:val="24"/>
                <w:szCs w:val="24"/>
              </w:rPr>
              <w:t>CEC Power Content Report as the CCA was just launched in 2018 and did not yet have the report.</w:t>
            </w:r>
          </w:p>
        </w:tc>
      </w:tr>
      <w:tr w:rsidR="006F44CB" w:rsidRPr="006F44CB" w14:paraId="07E2D016" w14:textId="77777777" w:rsidTr="006F44CB">
        <w:tc>
          <w:tcPr>
            <w:tcW w:w="2759" w:type="dxa"/>
          </w:tcPr>
          <w:p w14:paraId="065B8B13"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Treatment of Disadvantaged Communities</w:t>
            </w:r>
          </w:p>
        </w:tc>
        <w:tc>
          <w:tcPr>
            <w:tcW w:w="6591" w:type="dxa"/>
          </w:tcPr>
          <w:p w14:paraId="00F31114"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KCCP did not provide any description of treatment of disadvantaged communities in its LSE Plan.</w:t>
            </w:r>
          </w:p>
        </w:tc>
      </w:tr>
      <w:tr w:rsidR="006F44CB" w:rsidRPr="006F44CB" w14:paraId="5E6DCC14" w14:textId="77777777" w:rsidTr="006F44CB">
        <w:tc>
          <w:tcPr>
            <w:tcW w:w="2759" w:type="dxa"/>
          </w:tcPr>
          <w:p w14:paraId="235588BA"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GHG Target Planning</w:t>
            </w:r>
          </w:p>
        </w:tc>
        <w:tc>
          <w:tcPr>
            <w:tcW w:w="6591" w:type="dxa"/>
          </w:tcPr>
          <w:p w14:paraId="236B1769"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KCCP used the CNS calculator correctly to show that its Conforming Portfolio meets its 2030 GHG Benchmark, but it zeroed out “Fraction of EV owners that can charge at work” without any explanation. </w:t>
            </w:r>
            <w:r w:rsidR="008672C5">
              <w:rPr>
                <w:rFonts w:ascii="Book Antiqua" w:hAnsi="Book Antiqua"/>
                <w:sz w:val="24"/>
                <w:szCs w:val="24"/>
              </w:rPr>
              <w:t xml:space="preserve"> </w:t>
            </w:r>
            <w:r w:rsidRPr="006F44CB">
              <w:rPr>
                <w:rFonts w:ascii="Book Antiqua" w:hAnsi="Book Antiqua"/>
                <w:sz w:val="24"/>
                <w:szCs w:val="24"/>
              </w:rPr>
              <w:t>The effect of zeroing out those values was to increase reported portfolio emissions across the planning horizon.</w:t>
            </w:r>
          </w:p>
        </w:tc>
      </w:tr>
      <w:tr w:rsidR="006F44CB" w:rsidRPr="006F44CB" w14:paraId="69FA14B9" w14:textId="77777777" w:rsidTr="006F44CB">
        <w:tc>
          <w:tcPr>
            <w:tcW w:w="2759" w:type="dxa"/>
          </w:tcPr>
          <w:p w14:paraId="353B14EA"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Conforming and </w:t>
            </w:r>
            <w:r w:rsidRPr="006F44CB">
              <w:rPr>
                <w:rFonts w:ascii="Book Antiqua" w:hAnsi="Book Antiqua"/>
                <w:color w:val="000000"/>
                <w:sz w:val="24"/>
                <w:szCs w:val="24"/>
              </w:rPr>
              <w:t xml:space="preserve">Alternative </w:t>
            </w:r>
            <w:r w:rsidRPr="006F44CB">
              <w:rPr>
                <w:rFonts w:ascii="Book Antiqua" w:hAnsi="Book Antiqua"/>
                <w:sz w:val="24"/>
                <w:szCs w:val="24"/>
              </w:rPr>
              <w:t>Portfolios</w:t>
            </w:r>
          </w:p>
        </w:tc>
        <w:tc>
          <w:tcPr>
            <w:tcW w:w="6591" w:type="dxa"/>
          </w:tcPr>
          <w:p w14:paraId="369E178C"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KCCP provided the CNS calculator as its Conforming Portfolio, but it did not describe its procurement plan. </w:t>
            </w:r>
            <w:r w:rsidR="008672C5">
              <w:rPr>
                <w:rFonts w:ascii="Book Antiqua" w:hAnsi="Book Antiqua"/>
                <w:sz w:val="24"/>
                <w:szCs w:val="24"/>
              </w:rPr>
              <w:t xml:space="preserve"> </w:t>
            </w:r>
            <w:r w:rsidRPr="006F44CB">
              <w:rPr>
                <w:rFonts w:ascii="Book Antiqua" w:hAnsi="Book Antiqua"/>
                <w:sz w:val="24"/>
                <w:szCs w:val="24"/>
              </w:rPr>
              <w:t>KCCP did not submit an optional Alternative Portfolio.</w:t>
            </w:r>
          </w:p>
        </w:tc>
      </w:tr>
      <w:tr w:rsidR="006F44CB" w:rsidRPr="006F44CB" w14:paraId="22D6C8FF" w14:textId="77777777" w:rsidTr="006F44CB">
        <w:tc>
          <w:tcPr>
            <w:tcW w:w="2759" w:type="dxa"/>
          </w:tcPr>
          <w:p w14:paraId="39F9E642" w14:textId="77777777" w:rsidR="006F44CB" w:rsidRPr="006F44CB" w:rsidRDefault="006F44CB" w:rsidP="00B5384C">
            <w:pPr>
              <w:keepNext/>
              <w:keepLines/>
              <w:spacing w:before="60" w:after="60"/>
              <w:rPr>
                <w:rFonts w:ascii="Book Antiqua" w:hAnsi="Book Antiqua"/>
                <w:sz w:val="24"/>
                <w:szCs w:val="24"/>
              </w:rPr>
            </w:pPr>
            <w:r w:rsidRPr="006F44CB">
              <w:rPr>
                <w:rFonts w:ascii="Book Antiqua" w:hAnsi="Book Antiqua"/>
                <w:color w:val="000000"/>
                <w:sz w:val="24"/>
                <w:szCs w:val="24"/>
              </w:rPr>
              <w:t>Statutory or Administrative Requirements</w:t>
            </w:r>
          </w:p>
        </w:tc>
        <w:tc>
          <w:tcPr>
            <w:tcW w:w="6591" w:type="dxa"/>
          </w:tcPr>
          <w:p w14:paraId="43033EC7" w14:textId="77777777" w:rsidR="006F44CB" w:rsidRPr="006F44CB" w:rsidRDefault="006F44CB" w:rsidP="00B5384C">
            <w:pPr>
              <w:keepNext/>
              <w:keepLines/>
              <w:spacing w:before="60" w:after="60"/>
              <w:rPr>
                <w:rFonts w:ascii="Book Antiqua" w:hAnsi="Book Antiqua"/>
                <w:sz w:val="24"/>
                <w:szCs w:val="24"/>
              </w:rPr>
            </w:pPr>
            <w:r w:rsidRPr="006F44CB">
              <w:rPr>
                <w:rFonts w:ascii="Book Antiqua" w:hAnsi="Book Antiqua"/>
                <w:sz w:val="24"/>
                <w:szCs w:val="24"/>
              </w:rPr>
              <w:t xml:space="preserve">KCCP did not speak directly to the following requirements: </w:t>
            </w:r>
          </w:p>
          <w:p w14:paraId="6E8C3919" w14:textId="77777777" w:rsidR="006F44CB" w:rsidRPr="006F44CB" w:rsidRDefault="006F44CB" w:rsidP="00B5384C">
            <w:pPr>
              <w:keepNext/>
              <w:keepLines/>
              <w:numPr>
                <w:ilvl w:val="0"/>
                <w:numId w:val="16"/>
              </w:numPr>
              <w:spacing w:before="60" w:after="60"/>
              <w:rPr>
                <w:rFonts w:ascii="Book Antiqua" w:hAnsi="Book Antiqua"/>
                <w:sz w:val="24"/>
                <w:szCs w:val="24"/>
              </w:rPr>
            </w:pPr>
            <w:r w:rsidRPr="006F44CB">
              <w:rPr>
                <w:rFonts w:ascii="Book Antiqua" w:hAnsi="Book Antiqua"/>
                <w:sz w:val="24"/>
                <w:szCs w:val="24"/>
              </w:rPr>
              <w:t>50% RPS by 2030</w:t>
            </w:r>
            <w:r w:rsidR="00E31C6B">
              <w:rPr>
                <w:rFonts w:ascii="Book Antiqua" w:hAnsi="Book Antiqua"/>
                <w:sz w:val="24"/>
                <w:szCs w:val="24"/>
              </w:rPr>
              <w:t>.</w:t>
            </w:r>
          </w:p>
          <w:p w14:paraId="14776800" w14:textId="77777777" w:rsidR="006F44CB" w:rsidRPr="006F44CB" w:rsidRDefault="006F44CB" w:rsidP="00B5384C">
            <w:pPr>
              <w:keepNext/>
              <w:keepLines/>
              <w:numPr>
                <w:ilvl w:val="0"/>
                <w:numId w:val="16"/>
              </w:numPr>
              <w:spacing w:before="60" w:after="60"/>
              <w:rPr>
                <w:rFonts w:ascii="Book Antiqua" w:hAnsi="Book Antiqua"/>
                <w:sz w:val="24"/>
                <w:szCs w:val="24"/>
              </w:rPr>
            </w:pPr>
            <w:r w:rsidRPr="006F44CB">
              <w:rPr>
                <w:rFonts w:ascii="Book Antiqua" w:hAnsi="Book Antiqua"/>
                <w:color w:val="000000"/>
                <w:sz w:val="24"/>
                <w:szCs w:val="24"/>
              </w:rPr>
              <w:t>Strengthen the diversity, sustainability, and resilience of the bulk transmission and distribution systems, and local communities</w:t>
            </w:r>
            <w:r w:rsidR="00E31C6B">
              <w:rPr>
                <w:rFonts w:ascii="Book Antiqua" w:hAnsi="Book Antiqua"/>
                <w:color w:val="000000"/>
                <w:sz w:val="24"/>
                <w:szCs w:val="24"/>
              </w:rPr>
              <w:t>.</w:t>
            </w:r>
          </w:p>
          <w:p w14:paraId="43DD7B7A" w14:textId="77777777" w:rsidR="006F44CB" w:rsidRPr="006F44CB" w:rsidRDefault="006F44CB" w:rsidP="00B5384C">
            <w:pPr>
              <w:keepNext/>
              <w:keepLines/>
              <w:numPr>
                <w:ilvl w:val="0"/>
                <w:numId w:val="16"/>
              </w:numPr>
              <w:spacing w:before="60" w:after="60"/>
              <w:rPr>
                <w:rFonts w:ascii="Book Antiqua" w:hAnsi="Book Antiqua"/>
                <w:sz w:val="24"/>
                <w:szCs w:val="24"/>
              </w:rPr>
            </w:pPr>
            <w:r w:rsidRPr="006F44CB">
              <w:rPr>
                <w:rFonts w:ascii="Book Antiqua" w:hAnsi="Book Antiqua"/>
                <w:color w:val="000000"/>
                <w:sz w:val="24"/>
                <w:szCs w:val="24"/>
              </w:rPr>
              <w:t>Enhance distribution systems and demand</w:t>
            </w:r>
            <w:r w:rsidR="00D84A09">
              <w:rPr>
                <w:rFonts w:ascii="Book Antiqua" w:hAnsi="Book Antiqua"/>
                <w:color w:val="000000"/>
                <w:sz w:val="24"/>
                <w:szCs w:val="24"/>
              </w:rPr>
              <w:noBreakHyphen/>
            </w:r>
            <w:r w:rsidRPr="006F44CB">
              <w:rPr>
                <w:rFonts w:ascii="Book Antiqua" w:hAnsi="Book Antiqua"/>
                <w:color w:val="000000"/>
                <w:sz w:val="24"/>
                <w:szCs w:val="24"/>
              </w:rPr>
              <w:t>side energy management</w:t>
            </w:r>
            <w:r w:rsidR="00E31C6B">
              <w:rPr>
                <w:rFonts w:ascii="Book Antiqua" w:hAnsi="Book Antiqua"/>
                <w:color w:val="000000"/>
                <w:sz w:val="24"/>
                <w:szCs w:val="24"/>
              </w:rPr>
              <w:t>.</w:t>
            </w:r>
          </w:p>
        </w:tc>
      </w:tr>
      <w:tr w:rsidR="006F44CB" w:rsidRPr="006F44CB" w14:paraId="4114334D" w14:textId="77777777" w:rsidTr="006F44CB">
        <w:tc>
          <w:tcPr>
            <w:tcW w:w="2759" w:type="dxa"/>
          </w:tcPr>
          <w:p w14:paraId="24E991AA" w14:textId="77777777" w:rsidR="006F44CB" w:rsidRPr="006F44CB" w:rsidRDefault="006F44CB" w:rsidP="00F501CF">
            <w:pPr>
              <w:spacing w:before="60" w:after="60"/>
              <w:rPr>
                <w:rFonts w:ascii="Book Antiqua" w:hAnsi="Book Antiqua"/>
                <w:sz w:val="24"/>
                <w:szCs w:val="24"/>
              </w:rPr>
            </w:pPr>
            <w:r w:rsidRPr="006F44CB">
              <w:rPr>
                <w:rFonts w:ascii="Book Antiqua" w:hAnsi="Book Antiqua"/>
                <w:color w:val="000000"/>
                <w:sz w:val="24"/>
                <w:szCs w:val="24"/>
              </w:rPr>
              <w:t>Action Plan</w:t>
            </w:r>
          </w:p>
        </w:tc>
        <w:tc>
          <w:tcPr>
            <w:tcW w:w="6591" w:type="dxa"/>
          </w:tcPr>
          <w:p w14:paraId="2F85F4FC"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KCCP only addresses its action plan in terms of disadvantaged communities, from which it claims not to serve or procure power. </w:t>
            </w:r>
            <w:r w:rsidR="008672C5">
              <w:rPr>
                <w:rFonts w:ascii="Book Antiqua" w:hAnsi="Book Antiqua"/>
                <w:sz w:val="24"/>
                <w:szCs w:val="24"/>
              </w:rPr>
              <w:t xml:space="preserve"> </w:t>
            </w:r>
            <w:r w:rsidRPr="006F44CB">
              <w:rPr>
                <w:rFonts w:ascii="Book Antiqua" w:hAnsi="Book Antiqua"/>
                <w:sz w:val="24"/>
                <w:szCs w:val="24"/>
              </w:rPr>
              <w:t>There is no articulation of other actions it proposes to take in the next one to three years to implement its plan.</w:t>
            </w:r>
          </w:p>
        </w:tc>
      </w:tr>
      <w:tr w:rsidR="006F44CB" w:rsidRPr="006F44CB" w14:paraId="0B35F46B" w14:textId="77777777" w:rsidTr="006F44CB">
        <w:tc>
          <w:tcPr>
            <w:tcW w:w="2759" w:type="dxa"/>
          </w:tcPr>
          <w:p w14:paraId="3F00DCF3" w14:textId="77777777" w:rsidR="006F44CB" w:rsidRPr="006F44CB" w:rsidRDefault="006F44CB" w:rsidP="00F501CF">
            <w:pPr>
              <w:spacing w:before="60" w:after="60"/>
              <w:rPr>
                <w:rFonts w:ascii="Book Antiqua" w:hAnsi="Book Antiqua"/>
                <w:sz w:val="24"/>
                <w:szCs w:val="24"/>
              </w:rPr>
            </w:pPr>
            <w:r w:rsidRPr="006F44CB">
              <w:rPr>
                <w:rFonts w:ascii="Book Antiqua" w:hAnsi="Book Antiqua"/>
                <w:color w:val="000000"/>
                <w:sz w:val="24"/>
                <w:szCs w:val="24"/>
              </w:rPr>
              <w:t>Barriers and Lessons Learned</w:t>
            </w:r>
          </w:p>
        </w:tc>
        <w:tc>
          <w:tcPr>
            <w:tcW w:w="6591" w:type="dxa"/>
          </w:tcPr>
          <w:p w14:paraId="1F293729"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KCCP did not identify any barriers or provide lessons learned.</w:t>
            </w:r>
          </w:p>
        </w:tc>
      </w:tr>
    </w:tbl>
    <w:p w14:paraId="2FEE5C27" w14:textId="77777777" w:rsidR="006F44CB" w:rsidRPr="00F501CF" w:rsidRDefault="006F44CB" w:rsidP="00F501CF">
      <w:pPr>
        <w:keepNext/>
        <w:keepLines/>
        <w:spacing w:before="240" w:after="120" w:line="276" w:lineRule="auto"/>
        <w:outlineLvl w:val="3"/>
        <w:rPr>
          <w:rFonts w:ascii="Book Antiqua" w:eastAsiaTheme="majorEastAsia" w:hAnsi="Book Antiqua" w:cstheme="majorBidi"/>
          <w:b/>
          <w:i/>
          <w:iCs/>
          <w:szCs w:val="24"/>
        </w:rPr>
      </w:pPr>
      <w:r w:rsidRPr="00F501CF">
        <w:rPr>
          <w:rFonts w:ascii="Book Antiqua" w:eastAsiaTheme="majorEastAsia" w:hAnsi="Book Antiqua" w:cstheme="majorBidi"/>
          <w:b/>
          <w:i/>
          <w:iCs/>
          <w:szCs w:val="24"/>
        </w:rPr>
        <w:t>Next Steps for KCCP</w:t>
      </w:r>
    </w:p>
    <w:p w14:paraId="66520F3E" w14:textId="77777777" w:rsidR="006F44CB" w:rsidRPr="00F501CF" w:rsidRDefault="006F44CB" w:rsidP="006F44CB">
      <w:pPr>
        <w:spacing w:after="200" w:line="276" w:lineRule="auto"/>
        <w:rPr>
          <w:rFonts w:ascii="Book Antiqua" w:hAnsi="Book Antiqua" w:cstheme="minorBidi"/>
          <w:szCs w:val="24"/>
        </w:rPr>
      </w:pPr>
      <w:r w:rsidRPr="00F501CF">
        <w:rPr>
          <w:rFonts w:ascii="Book Antiqua" w:hAnsi="Book Antiqua" w:cstheme="minorBidi"/>
          <w:b/>
          <w:szCs w:val="24"/>
        </w:rPr>
        <w:t>Action required in this IRP 2017</w:t>
      </w:r>
      <w:r w:rsidR="00D84A09" w:rsidRPr="00F501CF">
        <w:rPr>
          <w:rFonts w:ascii="Book Antiqua" w:hAnsi="Book Antiqua" w:cstheme="minorBidi"/>
          <w:b/>
          <w:szCs w:val="24"/>
        </w:rPr>
        <w:noBreakHyphen/>
      </w:r>
      <w:r w:rsidRPr="00F501CF">
        <w:rPr>
          <w:rFonts w:ascii="Book Antiqua" w:hAnsi="Book Antiqua" w:cstheme="minorBidi"/>
          <w:b/>
          <w:szCs w:val="24"/>
        </w:rPr>
        <w:t>18 cycle</w:t>
      </w:r>
      <w:r w:rsidRPr="00F501CF">
        <w:rPr>
          <w:rFonts w:ascii="Book Antiqua" w:hAnsi="Book Antiqua" w:cstheme="minorBidi"/>
          <w:szCs w:val="24"/>
        </w:rPr>
        <w:t xml:space="preserve">: </w:t>
      </w:r>
      <w:r w:rsidR="004731C2" w:rsidRPr="00F501CF">
        <w:rPr>
          <w:rFonts w:ascii="Book Antiqua" w:hAnsi="Book Antiqua" w:cstheme="minorBidi"/>
          <w:szCs w:val="24"/>
        </w:rPr>
        <w:t xml:space="preserve"> </w:t>
      </w:r>
      <w:r w:rsidRPr="00F501CF">
        <w:rPr>
          <w:rFonts w:ascii="Book Antiqua" w:hAnsi="Book Antiqua" w:cstheme="minorBidi"/>
          <w:szCs w:val="24"/>
        </w:rPr>
        <w:t>Provide a description of any disadvantaged communities that KCCP serves, or state that no disadvantaged communities are located in KCCP’s territory.</w:t>
      </w:r>
    </w:p>
    <w:p w14:paraId="751FBDDF" w14:textId="77777777" w:rsidR="006F44CB" w:rsidRPr="00F501CF" w:rsidRDefault="006F44CB" w:rsidP="006F44CB">
      <w:pPr>
        <w:spacing w:after="200" w:line="276" w:lineRule="auto"/>
        <w:rPr>
          <w:rFonts w:ascii="Book Antiqua" w:hAnsi="Book Antiqua" w:cstheme="minorBidi"/>
          <w:szCs w:val="24"/>
        </w:rPr>
      </w:pPr>
      <w:r w:rsidRPr="00F501CF">
        <w:rPr>
          <w:rFonts w:ascii="Book Antiqua" w:hAnsi="Book Antiqua" w:cstheme="minorBidi"/>
          <w:b/>
          <w:szCs w:val="24"/>
        </w:rPr>
        <w:t>Guidance for LSE Plan development in the next IRP cycle</w:t>
      </w:r>
      <w:r w:rsidRPr="00F501CF">
        <w:rPr>
          <w:rFonts w:ascii="Book Antiqua" w:hAnsi="Book Antiqua" w:cstheme="minorBidi"/>
          <w:szCs w:val="24"/>
        </w:rPr>
        <w:t>:</w:t>
      </w:r>
    </w:p>
    <w:p w14:paraId="5DC419FB" w14:textId="77777777" w:rsidR="006F44CB" w:rsidRPr="00F501CF" w:rsidRDefault="006F44CB" w:rsidP="00894BE0">
      <w:pPr>
        <w:numPr>
          <w:ilvl w:val="0"/>
          <w:numId w:val="16"/>
        </w:numPr>
        <w:spacing w:after="200" w:line="276" w:lineRule="auto"/>
        <w:rPr>
          <w:rFonts w:ascii="Book Antiqua" w:hAnsi="Book Antiqua"/>
          <w:szCs w:val="24"/>
        </w:rPr>
      </w:pPr>
      <w:r w:rsidRPr="00F501CF">
        <w:rPr>
          <w:rFonts w:ascii="Book Antiqua" w:hAnsi="Book Antiqua"/>
          <w:szCs w:val="24"/>
        </w:rPr>
        <w:t>When modifying default load modifier inputs in the CNS Calculator, provide supporting evidence or rationale for making those modifications.</w:t>
      </w:r>
    </w:p>
    <w:p w14:paraId="4725A9B2" w14:textId="77777777" w:rsidR="006F44CB" w:rsidRPr="00F501CF" w:rsidRDefault="006F44CB" w:rsidP="00894BE0">
      <w:pPr>
        <w:numPr>
          <w:ilvl w:val="0"/>
          <w:numId w:val="16"/>
        </w:numPr>
        <w:spacing w:after="200" w:line="276" w:lineRule="auto"/>
        <w:rPr>
          <w:rFonts w:ascii="Book Antiqua" w:hAnsi="Book Antiqua"/>
          <w:szCs w:val="24"/>
        </w:rPr>
      </w:pPr>
      <w:bookmarkStart w:id="108" w:name="_Hlk534986138"/>
      <w:r w:rsidRPr="00F501CF">
        <w:rPr>
          <w:rFonts w:ascii="Book Antiqua" w:hAnsi="Book Antiqua"/>
          <w:szCs w:val="24"/>
        </w:rPr>
        <w:t>Provide an action plan that includes all the actions the LSE proposes to take in the next one to three years to implement its plan.</w:t>
      </w:r>
    </w:p>
    <w:bookmarkEnd w:id="108"/>
    <w:p w14:paraId="0AEBE0A4" w14:textId="77777777" w:rsidR="006F44CB" w:rsidRPr="00F501CF" w:rsidRDefault="006F44CB" w:rsidP="00894BE0">
      <w:pPr>
        <w:numPr>
          <w:ilvl w:val="0"/>
          <w:numId w:val="16"/>
        </w:numPr>
        <w:spacing w:after="200" w:line="276" w:lineRule="auto"/>
        <w:rPr>
          <w:rFonts w:ascii="Book Antiqua" w:hAnsi="Book Antiqua"/>
          <w:szCs w:val="24"/>
        </w:rPr>
      </w:pPr>
      <w:r w:rsidRPr="00F501CF">
        <w:rPr>
          <w:rFonts w:ascii="Book Antiqua" w:hAnsi="Book Antiqua"/>
          <w:szCs w:val="24"/>
        </w:rPr>
        <w:t>Provide a description of any barriers and lessons learned from the prior IRP and/or procurement cycle.</w:t>
      </w:r>
    </w:p>
    <w:p w14:paraId="1615B84A" w14:textId="77777777" w:rsidR="006F44CB" w:rsidRPr="00F501CF" w:rsidRDefault="006F44CB" w:rsidP="00B5384C">
      <w:pPr>
        <w:keepNext/>
        <w:keepLines/>
        <w:spacing w:before="60" w:after="60"/>
        <w:rPr>
          <w:rFonts w:ascii="Book Antiqua" w:eastAsiaTheme="majorEastAsia" w:hAnsi="Book Antiqua" w:cstheme="majorBidi"/>
          <w:b/>
          <w:szCs w:val="24"/>
        </w:rPr>
      </w:pPr>
      <w:bookmarkStart w:id="109" w:name="_Toc868791"/>
      <w:r w:rsidRPr="00F501CF">
        <w:rPr>
          <w:rFonts w:ascii="Book Antiqua" w:eastAsiaTheme="majorEastAsia" w:hAnsi="Book Antiqua" w:cstheme="majorBidi"/>
          <w:b/>
          <w:szCs w:val="24"/>
        </w:rPr>
        <w:t>Liberty Utilities (CalPeco Electric)</w:t>
      </w:r>
      <w:bookmarkEnd w:id="109"/>
    </w:p>
    <w:tbl>
      <w:tblPr>
        <w:tblStyle w:val="TableGrid4"/>
        <w:tblW w:w="0" w:type="auto"/>
        <w:tblLook w:val="04A0" w:firstRow="1" w:lastRow="0" w:firstColumn="1" w:lastColumn="0" w:noHBand="0" w:noVBand="1"/>
      </w:tblPr>
      <w:tblGrid>
        <w:gridCol w:w="2759"/>
        <w:gridCol w:w="6591"/>
      </w:tblGrid>
      <w:tr w:rsidR="006F44CB" w:rsidRPr="006F44CB" w14:paraId="7E367D82" w14:textId="77777777" w:rsidTr="006F44CB">
        <w:tc>
          <w:tcPr>
            <w:tcW w:w="2759" w:type="dxa"/>
          </w:tcPr>
          <w:p w14:paraId="5A4BB803" w14:textId="77777777" w:rsidR="006F44CB" w:rsidRPr="006F44CB" w:rsidRDefault="006F44CB" w:rsidP="00B5384C">
            <w:pPr>
              <w:keepNext/>
              <w:keepLines/>
              <w:spacing w:before="60" w:after="60"/>
              <w:rPr>
                <w:rFonts w:ascii="Book Antiqua" w:hAnsi="Book Antiqua"/>
                <w:b/>
                <w:sz w:val="24"/>
                <w:szCs w:val="24"/>
              </w:rPr>
            </w:pPr>
            <w:r w:rsidRPr="006F44CB">
              <w:rPr>
                <w:rFonts w:ascii="Book Antiqua" w:hAnsi="Book Antiqua"/>
                <w:b/>
                <w:sz w:val="24"/>
                <w:szCs w:val="24"/>
              </w:rPr>
              <w:t>Requirement</w:t>
            </w:r>
          </w:p>
        </w:tc>
        <w:tc>
          <w:tcPr>
            <w:tcW w:w="6591" w:type="dxa"/>
          </w:tcPr>
          <w:p w14:paraId="25DF2FB8" w14:textId="77777777" w:rsidR="006F44CB" w:rsidRPr="006F44CB" w:rsidRDefault="006F44CB" w:rsidP="00B5384C">
            <w:pPr>
              <w:keepNext/>
              <w:keepLines/>
              <w:spacing w:before="60" w:after="60"/>
              <w:rPr>
                <w:rFonts w:ascii="Book Antiqua" w:hAnsi="Book Antiqua"/>
                <w:b/>
                <w:sz w:val="24"/>
                <w:szCs w:val="24"/>
              </w:rPr>
            </w:pPr>
            <w:r w:rsidRPr="006F44CB">
              <w:rPr>
                <w:rFonts w:ascii="Book Antiqua" w:hAnsi="Book Antiqua"/>
                <w:b/>
                <w:sz w:val="24"/>
                <w:szCs w:val="24"/>
              </w:rPr>
              <w:t>Staff Assessment</w:t>
            </w:r>
          </w:p>
        </w:tc>
      </w:tr>
      <w:tr w:rsidR="006F44CB" w:rsidRPr="006F44CB" w14:paraId="2618A32C" w14:textId="77777777" w:rsidTr="006F44CB">
        <w:tc>
          <w:tcPr>
            <w:tcW w:w="2759" w:type="dxa"/>
          </w:tcPr>
          <w:p w14:paraId="0B79D200" w14:textId="77777777" w:rsidR="006F44CB" w:rsidRPr="006F44CB" w:rsidRDefault="006F44CB" w:rsidP="00B5384C">
            <w:pPr>
              <w:keepNext/>
              <w:keepLines/>
              <w:spacing w:before="60" w:after="60"/>
              <w:rPr>
                <w:rFonts w:ascii="Book Antiqua" w:hAnsi="Book Antiqua"/>
                <w:sz w:val="24"/>
                <w:szCs w:val="24"/>
              </w:rPr>
            </w:pPr>
            <w:r w:rsidRPr="006F44CB">
              <w:rPr>
                <w:rFonts w:ascii="Book Antiqua" w:hAnsi="Book Antiqua"/>
                <w:sz w:val="24"/>
                <w:szCs w:val="24"/>
              </w:rPr>
              <w:t>Required Forms</w:t>
            </w:r>
          </w:p>
        </w:tc>
        <w:tc>
          <w:tcPr>
            <w:tcW w:w="6591" w:type="dxa"/>
          </w:tcPr>
          <w:p w14:paraId="5B7A0185" w14:textId="77777777" w:rsidR="006F44CB" w:rsidRPr="006F44CB" w:rsidRDefault="006F44CB" w:rsidP="00B5384C">
            <w:pPr>
              <w:keepNext/>
              <w:keepLines/>
              <w:spacing w:before="60" w:after="60"/>
              <w:rPr>
                <w:rFonts w:ascii="Book Antiqua" w:hAnsi="Book Antiqua"/>
                <w:sz w:val="24"/>
                <w:szCs w:val="24"/>
              </w:rPr>
            </w:pPr>
            <w:r w:rsidRPr="006F44CB">
              <w:rPr>
                <w:rFonts w:ascii="Book Antiqua" w:hAnsi="Book Antiqua"/>
                <w:sz w:val="24"/>
                <w:szCs w:val="24"/>
              </w:rPr>
              <w:t>Liberty CalPeco provided the following required forms:</w:t>
            </w:r>
          </w:p>
          <w:p w14:paraId="72993C01" w14:textId="77777777" w:rsidR="006F44CB" w:rsidRPr="006F44CB" w:rsidRDefault="006F44CB" w:rsidP="00B5384C">
            <w:pPr>
              <w:keepNext/>
              <w:keepLines/>
              <w:numPr>
                <w:ilvl w:val="0"/>
                <w:numId w:val="26"/>
              </w:numPr>
              <w:spacing w:before="60" w:after="60"/>
              <w:rPr>
                <w:rFonts w:ascii="Book Antiqua" w:hAnsi="Book Antiqua"/>
                <w:sz w:val="24"/>
                <w:szCs w:val="24"/>
              </w:rPr>
            </w:pPr>
            <w:r w:rsidRPr="006F44CB">
              <w:rPr>
                <w:rFonts w:ascii="Book Antiqua" w:hAnsi="Book Antiqua"/>
                <w:sz w:val="24"/>
                <w:szCs w:val="24"/>
              </w:rPr>
              <w:t>CEC Form S1</w:t>
            </w:r>
          </w:p>
          <w:p w14:paraId="7B9FF9C1" w14:textId="77777777" w:rsidR="006F44CB" w:rsidRPr="006F44CB" w:rsidRDefault="006F44CB" w:rsidP="00B5384C">
            <w:pPr>
              <w:keepNext/>
              <w:keepLines/>
              <w:numPr>
                <w:ilvl w:val="0"/>
                <w:numId w:val="26"/>
              </w:numPr>
              <w:spacing w:before="60" w:after="60"/>
              <w:rPr>
                <w:rFonts w:ascii="Book Antiqua" w:hAnsi="Book Antiqua"/>
                <w:color w:val="000000"/>
                <w:sz w:val="24"/>
                <w:szCs w:val="24"/>
              </w:rPr>
            </w:pPr>
            <w:r w:rsidRPr="006F44CB">
              <w:rPr>
                <w:rFonts w:ascii="Book Antiqua" w:hAnsi="Book Antiqua"/>
                <w:color w:val="000000"/>
                <w:sz w:val="24"/>
                <w:szCs w:val="24"/>
              </w:rPr>
              <w:t>CEC Form S2 or EIA Form 861 or EIA Form 861S</w:t>
            </w:r>
          </w:p>
          <w:p w14:paraId="433D6A02" w14:textId="77777777" w:rsidR="006F44CB" w:rsidRPr="006F44CB" w:rsidRDefault="006F44CB" w:rsidP="00B5384C">
            <w:pPr>
              <w:keepNext/>
              <w:keepLines/>
              <w:numPr>
                <w:ilvl w:val="0"/>
                <w:numId w:val="26"/>
              </w:numPr>
              <w:spacing w:before="60" w:after="60"/>
              <w:rPr>
                <w:rFonts w:ascii="Book Antiqua" w:hAnsi="Book Antiqua"/>
                <w:sz w:val="24"/>
                <w:szCs w:val="24"/>
              </w:rPr>
            </w:pPr>
            <w:r w:rsidRPr="006F44CB">
              <w:rPr>
                <w:rFonts w:ascii="Book Antiqua" w:hAnsi="Book Antiqua"/>
                <w:color w:val="000000"/>
                <w:sz w:val="24"/>
                <w:szCs w:val="24"/>
              </w:rPr>
              <w:t>CEC Power Content Report</w:t>
            </w:r>
          </w:p>
        </w:tc>
      </w:tr>
      <w:tr w:rsidR="006F44CB" w:rsidRPr="006F44CB" w14:paraId="26663FD6" w14:textId="77777777" w:rsidTr="006F44CB">
        <w:tc>
          <w:tcPr>
            <w:tcW w:w="2759" w:type="dxa"/>
          </w:tcPr>
          <w:p w14:paraId="1A389DA9"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Treatment of Disadvantaged Communities</w:t>
            </w:r>
          </w:p>
        </w:tc>
        <w:tc>
          <w:tcPr>
            <w:tcW w:w="6591" w:type="dxa"/>
          </w:tcPr>
          <w:p w14:paraId="09052B99"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Liberty CalPeco provided an adequate description of treatment of disadvantaged communities in its LSE Plan.</w:t>
            </w:r>
          </w:p>
        </w:tc>
      </w:tr>
      <w:tr w:rsidR="006F44CB" w:rsidRPr="006F44CB" w14:paraId="6EB04348" w14:textId="77777777" w:rsidTr="006F44CB">
        <w:tc>
          <w:tcPr>
            <w:tcW w:w="2759" w:type="dxa"/>
          </w:tcPr>
          <w:p w14:paraId="3BABB182"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GHG Target Planning</w:t>
            </w:r>
          </w:p>
        </w:tc>
        <w:tc>
          <w:tcPr>
            <w:tcW w:w="6591" w:type="dxa"/>
          </w:tcPr>
          <w:p w14:paraId="44C5ADFB"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Liberty CalPeco used the CNS calculator correctly to show that its Conforming Portfolio meets its 2030 GHG Benchmark.</w:t>
            </w:r>
          </w:p>
        </w:tc>
      </w:tr>
      <w:tr w:rsidR="006F44CB" w:rsidRPr="006F44CB" w14:paraId="4A683952" w14:textId="77777777" w:rsidTr="006F44CB">
        <w:tc>
          <w:tcPr>
            <w:tcW w:w="2759" w:type="dxa"/>
          </w:tcPr>
          <w:p w14:paraId="7B121DD5"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Conforming and Alternative Portfolios</w:t>
            </w:r>
          </w:p>
        </w:tc>
        <w:tc>
          <w:tcPr>
            <w:tcW w:w="6591" w:type="dxa"/>
          </w:tcPr>
          <w:p w14:paraId="010F7E2D"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Liberty CalPeco provided an adequate description of its Conforming Portfolio.</w:t>
            </w:r>
            <w:r w:rsidR="008672C5">
              <w:rPr>
                <w:rFonts w:ascii="Book Antiqua" w:hAnsi="Book Antiqua"/>
                <w:sz w:val="24"/>
                <w:szCs w:val="24"/>
              </w:rPr>
              <w:t xml:space="preserve"> </w:t>
            </w:r>
            <w:r w:rsidRPr="006F44CB">
              <w:rPr>
                <w:rFonts w:ascii="Book Antiqua" w:hAnsi="Book Antiqua"/>
                <w:sz w:val="24"/>
                <w:szCs w:val="24"/>
              </w:rPr>
              <w:t xml:space="preserve"> It did not submit an optional Alternative Portfolio.</w:t>
            </w:r>
          </w:p>
        </w:tc>
      </w:tr>
      <w:tr w:rsidR="006F44CB" w:rsidRPr="006F44CB" w14:paraId="6ECE24B7" w14:textId="77777777" w:rsidTr="006F44CB">
        <w:tc>
          <w:tcPr>
            <w:tcW w:w="2759" w:type="dxa"/>
          </w:tcPr>
          <w:p w14:paraId="1B6BE8BE" w14:textId="77777777" w:rsidR="006F44CB" w:rsidRPr="006F44CB" w:rsidRDefault="006F44CB" w:rsidP="00F501CF">
            <w:pPr>
              <w:spacing w:before="60" w:after="60"/>
              <w:rPr>
                <w:rFonts w:ascii="Book Antiqua" w:hAnsi="Book Antiqua"/>
                <w:sz w:val="24"/>
                <w:szCs w:val="24"/>
              </w:rPr>
            </w:pPr>
            <w:r w:rsidRPr="006F44CB">
              <w:rPr>
                <w:rFonts w:ascii="Book Antiqua" w:hAnsi="Book Antiqua"/>
                <w:color w:val="000000"/>
                <w:sz w:val="24"/>
                <w:szCs w:val="24"/>
              </w:rPr>
              <w:t>Statutory or Administrative Requirements</w:t>
            </w:r>
          </w:p>
        </w:tc>
        <w:tc>
          <w:tcPr>
            <w:tcW w:w="6591" w:type="dxa"/>
          </w:tcPr>
          <w:p w14:paraId="15CC79D2"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 xml:space="preserve">Liberty CalPeco did not speak directly to the following requirements: </w:t>
            </w:r>
          </w:p>
          <w:p w14:paraId="606A3AFD" w14:textId="77777777" w:rsidR="006F44CB" w:rsidRPr="006F44CB" w:rsidRDefault="006F44CB" w:rsidP="00F501CF">
            <w:pPr>
              <w:numPr>
                <w:ilvl w:val="0"/>
                <w:numId w:val="27"/>
              </w:numPr>
              <w:spacing w:before="60" w:after="60"/>
              <w:rPr>
                <w:rFonts w:ascii="Book Antiqua" w:hAnsi="Book Antiqua"/>
                <w:sz w:val="24"/>
                <w:szCs w:val="24"/>
              </w:rPr>
            </w:pPr>
            <w:r w:rsidRPr="006F44CB">
              <w:rPr>
                <w:rFonts w:ascii="Book Antiqua" w:hAnsi="Book Antiqua"/>
                <w:sz w:val="24"/>
                <w:szCs w:val="24"/>
              </w:rPr>
              <w:t>Strengthen the diversity, sustainability, and resilience of the bulk transmission and distribution systems, and local communities.</w:t>
            </w:r>
          </w:p>
          <w:p w14:paraId="6665E39C" w14:textId="77777777" w:rsidR="006F44CB" w:rsidRPr="006F44CB" w:rsidRDefault="006F44CB" w:rsidP="00F501CF">
            <w:pPr>
              <w:numPr>
                <w:ilvl w:val="0"/>
                <w:numId w:val="27"/>
              </w:numPr>
              <w:spacing w:before="60" w:after="60"/>
              <w:rPr>
                <w:rFonts w:ascii="Book Antiqua" w:hAnsi="Book Antiqua"/>
                <w:sz w:val="24"/>
                <w:szCs w:val="24"/>
              </w:rPr>
            </w:pPr>
            <w:r w:rsidRPr="006F44CB">
              <w:rPr>
                <w:rFonts w:ascii="Book Antiqua" w:hAnsi="Book Antiqua"/>
                <w:sz w:val="24"/>
                <w:szCs w:val="24"/>
              </w:rPr>
              <w:t>Enhance distribution systems and demand</w:t>
            </w:r>
            <w:r w:rsidR="00D84A09">
              <w:rPr>
                <w:rFonts w:ascii="Book Antiqua" w:hAnsi="Book Antiqua"/>
                <w:sz w:val="24"/>
                <w:szCs w:val="24"/>
              </w:rPr>
              <w:noBreakHyphen/>
            </w:r>
            <w:r w:rsidRPr="006F44CB">
              <w:rPr>
                <w:rFonts w:ascii="Book Antiqua" w:hAnsi="Book Antiqua"/>
                <w:sz w:val="24"/>
                <w:szCs w:val="24"/>
              </w:rPr>
              <w:t>side energy management.</w:t>
            </w:r>
          </w:p>
          <w:p w14:paraId="6DD9C07E"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Liberty CalPeco provided vague references to the following requirements:</w:t>
            </w:r>
          </w:p>
          <w:p w14:paraId="55BAA665"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sz w:val="24"/>
                <w:szCs w:val="24"/>
              </w:rPr>
              <w:t>50% RPS by 2030.</w:t>
            </w:r>
          </w:p>
          <w:p w14:paraId="748E5E02"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Serve customers at just and reasonable rates.</w:t>
            </w:r>
          </w:p>
          <w:p w14:paraId="14B97375"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Minimize impacts on ratepayers’ bills.</w:t>
            </w:r>
          </w:p>
          <w:p w14:paraId="298F0561" w14:textId="77777777" w:rsidR="006F44CB" w:rsidRPr="006F44CB" w:rsidRDefault="006F44CB" w:rsidP="00F501C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Ensure system and local reliability.</w:t>
            </w:r>
          </w:p>
        </w:tc>
      </w:tr>
      <w:tr w:rsidR="006F44CB" w:rsidRPr="006F44CB" w14:paraId="5146865E" w14:textId="77777777" w:rsidTr="006F44CB">
        <w:tc>
          <w:tcPr>
            <w:tcW w:w="2759" w:type="dxa"/>
          </w:tcPr>
          <w:p w14:paraId="75636F72" w14:textId="77777777" w:rsidR="006F44CB" w:rsidRPr="006F44CB" w:rsidRDefault="006F44CB" w:rsidP="00F501CF">
            <w:pPr>
              <w:spacing w:before="60" w:after="60"/>
              <w:rPr>
                <w:rFonts w:ascii="Book Antiqua" w:hAnsi="Book Antiqua"/>
                <w:sz w:val="24"/>
                <w:szCs w:val="24"/>
              </w:rPr>
            </w:pPr>
            <w:r w:rsidRPr="006F44CB">
              <w:rPr>
                <w:rFonts w:ascii="Book Antiqua" w:hAnsi="Book Antiqua"/>
                <w:color w:val="000000"/>
                <w:sz w:val="24"/>
                <w:szCs w:val="24"/>
              </w:rPr>
              <w:t>Action Plan</w:t>
            </w:r>
          </w:p>
        </w:tc>
        <w:tc>
          <w:tcPr>
            <w:tcW w:w="6591" w:type="dxa"/>
          </w:tcPr>
          <w:p w14:paraId="02B76912"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Liberty CalPeco provided an adequate description of the actions it proposes to take in the next one to three years to implement its plan, detailing a procurement authorization request for short</w:t>
            </w:r>
            <w:r w:rsidR="00D84A09">
              <w:rPr>
                <w:rFonts w:ascii="Book Antiqua" w:hAnsi="Book Antiqua"/>
                <w:sz w:val="24"/>
                <w:szCs w:val="24"/>
              </w:rPr>
              <w:noBreakHyphen/>
            </w:r>
            <w:r w:rsidRPr="006F44CB">
              <w:rPr>
                <w:rFonts w:ascii="Book Antiqua" w:hAnsi="Book Antiqua"/>
                <w:sz w:val="24"/>
                <w:szCs w:val="24"/>
              </w:rPr>
              <w:t>term bridging arrangements and long</w:t>
            </w:r>
            <w:r w:rsidR="00D84A09">
              <w:rPr>
                <w:rFonts w:ascii="Book Antiqua" w:hAnsi="Book Antiqua"/>
                <w:sz w:val="24"/>
                <w:szCs w:val="24"/>
              </w:rPr>
              <w:noBreakHyphen/>
            </w:r>
            <w:r w:rsidRPr="006F44CB">
              <w:rPr>
                <w:rFonts w:ascii="Book Antiqua" w:hAnsi="Book Antiqua"/>
                <w:sz w:val="24"/>
                <w:szCs w:val="24"/>
              </w:rPr>
              <w:t>term renewable supplies.</w:t>
            </w:r>
            <w:r w:rsidR="00DE4198">
              <w:rPr>
                <w:rFonts w:ascii="Book Antiqua" w:hAnsi="Book Antiqua"/>
                <w:sz w:val="24"/>
                <w:szCs w:val="24"/>
              </w:rPr>
              <w:t xml:space="preserve"> </w:t>
            </w:r>
            <w:r w:rsidRPr="006F44CB">
              <w:rPr>
                <w:rFonts w:ascii="Book Antiqua" w:hAnsi="Book Antiqua"/>
                <w:sz w:val="24"/>
                <w:szCs w:val="24"/>
              </w:rPr>
              <w:t xml:space="preserve"> </w:t>
            </w:r>
            <w:r w:rsidR="008E51E4">
              <w:rPr>
                <w:rFonts w:ascii="Book Antiqua" w:hAnsi="Book Antiqua"/>
                <w:sz w:val="24"/>
                <w:szCs w:val="24"/>
              </w:rPr>
              <w:t>A recent Commission decision (D.19</w:t>
            </w:r>
            <w:r w:rsidR="00D84A09">
              <w:rPr>
                <w:rFonts w:ascii="Book Antiqua" w:hAnsi="Book Antiqua"/>
                <w:sz w:val="24"/>
                <w:szCs w:val="24"/>
              </w:rPr>
              <w:noBreakHyphen/>
            </w:r>
            <w:r w:rsidR="008E51E4">
              <w:rPr>
                <w:rFonts w:ascii="Book Antiqua" w:hAnsi="Book Antiqua"/>
                <w:sz w:val="24"/>
                <w:szCs w:val="24"/>
              </w:rPr>
              <w:t>02</w:t>
            </w:r>
            <w:r w:rsidR="00D84A09">
              <w:rPr>
                <w:rFonts w:ascii="Book Antiqua" w:hAnsi="Book Antiqua"/>
                <w:sz w:val="24"/>
                <w:szCs w:val="24"/>
              </w:rPr>
              <w:noBreakHyphen/>
            </w:r>
            <w:r w:rsidR="008E51E4">
              <w:rPr>
                <w:rFonts w:ascii="Book Antiqua" w:hAnsi="Book Antiqua"/>
                <w:sz w:val="24"/>
                <w:szCs w:val="24"/>
              </w:rPr>
              <w:t>007) in the RPS proceeding (R.18</w:t>
            </w:r>
            <w:r w:rsidR="00D84A09">
              <w:rPr>
                <w:rFonts w:ascii="Book Antiqua" w:hAnsi="Book Antiqua"/>
                <w:sz w:val="24"/>
                <w:szCs w:val="24"/>
              </w:rPr>
              <w:noBreakHyphen/>
            </w:r>
            <w:r w:rsidR="008E51E4">
              <w:rPr>
                <w:rFonts w:ascii="Book Antiqua" w:hAnsi="Book Antiqua"/>
                <w:sz w:val="24"/>
                <w:szCs w:val="24"/>
              </w:rPr>
              <w:t>07</w:t>
            </w:r>
            <w:r w:rsidR="00D84A09">
              <w:rPr>
                <w:rFonts w:ascii="Book Antiqua" w:hAnsi="Book Antiqua"/>
                <w:sz w:val="24"/>
                <w:szCs w:val="24"/>
              </w:rPr>
              <w:noBreakHyphen/>
            </w:r>
            <w:r w:rsidR="008E51E4">
              <w:rPr>
                <w:rFonts w:ascii="Book Antiqua" w:hAnsi="Book Antiqua"/>
                <w:sz w:val="24"/>
                <w:szCs w:val="24"/>
              </w:rPr>
              <w:t xml:space="preserve">003), </w:t>
            </w:r>
            <w:r w:rsidRPr="008E51E4">
              <w:rPr>
                <w:rFonts w:ascii="Book Antiqua" w:hAnsi="Book Antiqua"/>
                <w:sz w:val="24"/>
                <w:szCs w:val="24"/>
              </w:rPr>
              <w:t xml:space="preserve">approved Liberty CalPeco’s draft 2018 RPS Procurement Plan subject to modifications. </w:t>
            </w:r>
            <w:r w:rsidR="00DE4198">
              <w:rPr>
                <w:rFonts w:ascii="Book Antiqua" w:hAnsi="Book Antiqua"/>
                <w:sz w:val="24"/>
                <w:szCs w:val="24"/>
              </w:rPr>
              <w:t xml:space="preserve"> </w:t>
            </w:r>
            <w:r w:rsidRPr="008E51E4">
              <w:rPr>
                <w:rFonts w:ascii="Book Antiqua" w:hAnsi="Book Antiqua"/>
                <w:sz w:val="24"/>
                <w:szCs w:val="24"/>
              </w:rPr>
              <w:t>While this decision authorized the procurement of RPS</w:t>
            </w:r>
            <w:r w:rsidR="00D84A09">
              <w:rPr>
                <w:rFonts w:ascii="Book Antiqua" w:hAnsi="Book Antiqua"/>
                <w:sz w:val="24"/>
                <w:szCs w:val="24"/>
              </w:rPr>
              <w:noBreakHyphen/>
            </w:r>
            <w:r w:rsidRPr="008E51E4">
              <w:rPr>
                <w:rFonts w:ascii="Book Antiqua" w:hAnsi="Book Antiqua"/>
                <w:sz w:val="24"/>
                <w:szCs w:val="24"/>
              </w:rPr>
              <w:t xml:space="preserve">eligible resources, other aspects of Liberty CalPeco’s request </w:t>
            </w:r>
            <w:r w:rsidR="008E51E4" w:rsidRPr="008E51E4">
              <w:rPr>
                <w:rFonts w:ascii="Book Antiqua" w:hAnsi="Book Antiqua"/>
                <w:sz w:val="24"/>
                <w:szCs w:val="24"/>
              </w:rPr>
              <w:t xml:space="preserve">are handled in this decision below. </w:t>
            </w:r>
          </w:p>
        </w:tc>
      </w:tr>
      <w:tr w:rsidR="006F44CB" w:rsidRPr="006F44CB" w14:paraId="046C1E68" w14:textId="77777777" w:rsidTr="006F44CB">
        <w:tc>
          <w:tcPr>
            <w:tcW w:w="2759" w:type="dxa"/>
          </w:tcPr>
          <w:p w14:paraId="199DB226" w14:textId="77777777" w:rsidR="006F44CB" w:rsidRPr="006F44CB" w:rsidRDefault="006F44CB" w:rsidP="00F501CF">
            <w:pPr>
              <w:spacing w:before="60" w:after="60"/>
              <w:rPr>
                <w:rFonts w:ascii="Book Antiqua" w:hAnsi="Book Antiqua"/>
                <w:sz w:val="24"/>
                <w:szCs w:val="24"/>
              </w:rPr>
            </w:pPr>
            <w:r w:rsidRPr="006F44CB">
              <w:rPr>
                <w:rFonts w:ascii="Book Antiqua" w:hAnsi="Book Antiqua"/>
                <w:color w:val="000000"/>
                <w:sz w:val="24"/>
                <w:szCs w:val="24"/>
              </w:rPr>
              <w:t>Barriers and Lessons Learned</w:t>
            </w:r>
          </w:p>
        </w:tc>
        <w:tc>
          <w:tcPr>
            <w:tcW w:w="6591" w:type="dxa"/>
          </w:tcPr>
          <w:p w14:paraId="51C818CC" w14:textId="77777777" w:rsidR="006F44CB" w:rsidRPr="006F44CB" w:rsidRDefault="006F44CB" w:rsidP="00F501CF">
            <w:pPr>
              <w:spacing w:before="60" w:after="60"/>
              <w:rPr>
                <w:rFonts w:ascii="Book Antiqua" w:hAnsi="Book Antiqua"/>
                <w:sz w:val="24"/>
                <w:szCs w:val="24"/>
              </w:rPr>
            </w:pPr>
            <w:r w:rsidRPr="006F44CB">
              <w:rPr>
                <w:rFonts w:ascii="Book Antiqua" w:hAnsi="Book Antiqua"/>
                <w:sz w:val="24"/>
                <w:szCs w:val="24"/>
              </w:rPr>
              <w:t>Liberty CalPeco did not identify any barriers or provide lessons learned.</w:t>
            </w:r>
          </w:p>
        </w:tc>
      </w:tr>
    </w:tbl>
    <w:p w14:paraId="42D73C85" w14:textId="77777777" w:rsidR="006F44CB" w:rsidRPr="00F501CF" w:rsidRDefault="006F44CB" w:rsidP="00F501CF">
      <w:pPr>
        <w:keepNext/>
        <w:keepLines/>
        <w:spacing w:before="240" w:after="120" w:line="276" w:lineRule="auto"/>
        <w:outlineLvl w:val="3"/>
        <w:rPr>
          <w:rFonts w:ascii="Book Antiqua" w:eastAsiaTheme="majorEastAsia" w:hAnsi="Book Antiqua" w:cstheme="majorBidi"/>
          <w:b/>
          <w:i/>
          <w:iCs/>
          <w:szCs w:val="24"/>
        </w:rPr>
      </w:pPr>
      <w:r w:rsidRPr="00F501CF">
        <w:rPr>
          <w:rFonts w:ascii="Book Antiqua" w:eastAsiaTheme="majorEastAsia" w:hAnsi="Book Antiqua" w:cstheme="majorBidi"/>
          <w:b/>
          <w:i/>
          <w:iCs/>
          <w:szCs w:val="24"/>
        </w:rPr>
        <w:t>Next Steps for Liberty CalPeco</w:t>
      </w:r>
    </w:p>
    <w:p w14:paraId="563991C2" w14:textId="77777777" w:rsidR="008E51E4" w:rsidRPr="00F501CF" w:rsidRDefault="006F44CB" w:rsidP="009A07FF">
      <w:pPr>
        <w:keepNext/>
        <w:keepLines/>
        <w:spacing w:after="200" w:line="276" w:lineRule="auto"/>
        <w:rPr>
          <w:rFonts w:ascii="Book Antiqua" w:hAnsi="Book Antiqua" w:cstheme="minorBidi"/>
          <w:szCs w:val="24"/>
        </w:rPr>
      </w:pPr>
      <w:r w:rsidRPr="00F501CF">
        <w:rPr>
          <w:rFonts w:ascii="Book Antiqua" w:hAnsi="Book Antiqua" w:cstheme="minorBidi"/>
          <w:b/>
          <w:szCs w:val="24"/>
        </w:rPr>
        <w:t>Action required in this IRP 2017</w:t>
      </w:r>
      <w:r w:rsidR="00D84A09" w:rsidRPr="00F501CF">
        <w:rPr>
          <w:rFonts w:ascii="Book Antiqua" w:hAnsi="Book Antiqua" w:cstheme="minorBidi"/>
          <w:b/>
          <w:szCs w:val="24"/>
        </w:rPr>
        <w:noBreakHyphen/>
      </w:r>
      <w:r w:rsidRPr="00F501CF">
        <w:rPr>
          <w:rFonts w:ascii="Book Antiqua" w:hAnsi="Book Antiqua" w:cstheme="minorBidi"/>
          <w:b/>
          <w:szCs w:val="24"/>
        </w:rPr>
        <w:t>18 cycle</w:t>
      </w:r>
      <w:r w:rsidRPr="00F501CF">
        <w:rPr>
          <w:rFonts w:ascii="Book Antiqua" w:hAnsi="Book Antiqua" w:cstheme="minorBidi"/>
          <w:szCs w:val="24"/>
        </w:rPr>
        <w:t>:</w:t>
      </w:r>
      <w:r w:rsidR="004731C2" w:rsidRPr="00F501CF">
        <w:rPr>
          <w:rFonts w:ascii="Book Antiqua" w:hAnsi="Book Antiqua" w:cstheme="minorBidi"/>
          <w:szCs w:val="24"/>
        </w:rPr>
        <w:t xml:space="preserve"> </w:t>
      </w:r>
      <w:r w:rsidRPr="00F501CF">
        <w:rPr>
          <w:rFonts w:ascii="Book Antiqua" w:hAnsi="Book Antiqua" w:cstheme="minorBidi"/>
          <w:szCs w:val="24"/>
        </w:rPr>
        <w:t xml:space="preserve"> </w:t>
      </w:r>
      <w:r w:rsidR="008E51E4" w:rsidRPr="00F501CF">
        <w:rPr>
          <w:rFonts w:ascii="Book Antiqua" w:hAnsi="Book Antiqua" w:cstheme="minorBidi"/>
          <w:szCs w:val="24"/>
        </w:rPr>
        <w:t xml:space="preserve">In its </w:t>
      </w:r>
      <w:r w:rsidR="000F3125" w:rsidRPr="00F501CF">
        <w:rPr>
          <w:rFonts w:ascii="Book Antiqua" w:hAnsi="Book Antiqua" w:cstheme="minorBidi"/>
          <w:szCs w:val="24"/>
        </w:rPr>
        <w:t>2018 IRP filing, Liberty CalPeco asked for approval to enter into a short</w:t>
      </w:r>
      <w:r w:rsidR="00D84A09" w:rsidRPr="00F501CF">
        <w:rPr>
          <w:rFonts w:ascii="Book Antiqua" w:hAnsi="Book Antiqua" w:cstheme="minorBidi"/>
          <w:szCs w:val="24"/>
        </w:rPr>
        <w:noBreakHyphen/>
      </w:r>
      <w:r w:rsidR="000F3125" w:rsidRPr="00F501CF">
        <w:rPr>
          <w:rFonts w:ascii="Book Antiqua" w:hAnsi="Book Antiqua" w:cstheme="minorBidi"/>
          <w:szCs w:val="24"/>
        </w:rPr>
        <w:t>term bridging contract for renewables and non</w:t>
      </w:r>
      <w:r w:rsidR="00D84A09" w:rsidRPr="00F501CF">
        <w:rPr>
          <w:rFonts w:ascii="Book Antiqua" w:hAnsi="Book Antiqua" w:cstheme="minorBidi"/>
          <w:szCs w:val="24"/>
        </w:rPr>
        <w:noBreakHyphen/>
      </w:r>
      <w:r w:rsidR="000F3125" w:rsidRPr="00F501CF">
        <w:rPr>
          <w:rFonts w:ascii="Book Antiqua" w:hAnsi="Book Antiqua" w:cstheme="minorBidi"/>
          <w:szCs w:val="24"/>
        </w:rPr>
        <w:t>renewable power, as well as long</w:t>
      </w:r>
      <w:r w:rsidR="00D84A09" w:rsidRPr="00F501CF">
        <w:rPr>
          <w:rFonts w:ascii="Book Antiqua" w:hAnsi="Book Antiqua" w:cstheme="minorBidi"/>
          <w:szCs w:val="24"/>
        </w:rPr>
        <w:noBreakHyphen/>
      </w:r>
      <w:r w:rsidR="000F3125" w:rsidRPr="00F501CF">
        <w:rPr>
          <w:rFonts w:ascii="Book Antiqua" w:hAnsi="Book Antiqua" w:cstheme="minorBidi"/>
          <w:szCs w:val="24"/>
        </w:rPr>
        <w:t xml:space="preserve">term renewable contracts. </w:t>
      </w:r>
      <w:r w:rsidR="00DE4198" w:rsidRPr="00F501CF">
        <w:rPr>
          <w:rFonts w:ascii="Book Antiqua" w:hAnsi="Book Antiqua" w:cstheme="minorBidi"/>
          <w:szCs w:val="24"/>
        </w:rPr>
        <w:t xml:space="preserve"> </w:t>
      </w:r>
      <w:r w:rsidR="000F3125" w:rsidRPr="00F501CF">
        <w:rPr>
          <w:rFonts w:ascii="Book Antiqua" w:hAnsi="Book Antiqua" w:cstheme="minorBidi"/>
          <w:szCs w:val="24"/>
        </w:rPr>
        <w:t>The renewable portions of Liberty CalPeco’s request have been handled in D.19</w:t>
      </w:r>
      <w:r w:rsidR="00D84A09" w:rsidRPr="00F501CF">
        <w:rPr>
          <w:rFonts w:ascii="Book Antiqua" w:hAnsi="Book Antiqua" w:cstheme="minorBidi"/>
          <w:szCs w:val="24"/>
        </w:rPr>
        <w:noBreakHyphen/>
      </w:r>
      <w:r w:rsidR="000F3125" w:rsidRPr="00F501CF">
        <w:rPr>
          <w:rFonts w:ascii="Book Antiqua" w:hAnsi="Book Antiqua" w:cstheme="minorBidi"/>
          <w:szCs w:val="24"/>
        </w:rPr>
        <w:t>02</w:t>
      </w:r>
      <w:r w:rsidR="00D84A09" w:rsidRPr="00F501CF">
        <w:rPr>
          <w:rFonts w:ascii="Book Antiqua" w:hAnsi="Book Antiqua" w:cstheme="minorBidi"/>
          <w:szCs w:val="24"/>
        </w:rPr>
        <w:noBreakHyphen/>
      </w:r>
      <w:r w:rsidR="000F3125" w:rsidRPr="00F501CF">
        <w:rPr>
          <w:rFonts w:ascii="Book Antiqua" w:hAnsi="Book Antiqua" w:cstheme="minorBidi"/>
          <w:szCs w:val="24"/>
        </w:rPr>
        <w:t xml:space="preserve">007. </w:t>
      </w:r>
    </w:p>
    <w:p w14:paraId="79999857" w14:textId="77777777" w:rsidR="000F3125" w:rsidRPr="00F501CF" w:rsidRDefault="000F3125" w:rsidP="006F44CB">
      <w:pPr>
        <w:spacing w:after="200" w:line="276" w:lineRule="auto"/>
        <w:rPr>
          <w:rFonts w:ascii="Book Antiqua" w:hAnsi="Book Antiqua" w:cstheme="minorBidi"/>
          <w:szCs w:val="24"/>
        </w:rPr>
      </w:pPr>
      <w:r w:rsidRPr="00F501CF">
        <w:rPr>
          <w:rFonts w:ascii="Book Antiqua" w:hAnsi="Book Antiqua" w:cstheme="minorBidi"/>
          <w:szCs w:val="24"/>
        </w:rPr>
        <w:t xml:space="preserve">This decision approves Liberty CalPeco’s request to file any </w:t>
      </w:r>
      <w:r w:rsidR="0078491E" w:rsidRPr="00F501CF">
        <w:rPr>
          <w:rFonts w:ascii="Book Antiqua" w:hAnsi="Book Antiqua" w:cstheme="minorBidi"/>
          <w:szCs w:val="24"/>
        </w:rPr>
        <w:t xml:space="preserve">contracts entered into to replace the full requirements contract Liberty CalPeco had with NV Energy via a Tier 2 advice letter. </w:t>
      </w:r>
      <w:r w:rsidR="00DE4198" w:rsidRPr="00F501CF">
        <w:rPr>
          <w:rFonts w:ascii="Book Antiqua" w:hAnsi="Book Antiqua" w:cstheme="minorBidi"/>
          <w:szCs w:val="24"/>
        </w:rPr>
        <w:t xml:space="preserve"> </w:t>
      </w:r>
      <w:r w:rsidR="0078491E" w:rsidRPr="00F501CF">
        <w:rPr>
          <w:rFonts w:ascii="Book Antiqua" w:hAnsi="Book Antiqua" w:cstheme="minorBidi"/>
          <w:szCs w:val="24"/>
        </w:rPr>
        <w:t>In its November 9, 2018 filing in response to the ALJ ruling requesting further information about its procurement plans, Liberty CalPeco provided adequate information about its desire to enter into primarily renewable and storage</w:t>
      </w:r>
      <w:r w:rsidR="00556670" w:rsidRPr="00F501CF">
        <w:rPr>
          <w:rFonts w:ascii="Book Antiqua" w:hAnsi="Book Antiqua" w:cstheme="minorBidi"/>
          <w:szCs w:val="24"/>
        </w:rPr>
        <w:t xml:space="preserve"> </w:t>
      </w:r>
      <w:r w:rsidR="0078491E" w:rsidRPr="00F501CF">
        <w:rPr>
          <w:rFonts w:ascii="Book Antiqua" w:hAnsi="Book Antiqua" w:cstheme="minorBidi"/>
          <w:szCs w:val="24"/>
        </w:rPr>
        <w:t>contracts to serve its load</w:t>
      </w:r>
      <w:r w:rsidR="00556670" w:rsidRPr="00F501CF">
        <w:rPr>
          <w:rFonts w:ascii="Book Antiqua" w:hAnsi="Book Antiqua" w:cstheme="minorBidi"/>
          <w:szCs w:val="24"/>
        </w:rPr>
        <w:t>, as well as the solicitation process it intended to undertake to secure these contracts</w:t>
      </w:r>
      <w:r w:rsidR="00443D0E" w:rsidRPr="00F501CF">
        <w:rPr>
          <w:rFonts w:ascii="Book Antiqua" w:hAnsi="Book Antiqua" w:cstheme="minorBidi"/>
          <w:szCs w:val="24"/>
        </w:rPr>
        <w:t xml:space="preserve"> and the short</w:t>
      </w:r>
      <w:r w:rsidR="00FA2300">
        <w:rPr>
          <w:rFonts w:ascii="Book Antiqua" w:hAnsi="Book Antiqua" w:cstheme="minorBidi"/>
          <w:szCs w:val="24"/>
        </w:rPr>
        <w:t>-</w:t>
      </w:r>
      <w:r w:rsidR="00443D0E" w:rsidRPr="00F501CF">
        <w:rPr>
          <w:rFonts w:ascii="Book Antiqua" w:hAnsi="Book Antiqua" w:cstheme="minorBidi"/>
          <w:szCs w:val="24"/>
        </w:rPr>
        <w:t xml:space="preserve">term bridging arrangements associated with </w:t>
      </w:r>
      <w:r w:rsidR="00FA2300">
        <w:rPr>
          <w:rFonts w:ascii="Book Antiqua" w:hAnsi="Book Antiqua" w:cstheme="minorBidi"/>
          <w:szCs w:val="24"/>
        </w:rPr>
        <w:t>its</w:t>
      </w:r>
      <w:r w:rsidR="00FA2300" w:rsidRPr="00F501CF">
        <w:rPr>
          <w:rFonts w:ascii="Book Antiqua" w:hAnsi="Book Antiqua" w:cstheme="minorBidi"/>
          <w:szCs w:val="24"/>
        </w:rPr>
        <w:t xml:space="preserve"> </w:t>
      </w:r>
      <w:r w:rsidR="00443D0E" w:rsidRPr="00F501CF">
        <w:rPr>
          <w:rFonts w:ascii="Book Antiqua" w:hAnsi="Book Antiqua" w:cstheme="minorBidi"/>
          <w:szCs w:val="24"/>
        </w:rPr>
        <w:t>long</w:t>
      </w:r>
      <w:r w:rsidR="00FA2300">
        <w:rPr>
          <w:rFonts w:ascii="Book Antiqua" w:hAnsi="Book Antiqua" w:cstheme="minorBidi"/>
          <w:szCs w:val="24"/>
        </w:rPr>
        <w:t>-</w:t>
      </w:r>
      <w:r w:rsidR="00443D0E" w:rsidRPr="00F501CF">
        <w:rPr>
          <w:rFonts w:ascii="Book Antiqua" w:hAnsi="Book Antiqua" w:cstheme="minorBidi"/>
          <w:szCs w:val="24"/>
        </w:rPr>
        <w:t>term plans</w:t>
      </w:r>
      <w:r w:rsidR="00556670" w:rsidRPr="00F501CF">
        <w:rPr>
          <w:rFonts w:ascii="Book Antiqua" w:hAnsi="Book Antiqua" w:cstheme="minorBidi"/>
          <w:szCs w:val="24"/>
        </w:rPr>
        <w:t>.</w:t>
      </w:r>
    </w:p>
    <w:p w14:paraId="14762BC8" w14:textId="77777777" w:rsidR="0078491E" w:rsidRPr="00F501CF" w:rsidRDefault="0078491E" w:rsidP="006F44CB">
      <w:pPr>
        <w:spacing w:after="200" w:line="276" w:lineRule="auto"/>
        <w:rPr>
          <w:rFonts w:ascii="Book Antiqua" w:hAnsi="Book Antiqua" w:cstheme="minorBidi"/>
          <w:szCs w:val="24"/>
        </w:rPr>
      </w:pPr>
      <w:r w:rsidRPr="00F501CF">
        <w:rPr>
          <w:rFonts w:ascii="Book Antiqua" w:hAnsi="Book Antiqua" w:cstheme="minorBidi"/>
          <w:szCs w:val="24"/>
        </w:rPr>
        <w:t xml:space="preserve">Liberty CalPeco does not operate under a bundled procurement plan like the large IOUs, and thus has to date been required to file any contracts entered into for procurement purposes as </w:t>
      </w:r>
      <w:r w:rsidR="00556670" w:rsidRPr="00F501CF">
        <w:rPr>
          <w:rFonts w:ascii="Book Antiqua" w:hAnsi="Book Antiqua" w:cstheme="minorBidi"/>
          <w:szCs w:val="24"/>
        </w:rPr>
        <w:t>separate applications to be reviewed by the Commission.</w:t>
      </w:r>
    </w:p>
    <w:p w14:paraId="147A59F9" w14:textId="77777777" w:rsidR="00556670" w:rsidRPr="00F501CF" w:rsidRDefault="00556670" w:rsidP="006F44CB">
      <w:pPr>
        <w:spacing w:after="200" w:line="276" w:lineRule="auto"/>
        <w:rPr>
          <w:rFonts w:ascii="Book Antiqua" w:hAnsi="Book Antiqua" w:cstheme="minorBidi"/>
          <w:szCs w:val="24"/>
        </w:rPr>
      </w:pPr>
      <w:r w:rsidRPr="00F501CF">
        <w:rPr>
          <w:rFonts w:ascii="Book Antiqua" w:hAnsi="Book Antiqua" w:cstheme="minorBidi"/>
          <w:szCs w:val="24"/>
        </w:rPr>
        <w:t>In this decision, we find that for purposes of any non</w:t>
      </w:r>
      <w:r w:rsidR="00D84A09" w:rsidRPr="00F501CF">
        <w:rPr>
          <w:rFonts w:ascii="Book Antiqua" w:hAnsi="Book Antiqua" w:cstheme="minorBidi"/>
          <w:szCs w:val="24"/>
        </w:rPr>
        <w:noBreakHyphen/>
      </w:r>
      <w:r w:rsidRPr="00F501CF">
        <w:rPr>
          <w:rFonts w:ascii="Book Antiqua" w:hAnsi="Book Antiqua" w:cstheme="minorBidi"/>
          <w:szCs w:val="24"/>
        </w:rPr>
        <w:t xml:space="preserve">renewable resource needs to replace its NV Energy contract in the short term, Liberty CalPeco is authorized to file any contracts resulting from its solicitation as Tier 2 Advice Letter(s) for Commission consideration. </w:t>
      </w:r>
      <w:r w:rsidR="00DE4198" w:rsidRPr="00F501CF">
        <w:rPr>
          <w:rFonts w:ascii="Book Antiqua" w:hAnsi="Book Antiqua" w:cstheme="minorBidi"/>
          <w:szCs w:val="24"/>
        </w:rPr>
        <w:t xml:space="preserve"> </w:t>
      </w:r>
      <w:r w:rsidR="00A014A0" w:rsidRPr="00F501CF">
        <w:rPr>
          <w:rFonts w:ascii="Book Antiqua" w:hAnsi="Book Antiqua" w:cstheme="minorBidi"/>
          <w:szCs w:val="24"/>
        </w:rPr>
        <w:t xml:space="preserve">Any necessary cost recovery details may be handled in the </w:t>
      </w:r>
      <w:r w:rsidR="00FF6DA6" w:rsidRPr="00F501CF">
        <w:rPr>
          <w:rFonts w:ascii="Book Antiqua" w:hAnsi="Book Antiqua" w:cstheme="minorBidi"/>
          <w:szCs w:val="24"/>
        </w:rPr>
        <w:t xml:space="preserve">next </w:t>
      </w:r>
      <w:r w:rsidR="00A014A0" w:rsidRPr="00F501CF">
        <w:rPr>
          <w:rFonts w:ascii="Book Antiqua" w:hAnsi="Book Antiqua" w:cstheme="minorBidi"/>
          <w:szCs w:val="24"/>
        </w:rPr>
        <w:t xml:space="preserve">Liberty CalPeco </w:t>
      </w:r>
      <w:r w:rsidR="00FF6DA6" w:rsidRPr="00F501CF">
        <w:rPr>
          <w:rFonts w:ascii="Book Antiqua" w:hAnsi="Book Antiqua" w:cstheme="minorBidi"/>
          <w:szCs w:val="24"/>
        </w:rPr>
        <w:t xml:space="preserve">energy cost adjustment clause proceeding. </w:t>
      </w:r>
    </w:p>
    <w:p w14:paraId="34DA4F6B" w14:textId="77777777" w:rsidR="006F44CB" w:rsidRPr="00F501CF" w:rsidRDefault="006F44CB" w:rsidP="006F44CB">
      <w:pPr>
        <w:spacing w:after="200" w:line="276" w:lineRule="auto"/>
        <w:rPr>
          <w:rFonts w:ascii="Book Antiqua" w:hAnsi="Book Antiqua" w:cstheme="minorBidi"/>
          <w:szCs w:val="24"/>
        </w:rPr>
      </w:pPr>
      <w:r w:rsidRPr="00F501CF">
        <w:rPr>
          <w:rFonts w:ascii="Book Antiqua" w:hAnsi="Book Antiqua" w:cstheme="minorBidi"/>
          <w:b/>
          <w:szCs w:val="24"/>
        </w:rPr>
        <w:t>Guidance for LSE Plan development in the next IRP cycle</w:t>
      </w:r>
      <w:r w:rsidRPr="00F501CF">
        <w:rPr>
          <w:rFonts w:ascii="Book Antiqua" w:hAnsi="Book Antiqua" w:cstheme="minorBidi"/>
          <w:szCs w:val="24"/>
        </w:rPr>
        <w:t>:</w:t>
      </w:r>
      <w:bookmarkStart w:id="110" w:name="_Hlk534986309"/>
      <w:r w:rsidRPr="00F501CF">
        <w:rPr>
          <w:rFonts w:ascii="Book Antiqua" w:hAnsi="Book Antiqua" w:cstheme="minorBidi"/>
          <w:szCs w:val="24"/>
        </w:rPr>
        <w:t xml:space="preserve"> </w:t>
      </w:r>
      <w:r w:rsidR="004731C2" w:rsidRPr="00F501CF">
        <w:rPr>
          <w:rFonts w:ascii="Book Antiqua" w:hAnsi="Book Antiqua" w:cstheme="minorBidi"/>
          <w:szCs w:val="24"/>
        </w:rPr>
        <w:t xml:space="preserve"> </w:t>
      </w:r>
      <w:r w:rsidRPr="00F501CF">
        <w:rPr>
          <w:rFonts w:ascii="Book Antiqua" w:hAnsi="Book Antiqua" w:cstheme="minorBidi"/>
          <w:szCs w:val="24"/>
        </w:rPr>
        <w:t>Provide a description of any barriers and lessons learned from the prior IRP and/or procurement cycle.</w:t>
      </w:r>
    </w:p>
    <w:p w14:paraId="36258AEC" w14:textId="77777777" w:rsidR="006F44CB" w:rsidRPr="009A07FF" w:rsidRDefault="006F44CB" w:rsidP="006F44CB">
      <w:pPr>
        <w:keepNext/>
        <w:keepLines/>
        <w:spacing w:before="240" w:after="120" w:line="276" w:lineRule="auto"/>
        <w:outlineLvl w:val="2"/>
        <w:rPr>
          <w:rFonts w:ascii="Book Antiqua" w:eastAsiaTheme="majorEastAsia" w:hAnsi="Book Antiqua" w:cstheme="majorBidi"/>
          <w:b/>
          <w:szCs w:val="24"/>
        </w:rPr>
      </w:pPr>
      <w:bookmarkStart w:id="111" w:name="_Toc868792"/>
      <w:bookmarkEnd w:id="110"/>
      <w:r w:rsidRPr="009A07FF">
        <w:rPr>
          <w:rFonts w:ascii="Book Antiqua" w:eastAsiaTheme="majorEastAsia" w:hAnsi="Book Antiqua" w:cstheme="majorBidi"/>
          <w:b/>
          <w:szCs w:val="24"/>
        </w:rPr>
        <w:t>PacifiCorp</w:t>
      </w:r>
      <w:bookmarkEnd w:id="111"/>
      <w:r w:rsidRPr="009A07FF">
        <w:rPr>
          <w:rFonts w:ascii="Book Antiqua" w:eastAsiaTheme="majorEastAsia" w:hAnsi="Book Antiqua" w:cstheme="majorBidi"/>
          <w:b/>
          <w:szCs w:val="24"/>
        </w:rPr>
        <w:t xml:space="preserve">  </w:t>
      </w:r>
    </w:p>
    <w:tbl>
      <w:tblPr>
        <w:tblStyle w:val="TableGrid4"/>
        <w:tblW w:w="0" w:type="auto"/>
        <w:tblLook w:val="04A0" w:firstRow="1" w:lastRow="0" w:firstColumn="1" w:lastColumn="0" w:noHBand="0" w:noVBand="1"/>
      </w:tblPr>
      <w:tblGrid>
        <w:gridCol w:w="2764"/>
        <w:gridCol w:w="6586"/>
      </w:tblGrid>
      <w:tr w:rsidR="006F44CB" w:rsidRPr="006F44CB" w14:paraId="53F43AF5" w14:textId="77777777" w:rsidTr="006F44CB">
        <w:tc>
          <w:tcPr>
            <w:tcW w:w="2764" w:type="dxa"/>
          </w:tcPr>
          <w:p w14:paraId="594F4B69" w14:textId="77777777" w:rsidR="006F44CB" w:rsidRPr="006F44CB" w:rsidRDefault="006F44CB" w:rsidP="009A07FF">
            <w:pPr>
              <w:keepNext/>
              <w:keepLines/>
              <w:spacing w:before="60" w:after="60"/>
              <w:jc w:val="center"/>
              <w:rPr>
                <w:rFonts w:ascii="Book Antiqua" w:hAnsi="Book Antiqua"/>
                <w:b/>
                <w:sz w:val="24"/>
                <w:szCs w:val="24"/>
              </w:rPr>
            </w:pPr>
            <w:r w:rsidRPr="006F44CB">
              <w:rPr>
                <w:rFonts w:ascii="Book Antiqua" w:hAnsi="Book Antiqua"/>
                <w:b/>
                <w:sz w:val="24"/>
                <w:szCs w:val="24"/>
              </w:rPr>
              <w:t>Requirement</w:t>
            </w:r>
          </w:p>
        </w:tc>
        <w:tc>
          <w:tcPr>
            <w:tcW w:w="6586" w:type="dxa"/>
          </w:tcPr>
          <w:p w14:paraId="520CE684" w14:textId="77777777" w:rsidR="006F44CB" w:rsidRPr="006F44CB" w:rsidRDefault="006F44CB" w:rsidP="009A07FF">
            <w:pPr>
              <w:keepNext/>
              <w:keepLines/>
              <w:spacing w:before="60" w:after="60"/>
              <w:jc w:val="center"/>
              <w:rPr>
                <w:rFonts w:ascii="Book Antiqua" w:hAnsi="Book Antiqua"/>
                <w:b/>
                <w:sz w:val="24"/>
                <w:szCs w:val="24"/>
              </w:rPr>
            </w:pPr>
            <w:r w:rsidRPr="006F44CB">
              <w:rPr>
                <w:rFonts w:ascii="Book Antiqua" w:hAnsi="Book Antiqua"/>
                <w:b/>
                <w:sz w:val="24"/>
                <w:szCs w:val="24"/>
              </w:rPr>
              <w:t>Assessment</w:t>
            </w:r>
          </w:p>
        </w:tc>
      </w:tr>
      <w:tr w:rsidR="006F44CB" w:rsidRPr="006F44CB" w14:paraId="130470C8" w14:textId="77777777" w:rsidTr="006F44CB">
        <w:tc>
          <w:tcPr>
            <w:tcW w:w="2764" w:type="dxa"/>
          </w:tcPr>
          <w:p w14:paraId="5B869D26" w14:textId="77777777" w:rsidR="006F44CB" w:rsidRPr="006F44CB" w:rsidRDefault="006F44CB" w:rsidP="009A07FF">
            <w:pPr>
              <w:keepNext/>
              <w:keepLines/>
              <w:spacing w:before="60" w:after="60"/>
              <w:rPr>
                <w:rFonts w:ascii="Book Antiqua" w:hAnsi="Book Antiqua"/>
                <w:sz w:val="24"/>
                <w:szCs w:val="24"/>
              </w:rPr>
            </w:pPr>
            <w:r w:rsidRPr="006F44CB">
              <w:rPr>
                <w:rFonts w:ascii="Book Antiqua" w:hAnsi="Book Antiqua"/>
                <w:sz w:val="24"/>
                <w:szCs w:val="24"/>
              </w:rPr>
              <w:t>Required Forms</w:t>
            </w:r>
          </w:p>
        </w:tc>
        <w:tc>
          <w:tcPr>
            <w:tcW w:w="6586" w:type="dxa"/>
          </w:tcPr>
          <w:p w14:paraId="564793F8" w14:textId="77777777" w:rsidR="006F44CB" w:rsidRPr="006F44CB" w:rsidRDefault="006F44CB" w:rsidP="009A07FF">
            <w:pPr>
              <w:keepNext/>
              <w:keepLines/>
              <w:spacing w:before="60" w:after="60"/>
              <w:rPr>
                <w:rFonts w:ascii="Book Antiqua" w:hAnsi="Book Antiqua"/>
                <w:sz w:val="24"/>
                <w:szCs w:val="24"/>
              </w:rPr>
            </w:pPr>
            <w:r w:rsidRPr="006F44CB">
              <w:rPr>
                <w:rFonts w:ascii="Book Antiqua" w:hAnsi="Book Antiqua"/>
                <w:sz w:val="24"/>
                <w:szCs w:val="24"/>
              </w:rPr>
              <w:t>PacifiCorp filed an eligible Alternative Type 2 LSE Plan, i.e., an IRP that was submitted to another public regulatory entity within the previous calendar year.</w:t>
            </w:r>
          </w:p>
        </w:tc>
      </w:tr>
      <w:tr w:rsidR="006F44CB" w:rsidRPr="006F44CB" w14:paraId="010B7A17" w14:textId="77777777" w:rsidTr="006F44CB">
        <w:tc>
          <w:tcPr>
            <w:tcW w:w="2764" w:type="dxa"/>
          </w:tcPr>
          <w:p w14:paraId="2C675A69"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Treatment of Disadvantaged Communities</w:t>
            </w:r>
          </w:p>
        </w:tc>
        <w:tc>
          <w:tcPr>
            <w:tcW w:w="6586" w:type="dxa"/>
          </w:tcPr>
          <w:p w14:paraId="14043900"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PacifiCorp provided an adequate description of treatment of disadvantaged communities in its LSE Plan.</w:t>
            </w:r>
          </w:p>
        </w:tc>
      </w:tr>
      <w:tr w:rsidR="006F44CB" w:rsidRPr="006F44CB" w14:paraId="20A14123" w14:textId="77777777" w:rsidTr="006F44CB">
        <w:tc>
          <w:tcPr>
            <w:tcW w:w="2764" w:type="dxa"/>
          </w:tcPr>
          <w:p w14:paraId="3057639A"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GHG Target Planning</w:t>
            </w:r>
          </w:p>
        </w:tc>
        <w:tc>
          <w:tcPr>
            <w:tcW w:w="6586" w:type="dxa"/>
          </w:tcPr>
          <w:p w14:paraId="2394DAF9" w14:textId="60680FF5"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 xml:space="preserve">PacifiCorp did not provide an adequate description of how its planned future procurement is consistent with its 2030 GHG Benchmark. </w:t>
            </w:r>
            <w:r w:rsidR="00DE4198">
              <w:rPr>
                <w:rFonts w:ascii="Book Antiqua" w:hAnsi="Book Antiqua"/>
                <w:sz w:val="24"/>
                <w:szCs w:val="24"/>
              </w:rPr>
              <w:t xml:space="preserve"> </w:t>
            </w:r>
            <w:r w:rsidRPr="006F44CB">
              <w:rPr>
                <w:rFonts w:ascii="Book Antiqua" w:hAnsi="Book Antiqua"/>
                <w:sz w:val="24"/>
                <w:szCs w:val="24"/>
              </w:rPr>
              <w:t>PacifiCorp indicated that its “participation in the Cap</w:t>
            </w:r>
            <w:r w:rsidR="00D84A09">
              <w:rPr>
                <w:rFonts w:ascii="Book Antiqua" w:hAnsi="Book Antiqua"/>
                <w:sz w:val="24"/>
                <w:szCs w:val="24"/>
              </w:rPr>
              <w:noBreakHyphen/>
            </w:r>
            <w:r w:rsidRPr="006F44CB">
              <w:rPr>
                <w:rFonts w:ascii="Book Antiqua" w:hAnsi="Book Antiqua"/>
                <w:sz w:val="24"/>
                <w:szCs w:val="24"/>
              </w:rPr>
              <w:t>and</w:t>
            </w:r>
            <w:r w:rsidR="00D84A09">
              <w:rPr>
                <w:rFonts w:ascii="Book Antiqua" w:hAnsi="Book Antiqua"/>
                <w:sz w:val="24"/>
                <w:szCs w:val="24"/>
              </w:rPr>
              <w:noBreakHyphen/>
            </w:r>
            <w:r w:rsidRPr="006F44CB">
              <w:rPr>
                <w:rFonts w:ascii="Book Antiqua" w:hAnsi="Book Antiqua"/>
                <w:sz w:val="24"/>
                <w:szCs w:val="24"/>
              </w:rPr>
              <w:t xml:space="preserve">Trade will ensure that its 0.313 </w:t>
            </w:r>
            <w:r w:rsidR="006175D2">
              <w:rPr>
                <w:rFonts w:ascii="Book Antiqua" w:hAnsi="Book Antiqua"/>
                <w:sz w:val="24"/>
                <w:szCs w:val="24"/>
              </w:rPr>
              <w:t>million metric ton (</w:t>
            </w:r>
            <w:r w:rsidRPr="006F44CB">
              <w:rPr>
                <w:rFonts w:ascii="Book Antiqua" w:hAnsi="Book Antiqua"/>
                <w:sz w:val="24"/>
                <w:szCs w:val="24"/>
              </w:rPr>
              <w:t>MMT</w:t>
            </w:r>
            <w:r w:rsidR="006175D2">
              <w:rPr>
                <w:rFonts w:ascii="Book Antiqua" w:hAnsi="Book Antiqua"/>
                <w:sz w:val="24"/>
                <w:szCs w:val="24"/>
              </w:rPr>
              <w:t>)</w:t>
            </w:r>
            <w:r w:rsidRPr="006F44CB">
              <w:rPr>
                <w:rFonts w:ascii="Book Antiqua" w:hAnsi="Book Antiqua"/>
                <w:sz w:val="24"/>
                <w:szCs w:val="24"/>
              </w:rPr>
              <w:t xml:space="preserve"> target (established in the June 18, 2018 Ruling) is met either through procurement of Cap</w:t>
            </w:r>
            <w:r w:rsidR="00D84A09">
              <w:rPr>
                <w:rFonts w:ascii="Book Antiqua" w:hAnsi="Book Antiqua"/>
                <w:sz w:val="24"/>
                <w:szCs w:val="24"/>
              </w:rPr>
              <w:noBreakHyphen/>
            </w:r>
            <w:r w:rsidRPr="006F44CB">
              <w:rPr>
                <w:rFonts w:ascii="Book Antiqua" w:hAnsi="Book Antiqua"/>
                <w:sz w:val="24"/>
                <w:szCs w:val="24"/>
              </w:rPr>
              <w:t>and</w:t>
            </w:r>
            <w:r w:rsidR="00D84A09">
              <w:rPr>
                <w:rFonts w:ascii="Book Antiqua" w:hAnsi="Book Antiqua"/>
                <w:sz w:val="24"/>
                <w:szCs w:val="24"/>
              </w:rPr>
              <w:noBreakHyphen/>
            </w:r>
            <w:r w:rsidRPr="006F44CB">
              <w:rPr>
                <w:rFonts w:ascii="Book Antiqua" w:hAnsi="Book Antiqua"/>
                <w:sz w:val="24"/>
                <w:szCs w:val="24"/>
              </w:rPr>
              <w:t>Trade allowances or through lower emissions attributed to PacifiCorp’s California service territory.”</w:t>
            </w:r>
          </w:p>
        </w:tc>
      </w:tr>
    </w:tbl>
    <w:p w14:paraId="654CA029" w14:textId="77777777" w:rsidR="006F44CB" w:rsidRPr="009A07FF" w:rsidRDefault="006F44CB" w:rsidP="009A07FF">
      <w:pPr>
        <w:keepNext/>
        <w:keepLines/>
        <w:spacing w:before="240" w:after="120" w:line="276" w:lineRule="auto"/>
        <w:outlineLvl w:val="3"/>
        <w:rPr>
          <w:rFonts w:ascii="Book Antiqua" w:eastAsiaTheme="majorEastAsia" w:hAnsi="Book Antiqua" w:cstheme="majorBidi"/>
          <w:b/>
          <w:i/>
          <w:iCs/>
          <w:szCs w:val="24"/>
        </w:rPr>
      </w:pPr>
      <w:r w:rsidRPr="009A07FF">
        <w:rPr>
          <w:rFonts w:ascii="Book Antiqua" w:eastAsiaTheme="majorEastAsia" w:hAnsi="Book Antiqua" w:cstheme="majorBidi"/>
          <w:b/>
          <w:i/>
          <w:iCs/>
          <w:szCs w:val="24"/>
        </w:rPr>
        <w:t>Next Steps for PacifiCorp</w:t>
      </w:r>
    </w:p>
    <w:p w14:paraId="47A92F2E" w14:textId="77777777" w:rsidR="006F44CB" w:rsidRPr="009A07FF" w:rsidRDefault="006F44CB" w:rsidP="006F44CB">
      <w:pPr>
        <w:spacing w:after="200" w:line="276" w:lineRule="auto"/>
        <w:rPr>
          <w:rFonts w:ascii="Book Antiqua" w:hAnsi="Book Antiqua" w:cstheme="minorBidi"/>
          <w:szCs w:val="24"/>
        </w:rPr>
      </w:pPr>
      <w:r w:rsidRPr="009A07FF">
        <w:rPr>
          <w:rFonts w:ascii="Book Antiqua" w:hAnsi="Book Antiqua" w:cstheme="minorBidi"/>
          <w:b/>
          <w:szCs w:val="24"/>
        </w:rPr>
        <w:t>Action required in this IRP 2017</w:t>
      </w:r>
      <w:r w:rsidR="00D84A09" w:rsidRPr="009A07FF">
        <w:rPr>
          <w:rFonts w:ascii="Book Antiqua" w:hAnsi="Book Antiqua" w:cstheme="minorBidi"/>
          <w:b/>
          <w:szCs w:val="24"/>
        </w:rPr>
        <w:noBreakHyphen/>
      </w:r>
      <w:r w:rsidRPr="009A07FF">
        <w:rPr>
          <w:rFonts w:ascii="Book Antiqua" w:hAnsi="Book Antiqua" w:cstheme="minorBidi"/>
          <w:b/>
          <w:szCs w:val="24"/>
        </w:rPr>
        <w:t>18 cycle</w:t>
      </w:r>
      <w:r w:rsidRPr="009A07FF">
        <w:rPr>
          <w:rFonts w:ascii="Book Antiqua" w:hAnsi="Book Antiqua" w:cstheme="minorBidi"/>
          <w:szCs w:val="24"/>
        </w:rPr>
        <w:t xml:space="preserve">: </w:t>
      </w:r>
      <w:r w:rsidR="004731C2" w:rsidRPr="009A07FF">
        <w:rPr>
          <w:rFonts w:ascii="Book Antiqua" w:hAnsi="Book Antiqua" w:cstheme="minorBidi"/>
          <w:szCs w:val="24"/>
        </w:rPr>
        <w:t xml:space="preserve"> </w:t>
      </w:r>
      <w:r w:rsidRPr="009A07FF">
        <w:rPr>
          <w:rFonts w:ascii="Book Antiqua" w:hAnsi="Book Antiqua" w:cstheme="minorBidi"/>
          <w:szCs w:val="24"/>
        </w:rPr>
        <w:t>None at this time.</w:t>
      </w:r>
    </w:p>
    <w:p w14:paraId="4083D79F" w14:textId="13390A37" w:rsidR="006F44CB" w:rsidRPr="009A07FF" w:rsidRDefault="006F44CB" w:rsidP="006F44CB">
      <w:pPr>
        <w:spacing w:after="200" w:line="276" w:lineRule="auto"/>
        <w:rPr>
          <w:rFonts w:ascii="Book Antiqua" w:hAnsi="Book Antiqua" w:cstheme="minorBidi"/>
          <w:szCs w:val="24"/>
        </w:rPr>
      </w:pPr>
      <w:r w:rsidRPr="009A07FF">
        <w:rPr>
          <w:rFonts w:ascii="Book Antiqua" w:hAnsi="Book Antiqua" w:cstheme="minorBidi"/>
          <w:b/>
          <w:szCs w:val="24"/>
        </w:rPr>
        <w:t>Guidance for LSE Plan development in the next IRP cycle</w:t>
      </w:r>
      <w:r w:rsidRPr="009A07FF">
        <w:rPr>
          <w:rFonts w:ascii="Book Antiqua" w:hAnsi="Book Antiqua" w:cstheme="minorBidi"/>
          <w:szCs w:val="24"/>
        </w:rPr>
        <w:t xml:space="preserve">: </w:t>
      </w:r>
      <w:r w:rsidR="004731C2" w:rsidRPr="009A07FF">
        <w:rPr>
          <w:rFonts w:ascii="Book Antiqua" w:hAnsi="Book Antiqua" w:cstheme="minorBidi"/>
          <w:szCs w:val="24"/>
        </w:rPr>
        <w:t xml:space="preserve"> </w:t>
      </w:r>
      <w:r w:rsidR="00850B21">
        <w:rPr>
          <w:rFonts w:ascii="Book Antiqua" w:hAnsi="Book Antiqua" w:cstheme="minorBidi"/>
          <w:szCs w:val="24"/>
        </w:rPr>
        <w:t xml:space="preserve">While PacifiCorp is not required to use the CNS Calculator for estimating its GHG emissions, since it is not within the CAISO footprint, PacifiCorp should </w:t>
      </w:r>
      <w:r w:rsidR="00295F67">
        <w:rPr>
          <w:rFonts w:ascii="Book Antiqua" w:hAnsi="Book Antiqua" w:cstheme="minorBidi"/>
          <w:szCs w:val="24"/>
        </w:rPr>
        <w:t xml:space="preserve">consult with Commission staff and </w:t>
      </w:r>
      <w:r w:rsidR="00850B21">
        <w:rPr>
          <w:rFonts w:ascii="Book Antiqua" w:hAnsi="Book Antiqua" w:cstheme="minorBidi"/>
          <w:szCs w:val="24"/>
        </w:rPr>
        <w:t xml:space="preserve">describe </w:t>
      </w:r>
      <w:r w:rsidR="00295F67">
        <w:rPr>
          <w:rFonts w:ascii="Book Antiqua" w:hAnsi="Book Antiqua" w:cstheme="minorBidi"/>
          <w:szCs w:val="24"/>
        </w:rPr>
        <w:t>an</w:t>
      </w:r>
      <w:r w:rsidR="00850B21">
        <w:rPr>
          <w:rFonts w:ascii="Book Antiqua" w:hAnsi="Book Antiqua" w:cstheme="minorBidi"/>
          <w:szCs w:val="24"/>
        </w:rPr>
        <w:t xml:space="preserve"> alternative methodology that addresses its </w:t>
      </w:r>
      <w:r w:rsidR="008A2824">
        <w:rPr>
          <w:rFonts w:ascii="Book Antiqua" w:hAnsi="Book Antiqua" w:cstheme="minorBidi"/>
          <w:szCs w:val="24"/>
        </w:rPr>
        <w:t xml:space="preserve">share of the 2030 </w:t>
      </w:r>
      <w:r w:rsidR="00850B21">
        <w:rPr>
          <w:rFonts w:ascii="Book Antiqua" w:hAnsi="Book Antiqua" w:cstheme="minorBidi"/>
          <w:szCs w:val="24"/>
        </w:rPr>
        <w:t xml:space="preserve">GHG emissions reduction responsibility. </w:t>
      </w:r>
    </w:p>
    <w:p w14:paraId="1CF3B56C" w14:textId="77777777" w:rsidR="006F44CB" w:rsidRPr="009A07FF" w:rsidRDefault="006F44CB" w:rsidP="006F44CB">
      <w:pPr>
        <w:keepNext/>
        <w:keepLines/>
        <w:spacing w:before="240" w:after="120" w:line="276" w:lineRule="auto"/>
        <w:outlineLvl w:val="2"/>
        <w:rPr>
          <w:rFonts w:ascii="Book Antiqua" w:eastAsiaTheme="majorEastAsia" w:hAnsi="Book Antiqua" w:cstheme="majorBidi"/>
          <w:b/>
          <w:szCs w:val="24"/>
        </w:rPr>
      </w:pPr>
      <w:bookmarkStart w:id="112" w:name="_Toc868793"/>
      <w:r w:rsidRPr="009A07FF">
        <w:rPr>
          <w:rFonts w:ascii="Book Antiqua" w:eastAsiaTheme="majorEastAsia" w:hAnsi="Book Antiqua" w:cstheme="majorBidi"/>
          <w:b/>
          <w:szCs w:val="24"/>
        </w:rPr>
        <w:t>Redwood Coast Energy Authority</w:t>
      </w:r>
      <w:bookmarkEnd w:id="112"/>
    </w:p>
    <w:tbl>
      <w:tblPr>
        <w:tblStyle w:val="TableGrid4"/>
        <w:tblW w:w="0" w:type="auto"/>
        <w:tblLook w:val="04A0" w:firstRow="1" w:lastRow="0" w:firstColumn="1" w:lastColumn="0" w:noHBand="0" w:noVBand="1"/>
      </w:tblPr>
      <w:tblGrid>
        <w:gridCol w:w="2759"/>
        <w:gridCol w:w="6591"/>
      </w:tblGrid>
      <w:tr w:rsidR="006F44CB" w:rsidRPr="006F44CB" w14:paraId="1E4642B4" w14:textId="77777777" w:rsidTr="006F44CB">
        <w:tc>
          <w:tcPr>
            <w:tcW w:w="2759" w:type="dxa"/>
          </w:tcPr>
          <w:p w14:paraId="4C83AEB9" w14:textId="77777777" w:rsidR="006F44CB" w:rsidRPr="006F44CB" w:rsidRDefault="006F44CB" w:rsidP="009A07FF">
            <w:pPr>
              <w:keepNext/>
              <w:keepLines/>
              <w:spacing w:before="60" w:after="60"/>
              <w:jc w:val="center"/>
              <w:rPr>
                <w:rFonts w:ascii="Book Antiqua" w:hAnsi="Book Antiqua"/>
                <w:b/>
                <w:sz w:val="24"/>
                <w:szCs w:val="24"/>
              </w:rPr>
            </w:pPr>
            <w:r w:rsidRPr="006F44CB">
              <w:rPr>
                <w:rFonts w:ascii="Book Antiqua" w:hAnsi="Book Antiqua"/>
                <w:b/>
                <w:sz w:val="24"/>
                <w:szCs w:val="24"/>
              </w:rPr>
              <w:t>Requirement</w:t>
            </w:r>
          </w:p>
        </w:tc>
        <w:tc>
          <w:tcPr>
            <w:tcW w:w="6591" w:type="dxa"/>
          </w:tcPr>
          <w:p w14:paraId="72D2DBC6" w14:textId="77777777" w:rsidR="006F44CB" w:rsidRPr="006F44CB" w:rsidRDefault="006F44CB" w:rsidP="009A07FF">
            <w:pPr>
              <w:keepNext/>
              <w:keepLines/>
              <w:spacing w:before="60" w:after="60"/>
              <w:jc w:val="center"/>
              <w:rPr>
                <w:rFonts w:ascii="Book Antiqua" w:hAnsi="Book Antiqua"/>
                <w:b/>
                <w:sz w:val="24"/>
                <w:szCs w:val="24"/>
              </w:rPr>
            </w:pPr>
            <w:r w:rsidRPr="006F44CB">
              <w:rPr>
                <w:rFonts w:ascii="Book Antiqua" w:hAnsi="Book Antiqua"/>
                <w:b/>
                <w:sz w:val="24"/>
                <w:szCs w:val="24"/>
              </w:rPr>
              <w:t>Assessment</w:t>
            </w:r>
          </w:p>
        </w:tc>
      </w:tr>
      <w:tr w:rsidR="006F44CB" w:rsidRPr="006F44CB" w14:paraId="10943E2B" w14:textId="77777777" w:rsidTr="006F44CB">
        <w:tc>
          <w:tcPr>
            <w:tcW w:w="2759" w:type="dxa"/>
          </w:tcPr>
          <w:p w14:paraId="0879ABF7" w14:textId="77777777" w:rsidR="006F44CB" w:rsidRPr="006F44CB" w:rsidRDefault="006F44CB" w:rsidP="009A07FF">
            <w:pPr>
              <w:keepNext/>
              <w:keepLines/>
              <w:spacing w:before="60" w:after="60"/>
              <w:rPr>
                <w:rFonts w:ascii="Book Antiqua" w:hAnsi="Book Antiqua"/>
                <w:sz w:val="24"/>
                <w:szCs w:val="24"/>
              </w:rPr>
            </w:pPr>
            <w:r w:rsidRPr="006F44CB">
              <w:rPr>
                <w:rFonts w:ascii="Book Antiqua" w:hAnsi="Book Antiqua"/>
                <w:sz w:val="24"/>
                <w:szCs w:val="24"/>
              </w:rPr>
              <w:t>Required Forms</w:t>
            </w:r>
          </w:p>
        </w:tc>
        <w:tc>
          <w:tcPr>
            <w:tcW w:w="6591" w:type="dxa"/>
          </w:tcPr>
          <w:p w14:paraId="3EC6DB87" w14:textId="77777777" w:rsidR="006F44CB" w:rsidRPr="006F44CB" w:rsidRDefault="006F44CB" w:rsidP="009A07FF">
            <w:pPr>
              <w:keepNext/>
              <w:keepLines/>
              <w:spacing w:before="60" w:after="60"/>
              <w:rPr>
                <w:rFonts w:ascii="Book Antiqua" w:hAnsi="Book Antiqua"/>
                <w:sz w:val="24"/>
                <w:szCs w:val="24"/>
              </w:rPr>
            </w:pPr>
            <w:r w:rsidRPr="006F44CB">
              <w:rPr>
                <w:rFonts w:ascii="Book Antiqua" w:hAnsi="Book Antiqua"/>
                <w:sz w:val="24"/>
                <w:szCs w:val="24"/>
              </w:rPr>
              <w:t>Redwood Coast Energy Authority (</w:t>
            </w:r>
            <w:r w:rsidR="003D2F3E">
              <w:rPr>
                <w:rFonts w:ascii="Book Antiqua" w:hAnsi="Book Antiqua"/>
                <w:sz w:val="24"/>
                <w:szCs w:val="24"/>
              </w:rPr>
              <w:t>Redwood Coast</w:t>
            </w:r>
            <w:r w:rsidRPr="006F44CB">
              <w:rPr>
                <w:rFonts w:ascii="Book Antiqua" w:hAnsi="Book Antiqua"/>
                <w:sz w:val="24"/>
                <w:szCs w:val="24"/>
              </w:rPr>
              <w:t>) provided the following required forms:</w:t>
            </w:r>
          </w:p>
          <w:p w14:paraId="6DE097BE" w14:textId="77777777" w:rsidR="006F44CB" w:rsidRPr="006F44CB" w:rsidRDefault="006F44CB" w:rsidP="009A07FF">
            <w:pPr>
              <w:keepNext/>
              <w:keepLines/>
              <w:numPr>
                <w:ilvl w:val="0"/>
                <w:numId w:val="19"/>
              </w:numPr>
              <w:spacing w:before="60" w:after="60"/>
              <w:rPr>
                <w:rFonts w:ascii="Book Antiqua" w:hAnsi="Book Antiqua"/>
                <w:sz w:val="24"/>
                <w:szCs w:val="24"/>
              </w:rPr>
            </w:pPr>
            <w:r w:rsidRPr="006F44CB">
              <w:rPr>
                <w:rFonts w:ascii="Book Antiqua" w:hAnsi="Book Antiqua"/>
                <w:sz w:val="24"/>
                <w:szCs w:val="24"/>
              </w:rPr>
              <w:t>CEC Form S1</w:t>
            </w:r>
          </w:p>
          <w:p w14:paraId="5C2A3BB9" w14:textId="77777777" w:rsidR="006F44CB" w:rsidRPr="006F44CB" w:rsidRDefault="006F44CB" w:rsidP="009A07FF">
            <w:pPr>
              <w:keepNext/>
              <w:keepLines/>
              <w:numPr>
                <w:ilvl w:val="0"/>
                <w:numId w:val="19"/>
              </w:numPr>
              <w:spacing w:before="60" w:after="60"/>
              <w:rPr>
                <w:rFonts w:ascii="Book Antiqua" w:hAnsi="Book Antiqua"/>
                <w:color w:val="000000"/>
                <w:sz w:val="24"/>
                <w:szCs w:val="24"/>
              </w:rPr>
            </w:pPr>
            <w:r w:rsidRPr="006F44CB">
              <w:rPr>
                <w:rFonts w:ascii="Book Antiqua" w:hAnsi="Book Antiqua"/>
                <w:color w:val="000000"/>
                <w:sz w:val="24"/>
                <w:szCs w:val="24"/>
              </w:rPr>
              <w:t>CEC Form S2 or EIA Form 861 or EIA Form 861S</w:t>
            </w:r>
          </w:p>
          <w:p w14:paraId="5B421108" w14:textId="77777777" w:rsidR="006F44CB" w:rsidRPr="006F44CB" w:rsidRDefault="006F44CB" w:rsidP="009A07FF">
            <w:pPr>
              <w:keepNext/>
              <w:keepLines/>
              <w:numPr>
                <w:ilvl w:val="0"/>
                <w:numId w:val="19"/>
              </w:numPr>
              <w:spacing w:before="60" w:after="60"/>
              <w:rPr>
                <w:rFonts w:ascii="Book Antiqua" w:hAnsi="Book Antiqua"/>
                <w:sz w:val="24"/>
                <w:szCs w:val="24"/>
              </w:rPr>
            </w:pPr>
            <w:r w:rsidRPr="006F44CB">
              <w:rPr>
                <w:rFonts w:ascii="Book Antiqua" w:hAnsi="Book Antiqua"/>
                <w:color w:val="000000"/>
                <w:sz w:val="24"/>
                <w:szCs w:val="24"/>
              </w:rPr>
              <w:t>CEC Power Content Report</w:t>
            </w:r>
          </w:p>
        </w:tc>
      </w:tr>
      <w:tr w:rsidR="006F44CB" w:rsidRPr="006F44CB" w14:paraId="4533104B" w14:textId="77777777" w:rsidTr="006F44CB">
        <w:tc>
          <w:tcPr>
            <w:tcW w:w="2759" w:type="dxa"/>
          </w:tcPr>
          <w:p w14:paraId="2221BE6E"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Treatment of Disadvantaged Communities</w:t>
            </w:r>
          </w:p>
        </w:tc>
        <w:tc>
          <w:tcPr>
            <w:tcW w:w="6591" w:type="dxa"/>
          </w:tcPr>
          <w:p w14:paraId="03934E64" w14:textId="77777777" w:rsidR="006F44CB" w:rsidRPr="006F44CB" w:rsidRDefault="003D2F3E" w:rsidP="009A07FF">
            <w:pPr>
              <w:spacing w:before="60" w:after="60"/>
              <w:rPr>
                <w:rFonts w:ascii="Book Antiqua" w:hAnsi="Book Antiqua"/>
                <w:sz w:val="24"/>
                <w:szCs w:val="24"/>
              </w:rPr>
            </w:pPr>
            <w:r>
              <w:rPr>
                <w:rFonts w:ascii="Book Antiqua" w:hAnsi="Book Antiqua"/>
                <w:sz w:val="24"/>
                <w:szCs w:val="24"/>
              </w:rPr>
              <w:t>Redwood Coast</w:t>
            </w:r>
            <w:r w:rsidR="006F44CB" w:rsidRPr="006F44CB">
              <w:rPr>
                <w:rFonts w:ascii="Book Antiqua" w:hAnsi="Book Antiqua"/>
                <w:sz w:val="24"/>
                <w:szCs w:val="24"/>
              </w:rPr>
              <w:t xml:space="preserve"> provided an exemplary description of treatment of disadvantaged communities in its LSE Plan. </w:t>
            </w:r>
            <w:r w:rsidR="00DE4198">
              <w:rPr>
                <w:rFonts w:ascii="Book Antiqua" w:hAnsi="Book Antiqua"/>
                <w:sz w:val="24"/>
                <w:szCs w:val="24"/>
              </w:rPr>
              <w:t xml:space="preserve"> </w:t>
            </w:r>
            <w:r w:rsidR="006F44CB" w:rsidRPr="006F44CB">
              <w:rPr>
                <w:rFonts w:ascii="Book Antiqua" w:hAnsi="Book Antiqua"/>
                <w:sz w:val="24"/>
                <w:szCs w:val="24"/>
              </w:rPr>
              <w:t xml:space="preserve">Even though RCEA did not have </w:t>
            </w:r>
            <w:r w:rsidR="008A7EEE">
              <w:rPr>
                <w:rFonts w:ascii="Book Antiqua" w:hAnsi="Book Antiqua"/>
                <w:sz w:val="24"/>
                <w:szCs w:val="24"/>
              </w:rPr>
              <w:t>disadvantaged communities</w:t>
            </w:r>
            <w:r w:rsidR="006F44CB" w:rsidRPr="006F44CB">
              <w:rPr>
                <w:rFonts w:ascii="Book Antiqua" w:hAnsi="Book Antiqua"/>
                <w:sz w:val="24"/>
                <w:szCs w:val="24"/>
              </w:rPr>
              <w:t xml:space="preserve"> located in its territory as defined by the CalEnviroScreen percentage threshold, it provided relevant supplemental information on poverty and emissions.</w:t>
            </w:r>
          </w:p>
        </w:tc>
      </w:tr>
      <w:tr w:rsidR="006F44CB" w:rsidRPr="006F44CB" w14:paraId="4B3B2503" w14:textId="77777777" w:rsidTr="006F44CB">
        <w:tc>
          <w:tcPr>
            <w:tcW w:w="2759" w:type="dxa"/>
          </w:tcPr>
          <w:p w14:paraId="5304EF67"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GHG Target Planning</w:t>
            </w:r>
          </w:p>
        </w:tc>
        <w:tc>
          <w:tcPr>
            <w:tcW w:w="6591" w:type="dxa"/>
          </w:tcPr>
          <w:p w14:paraId="7F611A4E" w14:textId="77777777" w:rsidR="006F44CB" w:rsidRPr="006F44CB" w:rsidRDefault="003D2F3E" w:rsidP="009A07FF">
            <w:pPr>
              <w:spacing w:before="60" w:after="60"/>
              <w:rPr>
                <w:rFonts w:ascii="Book Antiqua" w:hAnsi="Book Antiqua"/>
                <w:sz w:val="24"/>
                <w:szCs w:val="24"/>
              </w:rPr>
            </w:pPr>
            <w:r>
              <w:rPr>
                <w:rFonts w:ascii="Book Antiqua" w:hAnsi="Book Antiqua"/>
                <w:sz w:val="24"/>
                <w:szCs w:val="24"/>
              </w:rPr>
              <w:t>Redwood Coast</w:t>
            </w:r>
            <w:r w:rsidR="006F44CB" w:rsidRPr="006F44CB">
              <w:rPr>
                <w:rFonts w:ascii="Book Antiqua" w:hAnsi="Book Antiqua"/>
                <w:sz w:val="24"/>
                <w:szCs w:val="24"/>
              </w:rPr>
              <w:t xml:space="preserve"> used the CNS calculator correctly to show that its Conforming Portfolio meets its 2030 GHG Benchmark.</w:t>
            </w:r>
          </w:p>
        </w:tc>
      </w:tr>
      <w:tr w:rsidR="006F44CB" w:rsidRPr="006F44CB" w14:paraId="5DE50EFC" w14:textId="77777777" w:rsidTr="006F44CB">
        <w:tc>
          <w:tcPr>
            <w:tcW w:w="2759" w:type="dxa"/>
          </w:tcPr>
          <w:p w14:paraId="3707B58A"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 xml:space="preserve">Conforming and </w:t>
            </w:r>
            <w:r w:rsidRPr="006F44CB">
              <w:rPr>
                <w:rFonts w:ascii="Book Antiqua" w:hAnsi="Book Antiqua"/>
                <w:color w:val="000000"/>
                <w:sz w:val="24"/>
                <w:szCs w:val="24"/>
              </w:rPr>
              <w:t xml:space="preserve">Alternative </w:t>
            </w:r>
            <w:r w:rsidRPr="006F44CB">
              <w:rPr>
                <w:rFonts w:ascii="Book Antiqua" w:hAnsi="Book Antiqua"/>
                <w:sz w:val="24"/>
                <w:szCs w:val="24"/>
              </w:rPr>
              <w:t>Portfolios</w:t>
            </w:r>
          </w:p>
        </w:tc>
        <w:tc>
          <w:tcPr>
            <w:tcW w:w="6591" w:type="dxa"/>
          </w:tcPr>
          <w:p w14:paraId="3DCC339E" w14:textId="77777777" w:rsidR="006F44CB" w:rsidRPr="006F44CB" w:rsidRDefault="003D2F3E" w:rsidP="009A07FF">
            <w:pPr>
              <w:spacing w:before="60" w:after="60"/>
              <w:rPr>
                <w:rFonts w:ascii="Book Antiqua" w:hAnsi="Book Antiqua"/>
                <w:sz w:val="24"/>
                <w:szCs w:val="24"/>
              </w:rPr>
            </w:pPr>
            <w:bookmarkStart w:id="113" w:name="_Hlk524083821"/>
            <w:r>
              <w:rPr>
                <w:rFonts w:ascii="Book Antiqua" w:hAnsi="Book Antiqua"/>
                <w:sz w:val="24"/>
                <w:szCs w:val="24"/>
              </w:rPr>
              <w:t>Redwood Coast</w:t>
            </w:r>
            <w:r w:rsidR="006F44CB" w:rsidRPr="006F44CB">
              <w:rPr>
                <w:rFonts w:ascii="Book Antiqua" w:hAnsi="Book Antiqua"/>
                <w:sz w:val="24"/>
                <w:szCs w:val="24"/>
              </w:rPr>
              <w:t xml:space="preserve"> incorrectly assumed that its Conforming Portfolio needed to contain a proportional load</w:t>
            </w:r>
            <w:r w:rsidR="00D84A09">
              <w:rPr>
                <w:rFonts w:ascii="Book Antiqua" w:hAnsi="Book Antiqua"/>
                <w:sz w:val="24"/>
                <w:szCs w:val="24"/>
              </w:rPr>
              <w:noBreakHyphen/>
            </w:r>
            <w:r w:rsidR="006F44CB" w:rsidRPr="006F44CB">
              <w:rPr>
                <w:rFonts w:ascii="Book Antiqua" w:hAnsi="Book Antiqua"/>
                <w:sz w:val="24"/>
                <w:szCs w:val="24"/>
              </w:rPr>
              <w:t>weighted share of the Reference System Portfolio</w:t>
            </w:r>
            <w:bookmarkEnd w:id="113"/>
            <w:r w:rsidR="006F44CB" w:rsidRPr="006F44CB">
              <w:rPr>
                <w:rFonts w:ascii="Book Antiqua" w:hAnsi="Book Antiqua"/>
                <w:sz w:val="24"/>
                <w:szCs w:val="24"/>
              </w:rPr>
              <w:t xml:space="preserve"> adopted by the Commission. </w:t>
            </w:r>
            <w:r w:rsidR="00DE4198">
              <w:rPr>
                <w:rFonts w:ascii="Book Antiqua" w:hAnsi="Book Antiqua"/>
                <w:sz w:val="24"/>
                <w:szCs w:val="24"/>
              </w:rPr>
              <w:t xml:space="preserve"> </w:t>
            </w:r>
            <w:r w:rsidR="006F44CB" w:rsidRPr="006F44CB">
              <w:rPr>
                <w:rFonts w:ascii="Book Antiqua" w:hAnsi="Book Antiqua"/>
                <w:sz w:val="24"/>
                <w:szCs w:val="24"/>
              </w:rPr>
              <w:t xml:space="preserve">Nevertheless, </w:t>
            </w:r>
            <w:r>
              <w:rPr>
                <w:rFonts w:ascii="Book Antiqua" w:hAnsi="Book Antiqua"/>
                <w:sz w:val="24"/>
                <w:szCs w:val="24"/>
              </w:rPr>
              <w:t>Redwood Coast</w:t>
            </w:r>
            <w:r w:rsidR="006F44CB" w:rsidRPr="006F44CB">
              <w:rPr>
                <w:rFonts w:ascii="Book Antiqua" w:hAnsi="Book Antiqua"/>
                <w:sz w:val="24"/>
                <w:szCs w:val="24"/>
              </w:rPr>
              <w:t xml:space="preserve"> shows that it will meet its 2030 GHG Benchmark after procuring more than its assumed pro</w:t>
            </w:r>
            <w:r w:rsidR="00D84A09">
              <w:rPr>
                <w:rFonts w:ascii="Book Antiqua" w:hAnsi="Book Antiqua"/>
                <w:sz w:val="24"/>
                <w:szCs w:val="24"/>
              </w:rPr>
              <w:noBreakHyphen/>
            </w:r>
            <w:r w:rsidR="006F44CB" w:rsidRPr="006F44CB">
              <w:rPr>
                <w:rFonts w:ascii="Book Antiqua" w:hAnsi="Book Antiqua"/>
                <w:sz w:val="24"/>
                <w:szCs w:val="24"/>
              </w:rPr>
              <w:t xml:space="preserve">rate share of the Reference System Portfolio. </w:t>
            </w:r>
            <w:r w:rsidR="00DE4198">
              <w:rPr>
                <w:rFonts w:ascii="Book Antiqua" w:hAnsi="Book Antiqua"/>
                <w:sz w:val="24"/>
                <w:szCs w:val="24"/>
              </w:rPr>
              <w:t xml:space="preserve"> </w:t>
            </w:r>
            <w:r>
              <w:rPr>
                <w:rFonts w:ascii="Book Antiqua" w:hAnsi="Book Antiqua"/>
                <w:sz w:val="24"/>
                <w:szCs w:val="24"/>
              </w:rPr>
              <w:t>Redwood Coast</w:t>
            </w:r>
            <w:r w:rsidR="006F44CB" w:rsidRPr="006F44CB">
              <w:rPr>
                <w:rFonts w:ascii="Book Antiqua" w:hAnsi="Book Antiqua"/>
                <w:sz w:val="24"/>
                <w:szCs w:val="24"/>
              </w:rPr>
              <w:t xml:space="preserve"> did not submit an optional Alternative Portfolio.</w:t>
            </w:r>
          </w:p>
        </w:tc>
      </w:tr>
      <w:tr w:rsidR="006F44CB" w:rsidRPr="006F44CB" w14:paraId="3BA5E71B" w14:textId="77777777" w:rsidTr="006F44CB">
        <w:tc>
          <w:tcPr>
            <w:tcW w:w="2759" w:type="dxa"/>
          </w:tcPr>
          <w:p w14:paraId="377CCA8A" w14:textId="77777777" w:rsidR="006F44CB" w:rsidRPr="006F44CB" w:rsidRDefault="006F44CB" w:rsidP="009A07FF">
            <w:pPr>
              <w:spacing w:before="60" w:after="60"/>
              <w:rPr>
                <w:rFonts w:ascii="Book Antiqua" w:hAnsi="Book Antiqua"/>
                <w:sz w:val="24"/>
                <w:szCs w:val="24"/>
              </w:rPr>
            </w:pPr>
            <w:r w:rsidRPr="006F44CB">
              <w:rPr>
                <w:rFonts w:ascii="Book Antiqua" w:hAnsi="Book Antiqua"/>
                <w:color w:val="000000"/>
                <w:sz w:val="24"/>
                <w:szCs w:val="24"/>
              </w:rPr>
              <w:t>Statutory or Administrative Requirements</w:t>
            </w:r>
          </w:p>
        </w:tc>
        <w:tc>
          <w:tcPr>
            <w:tcW w:w="6591" w:type="dxa"/>
          </w:tcPr>
          <w:p w14:paraId="4972E6AD" w14:textId="77777777" w:rsidR="006F44CB" w:rsidRPr="006F44CB" w:rsidRDefault="003D2F3E" w:rsidP="009A07FF">
            <w:pPr>
              <w:spacing w:before="60" w:after="60"/>
              <w:rPr>
                <w:rFonts w:ascii="Book Antiqua" w:hAnsi="Book Antiqua"/>
                <w:sz w:val="24"/>
                <w:szCs w:val="24"/>
              </w:rPr>
            </w:pPr>
            <w:r>
              <w:rPr>
                <w:rFonts w:ascii="Book Antiqua" w:hAnsi="Book Antiqua"/>
                <w:sz w:val="24"/>
                <w:szCs w:val="24"/>
              </w:rPr>
              <w:t>Redwood Coast</w:t>
            </w:r>
            <w:r w:rsidR="006F44CB" w:rsidRPr="006F44CB">
              <w:rPr>
                <w:rFonts w:ascii="Book Antiqua" w:hAnsi="Book Antiqua"/>
                <w:sz w:val="24"/>
                <w:szCs w:val="24"/>
              </w:rPr>
              <w:t xml:space="preserve"> did not speak directly to the following requirements: </w:t>
            </w:r>
          </w:p>
          <w:p w14:paraId="58084CD1"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sz w:val="24"/>
                <w:szCs w:val="24"/>
              </w:rPr>
              <w:t>50% RPS by 2030.</w:t>
            </w:r>
          </w:p>
          <w:p w14:paraId="5177E330"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Serve customers at just and reasonable rates.</w:t>
            </w:r>
          </w:p>
          <w:p w14:paraId="7F538C8A"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Minimize impacts on ratepayers’ bills.</w:t>
            </w:r>
          </w:p>
          <w:p w14:paraId="43437DBF"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Ensure system and local reliability.</w:t>
            </w:r>
          </w:p>
          <w:p w14:paraId="0F3BECB8"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Strengthen the diversity, sustainability, and resilience of the bulk transmission and distribution systems, and local communities.</w:t>
            </w:r>
          </w:p>
          <w:p w14:paraId="08F50AA4"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Enhance distribution systems and demand</w:t>
            </w:r>
            <w:r w:rsidR="00D84A09">
              <w:rPr>
                <w:rFonts w:ascii="Book Antiqua" w:hAnsi="Book Antiqua"/>
                <w:color w:val="000000"/>
                <w:sz w:val="24"/>
                <w:szCs w:val="24"/>
              </w:rPr>
              <w:noBreakHyphen/>
            </w:r>
            <w:r w:rsidRPr="006F44CB">
              <w:rPr>
                <w:rFonts w:ascii="Book Antiqua" w:hAnsi="Book Antiqua"/>
                <w:color w:val="000000"/>
                <w:sz w:val="24"/>
                <w:szCs w:val="24"/>
              </w:rPr>
              <w:t>side energy management.</w:t>
            </w:r>
          </w:p>
        </w:tc>
      </w:tr>
      <w:tr w:rsidR="006F44CB" w:rsidRPr="006F44CB" w14:paraId="0747939B" w14:textId="77777777" w:rsidTr="006F44CB">
        <w:tc>
          <w:tcPr>
            <w:tcW w:w="2759" w:type="dxa"/>
          </w:tcPr>
          <w:p w14:paraId="669FD31E" w14:textId="77777777" w:rsidR="006F44CB" w:rsidRPr="006F44CB" w:rsidRDefault="006F44CB" w:rsidP="009A07FF">
            <w:pPr>
              <w:spacing w:before="60" w:after="60"/>
              <w:rPr>
                <w:rFonts w:ascii="Book Antiqua" w:hAnsi="Book Antiqua"/>
                <w:sz w:val="24"/>
                <w:szCs w:val="24"/>
              </w:rPr>
            </w:pPr>
            <w:r w:rsidRPr="006F44CB">
              <w:rPr>
                <w:rFonts w:ascii="Book Antiqua" w:hAnsi="Book Antiqua"/>
                <w:color w:val="000000"/>
                <w:sz w:val="24"/>
                <w:szCs w:val="24"/>
              </w:rPr>
              <w:t>Action Plan</w:t>
            </w:r>
          </w:p>
        </w:tc>
        <w:tc>
          <w:tcPr>
            <w:tcW w:w="6591" w:type="dxa"/>
          </w:tcPr>
          <w:p w14:paraId="1C731DB6" w14:textId="77777777" w:rsidR="006F44CB" w:rsidRPr="006F44CB" w:rsidRDefault="003D2F3E" w:rsidP="009A07FF">
            <w:pPr>
              <w:spacing w:before="60" w:after="60"/>
              <w:rPr>
                <w:rFonts w:ascii="Book Antiqua" w:hAnsi="Book Antiqua"/>
                <w:sz w:val="24"/>
                <w:szCs w:val="24"/>
              </w:rPr>
            </w:pPr>
            <w:r>
              <w:rPr>
                <w:rFonts w:ascii="Book Antiqua" w:hAnsi="Book Antiqua"/>
                <w:sz w:val="24"/>
                <w:szCs w:val="24"/>
              </w:rPr>
              <w:t>Redwood Coast</w:t>
            </w:r>
            <w:r w:rsidR="006F44CB" w:rsidRPr="006F44CB">
              <w:rPr>
                <w:rFonts w:ascii="Book Antiqua" w:hAnsi="Book Antiqua"/>
                <w:sz w:val="24"/>
                <w:szCs w:val="24"/>
              </w:rPr>
              <w:t xml:space="preserve"> provided an adequate description of the actions it proposes to take in the next one to three years to implement its plan.</w:t>
            </w:r>
          </w:p>
        </w:tc>
      </w:tr>
      <w:tr w:rsidR="006F44CB" w:rsidRPr="006F44CB" w14:paraId="088CA69A" w14:textId="77777777" w:rsidTr="006F44CB">
        <w:tc>
          <w:tcPr>
            <w:tcW w:w="2759" w:type="dxa"/>
          </w:tcPr>
          <w:p w14:paraId="5FF65588" w14:textId="77777777" w:rsidR="006F44CB" w:rsidRPr="006F44CB" w:rsidRDefault="006F44CB" w:rsidP="009A07FF">
            <w:pPr>
              <w:spacing w:before="60" w:after="60"/>
              <w:rPr>
                <w:rFonts w:ascii="Book Antiqua" w:hAnsi="Book Antiqua"/>
                <w:sz w:val="24"/>
                <w:szCs w:val="24"/>
              </w:rPr>
            </w:pPr>
            <w:r w:rsidRPr="006F44CB">
              <w:rPr>
                <w:rFonts w:ascii="Book Antiqua" w:hAnsi="Book Antiqua"/>
                <w:color w:val="000000"/>
                <w:sz w:val="24"/>
                <w:szCs w:val="24"/>
              </w:rPr>
              <w:t>Barriers and Lessons Learned</w:t>
            </w:r>
          </w:p>
        </w:tc>
        <w:tc>
          <w:tcPr>
            <w:tcW w:w="6591" w:type="dxa"/>
          </w:tcPr>
          <w:p w14:paraId="083C3367" w14:textId="77777777" w:rsidR="006F44CB" w:rsidRPr="006F44CB" w:rsidRDefault="003D2F3E" w:rsidP="009A07FF">
            <w:pPr>
              <w:spacing w:before="60" w:after="60"/>
              <w:rPr>
                <w:rFonts w:ascii="Book Antiqua" w:hAnsi="Book Antiqua"/>
                <w:sz w:val="24"/>
                <w:szCs w:val="24"/>
              </w:rPr>
            </w:pPr>
            <w:r>
              <w:rPr>
                <w:rFonts w:ascii="Book Antiqua" w:hAnsi="Book Antiqua"/>
                <w:sz w:val="24"/>
                <w:szCs w:val="24"/>
              </w:rPr>
              <w:t>Redwood Coast</w:t>
            </w:r>
            <w:r w:rsidR="006F44CB" w:rsidRPr="006F44CB">
              <w:rPr>
                <w:rFonts w:ascii="Book Antiqua" w:hAnsi="Book Antiqua"/>
                <w:sz w:val="24"/>
                <w:szCs w:val="24"/>
              </w:rPr>
              <w:t xml:space="preserve"> provided an exemplary description of barriers and risks to achieving its generation portfolio goals along with specific recommendations for improving the </w:t>
            </w:r>
            <w:r w:rsidR="00C31396">
              <w:rPr>
                <w:rFonts w:ascii="Book Antiqua" w:hAnsi="Book Antiqua"/>
                <w:sz w:val="24"/>
                <w:szCs w:val="24"/>
              </w:rPr>
              <w:t>Commission’s</w:t>
            </w:r>
            <w:r w:rsidR="006F44CB" w:rsidRPr="006F44CB">
              <w:rPr>
                <w:rFonts w:ascii="Book Antiqua" w:hAnsi="Book Antiqua"/>
                <w:sz w:val="24"/>
                <w:szCs w:val="24"/>
              </w:rPr>
              <w:t xml:space="preserve"> modeling assumptions and process.</w:t>
            </w:r>
          </w:p>
        </w:tc>
      </w:tr>
    </w:tbl>
    <w:p w14:paraId="16E00D8E" w14:textId="77777777" w:rsidR="006F44CB" w:rsidRPr="009A07FF" w:rsidRDefault="006F44CB" w:rsidP="009A07FF">
      <w:pPr>
        <w:keepNext/>
        <w:keepLines/>
        <w:spacing w:before="240" w:after="120" w:line="276" w:lineRule="auto"/>
        <w:outlineLvl w:val="3"/>
        <w:rPr>
          <w:rFonts w:ascii="Book Antiqua" w:eastAsiaTheme="majorEastAsia" w:hAnsi="Book Antiqua" w:cstheme="majorBidi"/>
          <w:b/>
          <w:i/>
          <w:iCs/>
          <w:szCs w:val="24"/>
        </w:rPr>
      </w:pPr>
      <w:r w:rsidRPr="009A07FF">
        <w:rPr>
          <w:rFonts w:ascii="Book Antiqua" w:eastAsiaTheme="majorEastAsia" w:hAnsi="Book Antiqua" w:cstheme="majorBidi"/>
          <w:b/>
          <w:i/>
          <w:iCs/>
          <w:szCs w:val="24"/>
        </w:rPr>
        <w:t xml:space="preserve">Next Steps for </w:t>
      </w:r>
      <w:r w:rsidR="003D2F3E" w:rsidRPr="009A07FF">
        <w:rPr>
          <w:rFonts w:ascii="Book Antiqua" w:eastAsiaTheme="majorEastAsia" w:hAnsi="Book Antiqua" w:cstheme="majorBidi"/>
          <w:b/>
          <w:i/>
          <w:iCs/>
          <w:szCs w:val="24"/>
        </w:rPr>
        <w:t>Redwood Coast</w:t>
      </w:r>
    </w:p>
    <w:p w14:paraId="2C74CF7D" w14:textId="77777777" w:rsidR="006F44CB" w:rsidRPr="009A07FF" w:rsidRDefault="006F44CB" w:rsidP="006F44CB">
      <w:pPr>
        <w:spacing w:after="200" w:line="276" w:lineRule="auto"/>
        <w:rPr>
          <w:rFonts w:ascii="Book Antiqua" w:hAnsi="Book Antiqua" w:cstheme="minorBidi"/>
          <w:szCs w:val="24"/>
        </w:rPr>
      </w:pPr>
      <w:r w:rsidRPr="009A07FF">
        <w:rPr>
          <w:rFonts w:ascii="Book Antiqua" w:hAnsi="Book Antiqua" w:cstheme="minorBidi"/>
          <w:b/>
          <w:szCs w:val="24"/>
        </w:rPr>
        <w:t>Action required in this IRP 2017</w:t>
      </w:r>
      <w:r w:rsidR="00D84A09" w:rsidRPr="009A07FF">
        <w:rPr>
          <w:rFonts w:ascii="Book Antiqua" w:hAnsi="Book Antiqua" w:cstheme="minorBidi"/>
          <w:b/>
          <w:szCs w:val="24"/>
        </w:rPr>
        <w:noBreakHyphen/>
      </w:r>
      <w:r w:rsidRPr="009A07FF">
        <w:rPr>
          <w:rFonts w:ascii="Book Antiqua" w:hAnsi="Book Antiqua" w:cstheme="minorBidi"/>
          <w:b/>
          <w:szCs w:val="24"/>
        </w:rPr>
        <w:t>18 cycle</w:t>
      </w:r>
      <w:r w:rsidRPr="009A07FF">
        <w:rPr>
          <w:rFonts w:ascii="Book Antiqua" w:hAnsi="Book Antiqua" w:cstheme="minorBidi"/>
          <w:szCs w:val="24"/>
        </w:rPr>
        <w:t xml:space="preserve">: </w:t>
      </w:r>
      <w:r w:rsidR="004731C2" w:rsidRPr="009A07FF">
        <w:rPr>
          <w:rFonts w:ascii="Book Antiqua" w:hAnsi="Book Antiqua" w:cstheme="minorBidi"/>
          <w:szCs w:val="24"/>
        </w:rPr>
        <w:t xml:space="preserve"> </w:t>
      </w:r>
      <w:r w:rsidRPr="009A07FF">
        <w:rPr>
          <w:rFonts w:ascii="Book Antiqua" w:hAnsi="Book Antiqua" w:cstheme="minorBidi"/>
          <w:szCs w:val="24"/>
        </w:rPr>
        <w:t>None at this time.</w:t>
      </w:r>
    </w:p>
    <w:p w14:paraId="1848AC27" w14:textId="77777777" w:rsidR="006F44CB" w:rsidRPr="009A07FF" w:rsidRDefault="006F44CB" w:rsidP="006F44CB">
      <w:pPr>
        <w:spacing w:after="200" w:line="276" w:lineRule="auto"/>
        <w:rPr>
          <w:rFonts w:ascii="Book Antiqua" w:hAnsi="Book Antiqua" w:cstheme="minorBidi"/>
          <w:szCs w:val="24"/>
        </w:rPr>
      </w:pPr>
      <w:r w:rsidRPr="009A07FF">
        <w:rPr>
          <w:rFonts w:ascii="Book Antiqua" w:hAnsi="Book Antiqua" w:cstheme="minorBidi"/>
          <w:b/>
          <w:szCs w:val="24"/>
        </w:rPr>
        <w:t>Guidance for LSE Plan development in the next IRP cycle</w:t>
      </w:r>
      <w:r w:rsidRPr="009A07FF">
        <w:rPr>
          <w:rFonts w:ascii="Book Antiqua" w:hAnsi="Book Antiqua" w:cstheme="minorBidi"/>
          <w:szCs w:val="24"/>
        </w:rPr>
        <w:t xml:space="preserve">: </w:t>
      </w:r>
      <w:r w:rsidR="004731C2" w:rsidRPr="009A07FF">
        <w:rPr>
          <w:rFonts w:ascii="Book Antiqua" w:hAnsi="Book Antiqua" w:cstheme="minorBidi"/>
          <w:szCs w:val="24"/>
        </w:rPr>
        <w:t xml:space="preserve"> </w:t>
      </w:r>
      <w:r w:rsidRPr="009A07FF">
        <w:rPr>
          <w:rFonts w:ascii="Book Antiqua" w:hAnsi="Book Antiqua" w:cstheme="minorBidi"/>
          <w:szCs w:val="24"/>
        </w:rPr>
        <w:t>None at this time.</w:t>
      </w:r>
    </w:p>
    <w:p w14:paraId="3701216B" w14:textId="77777777" w:rsidR="006F44CB" w:rsidRPr="009A07FF" w:rsidRDefault="006F44CB" w:rsidP="006F44CB">
      <w:pPr>
        <w:keepNext/>
        <w:keepLines/>
        <w:spacing w:before="240" w:after="120" w:line="276" w:lineRule="auto"/>
        <w:outlineLvl w:val="2"/>
        <w:rPr>
          <w:rFonts w:ascii="Book Antiqua" w:eastAsiaTheme="majorEastAsia" w:hAnsi="Book Antiqua" w:cstheme="majorBidi"/>
          <w:b/>
          <w:szCs w:val="24"/>
        </w:rPr>
      </w:pPr>
      <w:bookmarkStart w:id="114" w:name="_Toc868794"/>
      <w:r w:rsidRPr="009A07FF">
        <w:rPr>
          <w:rFonts w:ascii="Book Antiqua" w:eastAsiaTheme="majorEastAsia" w:hAnsi="Book Antiqua" w:cstheme="majorBidi"/>
          <w:b/>
          <w:szCs w:val="24"/>
        </w:rPr>
        <w:t>Solana Energy Alliance</w:t>
      </w:r>
      <w:bookmarkEnd w:id="114"/>
    </w:p>
    <w:tbl>
      <w:tblPr>
        <w:tblStyle w:val="TableGrid4"/>
        <w:tblW w:w="0" w:type="auto"/>
        <w:tblLook w:val="04A0" w:firstRow="1" w:lastRow="0" w:firstColumn="1" w:lastColumn="0" w:noHBand="0" w:noVBand="1"/>
      </w:tblPr>
      <w:tblGrid>
        <w:gridCol w:w="2759"/>
        <w:gridCol w:w="6591"/>
      </w:tblGrid>
      <w:tr w:rsidR="006F44CB" w:rsidRPr="006F44CB" w14:paraId="2EB60F93" w14:textId="77777777" w:rsidTr="006F44CB">
        <w:tc>
          <w:tcPr>
            <w:tcW w:w="2759" w:type="dxa"/>
          </w:tcPr>
          <w:p w14:paraId="416BEA20" w14:textId="77777777" w:rsidR="006F44CB" w:rsidRPr="006F44CB" w:rsidRDefault="006F44CB" w:rsidP="009A07FF">
            <w:pPr>
              <w:spacing w:before="60" w:after="60"/>
              <w:jc w:val="center"/>
              <w:rPr>
                <w:rFonts w:ascii="Book Antiqua" w:hAnsi="Book Antiqua"/>
                <w:b/>
                <w:sz w:val="24"/>
                <w:szCs w:val="24"/>
              </w:rPr>
            </w:pPr>
            <w:r w:rsidRPr="006F44CB">
              <w:rPr>
                <w:rFonts w:ascii="Book Antiqua" w:hAnsi="Book Antiqua"/>
                <w:b/>
                <w:sz w:val="24"/>
                <w:szCs w:val="24"/>
              </w:rPr>
              <w:t>Requirement</w:t>
            </w:r>
          </w:p>
        </w:tc>
        <w:tc>
          <w:tcPr>
            <w:tcW w:w="6591" w:type="dxa"/>
          </w:tcPr>
          <w:p w14:paraId="6401A8D0" w14:textId="77777777" w:rsidR="006F44CB" w:rsidRPr="006F44CB" w:rsidRDefault="006F44CB" w:rsidP="009A07FF">
            <w:pPr>
              <w:spacing w:before="60" w:after="60"/>
              <w:jc w:val="center"/>
              <w:rPr>
                <w:rFonts w:ascii="Book Antiqua" w:hAnsi="Book Antiqua"/>
                <w:b/>
                <w:sz w:val="24"/>
                <w:szCs w:val="24"/>
              </w:rPr>
            </w:pPr>
            <w:r w:rsidRPr="006F44CB">
              <w:rPr>
                <w:rFonts w:ascii="Book Antiqua" w:hAnsi="Book Antiqua"/>
                <w:b/>
                <w:sz w:val="24"/>
                <w:szCs w:val="24"/>
              </w:rPr>
              <w:t>Assessment</w:t>
            </w:r>
          </w:p>
        </w:tc>
      </w:tr>
      <w:tr w:rsidR="006F44CB" w:rsidRPr="006F44CB" w14:paraId="10A135AD" w14:textId="77777777" w:rsidTr="006F44CB">
        <w:tc>
          <w:tcPr>
            <w:tcW w:w="2759" w:type="dxa"/>
          </w:tcPr>
          <w:p w14:paraId="19805658"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Required Forms</w:t>
            </w:r>
          </w:p>
        </w:tc>
        <w:tc>
          <w:tcPr>
            <w:tcW w:w="6591" w:type="dxa"/>
          </w:tcPr>
          <w:p w14:paraId="6B7D1C92"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Solana Energy Alliance (</w:t>
            </w:r>
            <w:r w:rsidR="003D2F3E">
              <w:rPr>
                <w:rFonts w:ascii="Book Antiqua" w:hAnsi="Book Antiqua"/>
                <w:sz w:val="24"/>
                <w:szCs w:val="24"/>
              </w:rPr>
              <w:t>Solana</w:t>
            </w:r>
            <w:r w:rsidRPr="006F44CB">
              <w:rPr>
                <w:rFonts w:ascii="Book Antiqua" w:hAnsi="Book Antiqua"/>
                <w:sz w:val="24"/>
                <w:szCs w:val="24"/>
              </w:rPr>
              <w:t>) provided the following required forms:</w:t>
            </w:r>
          </w:p>
          <w:p w14:paraId="39BE0C7E" w14:textId="77777777" w:rsidR="006F44CB" w:rsidRPr="006F44CB" w:rsidRDefault="006F44CB" w:rsidP="009A07FF">
            <w:pPr>
              <w:numPr>
                <w:ilvl w:val="0"/>
                <w:numId w:val="20"/>
              </w:numPr>
              <w:spacing w:before="60" w:after="60"/>
              <w:rPr>
                <w:rFonts w:ascii="Book Antiqua" w:hAnsi="Book Antiqua"/>
                <w:sz w:val="24"/>
                <w:szCs w:val="24"/>
              </w:rPr>
            </w:pPr>
            <w:r w:rsidRPr="006F44CB">
              <w:rPr>
                <w:rFonts w:ascii="Book Antiqua" w:hAnsi="Book Antiqua"/>
                <w:sz w:val="24"/>
                <w:szCs w:val="24"/>
              </w:rPr>
              <w:t>CEC Form S1</w:t>
            </w:r>
          </w:p>
          <w:p w14:paraId="4AF21690" w14:textId="77777777" w:rsidR="006F44CB" w:rsidRPr="006F44CB" w:rsidRDefault="006F44CB" w:rsidP="009A07FF">
            <w:pPr>
              <w:numPr>
                <w:ilvl w:val="0"/>
                <w:numId w:val="20"/>
              </w:numPr>
              <w:spacing w:before="60" w:after="60"/>
              <w:rPr>
                <w:rFonts w:ascii="Book Antiqua" w:hAnsi="Book Antiqua"/>
                <w:color w:val="000000"/>
                <w:sz w:val="24"/>
                <w:szCs w:val="24"/>
              </w:rPr>
            </w:pPr>
            <w:r w:rsidRPr="006F44CB">
              <w:rPr>
                <w:rFonts w:ascii="Book Antiqua" w:hAnsi="Book Antiqua"/>
                <w:color w:val="000000"/>
                <w:sz w:val="24"/>
                <w:szCs w:val="24"/>
              </w:rPr>
              <w:t>CEC Form S2 or EIA Form 861 or EIA Form 861S</w:t>
            </w:r>
          </w:p>
          <w:p w14:paraId="44587585" w14:textId="77777777" w:rsidR="006F44CB" w:rsidRPr="006F44CB" w:rsidRDefault="006F44CB" w:rsidP="009A07FF">
            <w:pPr>
              <w:numPr>
                <w:ilvl w:val="0"/>
                <w:numId w:val="20"/>
              </w:numPr>
              <w:spacing w:before="60" w:after="60"/>
              <w:rPr>
                <w:rFonts w:ascii="Book Antiqua" w:hAnsi="Book Antiqua"/>
                <w:sz w:val="24"/>
                <w:szCs w:val="24"/>
              </w:rPr>
            </w:pPr>
            <w:r w:rsidRPr="006F44CB">
              <w:rPr>
                <w:rFonts w:ascii="Book Antiqua" w:hAnsi="Book Antiqua"/>
                <w:color w:val="000000"/>
                <w:sz w:val="24"/>
                <w:szCs w:val="24"/>
              </w:rPr>
              <w:t>CEC Power Content Report</w:t>
            </w:r>
          </w:p>
        </w:tc>
      </w:tr>
      <w:tr w:rsidR="006F44CB" w:rsidRPr="006F44CB" w14:paraId="7CF174A9" w14:textId="77777777" w:rsidTr="006F44CB">
        <w:tc>
          <w:tcPr>
            <w:tcW w:w="2759" w:type="dxa"/>
          </w:tcPr>
          <w:p w14:paraId="1394F6D5"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Treatment of Disadvantaged Communities</w:t>
            </w:r>
          </w:p>
        </w:tc>
        <w:tc>
          <w:tcPr>
            <w:tcW w:w="6591" w:type="dxa"/>
          </w:tcPr>
          <w:p w14:paraId="54CDF9B5" w14:textId="77777777" w:rsidR="006F44CB" w:rsidRPr="006F44CB" w:rsidRDefault="003D2F3E" w:rsidP="009A07FF">
            <w:pPr>
              <w:spacing w:before="60" w:after="60"/>
              <w:rPr>
                <w:rFonts w:ascii="Book Antiqua" w:hAnsi="Book Antiqua"/>
                <w:sz w:val="24"/>
                <w:szCs w:val="24"/>
              </w:rPr>
            </w:pPr>
            <w:r>
              <w:rPr>
                <w:rFonts w:ascii="Book Antiqua" w:hAnsi="Book Antiqua"/>
                <w:sz w:val="24"/>
                <w:szCs w:val="24"/>
              </w:rPr>
              <w:t>Solana</w:t>
            </w:r>
            <w:r w:rsidR="006F44CB" w:rsidRPr="006F44CB">
              <w:rPr>
                <w:rFonts w:ascii="Book Antiqua" w:hAnsi="Book Antiqua"/>
                <w:sz w:val="24"/>
                <w:szCs w:val="24"/>
              </w:rPr>
              <w:t xml:space="preserve"> provided an adequate description of treatment of disadvantaged communities in its LSE Plan.</w:t>
            </w:r>
          </w:p>
        </w:tc>
      </w:tr>
      <w:tr w:rsidR="006F44CB" w:rsidRPr="006F44CB" w14:paraId="37BB64DD" w14:textId="77777777" w:rsidTr="006F44CB">
        <w:tc>
          <w:tcPr>
            <w:tcW w:w="2759" w:type="dxa"/>
          </w:tcPr>
          <w:p w14:paraId="5615646A"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GHG Target Planning</w:t>
            </w:r>
          </w:p>
        </w:tc>
        <w:tc>
          <w:tcPr>
            <w:tcW w:w="6591" w:type="dxa"/>
          </w:tcPr>
          <w:p w14:paraId="0DBA1B71" w14:textId="77777777" w:rsidR="006F44CB" w:rsidRPr="006F44CB" w:rsidRDefault="003D2F3E" w:rsidP="009A07FF">
            <w:pPr>
              <w:spacing w:before="60" w:after="60"/>
              <w:rPr>
                <w:rFonts w:ascii="Book Antiqua" w:hAnsi="Book Antiqua"/>
                <w:sz w:val="24"/>
                <w:szCs w:val="24"/>
              </w:rPr>
            </w:pPr>
            <w:r>
              <w:rPr>
                <w:rFonts w:ascii="Book Antiqua" w:hAnsi="Book Antiqua"/>
                <w:sz w:val="24"/>
                <w:szCs w:val="24"/>
              </w:rPr>
              <w:t>Solana</w:t>
            </w:r>
            <w:r w:rsidR="006F44CB" w:rsidRPr="006F44CB">
              <w:rPr>
                <w:rFonts w:ascii="Book Antiqua" w:hAnsi="Book Antiqua"/>
                <w:sz w:val="24"/>
                <w:szCs w:val="24"/>
              </w:rPr>
              <w:t xml:space="preserve"> used a slightly modified load forecast in the CNS calculator for the years 2022, 2026, and 2030, without explanation. </w:t>
            </w:r>
            <w:r w:rsidR="00C961F7">
              <w:rPr>
                <w:rFonts w:ascii="Book Antiqua" w:hAnsi="Book Antiqua"/>
                <w:sz w:val="24"/>
                <w:szCs w:val="24"/>
              </w:rPr>
              <w:t xml:space="preserve"> </w:t>
            </w:r>
            <w:r>
              <w:rPr>
                <w:rFonts w:ascii="Book Antiqua" w:hAnsi="Book Antiqua"/>
                <w:sz w:val="24"/>
                <w:szCs w:val="24"/>
              </w:rPr>
              <w:t>Solana’s</w:t>
            </w:r>
            <w:r w:rsidR="006F44CB" w:rsidRPr="006F44CB">
              <w:rPr>
                <w:rFonts w:ascii="Book Antiqua" w:hAnsi="Book Antiqua"/>
                <w:sz w:val="24"/>
                <w:szCs w:val="24"/>
              </w:rPr>
              <w:t xml:space="preserve"> Conforming Portfolio, which consists solely of </w:t>
            </w:r>
            <w:r>
              <w:rPr>
                <w:rFonts w:ascii="Book Antiqua" w:hAnsi="Book Antiqua"/>
                <w:sz w:val="24"/>
                <w:szCs w:val="24"/>
              </w:rPr>
              <w:t>Solana’s</w:t>
            </w:r>
            <w:r w:rsidR="006F44CB" w:rsidRPr="006F44CB">
              <w:rPr>
                <w:rFonts w:ascii="Book Antiqua" w:hAnsi="Book Antiqua"/>
                <w:sz w:val="24"/>
                <w:szCs w:val="24"/>
              </w:rPr>
              <w:t xml:space="preserve"> pro</w:t>
            </w:r>
            <w:r w:rsidR="00D84A09">
              <w:rPr>
                <w:rFonts w:ascii="Book Antiqua" w:hAnsi="Book Antiqua"/>
                <w:sz w:val="24"/>
                <w:szCs w:val="24"/>
              </w:rPr>
              <w:noBreakHyphen/>
            </w:r>
            <w:r w:rsidR="006F44CB" w:rsidRPr="006F44CB">
              <w:rPr>
                <w:rFonts w:ascii="Book Antiqua" w:hAnsi="Book Antiqua"/>
                <w:sz w:val="24"/>
                <w:szCs w:val="24"/>
              </w:rPr>
              <w:t>rata share of the Reference System Portfolio, results in 2030 emissions of 0.023 MMT, which exceeds its benchmark of 0.016 MMT by roughly 50%.</w:t>
            </w:r>
          </w:p>
        </w:tc>
      </w:tr>
      <w:tr w:rsidR="006F44CB" w:rsidRPr="006F44CB" w14:paraId="166BF8F9" w14:textId="77777777" w:rsidTr="006F44CB">
        <w:tc>
          <w:tcPr>
            <w:tcW w:w="2759" w:type="dxa"/>
          </w:tcPr>
          <w:p w14:paraId="2B194F93"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Conforming and Alternative Portfolios</w:t>
            </w:r>
          </w:p>
        </w:tc>
        <w:tc>
          <w:tcPr>
            <w:tcW w:w="6591" w:type="dxa"/>
          </w:tcPr>
          <w:p w14:paraId="050E735A" w14:textId="77777777" w:rsidR="006F44CB" w:rsidRPr="006F44CB" w:rsidRDefault="003D2F3E" w:rsidP="009A07FF">
            <w:pPr>
              <w:spacing w:before="60" w:after="60"/>
              <w:rPr>
                <w:rFonts w:ascii="Book Antiqua" w:hAnsi="Book Antiqua"/>
                <w:sz w:val="24"/>
                <w:szCs w:val="24"/>
              </w:rPr>
            </w:pPr>
            <w:r>
              <w:rPr>
                <w:rFonts w:ascii="Book Antiqua" w:hAnsi="Book Antiqua"/>
                <w:sz w:val="24"/>
                <w:szCs w:val="24"/>
              </w:rPr>
              <w:t>Solana</w:t>
            </w:r>
            <w:r w:rsidR="006F44CB" w:rsidRPr="006F44CB">
              <w:rPr>
                <w:rFonts w:ascii="Book Antiqua" w:hAnsi="Book Antiqua"/>
                <w:sz w:val="24"/>
                <w:szCs w:val="24"/>
              </w:rPr>
              <w:t xml:space="preserve"> incorrectly assumed that its Conforming Portfolio had to contain a proportional load</w:t>
            </w:r>
            <w:r w:rsidR="00D84A09">
              <w:rPr>
                <w:rFonts w:ascii="Book Antiqua" w:hAnsi="Book Antiqua"/>
                <w:sz w:val="24"/>
                <w:szCs w:val="24"/>
              </w:rPr>
              <w:noBreakHyphen/>
            </w:r>
            <w:r w:rsidR="006F44CB" w:rsidRPr="006F44CB">
              <w:rPr>
                <w:rFonts w:ascii="Book Antiqua" w:hAnsi="Book Antiqua"/>
                <w:sz w:val="24"/>
                <w:szCs w:val="24"/>
              </w:rPr>
              <w:t xml:space="preserve">weighted share of the Reference System Portfolio adopted by the Commission. </w:t>
            </w:r>
            <w:r w:rsidR="00C961F7">
              <w:rPr>
                <w:rFonts w:ascii="Book Antiqua" w:hAnsi="Book Antiqua"/>
                <w:sz w:val="24"/>
                <w:szCs w:val="24"/>
              </w:rPr>
              <w:t xml:space="preserve"> </w:t>
            </w:r>
            <w:r>
              <w:rPr>
                <w:rFonts w:ascii="Book Antiqua" w:hAnsi="Book Antiqua"/>
                <w:sz w:val="24"/>
                <w:szCs w:val="24"/>
              </w:rPr>
              <w:t>Solana</w:t>
            </w:r>
            <w:r w:rsidR="006F44CB" w:rsidRPr="006F44CB">
              <w:rPr>
                <w:rFonts w:ascii="Book Antiqua" w:hAnsi="Book Antiqua"/>
                <w:sz w:val="24"/>
                <w:szCs w:val="24"/>
              </w:rPr>
              <w:t xml:space="preserve"> did not submit an optional Alternative Portfolio.</w:t>
            </w:r>
          </w:p>
        </w:tc>
      </w:tr>
      <w:tr w:rsidR="006F44CB" w:rsidRPr="006F44CB" w14:paraId="64175091" w14:textId="77777777" w:rsidTr="006F44CB">
        <w:tc>
          <w:tcPr>
            <w:tcW w:w="2759" w:type="dxa"/>
          </w:tcPr>
          <w:p w14:paraId="473B218D" w14:textId="77777777" w:rsidR="006F44CB" w:rsidRPr="006F44CB" w:rsidRDefault="006F44CB" w:rsidP="009A07FF">
            <w:pPr>
              <w:spacing w:before="60" w:after="60"/>
              <w:rPr>
                <w:rFonts w:ascii="Book Antiqua" w:hAnsi="Book Antiqua"/>
                <w:sz w:val="24"/>
                <w:szCs w:val="24"/>
              </w:rPr>
            </w:pPr>
            <w:r w:rsidRPr="006F44CB">
              <w:rPr>
                <w:rFonts w:ascii="Book Antiqua" w:hAnsi="Book Antiqua"/>
                <w:color w:val="000000"/>
                <w:sz w:val="24"/>
                <w:szCs w:val="24"/>
              </w:rPr>
              <w:t>Statutory or Administrative Requirements</w:t>
            </w:r>
          </w:p>
        </w:tc>
        <w:tc>
          <w:tcPr>
            <w:tcW w:w="6591" w:type="dxa"/>
          </w:tcPr>
          <w:p w14:paraId="428307CC" w14:textId="77777777" w:rsidR="006F44CB" w:rsidRPr="006F44CB" w:rsidRDefault="003D2F3E" w:rsidP="009A07FF">
            <w:pPr>
              <w:spacing w:before="60" w:after="60"/>
              <w:rPr>
                <w:rFonts w:ascii="Book Antiqua" w:hAnsi="Book Antiqua"/>
                <w:sz w:val="24"/>
                <w:szCs w:val="24"/>
              </w:rPr>
            </w:pPr>
            <w:r>
              <w:rPr>
                <w:rFonts w:ascii="Book Antiqua" w:hAnsi="Book Antiqua"/>
                <w:sz w:val="24"/>
                <w:szCs w:val="24"/>
              </w:rPr>
              <w:t>Solana</w:t>
            </w:r>
            <w:r w:rsidR="006F44CB" w:rsidRPr="006F44CB">
              <w:rPr>
                <w:rFonts w:ascii="Book Antiqua" w:hAnsi="Book Antiqua"/>
                <w:sz w:val="24"/>
                <w:szCs w:val="24"/>
              </w:rPr>
              <w:t xml:space="preserve"> did not speak directly to the following requirements: </w:t>
            </w:r>
          </w:p>
          <w:p w14:paraId="37CEF454"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sz w:val="24"/>
                <w:szCs w:val="24"/>
              </w:rPr>
              <w:t>50% RPS by 2030.</w:t>
            </w:r>
          </w:p>
          <w:p w14:paraId="197FFE7A"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Serve customers at just and reasonable rates.</w:t>
            </w:r>
          </w:p>
          <w:p w14:paraId="5E525E7E"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Minimize impacts on ratepayers’ bills.</w:t>
            </w:r>
          </w:p>
          <w:p w14:paraId="18FFEF41"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Ensure system and local reliability.</w:t>
            </w:r>
          </w:p>
          <w:p w14:paraId="2D8A3E2C"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Strengthen the diversity, sustainability, and resilience of the bulk transmission and distribution systems, and local communities.</w:t>
            </w:r>
          </w:p>
          <w:p w14:paraId="2B7FE23F"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Enhance distribution systems and demand</w:t>
            </w:r>
            <w:r w:rsidR="00D84A09">
              <w:rPr>
                <w:rFonts w:ascii="Book Antiqua" w:hAnsi="Book Antiqua"/>
                <w:color w:val="000000"/>
                <w:sz w:val="24"/>
                <w:szCs w:val="24"/>
              </w:rPr>
              <w:noBreakHyphen/>
            </w:r>
            <w:r w:rsidRPr="006F44CB">
              <w:rPr>
                <w:rFonts w:ascii="Book Antiqua" w:hAnsi="Book Antiqua"/>
                <w:color w:val="000000"/>
                <w:sz w:val="24"/>
                <w:szCs w:val="24"/>
              </w:rPr>
              <w:t>side energy management.</w:t>
            </w:r>
          </w:p>
        </w:tc>
      </w:tr>
      <w:tr w:rsidR="006F44CB" w:rsidRPr="006F44CB" w14:paraId="57713CB0" w14:textId="77777777" w:rsidTr="006F44CB">
        <w:tc>
          <w:tcPr>
            <w:tcW w:w="2759" w:type="dxa"/>
          </w:tcPr>
          <w:p w14:paraId="6D7AC807" w14:textId="77777777" w:rsidR="006F44CB" w:rsidRPr="006F44CB" w:rsidRDefault="006F44CB" w:rsidP="009A07FF">
            <w:pPr>
              <w:spacing w:before="60" w:after="60"/>
              <w:rPr>
                <w:rFonts w:ascii="Book Antiqua" w:hAnsi="Book Antiqua"/>
                <w:sz w:val="24"/>
                <w:szCs w:val="24"/>
              </w:rPr>
            </w:pPr>
            <w:r w:rsidRPr="006F44CB">
              <w:rPr>
                <w:rFonts w:ascii="Book Antiqua" w:hAnsi="Book Antiqua"/>
                <w:color w:val="000000"/>
                <w:sz w:val="24"/>
                <w:szCs w:val="24"/>
              </w:rPr>
              <w:t>Action Plan</w:t>
            </w:r>
          </w:p>
        </w:tc>
        <w:tc>
          <w:tcPr>
            <w:tcW w:w="6591" w:type="dxa"/>
          </w:tcPr>
          <w:p w14:paraId="1A58B054" w14:textId="77777777" w:rsidR="006F44CB" w:rsidRPr="006F44CB" w:rsidRDefault="003D2F3E" w:rsidP="009A07FF">
            <w:pPr>
              <w:spacing w:before="60" w:after="60"/>
              <w:rPr>
                <w:rFonts w:ascii="Book Antiqua" w:hAnsi="Book Antiqua"/>
                <w:sz w:val="24"/>
                <w:szCs w:val="24"/>
              </w:rPr>
            </w:pPr>
            <w:r>
              <w:rPr>
                <w:rFonts w:ascii="Book Antiqua" w:hAnsi="Book Antiqua"/>
                <w:sz w:val="24"/>
                <w:szCs w:val="24"/>
              </w:rPr>
              <w:t>Solana</w:t>
            </w:r>
            <w:r w:rsidR="006F44CB" w:rsidRPr="006F44CB">
              <w:rPr>
                <w:rFonts w:ascii="Book Antiqua" w:hAnsi="Book Antiqua"/>
                <w:sz w:val="24"/>
                <w:szCs w:val="24"/>
              </w:rPr>
              <w:t xml:space="preserve"> provided an adequate description of the actions it proposes to take in the next one to three years to implement its plan.</w:t>
            </w:r>
          </w:p>
        </w:tc>
      </w:tr>
      <w:tr w:rsidR="006F44CB" w:rsidRPr="006F44CB" w14:paraId="2BC714DD" w14:textId="77777777" w:rsidTr="006F44CB">
        <w:tc>
          <w:tcPr>
            <w:tcW w:w="2759" w:type="dxa"/>
          </w:tcPr>
          <w:p w14:paraId="2E32124A" w14:textId="77777777" w:rsidR="006F44CB" w:rsidRPr="006F44CB" w:rsidRDefault="006F44CB" w:rsidP="00B5384C">
            <w:pPr>
              <w:keepNext/>
              <w:keepLines/>
              <w:spacing w:before="60" w:after="60"/>
              <w:rPr>
                <w:rFonts w:ascii="Book Antiqua" w:hAnsi="Book Antiqua"/>
                <w:sz w:val="24"/>
                <w:szCs w:val="24"/>
              </w:rPr>
            </w:pPr>
            <w:r w:rsidRPr="006F44CB">
              <w:rPr>
                <w:rFonts w:ascii="Book Antiqua" w:hAnsi="Book Antiqua"/>
                <w:color w:val="000000"/>
                <w:sz w:val="24"/>
                <w:szCs w:val="24"/>
              </w:rPr>
              <w:t>Barriers and Lessons Learned</w:t>
            </w:r>
          </w:p>
        </w:tc>
        <w:tc>
          <w:tcPr>
            <w:tcW w:w="6591" w:type="dxa"/>
          </w:tcPr>
          <w:p w14:paraId="51F47F5E" w14:textId="77777777" w:rsidR="006F44CB" w:rsidRPr="006F44CB" w:rsidRDefault="003D2F3E" w:rsidP="00B5384C">
            <w:pPr>
              <w:keepNext/>
              <w:keepLines/>
              <w:spacing w:before="60" w:after="60"/>
              <w:rPr>
                <w:rFonts w:ascii="Book Antiqua" w:hAnsi="Book Antiqua"/>
                <w:sz w:val="24"/>
                <w:szCs w:val="24"/>
              </w:rPr>
            </w:pPr>
            <w:r>
              <w:rPr>
                <w:rFonts w:ascii="Book Antiqua" w:hAnsi="Book Antiqua"/>
                <w:sz w:val="24"/>
                <w:szCs w:val="24"/>
              </w:rPr>
              <w:t>Solana</w:t>
            </w:r>
            <w:r w:rsidR="006F44CB" w:rsidRPr="006F44CB">
              <w:rPr>
                <w:rFonts w:ascii="Book Antiqua" w:hAnsi="Book Antiqua"/>
                <w:sz w:val="24"/>
                <w:szCs w:val="24"/>
              </w:rPr>
              <w:t xml:space="preserve"> noted that the Solana Beach City Council has adopted a risk management policy and established a risk management team to address risks associated with market volatility. </w:t>
            </w:r>
            <w:r w:rsidR="00C961F7">
              <w:rPr>
                <w:rFonts w:ascii="Book Antiqua" w:hAnsi="Book Antiqua"/>
                <w:sz w:val="24"/>
                <w:szCs w:val="24"/>
              </w:rPr>
              <w:t xml:space="preserve"> </w:t>
            </w:r>
            <w:r>
              <w:rPr>
                <w:rFonts w:ascii="Book Antiqua" w:hAnsi="Book Antiqua"/>
                <w:sz w:val="24"/>
                <w:szCs w:val="24"/>
              </w:rPr>
              <w:t>Solana</w:t>
            </w:r>
            <w:r w:rsidR="006F44CB" w:rsidRPr="006F44CB">
              <w:rPr>
                <w:rFonts w:ascii="Book Antiqua" w:hAnsi="Book Antiqua"/>
                <w:sz w:val="24"/>
                <w:szCs w:val="24"/>
              </w:rPr>
              <w:t xml:space="preserve"> did not provide lessons learned.</w:t>
            </w:r>
          </w:p>
        </w:tc>
      </w:tr>
    </w:tbl>
    <w:p w14:paraId="0F78225A" w14:textId="77777777" w:rsidR="006F44CB" w:rsidRPr="009A07FF" w:rsidRDefault="006F44CB" w:rsidP="009A07FF">
      <w:pPr>
        <w:keepNext/>
        <w:keepLines/>
        <w:spacing w:before="240" w:after="120" w:line="276" w:lineRule="auto"/>
        <w:outlineLvl w:val="3"/>
        <w:rPr>
          <w:rFonts w:ascii="Book Antiqua" w:eastAsiaTheme="majorEastAsia" w:hAnsi="Book Antiqua" w:cstheme="majorBidi"/>
          <w:b/>
          <w:i/>
          <w:iCs/>
          <w:szCs w:val="24"/>
        </w:rPr>
      </w:pPr>
      <w:r w:rsidRPr="009A07FF">
        <w:rPr>
          <w:rFonts w:ascii="Book Antiqua" w:eastAsiaTheme="majorEastAsia" w:hAnsi="Book Antiqua" w:cstheme="majorBidi"/>
          <w:b/>
          <w:i/>
          <w:iCs/>
          <w:szCs w:val="24"/>
        </w:rPr>
        <w:t xml:space="preserve">Next Steps for </w:t>
      </w:r>
      <w:r w:rsidR="003D2F3E" w:rsidRPr="009A07FF">
        <w:rPr>
          <w:rFonts w:ascii="Book Antiqua" w:eastAsiaTheme="majorEastAsia" w:hAnsi="Book Antiqua" w:cstheme="majorBidi"/>
          <w:b/>
          <w:i/>
          <w:iCs/>
          <w:szCs w:val="24"/>
        </w:rPr>
        <w:t>Solana</w:t>
      </w:r>
    </w:p>
    <w:p w14:paraId="0ECA95CA" w14:textId="77777777" w:rsidR="006F44CB" w:rsidRPr="009A07FF" w:rsidRDefault="006F44CB" w:rsidP="006F44CB">
      <w:pPr>
        <w:spacing w:after="200" w:line="276" w:lineRule="auto"/>
        <w:rPr>
          <w:rFonts w:ascii="Book Antiqua" w:hAnsi="Book Antiqua" w:cstheme="minorBidi"/>
          <w:szCs w:val="24"/>
        </w:rPr>
      </w:pPr>
      <w:r w:rsidRPr="009A07FF">
        <w:rPr>
          <w:rFonts w:ascii="Book Antiqua" w:hAnsi="Book Antiqua" w:cstheme="minorBidi"/>
          <w:b/>
          <w:szCs w:val="24"/>
        </w:rPr>
        <w:t>Action required in this IRP 2017</w:t>
      </w:r>
      <w:r w:rsidR="00D84A09" w:rsidRPr="009A07FF">
        <w:rPr>
          <w:rFonts w:ascii="Book Antiqua" w:hAnsi="Book Antiqua" w:cstheme="minorBidi"/>
          <w:b/>
          <w:szCs w:val="24"/>
        </w:rPr>
        <w:noBreakHyphen/>
      </w:r>
      <w:r w:rsidRPr="009A07FF">
        <w:rPr>
          <w:rFonts w:ascii="Book Antiqua" w:hAnsi="Book Antiqua" w:cstheme="minorBidi"/>
          <w:b/>
          <w:szCs w:val="24"/>
        </w:rPr>
        <w:t>18 cycle</w:t>
      </w:r>
      <w:r w:rsidRPr="009A07FF">
        <w:rPr>
          <w:rFonts w:ascii="Book Antiqua" w:hAnsi="Book Antiqua" w:cstheme="minorBidi"/>
          <w:szCs w:val="24"/>
        </w:rPr>
        <w:t xml:space="preserve">: </w:t>
      </w:r>
      <w:r w:rsidR="004731C2" w:rsidRPr="009A07FF">
        <w:rPr>
          <w:rFonts w:ascii="Book Antiqua" w:hAnsi="Book Antiqua" w:cstheme="minorBidi"/>
          <w:szCs w:val="24"/>
        </w:rPr>
        <w:t xml:space="preserve"> </w:t>
      </w:r>
      <w:r w:rsidRPr="009A07FF">
        <w:rPr>
          <w:rFonts w:ascii="Book Antiqua" w:hAnsi="Book Antiqua" w:cstheme="minorBidi"/>
          <w:szCs w:val="24"/>
        </w:rPr>
        <w:t>None at this time.</w:t>
      </w:r>
    </w:p>
    <w:p w14:paraId="0CE1179D" w14:textId="77777777" w:rsidR="006F44CB" w:rsidRPr="009A07FF" w:rsidRDefault="006F44CB" w:rsidP="006F44CB">
      <w:pPr>
        <w:spacing w:after="200" w:line="276" w:lineRule="auto"/>
        <w:rPr>
          <w:rFonts w:ascii="Book Antiqua" w:hAnsi="Book Antiqua" w:cstheme="minorBidi"/>
          <w:szCs w:val="24"/>
        </w:rPr>
      </w:pPr>
      <w:r w:rsidRPr="009A07FF">
        <w:rPr>
          <w:rFonts w:ascii="Book Antiqua" w:hAnsi="Book Antiqua" w:cstheme="minorBidi"/>
          <w:b/>
          <w:szCs w:val="24"/>
        </w:rPr>
        <w:t>Guidance for LSE Plan development in the next IRP cycle</w:t>
      </w:r>
      <w:r w:rsidRPr="009A07FF">
        <w:rPr>
          <w:rFonts w:ascii="Book Antiqua" w:hAnsi="Book Antiqua" w:cstheme="minorBidi"/>
          <w:szCs w:val="24"/>
        </w:rPr>
        <w:t xml:space="preserve">: </w:t>
      </w:r>
      <w:r w:rsidR="004731C2" w:rsidRPr="009A07FF">
        <w:rPr>
          <w:rFonts w:ascii="Book Antiqua" w:hAnsi="Book Antiqua" w:cstheme="minorBidi"/>
          <w:szCs w:val="24"/>
        </w:rPr>
        <w:t xml:space="preserve"> </w:t>
      </w:r>
      <w:r w:rsidRPr="009A07FF">
        <w:rPr>
          <w:rFonts w:ascii="Book Antiqua" w:hAnsi="Book Antiqua" w:cstheme="minorBidi"/>
          <w:szCs w:val="24"/>
        </w:rPr>
        <w:t>Use the correct assigned load forecast when developing the Conforming Portfolio.</w:t>
      </w:r>
    </w:p>
    <w:p w14:paraId="3253A27A" w14:textId="77777777" w:rsidR="006F44CB" w:rsidRPr="009A07FF" w:rsidRDefault="006F44CB" w:rsidP="006F44CB">
      <w:pPr>
        <w:keepNext/>
        <w:keepLines/>
        <w:spacing w:before="240" w:after="120" w:line="276" w:lineRule="auto"/>
        <w:outlineLvl w:val="2"/>
        <w:rPr>
          <w:rFonts w:ascii="Book Antiqua" w:eastAsiaTheme="majorEastAsia" w:hAnsi="Book Antiqua" w:cstheme="majorBidi"/>
          <w:b/>
          <w:szCs w:val="24"/>
        </w:rPr>
      </w:pPr>
      <w:bookmarkStart w:id="115" w:name="_Toc868795"/>
      <w:r w:rsidRPr="009A07FF">
        <w:rPr>
          <w:rFonts w:ascii="Book Antiqua" w:eastAsiaTheme="majorEastAsia" w:hAnsi="Book Antiqua" w:cstheme="majorBidi"/>
          <w:b/>
          <w:szCs w:val="24"/>
        </w:rPr>
        <w:t>The Regents of the University of California</w:t>
      </w:r>
      <w:bookmarkEnd w:id="115"/>
    </w:p>
    <w:tbl>
      <w:tblPr>
        <w:tblStyle w:val="TableGrid4"/>
        <w:tblW w:w="0" w:type="auto"/>
        <w:tblLook w:val="04A0" w:firstRow="1" w:lastRow="0" w:firstColumn="1" w:lastColumn="0" w:noHBand="0" w:noVBand="1"/>
      </w:tblPr>
      <w:tblGrid>
        <w:gridCol w:w="2759"/>
        <w:gridCol w:w="6591"/>
      </w:tblGrid>
      <w:tr w:rsidR="006F44CB" w:rsidRPr="006F44CB" w14:paraId="3828B23D" w14:textId="77777777" w:rsidTr="006F44CB">
        <w:tc>
          <w:tcPr>
            <w:tcW w:w="2759" w:type="dxa"/>
          </w:tcPr>
          <w:p w14:paraId="4D8CDDE3" w14:textId="77777777" w:rsidR="006F44CB" w:rsidRPr="006F44CB" w:rsidRDefault="006F44CB" w:rsidP="009A07FF">
            <w:pPr>
              <w:spacing w:before="60" w:after="60"/>
              <w:jc w:val="center"/>
              <w:rPr>
                <w:rFonts w:ascii="Book Antiqua" w:hAnsi="Book Antiqua"/>
                <w:b/>
                <w:sz w:val="24"/>
                <w:szCs w:val="24"/>
              </w:rPr>
            </w:pPr>
            <w:r w:rsidRPr="006F44CB">
              <w:rPr>
                <w:rFonts w:ascii="Book Antiqua" w:hAnsi="Book Antiqua"/>
                <w:b/>
                <w:sz w:val="24"/>
                <w:szCs w:val="24"/>
              </w:rPr>
              <w:t>Requirement</w:t>
            </w:r>
          </w:p>
        </w:tc>
        <w:tc>
          <w:tcPr>
            <w:tcW w:w="6591" w:type="dxa"/>
          </w:tcPr>
          <w:p w14:paraId="302936D1" w14:textId="77777777" w:rsidR="006F44CB" w:rsidRPr="006F44CB" w:rsidRDefault="006F44CB" w:rsidP="009A07FF">
            <w:pPr>
              <w:spacing w:before="60" w:after="60"/>
              <w:jc w:val="center"/>
              <w:rPr>
                <w:rFonts w:ascii="Book Antiqua" w:hAnsi="Book Antiqua"/>
                <w:b/>
                <w:sz w:val="24"/>
                <w:szCs w:val="24"/>
              </w:rPr>
            </w:pPr>
            <w:r w:rsidRPr="006F44CB">
              <w:rPr>
                <w:rFonts w:ascii="Book Antiqua" w:hAnsi="Book Antiqua"/>
                <w:b/>
                <w:sz w:val="24"/>
                <w:szCs w:val="24"/>
              </w:rPr>
              <w:t>Assessment</w:t>
            </w:r>
          </w:p>
        </w:tc>
      </w:tr>
      <w:tr w:rsidR="006F44CB" w:rsidRPr="006F44CB" w14:paraId="571E4BE3" w14:textId="77777777" w:rsidTr="006F44CB">
        <w:tc>
          <w:tcPr>
            <w:tcW w:w="2759" w:type="dxa"/>
          </w:tcPr>
          <w:p w14:paraId="0C4A9E7D"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Required Forms</w:t>
            </w:r>
          </w:p>
        </w:tc>
        <w:tc>
          <w:tcPr>
            <w:tcW w:w="6591" w:type="dxa"/>
          </w:tcPr>
          <w:p w14:paraId="25AECA19"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The Regents of the University of California (UC Regents) provided the following required forms:</w:t>
            </w:r>
          </w:p>
          <w:p w14:paraId="3D8BECC3" w14:textId="77777777" w:rsidR="006F44CB" w:rsidRPr="006F44CB" w:rsidRDefault="006F44CB" w:rsidP="009A07FF">
            <w:pPr>
              <w:numPr>
                <w:ilvl w:val="0"/>
                <w:numId w:val="21"/>
              </w:numPr>
              <w:spacing w:before="60" w:after="60"/>
              <w:rPr>
                <w:rFonts w:ascii="Book Antiqua" w:hAnsi="Book Antiqua"/>
                <w:sz w:val="24"/>
                <w:szCs w:val="24"/>
              </w:rPr>
            </w:pPr>
            <w:r w:rsidRPr="006F44CB">
              <w:rPr>
                <w:rFonts w:ascii="Book Antiqua" w:hAnsi="Book Antiqua"/>
                <w:sz w:val="24"/>
                <w:szCs w:val="24"/>
              </w:rPr>
              <w:t>CEC Form S1</w:t>
            </w:r>
          </w:p>
          <w:p w14:paraId="3C06B9D9" w14:textId="77777777" w:rsidR="006F44CB" w:rsidRPr="006F44CB" w:rsidRDefault="006F44CB" w:rsidP="009A07FF">
            <w:pPr>
              <w:numPr>
                <w:ilvl w:val="0"/>
                <w:numId w:val="21"/>
              </w:numPr>
              <w:spacing w:before="60" w:after="60"/>
              <w:rPr>
                <w:rFonts w:ascii="Book Antiqua" w:hAnsi="Book Antiqua"/>
                <w:color w:val="000000"/>
                <w:sz w:val="24"/>
                <w:szCs w:val="24"/>
              </w:rPr>
            </w:pPr>
            <w:r w:rsidRPr="006F44CB">
              <w:rPr>
                <w:rFonts w:ascii="Book Antiqua" w:hAnsi="Book Antiqua"/>
                <w:color w:val="000000"/>
                <w:sz w:val="24"/>
                <w:szCs w:val="24"/>
              </w:rPr>
              <w:t>CEC Form S2 or EIA Form 861 or EIA Form 861S</w:t>
            </w:r>
          </w:p>
          <w:p w14:paraId="69149ED5" w14:textId="77777777" w:rsidR="006F44CB" w:rsidRPr="006F44CB" w:rsidRDefault="006F44CB" w:rsidP="009A07FF">
            <w:pPr>
              <w:numPr>
                <w:ilvl w:val="0"/>
                <w:numId w:val="21"/>
              </w:numPr>
              <w:spacing w:before="60" w:after="60"/>
              <w:rPr>
                <w:rFonts w:ascii="Book Antiqua" w:hAnsi="Book Antiqua"/>
                <w:sz w:val="24"/>
                <w:szCs w:val="24"/>
              </w:rPr>
            </w:pPr>
            <w:r w:rsidRPr="006F44CB">
              <w:rPr>
                <w:rFonts w:ascii="Book Antiqua" w:hAnsi="Book Antiqua"/>
                <w:color w:val="000000"/>
                <w:sz w:val="24"/>
                <w:szCs w:val="24"/>
              </w:rPr>
              <w:t>CEC Power Content Report</w:t>
            </w:r>
          </w:p>
        </w:tc>
      </w:tr>
      <w:tr w:rsidR="006F44CB" w:rsidRPr="006F44CB" w14:paraId="78A86C19" w14:textId="77777777" w:rsidTr="006F44CB">
        <w:tc>
          <w:tcPr>
            <w:tcW w:w="2759" w:type="dxa"/>
          </w:tcPr>
          <w:p w14:paraId="40521CA1"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Treatment of Disadvantaged Communities</w:t>
            </w:r>
          </w:p>
        </w:tc>
        <w:tc>
          <w:tcPr>
            <w:tcW w:w="6591" w:type="dxa"/>
          </w:tcPr>
          <w:p w14:paraId="29212C2C"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UC Regents provided an adequate description of treatment of disadvantaged communities in its LSE Plan.</w:t>
            </w:r>
          </w:p>
        </w:tc>
      </w:tr>
      <w:tr w:rsidR="006F44CB" w:rsidRPr="006F44CB" w14:paraId="6454E400" w14:textId="77777777" w:rsidTr="006F44CB">
        <w:tc>
          <w:tcPr>
            <w:tcW w:w="2759" w:type="dxa"/>
          </w:tcPr>
          <w:p w14:paraId="7047EC4C"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GHG Target Planning</w:t>
            </w:r>
          </w:p>
        </w:tc>
        <w:tc>
          <w:tcPr>
            <w:tcW w:w="6591" w:type="dxa"/>
          </w:tcPr>
          <w:p w14:paraId="12410B22"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UC Regents used the CNS calculator correctly to show that its Conforming Portfolio meets its 2030 GHG Benchmark.</w:t>
            </w:r>
          </w:p>
        </w:tc>
      </w:tr>
      <w:tr w:rsidR="006F44CB" w:rsidRPr="006F44CB" w14:paraId="7B3015DE" w14:textId="77777777" w:rsidTr="006F44CB">
        <w:tc>
          <w:tcPr>
            <w:tcW w:w="2759" w:type="dxa"/>
          </w:tcPr>
          <w:p w14:paraId="27BBCD3C"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 xml:space="preserve">Conforming and </w:t>
            </w:r>
            <w:r w:rsidRPr="006F44CB">
              <w:rPr>
                <w:rFonts w:ascii="Book Antiqua" w:hAnsi="Book Antiqua"/>
                <w:color w:val="000000"/>
                <w:sz w:val="24"/>
                <w:szCs w:val="24"/>
              </w:rPr>
              <w:t xml:space="preserve">Alternative </w:t>
            </w:r>
            <w:r w:rsidRPr="006F44CB">
              <w:rPr>
                <w:rFonts w:ascii="Book Antiqua" w:hAnsi="Book Antiqua"/>
                <w:sz w:val="24"/>
                <w:szCs w:val="24"/>
              </w:rPr>
              <w:t>Portfolios</w:t>
            </w:r>
          </w:p>
        </w:tc>
        <w:tc>
          <w:tcPr>
            <w:tcW w:w="6591" w:type="dxa"/>
          </w:tcPr>
          <w:p w14:paraId="6ABD4C96"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UC Regents provided an adequate description of its Conforming Portfolio.</w:t>
            </w:r>
            <w:r w:rsidR="00C961F7">
              <w:rPr>
                <w:rFonts w:ascii="Book Antiqua" w:hAnsi="Book Antiqua"/>
                <w:sz w:val="24"/>
                <w:szCs w:val="24"/>
              </w:rPr>
              <w:t xml:space="preserve"> </w:t>
            </w:r>
            <w:r w:rsidRPr="006F44CB">
              <w:rPr>
                <w:rFonts w:ascii="Book Antiqua" w:hAnsi="Book Antiqua"/>
                <w:sz w:val="24"/>
                <w:szCs w:val="24"/>
              </w:rPr>
              <w:t xml:space="preserve"> It did not submit an optional Alternative Portfolio.</w:t>
            </w:r>
          </w:p>
        </w:tc>
      </w:tr>
      <w:tr w:rsidR="006F44CB" w:rsidRPr="006F44CB" w14:paraId="3EEBBD70" w14:textId="77777777" w:rsidTr="006F44CB">
        <w:tc>
          <w:tcPr>
            <w:tcW w:w="2759" w:type="dxa"/>
          </w:tcPr>
          <w:p w14:paraId="7EC3DDC1" w14:textId="77777777" w:rsidR="006F44CB" w:rsidRPr="006F44CB" w:rsidRDefault="006F44CB" w:rsidP="009A07FF">
            <w:pPr>
              <w:spacing w:before="60" w:after="60"/>
              <w:rPr>
                <w:rFonts w:ascii="Book Antiqua" w:hAnsi="Book Antiqua"/>
                <w:sz w:val="24"/>
                <w:szCs w:val="24"/>
              </w:rPr>
            </w:pPr>
            <w:r w:rsidRPr="006F44CB">
              <w:rPr>
                <w:rFonts w:ascii="Book Antiqua" w:hAnsi="Book Antiqua"/>
                <w:color w:val="000000"/>
                <w:sz w:val="24"/>
                <w:szCs w:val="24"/>
              </w:rPr>
              <w:t>Statutory or Administrative Requirements</w:t>
            </w:r>
          </w:p>
        </w:tc>
        <w:tc>
          <w:tcPr>
            <w:tcW w:w="6591" w:type="dxa"/>
          </w:tcPr>
          <w:p w14:paraId="3B1F3BE9"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 xml:space="preserve">UC Regents did not speak directly to the following requirements: </w:t>
            </w:r>
          </w:p>
          <w:p w14:paraId="384A2ACB"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sz w:val="24"/>
                <w:szCs w:val="24"/>
              </w:rPr>
              <w:t>50% RPS by 2030.</w:t>
            </w:r>
          </w:p>
          <w:p w14:paraId="10587CB9"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Serve customers at just and reasonable rates.</w:t>
            </w:r>
          </w:p>
          <w:p w14:paraId="2DB589EB"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Minimize impacts on ratepayers’ bills.</w:t>
            </w:r>
          </w:p>
          <w:p w14:paraId="2878C581"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Ensure system and local reliability.</w:t>
            </w:r>
          </w:p>
          <w:p w14:paraId="3C3DA421"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Strengthen the diversity, sustainability, and resilience of the bulk transmission and distribution systems, and local communities.</w:t>
            </w:r>
          </w:p>
          <w:p w14:paraId="23CE5DA8"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Enhance distribution systems and demand</w:t>
            </w:r>
            <w:r w:rsidR="00D84A09">
              <w:rPr>
                <w:rFonts w:ascii="Book Antiqua" w:hAnsi="Book Antiqua"/>
                <w:color w:val="000000"/>
                <w:sz w:val="24"/>
                <w:szCs w:val="24"/>
              </w:rPr>
              <w:noBreakHyphen/>
            </w:r>
            <w:r w:rsidRPr="006F44CB">
              <w:rPr>
                <w:rFonts w:ascii="Book Antiqua" w:hAnsi="Book Antiqua"/>
                <w:color w:val="000000"/>
                <w:sz w:val="24"/>
                <w:szCs w:val="24"/>
              </w:rPr>
              <w:t>side energy management.</w:t>
            </w:r>
          </w:p>
        </w:tc>
      </w:tr>
      <w:tr w:rsidR="006F44CB" w:rsidRPr="006F44CB" w14:paraId="68A67126" w14:textId="77777777" w:rsidTr="006F44CB">
        <w:tc>
          <w:tcPr>
            <w:tcW w:w="2759" w:type="dxa"/>
          </w:tcPr>
          <w:p w14:paraId="74CF4F7F" w14:textId="77777777" w:rsidR="006F44CB" w:rsidRPr="006F44CB" w:rsidRDefault="006F44CB" w:rsidP="009A07FF">
            <w:pPr>
              <w:spacing w:before="60" w:after="60"/>
              <w:rPr>
                <w:rFonts w:ascii="Book Antiqua" w:hAnsi="Book Antiqua"/>
                <w:sz w:val="24"/>
                <w:szCs w:val="24"/>
              </w:rPr>
            </w:pPr>
            <w:r w:rsidRPr="006F44CB">
              <w:rPr>
                <w:rFonts w:ascii="Book Antiqua" w:hAnsi="Book Antiqua"/>
                <w:color w:val="000000"/>
                <w:sz w:val="24"/>
                <w:szCs w:val="24"/>
              </w:rPr>
              <w:t>Action Plan</w:t>
            </w:r>
          </w:p>
        </w:tc>
        <w:tc>
          <w:tcPr>
            <w:tcW w:w="6591" w:type="dxa"/>
          </w:tcPr>
          <w:p w14:paraId="5029A4DC"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UC Regents provided an adequate description of the actions it proposes to take in the next one to three years to implement its plan.</w:t>
            </w:r>
          </w:p>
        </w:tc>
      </w:tr>
      <w:tr w:rsidR="006F44CB" w:rsidRPr="006F44CB" w14:paraId="59F62F3A" w14:textId="77777777" w:rsidTr="006F44CB">
        <w:tc>
          <w:tcPr>
            <w:tcW w:w="2759" w:type="dxa"/>
          </w:tcPr>
          <w:p w14:paraId="544FA7DA" w14:textId="77777777" w:rsidR="006F44CB" w:rsidRPr="006F44CB" w:rsidRDefault="006F44CB" w:rsidP="009A07FF">
            <w:pPr>
              <w:spacing w:before="60" w:after="60"/>
              <w:rPr>
                <w:rFonts w:ascii="Book Antiqua" w:hAnsi="Book Antiqua"/>
                <w:sz w:val="24"/>
                <w:szCs w:val="24"/>
              </w:rPr>
            </w:pPr>
            <w:r w:rsidRPr="006F44CB">
              <w:rPr>
                <w:rFonts w:ascii="Book Antiqua" w:hAnsi="Book Antiqua"/>
                <w:color w:val="000000"/>
                <w:sz w:val="24"/>
                <w:szCs w:val="24"/>
              </w:rPr>
              <w:t>Barriers and Lessons Learned</w:t>
            </w:r>
          </w:p>
        </w:tc>
        <w:tc>
          <w:tcPr>
            <w:tcW w:w="6591" w:type="dxa"/>
          </w:tcPr>
          <w:p w14:paraId="0EE7495D"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UC Regents provided an adequate description of barriers and lessons learned from the IRP cycle.</w:t>
            </w:r>
          </w:p>
        </w:tc>
      </w:tr>
    </w:tbl>
    <w:p w14:paraId="547EB7FC" w14:textId="77777777" w:rsidR="006F44CB" w:rsidRPr="009A07FF" w:rsidRDefault="006F44CB" w:rsidP="009A07FF">
      <w:pPr>
        <w:keepNext/>
        <w:keepLines/>
        <w:spacing w:before="240" w:after="120" w:line="276" w:lineRule="auto"/>
        <w:outlineLvl w:val="3"/>
        <w:rPr>
          <w:rFonts w:ascii="Book Antiqua" w:eastAsiaTheme="majorEastAsia" w:hAnsi="Book Antiqua" w:cstheme="majorBidi"/>
          <w:b/>
          <w:i/>
          <w:iCs/>
          <w:szCs w:val="24"/>
        </w:rPr>
      </w:pPr>
      <w:r w:rsidRPr="009A07FF">
        <w:rPr>
          <w:rFonts w:ascii="Book Antiqua" w:eastAsiaTheme="majorEastAsia" w:hAnsi="Book Antiqua" w:cstheme="majorBidi"/>
          <w:b/>
          <w:i/>
          <w:iCs/>
          <w:szCs w:val="24"/>
        </w:rPr>
        <w:t>Next Steps for UC Regents</w:t>
      </w:r>
    </w:p>
    <w:p w14:paraId="1C651850" w14:textId="77777777" w:rsidR="006F44CB" w:rsidRPr="009A07FF" w:rsidRDefault="006F44CB" w:rsidP="006F44CB">
      <w:pPr>
        <w:spacing w:after="200" w:line="276" w:lineRule="auto"/>
        <w:rPr>
          <w:rFonts w:ascii="Book Antiqua" w:hAnsi="Book Antiqua" w:cstheme="minorBidi"/>
          <w:szCs w:val="24"/>
        </w:rPr>
      </w:pPr>
      <w:r w:rsidRPr="009A07FF">
        <w:rPr>
          <w:rFonts w:ascii="Book Antiqua" w:hAnsi="Book Antiqua" w:cstheme="minorBidi"/>
          <w:b/>
          <w:szCs w:val="24"/>
        </w:rPr>
        <w:t>Action required in this IRP 2017</w:t>
      </w:r>
      <w:r w:rsidR="00D84A09" w:rsidRPr="009A07FF">
        <w:rPr>
          <w:rFonts w:ascii="Book Antiqua" w:hAnsi="Book Antiqua" w:cstheme="minorBidi"/>
          <w:b/>
          <w:szCs w:val="24"/>
        </w:rPr>
        <w:noBreakHyphen/>
      </w:r>
      <w:r w:rsidRPr="009A07FF">
        <w:rPr>
          <w:rFonts w:ascii="Book Antiqua" w:hAnsi="Book Antiqua" w:cstheme="minorBidi"/>
          <w:b/>
          <w:szCs w:val="24"/>
        </w:rPr>
        <w:t>18 cycle</w:t>
      </w:r>
      <w:r w:rsidRPr="009A07FF">
        <w:rPr>
          <w:rFonts w:ascii="Book Antiqua" w:hAnsi="Book Antiqua" w:cstheme="minorBidi"/>
          <w:szCs w:val="24"/>
        </w:rPr>
        <w:t xml:space="preserve">: </w:t>
      </w:r>
      <w:r w:rsidR="004731C2" w:rsidRPr="009A07FF">
        <w:rPr>
          <w:rFonts w:ascii="Book Antiqua" w:hAnsi="Book Antiqua" w:cstheme="minorBidi"/>
          <w:szCs w:val="24"/>
        </w:rPr>
        <w:t xml:space="preserve"> </w:t>
      </w:r>
      <w:r w:rsidRPr="009A07FF">
        <w:rPr>
          <w:rFonts w:ascii="Book Antiqua" w:hAnsi="Book Antiqua" w:cstheme="minorBidi"/>
          <w:szCs w:val="24"/>
        </w:rPr>
        <w:t>None at this time.</w:t>
      </w:r>
    </w:p>
    <w:p w14:paraId="6D627FC3" w14:textId="77777777" w:rsidR="006F44CB" w:rsidRPr="009A07FF" w:rsidRDefault="006F44CB" w:rsidP="006F44CB">
      <w:pPr>
        <w:spacing w:after="200" w:line="276" w:lineRule="auto"/>
        <w:rPr>
          <w:rFonts w:ascii="Book Antiqua" w:hAnsi="Book Antiqua" w:cstheme="minorBidi"/>
          <w:szCs w:val="24"/>
        </w:rPr>
      </w:pPr>
      <w:r w:rsidRPr="009A07FF">
        <w:rPr>
          <w:rFonts w:ascii="Book Antiqua" w:hAnsi="Book Antiqua" w:cstheme="minorBidi"/>
          <w:b/>
          <w:szCs w:val="24"/>
        </w:rPr>
        <w:t>Guidance for LSE Plan development in the next IRP cycle</w:t>
      </w:r>
      <w:r w:rsidRPr="009A07FF">
        <w:rPr>
          <w:rFonts w:ascii="Book Antiqua" w:hAnsi="Book Antiqua" w:cstheme="minorBidi"/>
          <w:szCs w:val="24"/>
        </w:rPr>
        <w:t xml:space="preserve">: </w:t>
      </w:r>
      <w:r w:rsidR="004731C2" w:rsidRPr="009A07FF">
        <w:rPr>
          <w:rFonts w:ascii="Book Antiqua" w:hAnsi="Book Antiqua" w:cstheme="minorBidi"/>
          <w:szCs w:val="24"/>
        </w:rPr>
        <w:t xml:space="preserve"> </w:t>
      </w:r>
      <w:r w:rsidRPr="009A07FF">
        <w:rPr>
          <w:rFonts w:ascii="Book Antiqua" w:hAnsi="Book Antiqua" w:cstheme="minorBidi"/>
          <w:szCs w:val="24"/>
        </w:rPr>
        <w:t>None at this time.</w:t>
      </w:r>
    </w:p>
    <w:p w14:paraId="76CC5FB6" w14:textId="77777777" w:rsidR="006F44CB" w:rsidRPr="009A07FF" w:rsidRDefault="006F44CB" w:rsidP="006F44CB">
      <w:pPr>
        <w:keepNext/>
        <w:keepLines/>
        <w:spacing w:before="240" w:after="120" w:line="276" w:lineRule="auto"/>
        <w:outlineLvl w:val="2"/>
        <w:rPr>
          <w:rFonts w:ascii="Book Antiqua" w:eastAsiaTheme="majorEastAsia" w:hAnsi="Book Antiqua" w:cstheme="majorBidi"/>
          <w:b/>
          <w:szCs w:val="24"/>
        </w:rPr>
      </w:pPr>
      <w:bookmarkStart w:id="116" w:name="_Toc868796"/>
      <w:r w:rsidRPr="009A07FF">
        <w:rPr>
          <w:rFonts w:ascii="Book Antiqua" w:eastAsiaTheme="majorEastAsia" w:hAnsi="Book Antiqua" w:cstheme="majorBidi"/>
          <w:b/>
          <w:szCs w:val="24"/>
        </w:rPr>
        <w:t>Tiger Natural Gas, Inc.</w:t>
      </w:r>
      <w:bookmarkEnd w:id="116"/>
    </w:p>
    <w:tbl>
      <w:tblPr>
        <w:tblStyle w:val="TableGrid4"/>
        <w:tblW w:w="0" w:type="auto"/>
        <w:tblLook w:val="04A0" w:firstRow="1" w:lastRow="0" w:firstColumn="1" w:lastColumn="0" w:noHBand="0" w:noVBand="1"/>
      </w:tblPr>
      <w:tblGrid>
        <w:gridCol w:w="2759"/>
        <w:gridCol w:w="6591"/>
      </w:tblGrid>
      <w:tr w:rsidR="006F44CB" w:rsidRPr="006F44CB" w14:paraId="52C2D99F" w14:textId="77777777" w:rsidTr="006F44CB">
        <w:tc>
          <w:tcPr>
            <w:tcW w:w="2759" w:type="dxa"/>
          </w:tcPr>
          <w:p w14:paraId="1980BD55" w14:textId="77777777" w:rsidR="006F44CB" w:rsidRPr="006F44CB" w:rsidRDefault="006F44CB" w:rsidP="009A07FF">
            <w:pPr>
              <w:spacing w:before="60" w:after="60"/>
              <w:jc w:val="center"/>
              <w:rPr>
                <w:rFonts w:ascii="Book Antiqua" w:hAnsi="Book Antiqua"/>
                <w:b/>
                <w:sz w:val="24"/>
                <w:szCs w:val="24"/>
              </w:rPr>
            </w:pPr>
            <w:r w:rsidRPr="006F44CB">
              <w:rPr>
                <w:rFonts w:ascii="Book Antiqua" w:hAnsi="Book Antiqua"/>
                <w:b/>
                <w:sz w:val="24"/>
                <w:szCs w:val="24"/>
              </w:rPr>
              <w:t>Requirement</w:t>
            </w:r>
          </w:p>
        </w:tc>
        <w:tc>
          <w:tcPr>
            <w:tcW w:w="6591" w:type="dxa"/>
          </w:tcPr>
          <w:p w14:paraId="7AEC353A" w14:textId="77777777" w:rsidR="006F44CB" w:rsidRPr="006F44CB" w:rsidRDefault="006F44CB" w:rsidP="009A07FF">
            <w:pPr>
              <w:spacing w:before="60" w:after="60"/>
              <w:jc w:val="center"/>
              <w:rPr>
                <w:rFonts w:ascii="Book Antiqua" w:hAnsi="Book Antiqua"/>
                <w:b/>
                <w:sz w:val="24"/>
                <w:szCs w:val="24"/>
              </w:rPr>
            </w:pPr>
            <w:r w:rsidRPr="006F44CB">
              <w:rPr>
                <w:rFonts w:ascii="Book Antiqua" w:hAnsi="Book Antiqua"/>
                <w:b/>
                <w:sz w:val="24"/>
                <w:szCs w:val="24"/>
              </w:rPr>
              <w:t>Assessment</w:t>
            </w:r>
          </w:p>
        </w:tc>
      </w:tr>
      <w:tr w:rsidR="006F44CB" w:rsidRPr="006F44CB" w14:paraId="2F352414" w14:textId="77777777" w:rsidTr="006F44CB">
        <w:tc>
          <w:tcPr>
            <w:tcW w:w="2759" w:type="dxa"/>
          </w:tcPr>
          <w:p w14:paraId="182383CD"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Required Forms</w:t>
            </w:r>
          </w:p>
        </w:tc>
        <w:tc>
          <w:tcPr>
            <w:tcW w:w="6591" w:type="dxa"/>
          </w:tcPr>
          <w:p w14:paraId="25841D8D"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Tiger Natural Gas, Inc. (Tiger) provided the following required forms:</w:t>
            </w:r>
          </w:p>
          <w:p w14:paraId="586E680A" w14:textId="77777777" w:rsidR="006F44CB" w:rsidRPr="006F44CB" w:rsidRDefault="006F44CB" w:rsidP="009A07FF">
            <w:pPr>
              <w:numPr>
                <w:ilvl w:val="0"/>
                <w:numId w:val="22"/>
              </w:numPr>
              <w:spacing w:before="60" w:after="60"/>
              <w:rPr>
                <w:rFonts w:ascii="Book Antiqua" w:hAnsi="Book Antiqua"/>
                <w:sz w:val="24"/>
                <w:szCs w:val="24"/>
              </w:rPr>
            </w:pPr>
            <w:r w:rsidRPr="006F44CB">
              <w:rPr>
                <w:rFonts w:ascii="Book Antiqua" w:hAnsi="Book Antiqua"/>
                <w:sz w:val="24"/>
                <w:szCs w:val="24"/>
              </w:rPr>
              <w:t>CEC Form S1</w:t>
            </w:r>
          </w:p>
          <w:p w14:paraId="1E9A1BDB" w14:textId="77777777" w:rsidR="006F44CB" w:rsidRPr="006F44CB" w:rsidRDefault="006F44CB" w:rsidP="009A07FF">
            <w:pPr>
              <w:numPr>
                <w:ilvl w:val="0"/>
                <w:numId w:val="22"/>
              </w:numPr>
              <w:spacing w:before="60" w:after="60"/>
              <w:rPr>
                <w:rFonts w:ascii="Book Antiqua" w:hAnsi="Book Antiqua"/>
                <w:color w:val="000000"/>
                <w:sz w:val="24"/>
                <w:szCs w:val="24"/>
              </w:rPr>
            </w:pPr>
            <w:r w:rsidRPr="006F44CB">
              <w:rPr>
                <w:rFonts w:ascii="Book Antiqua" w:hAnsi="Book Antiqua"/>
                <w:color w:val="000000"/>
                <w:sz w:val="24"/>
                <w:szCs w:val="24"/>
              </w:rPr>
              <w:t>CEC Form S2 or EIA Form 861 or EIA Form 861S</w:t>
            </w:r>
          </w:p>
          <w:p w14:paraId="192B5A55" w14:textId="77777777" w:rsidR="006F44CB" w:rsidRPr="006F44CB" w:rsidRDefault="006F44CB" w:rsidP="009A07FF">
            <w:pPr>
              <w:numPr>
                <w:ilvl w:val="0"/>
                <w:numId w:val="22"/>
              </w:numPr>
              <w:spacing w:before="60" w:after="60"/>
              <w:rPr>
                <w:rFonts w:ascii="Book Antiqua" w:hAnsi="Book Antiqua"/>
                <w:sz w:val="24"/>
                <w:szCs w:val="24"/>
              </w:rPr>
            </w:pPr>
            <w:r w:rsidRPr="006F44CB">
              <w:rPr>
                <w:rFonts w:ascii="Book Antiqua" w:hAnsi="Book Antiqua"/>
                <w:color w:val="000000"/>
                <w:sz w:val="24"/>
                <w:szCs w:val="24"/>
              </w:rPr>
              <w:t>CEC Power Content Report</w:t>
            </w:r>
          </w:p>
        </w:tc>
      </w:tr>
      <w:tr w:rsidR="006F44CB" w:rsidRPr="006F44CB" w14:paraId="25EA340B" w14:textId="77777777" w:rsidTr="006F44CB">
        <w:tc>
          <w:tcPr>
            <w:tcW w:w="2759" w:type="dxa"/>
          </w:tcPr>
          <w:p w14:paraId="24B5EBC2"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Treatment of Disadvantaged Communities</w:t>
            </w:r>
          </w:p>
        </w:tc>
        <w:tc>
          <w:tcPr>
            <w:tcW w:w="6591" w:type="dxa"/>
          </w:tcPr>
          <w:p w14:paraId="722238CE"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Tiger provided an adequate description of treatment of disadvantaged communities in its LSE Plan.</w:t>
            </w:r>
          </w:p>
        </w:tc>
      </w:tr>
      <w:tr w:rsidR="006F44CB" w:rsidRPr="006F44CB" w14:paraId="4E580093" w14:textId="77777777" w:rsidTr="006F44CB">
        <w:tc>
          <w:tcPr>
            <w:tcW w:w="2759" w:type="dxa"/>
          </w:tcPr>
          <w:p w14:paraId="24DB518E"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GHG Target Planning</w:t>
            </w:r>
          </w:p>
        </w:tc>
        <w:tc>
          <w:tcPr>
            <w:tcW w:w="6591" w:type="dxa"/>
          </w:tcPr>
          <w:p w14:paraId="0CD479F9"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Tiger did not explain what shares of its projected 2030 load falls under which IOU territory, so it is not possible to determine whether its LSE</w:t>
            </w:r>
            <w:r w:rsidR="00D84A09">
              <w:rPr>
                <w:rFonts w:ascii="Book Antiqua" w:hAnsi="Book Antiqua"/>
                <w:sz w:val="24"/>
                <w:szCs w:val="24"/>
              </w:rPr>
              <w:noBreakHyphen/>
            </w:r>
            <w:r w:rsidRPr="006F44CB">
              <w:rPr>
                <w:rFonts w:ascii="Book Antiqua" w:hAnsi="Book Antiqua"/>
                <w:sz w:val="24"/>
                <w:szCs w:val="24"/>
              </w:rPr>
              <w:t xml:space="preserve">specific 2030 GHG Benchmark was calculated correctly. </w:t>
            </w:r>
            <w:r w:rsidR="00C961F7">
              <w:rPr>
                <w:rFonts w:ascii="Book Antiqua" w:hAnsi="Book Antiqua"/>
                <w:sz w:val="24"/>
                <w:szCs w:val="24"/>
              </w:rPr>
              <w:t xml:space="preserve"> </w:t>
            </w:r>
            <w:r w:rsidRPr="006F44CB">
              <w:rPr>
                <w:rFonts w:ascii="Book Antiqua" w:hAnsi="Book Antiqua"/>
                <w:sz w:val="24"/>
                <w:szCs w:val="24"/>
              </w:rPr>
              <w:t>However, due to its relatively small load, this oversight is unlikely to have a significant impact on Tiger’s GHG Benchmark.</w:t>
            </w:r>
          </w:p>
        </w:tc>
      </w:tr>
      <w:tr w:rsidR="006F44CB" w:rsidRPr="006F44CB" w14:paraId="39CD96B9" w14:textId="77777777" w:rsidTr="006F44CB">
        <w:tc>
          <w:tcPr>
            <w:tcW w:w="2759" w:type="dxa"/>
          </w:tcPr>
          <w:p w14:paraId="211AED4F"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 xml:space="preserve">Conforming and </w:t>
            </w:r>
            <w:r w:rsidRPr="006F44CB">
              <w:rPr>
                <w:rFonts w:ascii="Book Antiqua" w:hAnsi="Book Antiqua"/>
                <w:color w:val="000000"/>
                <w:sz w:val="24"/>
                <w:szCs w:val="24"/>
              </w:rPr>
              <w:t xml:space="preserve">Alternative </w:t>
            </w:r>
            <w:r w:rsidRPr="006F44CB">
              <w:rPr>
                <w:rFonts w:ascii="Book Antiqua" w:hAnsi="Book Antiqua"/>
                <w:sz w:val="24"/>
                <w:szCs w:val="24"/>
              </w:rPr>
              <w:t>Portfolios</w:t>
            </w:r>
          </w:p>
        </w:tc>
        <w:tc>
          <w:tcPr>
            <w:tcW w:w="6591" w:type="dxa"/>
          </w:tcPr>
          <w:p w14:paraId="210EA460"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The 2030 emissions associated with Tiger’s Conforming Portfolio exceeds its GHG Benchmark by approximately 4%, which is acceptable for IRP planning purposes.</w:t>
            </w:r>
          </w:p>
          <w:p w14:paraId="49C4C4F3" w14:textId="77777777" w:rsidR="006F44CB" w:rsidRPr="006F44CB" w:rsidRDefault="006F44CB" w:rsidP="009A07FF">
            <w:pPr>
              <w:spacing w:before="60" w:after="60"/>
              <w:rPr>
                <w:rFonts w:ascii="Book Antiqua" w:hAnsi="Book Antiqua"/>
                <w:sz w:val="24"/>
                <w:szCs w:val="24"/>
              </w:rPr>
            </w:pPr>
          </w:p>
          <w:p w14:paraId="1CC48275"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 xml:space="preserve">Tiger submitted an Alternative Portfolio containing one minor adjustment to the CNS calculator, which was to set the assumed “Electric Vehicle Load </w:t>
            </w:r>
            <w:r w:rsidR="00D84A09">
              <w:rPr>
                <w:rFonts w:ascii="Book Antiqua" w:hAnsi="Book Antiqua"/>
                <w:sz w:val="24"/>
                <w:szCs w:val="24"/>
              </w:rPr>
              <w:noBreakHyphen/>
            </w:r>
            <w:r w:rsidRPr="006F44CB">
              <w:rPr>
                <w:rFonts w:ascii="Book Antiqua" w:hAnsi="Book Antiqua"/>
                <w:sz w:val="24"/>
                <w:szCs w:val="24"/>
              </w:rPr>
              <w:t xml:space="preserve"> Home Charging Only” load inputs to zero. </w:t>
            </w:r>
            <w:r w:rsidR="00C961F7">
              <w:rPr>
                <w:rFonts w:ascii="Book Antiqua" w:hAnsi="Book Antiqua"/>
                <w:sz w:val="24"/>
                <w:szCs w:val="24"/>
              </w:rPr>
              <w:t xml:space="preserve"> </w:t>
            </w:r>
            <w:r w:rsidRPr="006F44CB">
              <w:rPr>
                <w:rFonts w:ascii="Book Antiqua" w:hAnsi="Book Antiqua"/>
                <w:sz w:val="24"/>
                <w:szCs w:val="24"/>
              </w:rPr>
              <w:t xml:space="preserve">This adjustment reduced Tiger’s estimated GHG emissions to below its 2030 GHG Benchmark. </w:t>
            </w:r>
            <w:r w:rsidR="00C961F7">
              <w:rPr>
                <w:rFonts w:ascii="Book Antiqua" w:hAnsi="Book Antiqua"/>
                <w:sz w:val="24"/>
                <w:szCs w:val="24"/>
              </w:rPr>
              <w:t xml:space="preserve"> </w:t>
            </w:r>
            <w:r w:rsidRPr="006F44CB">
              <w:rPr>
                <w:rFonts w:ascii="Book Antiqua" w:hAnsi="Book Antiqua"/>
                <w:sz w:val="24"/>
                <w:szCs w:val="24"/>
              </w:rPr>
              <w:t>Because Tiger does not serve any residential load, this adjustment was reasonable.</w:t>
            </w:r>
          </w:p>
        </w:tc>
      </w:tr>
      <w:tr w:rsidR="006F44CB" w:rsidRPr="006F44CB" w14:paraId="0CBB03FE" w14:textId="77777777" w:rsidTr="006F44CB">
        <w:tc>
          <w:tcPr>
            <w:tcW w:w="2759" w:type="dxa"/>
          </w:tcPr>
          <w:p w14:paraId="1F1C1758" w14:textId="77777777" w:rsidR="006F44CB" w:rsidRPr="006F44CB" w:rsidRDefault="006F44CB" w:rsidP="009A07FF">
            <w:pPr>
              <w:spacing w:before="60" w:after="60"/>
              <w:rPr>
                <w:rFonts w:ascii="Book Antiqua" w:hAnsi="Book Antiqua"/>
                <w:sz w:val="24"/>
                <w:szCs w:val="24"/>
              </w:rPr>
            </w:pPr>
            <w:r w:rsidRPr="006F44CB">
              <w:rPr>
                <w:rFonts w:ascii="Book Antiqua" w:hAnsi="Book Antiqua"/>
                <w:color w:val="000000"/>
                <w:sz w:val="24"/>
                <w:szCs w:val="24"/>
              </w:rPr>
              <w:t>Statutory or Administrative Requirements</w:t>
            </w:r>
          </w:p>
        </w:tc>
        <w:tc>
          <w:tcPr>
            <w:tcW w:w="6591" w:type="dxa"/>
          </w:tcPr>
          <w:p w14:paraId="13B8402C"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 xml:space="preserve">Tiger did not speak directly to the following requirements: </w:t>
            </w:r>
          </w:p>
          <w:p w14:paraId="1E828A1D"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sz w:val="24"/>
                <w:szCs w:val="24"/>
              </w:rPr>
              <w:t>50% RPS by 2030.</w:t>
            </w:r>
          </w:p>
          <w:p w14:paraId="10F941DF"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Serve customers at just and reasonable rates.</w:t>
            </w:r>
          </w:p>
          <w:p w14:paraId="4560B87E"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Minimize impacts on ratepayers’ bills.</w:t>
            </w:r>
          </w:p>
          <w:p w14:paraId="2A928142"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Ensure system and local reliability.</w:t>
            </w:r>
          </w:p>
          <w:p w14:paraId="51757F64"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Strengthen the diversity, sustainability, and resilience of the bulk transmission and distribution systems, and local communities.</w:t>
            </w:r>
          </w:p>
          <w:p w14:paraId="23A504EF" w14:textId="77777777" w:rsidR="006F44CB" w:rsidRPr="006F44CB" w:rsidRDefault="006F44CB" w:rsidP="009A07FF">
            <w:pPr>
              <w:numPr>
                <w:ilvl w:val="0"/>
                <w:numId w:val="16"/>
              </w:numPr>
              <w:spacing w:before="60" w:after="60"/>
              <w:rPr>
                <w:rFonts w:ascii="Book Antiqua" w:hAnsi="Book Antiqua"/>
                <w:sz w:val="24"/>
                <w:szCs w:val="24"/>
              </w:rPr>
            </w:pPr>
            <w:r w:rsidRPr="006F44CB">
              <w:rPr>
                <w:rFonts w:ascii="Book Antiqua" w:hAnsi="Book Antiqua"/>
                <w:color w:val="000000"/>
                <w:sz w:val="24"/>
                <w:szCs w:val="24"/>
              </w:rPr>
              <w:t>Enhance distribution systems and demand</w:t>
            </w:r>
            <w:r w:rsidR="00D84A09">
              <w:rPr>
                <w:rFonts w:ascii="Book Antiqua" w:hAnsi="Book Antiqua"/>
                <w:color w:val="000000"/>
                <w:sz w:val="24"/>
                <w:szCs w:val="24"/>
              </w:rPr>
              <w:noBreakHyphen/>
            </w:r>
            <w:r w:rsidRPr="006F44CB">
              <w:rPr>
                <w:rFonts w:ascii="Book Antiqua" w:hAnsi="Book Antiqua"/>
                <w:color w:val="000000"/>
                <w:sz w:val="24"/>
                <w:szCs w:val="24"/>
              </w:rPr>
              <w:t>side energy management.</w:t>
            </w:r>
          </w:p>
        </w:tc>
      </w:tr>
      <w:tr w:rsidR="006F44CB" w:rsidRPr="006F44CB" w14:paraId="6DC81CCF" w14:textId="77777777" w:rsidTr="006F44CB">
        <w:tc>
          <w:tcPr>
            <w:tcW w:w="2759" w:type="dxa"/>
          </w:tcPr>
          <w:p w14:paraId="7D94DF77" w14:textId="77777777" w:rsidR="006F44CB" w:rsidRPr="006F44CB" w:rsidRDefault="006F44CB" w:rsidP="009A07FF">
            <w:pPr>
              <w:spacing w:before="60" w:after="60"/>
              <w:rPr>
                <w:rFonts w:ascii="Book Antiqua" w:hAnsi="Book Antiqua"/>
                <w:sz w:val="24"/>
                <w:szCs w:val="24"/>
              </w:rPr>
            </w:pPr>
            <w:r w:rsidRPr="006F44CB">
              <w:rPr>
                <w:rFonts w:ascii="Book Antiqua" w:hAnsi="Book Antiqua"/>
                <w:color w:val="000000"/>
                <w:sz w:val="24"/>
                <w:szCs w:val="24"/>
              </w:rPr>
              <w:t>Action Plan</w:t>
            </w:r>
          </w:p>
        </w:tc>
        <w:tc>
          <w:tcPr>
            <w:tcW w:w="6591" w:type="dxa"/>
          </w:tcPr>
          <w:p w14:paraId="534DE146"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Tiger provided an adequate description of the actions it proposes to take in the next one to three years to implement its plan.</w:t>
            </w:r>
          </w:p>
        </w:tc>
      </w:tr>
      <w:tr w:rsidR="006F44CB" w:rsidRPr="006F44CB" w14:paraId="33C64010" w14:textId="77777777" w:rsidTr="006F44CB">
        <w:tc>
          <w:tcPr>
            <w:tcW w:w="2759" w:type="dxa"/>
          </w:tcPr>
          <w:p w14:paraId="31061DFF" w14:textId="77777777" w:rsidR="006F44CB" w:rsidRPr="006F44CB" w:rsidRDefault="006F44CB" w:rsidP="009A07FF">
            <w:pPr>
              <w:spacing w:before="60" w:after="60"/>
              <w:rPr>
                <w:rFonts w:ascii="Book Antiqua" w:hAnsi="Book Antiqua"/>
                <w:sz w:val="24"/>
                <w:szCs w:val="24"/>
              </w:rPr>
            </w:pPr>
            <w:r w:rsidRPr="006F44CB">
              <w:rPr>
                <w:rFonts w:ascii="Book Antiqua" w:hAnsi="Book Antiqua"/>
                <w:color w:val="000000"/>
                <w:sz w:val="24"/>
                <w:szCs w:val="24"/>
              </w:rPr>
              <w:t>Barriers and Lessons Learned</w:t>
            </w:r>
          </w:p>
        </w:tc>
        <w:tc>
          <w:tcPr>
            <w:tcW w:w="6591" w:type="dxa"/>
          </w:tcPr>
          <w:p w14:paraId="52B98F96" w14:textId="77777777" w:rsidR="006F44CB" w:rsidRPr="006F44CB" w:rsidRDefault="006F44CB" w:rsidP="009A07FF">
            <w:pPr>
              <w:spacing w:before="60" w:after="60"/>
              <w:rPr>
                <w:rFonts w:ascii="Book Antiqua" w:hAnsi="Book Antiqua"/>
                <w:sz w:val="24"/>
                <w:szCs w:val="24"/>
              </w:rPr>
            </w:pPr>
            <w:r w:rsidRPr="006F44CB">
              <w:rPr>
                <w:rFonts w:ascii="Book Antiqua" w:hAnsi="Book Antiqua"/>
                <w:sz w:val="24"/>
                <w:szCs w:val="24"/>
              </w:rPr>
              <w:t>Tiger provided an adequate description of barriers and lessons learned from the IRP cycle.</w:t>
            </w:r>
          </w:p>
        </w:tc>
      </w:tr>
    </w:tbl>
    <w:p w14:paraId="57948618" w14:textId="77777777" w:rsidR="006F44CB" w:rsidRPr="009A07FF" w:rsidRDefault="006F44CB" w:rsidP="009A07FF">
      <w:pPr>
        <w:keepNext/>
        <w:keepLines/>
        <w:spacing w:before="240" w:after="120" w:line="276" w:lineRule="auto"/>
        <w:outlineLvl w:val="3"/>
        <w:rPr>
          <w:rFonts w:ascii="Book Antiqua" w:eastAsiaTheme="majorEastAsia" w:hAnsi="Book Antiqua" w:cstheme="majorBidi"/>
          <w:b/>
          <w:i/>
          <w:iCs/>
          <w:szCs w:val="24"/>
        </w:rPr>
      </w:pPr>
      <w:r w:rsidRPr="009A07FF">
        <w:rPr>
          <w:rFonts w:ascii="Book Antiqua" w:eastAsiaTheme="majorEastAsia" w:hAnsi="Book Antiqua" w:cstheme="majorBidi"/>
          <w:b/>
          <w:i/>
          <w:iCs/>
          <w:szCs w:val="24"/>
        </w:rPr>
        <w:t>Next Steps for Tiger</w:t>
      </w:r>
    </w:p>
    <w:p w14:paraId="77E93037" w14:textId="77777777" w:rsidR="006F44CB" w:rsidRPr="009A07FF" w:rsidRDefault="006F44CB" w:rsidP="009A07FF">
      <w:pPr>
        <w:spacing w:before="240" w:after="120" w:line="276" w:lineRule="auto"/>
        <w:rPr>
          <w:rFonts w:ascii="Book Antiqua" w:hAnsi="Book Antiqua" w:cstheme="minorBidi"/>
          <w:b/>
          <w:szCs w:val="24"/>
        </w:rPr>
      </w:pPr>
      <w:r w:rsidRPr="009A07FF">
        <w:rPr>
          <w:rFonts w:ascii="Book Antiqua" w:hAnsi="Book Antiqua" w:cstheme="minorBidi"/>
          <w:b/>
          <w:szCs w:val="24"/>
        </w:rPr>
        <w:t>Action required in this IRP 2017</w:t>
      </w:r>
      <w:r w:rsidR="00D84A09" w:rsidRPr="009A07FF">
        <w:rPr>
          <w:rFonts w:ascii="Book Antiqua" w:hAnsi="Book Antiqua" w:cstheme="minorBidi"/>
          <w:b/>
          <w:szCs w:val="24"/>
        </w:rPr>
        <w:noBreakHyphen/>
      </w:r>
      <w:r w:rsidRPr="009A07FF">
        <w:rPr>
          <w:rFonts w:ascii="Book Antiqua" w:hAnsi="Book Antiqua" w:cstheme="minorBidi"/>
          <w:b/>
          <w:szCs w:val="24"/>
        </w:rPr>
        <w:t xml:space="preserve">18 cycle: </w:t>
      </w:r>
      <w:r w:rsidR="004731C2" w:rsidRPr="009A07FF">
        <w:rPr>
          <w:rFonts w:ascii="Book Antiqua" w:hAnsi="Book Antiqua" w:cstheme="minorBidi"/>
          <w:b/>
          <w:szCs w:val="24"/>
        </w:rPr>
        <w:t xml:space="preserve"> </w:t>
      </w:r>
      <w:r w:rsidRPr="009A07FF">
        <w:rPr>
          <w:rFonts w:ascii="Book Antiqua" w:hAnsi="Book Antiqua" w:cstheme="minorBidi"/>
          <w:b/>
          <w:szCs w:val="24"/>
        </w:rPr>
        <w:t>None at this time.</w:t>
      </w:r>
    </w:p>
    <w:p w14:paraId="47EBA498" w14:textId="77777777" w:rsidR="006F44CB" w:rsidRPr="009A07FF" w:rsidRDefault="006F44CB" w:rsidP="009A07FF">
      <w:pPr>
        <w:spacing w:before="240" w:after="120" w:line="276" w:lineRule="auto"/>
        <w:rPr>
          <w:rFonts w:ascii="Book Antiqua" w:hAnsi="Book Antiqua" w:cstheme="minorBidi"/>
          <w:b/>
          <w:szCs w:val="24"/>
        </w:rPr>
      </w:pPr>
      <w:r w:rsidRPr="009A07FF">
        <w:rPr>
          <w:rFonts w:ascii="Book Antiqua" w:hAnsi="Book Antiqua" w:cstheme="minorBidi"/>
          <w:b/>
          <w:szCs w:val="24"/>
        </w:rPr>
        <w:t xml:space="preserve">Guidance for LSE Plan development in the next IRP cycle: </w:t>
      </w:r>
      <w:r w:rsidR="004731C2" w:rsidRPr="009A07FF">
        <w:rPr>
          <w:rFonts w:ascii="Book Antiqua" w:hAnsi="Book Antiqua" w:cstheme="minorBidi"/>
          <w:b/>
          <w:szCs w:val="24"/>
        </w:rPr>
        <w:t xml:space="preserve"> </w:t>
      </w:r>
      <w:r w:rsidRPr="009A07FF">
        <w:rPr>
          <w:rFonts w:ascii="Book Antiqua" w:hAnsi="Book Antiqua" w:cstheme="minorBidi"/>
          <w:b/>
          <w:szCs w:val="24"/>
        </w:rPr>
        <w:t>None at this time.</w:t>
      </w:r>
    </w:p>
    <w:p w14:paraId="36162360" w14:textId="77777777" w:rsidR="006F44CB" w:rsidRDefault="006F44CB" w:rsidP="001A7699">
      <w:pPr>
        <w:pStyle w:val="Heading3"/>
      </w:pPr>
      <w:bookmarkStart w:id="117" w:name="_Toc3803841"/>
      <w:r>
        <w:t>LSEs Claiming Exemptions from IRP Requirements</w:t>
      </w:r>
      <w:bookmarkEnd w:id="117"/>
    </w:p>
    <w:p w14:paraId="0A57F0A5" w14:textId="77777777" w:rsidR="006F44CB" w:rsidRPr="009A07FF" w:rsidRDefault="006F44CB" w:rsidP="006F44CB">
      <w:pPr>
        <w:keepNext/>
        <w:keepLines/>
        <w:spacing w:before="240" w:after="120" w:line="276" w:lineRule="auto"/>
        <w:outlineLvl w:val="2"/>
        <w:rPr>
          <w:rFonts w:ascii="Book Antiqua" w:eastAsiaTheme="majorEastAsia" w:hAnsi="Book Antiqua" w:cstheme="majorBidi"/>
          <w:b/>
          <w:szCs w:val="26"/>
        </w:rPr>
      </w:pPr>
      <w:bookmarkStart w:id="118" w:name="_Toc868798"/>
      <w:r w:rsidRPr="009A07FF">
        <w:rPr>
          <w:rFonts w:ascii="Book Antiqua" w:eastAsiaTheme="majorEastAsia" w:hAnsi="Book Antiqua" w:cstheme="majorBidi"/>
          <w:b/>
          <w:szCs w:val="26"/>
        </w:rPr>
        <w:t>Anza Electric Cooperative</w:t>
      </w:r>
      <w:bookmarkEnd w:id="118"/>
    </w:p>
    <w:p w14:paraId="6AB7AA74" w14:textId="77777777" w:rsidR="006F44CB" w:rsidRPr="006F44CB" w:rsidRDefault="006F44CB" w:rsidP="00002495">
      <w:pPr>
        <w:spacing w:after="200" w:line="360" w:lineRule="auto"/>
        <w:ind w:firstLine="720"/>
        <w:rPr>
          <w:rFonts w:ascii="Book Antiqua" w:hAnsi="Book Antiqua" w:cstheme="minorBidi"/>
          <w:szCs w:val="26"/>
        </w:rPr>
      </w:pPr>
      <w:r w:rsidRPr="006F44CB">
        <w:rPr>
          <w:rFonts w:ascii="Book Antiqua" w:hAnsi="Book Antiqua" w:cstheme="minorBidi"/>
          <w:szCs w:val="26"/>
        </w:rPr>
        <w:t>Anza Electric Cooperative submitted copies of its Form EIA</w:t>
      </w:r>
      <w:r w:rsidR="00D84A09">
        <w:rPr>
          <w:rFonts w:ascii="Book Antiqua" w:hAnsi="Book Antiqua" w:cstheme="minorBidi"/>
          <w:szCs w:val="26"/>
        </w:rPr>
        <w:noBreakHyphen/>
      </w:r>
      <w:r w:rsidR="004731C2">
        <w:rPr>
          <w:rFonts w:ascii="Book Antiqua" w:hAnsi="Book Antiqua" w:cstheme="minorBidi"/>
          <w:szCs w:val="26"/>
        </w:rPr>
        <w:t>861, Schedule </w:t>
      </w:r>
      <w:r w:rsidRPr="006F44CB">
        <w:rPr>
          <w:rFonts w:ascii="Book Antiqua" w:hAnsi="Book Antiqua" w:cstheme="minorBidi"/>
          <w:szCs w:val="26"/>
        </w:rPr>
        <w:t>2, Part B, to substantiate its eligibility for exemption from the requirements to file an LSE Plan.</w:t>
      </w:r>
      <w:r w:rsidR="00C961F7">
        <w:rPr>
          <w:rFonts w:ascii="Book Antiqua" w:hAnsi="Book Antiqua" w:cstheme="minorBidi"/>
          <w:szCs w:val="26"/>
        </w:rPr>
        <w:t xml:space="preserve"> </w:t>
      </w:r>
      <w:r w:rsidRPr="006F44CB">
        <w:rPr>
          <w:rFonts w:ascii="Book Antiqua" w:hAnsi="Book Antiqua" w:cstheme="minorBidi"/>
          <w:szCs w:val="26"/>
        </w:rPr>
        <w:t xml:space="preserve"> Although Anza submitted copies for years 2016 and 2017, it did not provide a copy for year 2015, citing an “Oracle System Error.”</w:t>
      </w:r>
      <w:r w:rsidR="00C961F7">
        <w:rPr>
          <w:rFonts w:ascii="Book Antiqua" w:hAnsi="Book Antiqua" w:cstheme="minorBidi"/>
          <w:szCs w:val="26"/>
        </w:rPr>
        <w:t xml:space="preserve"> </w:t>
      </w:r>
      <w:r w:rsidR="00002495">
        <w:rPr>
          <w:rFonts w:ascii="Book Antiqua" w:hAnsi="Book Antiqua" w:cstheme="minorBidi"/>
          <w:szCs w:val="26"/>
        </w:rPr>
        <w:t xml:space="preserve"> We agree that Anza Electric Cooperative is exempt from IRP filing requirements.</w:t>
      </w:r>
    </w:p>
    <w:p w14:paraId="23130D0B" w14:textId="77777777" w:rsidR="006F44CB" w:rsidRPr="009A07FF" w:rsidRDefault="006F44CB" w:rsidP="00F05ED0">
      <w:pPr>
        <w:keepNext/>
        <w:keepLines/>
        <w:spacing w:before="240" w:after="120" w:line="360" w:lineRule="auto"/>
        <w:outlineLvl w:val="2"/>
        <w:rPr>
          <w:rFonts w:ascii="Book Antiqua" w:eastAsiaTheme="majorEastAsia" w:hAnsi="Book Antiqua" w:cstheme="majorBidi"/>
          <w:b/>
          <w:szCs w:val="26"/>
        </w:rPr>
      </w:pPr>
      <w:bookmarkStart w:id="119" w:name="_Toc868800"/>
      <w:r w:rsidRPr="009A07FF">
        <w:rPr>
          <w:rFonts w:ascii="Book Antiqua" w:eastAsiaTheme="majorEastAsia" w:hAnsi="Book Antiqua" w:cstheme="majorBidi"/>
          <w:b/>
          <w:szCs w:val="26"/>
        </w:rPr>
        <w:t>EnerCal USA (</w:t>
      </w:r>
      <w:r w:rsidR="006F27DD" w:rsidRPr="009A07FF">
        <w:rPr>
          <w:rFonts w:ascii="Book Antiqua" w:eastAsiaTheme="majorEastAsia" w:hAnsi="Book Antiqua" w:cstheme="majorBidi"/>
          <w:b/>
          <w:szCs w:val="26"/>
        </w:rPr>
        <w:t>d</w:t>
      </w:r>
      <w:r w:rsidR="003D2F3E" w:rsidRPr="009A07FF">
        <w:rPr>
          <w:rFonts w:ascii="Book Antiqua" w:eastAsiaTheme="majorEastAsia" w:hAnsi="Book Antiqua" w:cstheme="majorBidi"/>
          <w:b/>
          <w:szCs w:val="26"/>
        </w:rPr>
        <w:t xml:space="preserve">oing </w:t>
      </w:r>
      <w:r w:rsidR="006F27DD" w:rsidRPr="009A07FF">
        <w:rPr>
          <w:rFonts w:ascii="Book Antiqua" w:eastAsiaTheme="majorEastAsia" w:hAnsi="Book Antiqua" w:cstheme="majorBidi"/>
          <w:b/>
          <w:szCs w:val="26"/>
        </w:rPr>
        <w:t>b</w:t>
      </w:r>
      <w:r w:rsidR="003D2F3E" w:rsidRPr="009A07FF">
        <w:rPr>
          <w:rFonts w:ascii="Book Antiqua" w:eastAsiaTheme="majorEastAsia" w:hAnsi="Book Antiqua" w:cstheme="majorBidi"/>
          <w:b/>
          <w:szCs w:val="26"/>
        </w:rPr>
        <w:t xml:space="preserve">usiness </w:t>
      </w:r>
      <w:r w:rsidR="006F27DD" w:rsidRPr="009A07FF">
        <w:rPr>
          <w:rFonts w:ascii="Book Antiqua" w:eastAsiaTheme="majorEastAsia" w:hAnsi="Book Antiqua" w:cstheme="majorBidi"/>
          <w:b/>
          <w:szCs w:val="26"/>
        </w:rPr>
        <w:t>a</w:t>
      </w:r>
      <w:r w:rsidR="003D2F3E" w:rsidRPr="009A07FF">
        <w:rPr>
          <w:rFonts w:ascii="Book Antiqua" w:eastAsiaTheme="majorEastAsia" w:hAnsi="Book Antiqua" w:cstheme="majorBidi"/>
          <w:b/>
          <w:szCs w:val="26"/>
        </w:rPr>
        <w:t>s (dba)</w:t>
      </w:r>
      <w:r w:rsidR="006F27DD" w:rsidRPr="009A07FF">
        <w:rPr>
          <w:rFonts w:ascii="Book Antiqua" w:eastAsiaTheme="majorEastAsia" w:hAnsi="Book Antiqua" w:cstheme="majorBidi"/>
          <w:b/>
          <w:szCs w:val="26"/>
        </w:rPr>
        <w:t xml:space="preserve"> </w:t>
      </w:r>
      <w:r w:rsidRPr="009A07FF">
        <w:rPr>
          <w:rFonts w:ascii="Book Antiqua" w:eastAsiaTheme="majorEastAsia" w:hAnsi="Book Antiqua" w:cstheme="majorBidi"/>
          <w:b/>
          <w:szCs w:val="26"/>
        </w:rPr>
        <w:t>YEP Energy)</w:t>
      </w:r>
      <w:bookmarkEnd w:id="119"/>
    </w:p>
    <w:p w14:paraId="2CE81DDD" w14:textId="77777777" w:rsidR="006F44CB" w:rsidRPr="006F44CB" w:rsidRDefault="006F44CB" w:rsidP="00002495">
      <w:pPr>
        <w:spacing w:after="200" w:line="360" w:lineRule="auto"/>
        <w:ind w:firstLine="720"/>
        <w:rPr>
          <w:rFonts w:ascii="Book Antiqua" w:hAnsi="Book Antiqua" w:cstheme="minorBidi"/>
          <w:szCs w:val="26"/>
        </w:rPr>
      </w:pPr>
      <w:r w:rsidRPr="006F44CB">
        <w:rPr>
          <w:rFonts w:ascii="Book Antiqua" w:hAnsi="Book Antiqua" w:cstheme="minorBidi"/>
          <w:szCs w:val="26"/>
        </w:rPr>
        <w:t>EnerCal USA submitted that it “has not signed up any retail electricity customers, nor has it ever served direct access load, in California,” and that “it has not procured energy or capacity, and it does not have any forecast need for such procurement, to serve load in California.”</w:t>
      </w:r>
      <w:r w:rsidR="0031076F">
        <w:rPr>
          <w:rFonts w:ascii="Book Antiqua" w:hAnsi="Book Antiqua" w:cstheme="minorBidi"/>
          <w:szCs w:val="26"/>
        </w:rPr>
        <w:t xml:space="preserve"> </w:t>
      </w:r>
      <w:r w:rsidR="006F27DD">
        <w:rPr>
          <w:rFonts w:ascii="Book Antiqua" w:hAnsi="Book Antiqua" w:cstheme="minorBidi"/>
          <w:szCs w:val="26"/>
        </w:rPr>
        <w:t xml:space="preserve"> We agree that EnerCal USA is not required to provide an IRP in this cycle, but will be required to submit documentation as long as it is registered to serve load in California. </w:t>
      </w:r>
    </w:p>
    <w:p w14:paraId="5FCE69F8" w14:textId="77777777" w:rsidR="006F44CB" w:rsidRPr="009A07FF" w:rsidRDefault="006F44CB" w:rsidP="00F05ED0">
      <w:pPr>
        <w:keepNext/>
        <w:keepLines/>
        <w:spacing w:before="240" w:after="120" w:line="360" w:lineRule="auto"/>
        <w:outlineLvl w:val="2"/>
        <w:rPr>
          <w:rFonts w:ascii="Book Antiqua" w:eastAsiaTheme="majorEastAsia" w:hAnsi="Book Antiqua" w:cstheme="majorBidi"/>
          <w:b/>
          <w:szCs w:val="26"/>
        </w:rPr>
      </w:pPr>
      <w:bookmarkStart w:id="120" w:name="_Toc868801"/>
      <w:r w:rsidRPr="009A07FF">
        <w:rPr>
          <w:rFonts w:ascii="Book Antiqua" w:eastAsiaTheme="majorEastAsia" w:hAnsi="Book Antiqua" w:cstheme="majorBidi"/>
          <w:b/>
          <w:szCs w:val="26"/>
        </w:rPr>
        <w:t>Gexa Energy</w:t>
      </w:r>
      <w:bookmarkEnd w:id="120"/>
    </w:p>
    <w:p w14:paraId="0CC44243" w14:textId="77777777" w:rsidR="006F44CB" w:rsidRPr="006F44CB" w:rsidRDefault="006F44CB" w:rsidP="00002495">
      <w:pPr>
        <w:spacing w:after="200" w:line="360" w:lineRule="auto"/>
        <w:ind w:firstLine="720"/>
        <w:rPr>
          <w:rFonts w:ascii="Book Antiqua" w:hAnsi="Book Antiqua" w:cstheme="minorBidi"/>
          <w:szCs w:val="26"/>
        </w:rPr>
      </w:pPr>
      <w:r w:rsidRPr="006F44CB">
        <w:rPr>
          <w:rFonts w:ascii="Book Antiqua" w:hAnsi="Book Antiqua" w:cstheme="minorBidi"/>
          <w:szCs w:val="26"/>
        </w:rPr>
        <w:t xml:space="preserve">Gexa Energy submitted that it “stopped serving retail customers in California after the second quarter of 2016,” and that it “maintains its ESP registration should it decide to resume serving retail customers at a future date. </w:t>
      </w:r>
      <w:r w:rsidR="00C961F7">
        <w:rPr>
          <w:rFonts w:ascii="Book Antiqua" w:hAnsi="Book Antiqua" w:cstheme="minorBidi"/>
          <w:szCs w:val="26"/>
        </w:rPr>
        <w:t xml:space="preserve"> </w:t>
      </w:r>
      <w:r w:rsidRPr="006F44CB">
        <w:rPr>
          <w:rFonts w:ascii="Book Antiqua" w:hAnsi="Book Antiqua" w:cstheme="minorBidi"/>
          <w:szCs w:val="26"/>
        </w:rPr>
        <w:t>Further, Gexa “encourages the Commission to consider modifying D.18</w:t>
      </w:r>
      <w:r w:rsidR="00D84A09">
        <w:rPr>
          <w:rFonts w:ascii="Book Antiqua" w:hAnsi="Book Antiqua" w:cstheme="minorBidi"/>
          <w:szCs w:val="26"/>
        </w:rPr>
        <w:noBreakHyphen/>
      </w:r>
      <w:r w:rsidRPr="006F44CB">
        <w:rPr>
          <w:rFonts w:ascii="Book Antiqua" w:hAnsi="Book Antiqua" w:cstheme="minorBidi"/>
          <w:szCs w:val="26"/>
        </w:rPr>
        <w:t>02</w:t>
      </w:r>
      <w:r w:rsidR="00D84A09">
        <w:rPr>
          <w:rFonts w:ascii="Book Antiqua" w:hAnsi="Book Antiqua" w:cstheme="minorBidi"/>
          <w:szCs w:val="26"/>
        </w:rPr>
        <w:noBreakHyphen/>
      </w:r>
      <w:r w:rsidRPr="006F44CB">
        <w:rPr>
          <w:rFonts w:ascii="Book Antiqua" w:hAnsi="Book Antiqua" w:cstheme="minorBidi"/>
          <w:szCs w:val="26"/>
        </w:rPr>
        <w:t xml:space="preserve">018 or future IRP requirements on its own motion to exempt any LSE that has no retail customers, no load and no procurement from future IRP compliance obligations until such a time as it begins to serve or plans to serve retail customers. </w:t>
      </w:r>
      <w:r w:rsidR="00C961F7">
        <w:rPr>
          <w:rFonts w:ascii="Book Antiqua" w:hAnsi="Book Antiqua" w:cstheme="minorBidi"/>
          <w:szCs w:val="26"/>
        </w:rPr>
        <w:t xml:space="preserve"> </w:t>
      </w:r>
      <w:r w:rsidRPr="006F44CB">
        <w:rPr>
          <w:rFonts w:ascii="Book Antiqua" w:hAnsi="Book Antiqua" w:cstheme="minorBidi"/>
          <w:szCs w:val="26"/>
        </w:rPr>
        <w:t>In the alternative, a simple declaration from such a situated LSE attesting to the fact that it has no retail customers, serves no load, and has no procurement should be acceptable as well and further the interests of administrative efficiency.”</w:t>
      </w:r>
      <w:r w:rsidR="00002495">
        <w:rPr>
          <w:rFonts w:ascii="Book Antiqua" w:hAnsi="Book Antiqua" w:cstheme="minorBidi"/>
          <w:szCs w:val="26"/>
        </w:rPr>
        <w:t xml:space="preserve"> </w:t>
      </w:r>
      <w:r w:rsidR="0031076F">
        <w:rPr>
          <w:rFonts w:ascii="Book Antiqua" w:hAnsi="Book Antiqua" w:cstheme="minorBidi"/>
          <w:szCs w:val="26"/>
        </w:rPr>
        <w:t xml:space="preserve">  </w:t>
      </w:r>
      <w:r w:rsidR="006F27DD">
        <w:rPr>
          <w:rFonts w:ascii="Book Antiqua" w:hAnsi="Book Antiqua" w:cstheme="minorBidi"/>
          <w:szCs w:val="26"/>
        </w:rPr>
        <w:t>We agree that Gexa is not required to provide an IRP in this cycle, but will be required to submit similar documentation as long as it is registered to serve load in California.</w:t>
      </w:r>
    </w:p>
    <w:p w14:paraId="602EBEC8" w14:textId="77777777" w:rsidR="006F44CB" w:rsidRPr="009A07FF" w:rsidRDefault="006F44CB" w:rsidP="00F05ED0">
      <w:pPr>
        <w:keepNext/>
        <w:keepLines/>
        <w:spacing w:before="240" w:after="120" w:line="360" w:lineRule="auto"/>
        <w:outlineLvl w:val="2"/>
        <w:rPr>
          <w:rFonts w:ascii="Book Antiqua" w:eastAsiaTheme="majorEastAsia" w:hAnsi="Book Antiqua" w:cstheme="majorBidi"/>
          <w:b/>
          <w:szCs w:val="26"/>
        </w:rPr>
      </w:pPr>
      <w:bookmarkStart w:id="121" w:name="_Toc868802"/>
      <w:r w:rsidRPr="009A07FF">
        <w:rPr>
          <w:rFonts w:ascii="Book Antiqua" w:eastAsiaTheme="majorEastAsia" w:hAnsi="Book Antiqua" w:cstheme="majorBidi"/>
          <w:b/>
          <w:szCs w:val="26"/>
        </w:rPr>
        <w:t>Liberty Power Delaware</w:t>
      </w:r>
      <w:bookmarkEnd w:id="121"/>
      <w:r w:rsidRPr="009A07FF">
        <w:rPr>
          <w:rFonts w:ascii="Book Antiqua" w:eastAsiaTheme="majorEastAsia" w:hAnsi="Book Antiqua" w:cstheme="majorBidi"/>
          <w:b/>
          <w:szCs w:val="26"/>
        </w:rPr>
        <w:t xml:space="preserve"> </w:t>
      </w:r>
    </w:p>
    <w:p w14:paraId="7C59F291" w14:textId="77777777" w:rsidR="006F27DD" w:rsidRPr="006F44CB" w:rsidRDefault="006F44CB" w:rsidP="006F27DD">
      <w:pPr>
        <w:spacing w:after="200" w:line="360" w:lineRule="auto"/>
        <w:ind w:firstLine="720"/>
        <w:rPr>
          <w:rFonts w:ascii="Book Antiqua" w:hAnsi="Book Antiqua" w:cstheme="minorBidi"/>
          <w:szCs w:val="26"/>
        </w:rPr>
      </w:pPr>
      <w:r w:rsidRPr="006F44CB">
        <w:rPr>
          <w:rFonts w:ascii="Book Antiqua" w:hAnsi="Book Antiqua" w:cstheme="minorBidi"/>
          <w:szCs w:val="26"/>
        </w:rPr>
        <w:t xml:space="preserve">Liberty Power Delaware (LPD) submitted that it “does not serve and has never served any retail customers in California and has no procurement.” </w:t>
      </w:r>
      <w:r w:rsidR="00C961F7">
        <w:rPr>
          <w:rFonts w:ascii="Book Antiqua" w:hAnsi="Book Antiqua" w:cstheme="minorBidi"/>
          <w:szCs w:val="26"/>
        </w:rPr>
        <w:t xml:space="preserve"> </w:t>
      </w:r>
      <w:r w:rsidRPr="006F44CB">
        <w:rPr>
          <w:rFonts w:ascii="Book Antiqua" w:hAnsi="Book Antiqua" w:cstheme="minorBidi"/>
          <w:szCs w:val="26"/>
        </w:rPr>
        <w:t>Further, LPD “encourages the Commission to consider modifying D.18</w:t>
      </w:r>
      <w:r w:rsidR="00D84A09">
        <w:rPr>
          <w:rFonts w:ascii="Book Antiqua" w:hAnsi="Book Antiqua" w:cstheme="minorBidi"/>
          <w:szCs w:val="26"/>
        </w:rPr>
        <w:noBreakHyphen/>
      </w:r>
      <w:r w:rsidRPr="006F44CB">
        <w:rPr>
          <w:rFonts w:ascii="Book Antiqua" w:hAnsi="Book Antiqua" w:cstheme="minorBidi"/>
          <w:szCs w:val="26"/>
        </w:rPr>
        <w:t>02</w:t>
      </w:r>
      <w:r w:rsidR="00D84A09">
        <w:rPr>
          <w:rFonts w:ascii="Book Antiqua" w:hAnsi="Book Antiqua" w:cstheme="minorBidi"/>
          <w:szCs w:val="26"/>
        </w:rPr>
        <w:noBreakHyphen/>
      </w:r>
      <w:r w:rsidRPr="006F44CB">
        <w:rPr>
          <w:rFonts w:ascii="Book Antiqua" w:hAnsi="Book Antiqua" w:cstheme="minorBidi"/>
          <w:szCs w:val="26"/>
        </w:rPr>
        <w:t xml:space="preserve">018 or future IRP requirements on its own motion to exempt any LSE that has no retail customers, no load and no procurement from future IRP compliance obligations until such a time as it begins to serve or plans to serve retail customers. </w:t>
      </w:r>
      <w:r w:rsidR="00C961F7">
        <w:rPr>
          <w:rFonts w:ascii="Book Antiqua" w:hAnsi="Book Antiqua" w:cstheme="minorBidi"/>
          <w:szCs w:val="26"/>
        </w:rPr>
        <w:t xml:space="preserve"> </w:t>
      </w:r>
      <w:r w:rsidRPr="006F44CB">
        <w:rPr>
          <w:rFonts w:ascii="Book Antiqua" w:hAnsi="Book Antiqua" w:cstheme="minorBidi"/>
          <w:szCs w:val="26"/>
        </w:rPr>
        <w:t>In the alternative, a simple declaration from such a situated LSE attesting to the fact that it has no retail customers, serves no load, and has no procurement should be acceptable as well and further the interests of administrative efficiency.”</w:t>
      </w:r>
      <w:r w:rsidR="006F27DD">
        <w:rPr>
          <w:rFonts w:ascii="Book Antiqua" w:hAnsi="Book Antiqua" w:cstheme="minorBidi"/>
          <w:szCs w:val="26"/>
        </w:rPr>
        <w:t xml:space="preserve"> </w:t>
      </w:r>
      <w:r w:rsidR="00C961F7">
        <w:rPr>
          <w:rFonts w:ascii="Book Antiqua" w:hAnsi="Book Antiqua" w:cstheme="minorBidi"/>
          <w:szCs w:val="26"/>
        </w:rPr>
        <w:t xml:space="preserve"> </w:t>
      </w:r>
      <w:r w:rsidR="006F27DD">
        <w:rPr>
          <w:rFonts w:ascii="Book Antiqua" w:hAnsi="Book Antiqua" w:cstheme="minorBidi"/>
          <w:szCs w:val="26"/>
        </w:rPr>
        <w:t>We agree that LPD is not required to provide an IRP in this cycle, but will be required to submit similar documentation as long as it is registered to serve load in California.</w:t>
      </w:r>
    </w:p>
    <w:p w14:paraId="21BBA4CE" w14:textId="77777777" w:rsidR="006F44CB" w:rsidRPr="009A07FF" w:rsidRDefault="006F44CB" w:rsidP="00F05ED0">
      <w:pPr>
        <w:keepNext/>
        <w:keepLines/>
        <w:spacing w:before="240" w:after="120" w:line="360" w:lineRule="auto"/>
        <w:outlineLvl w:val="2"/>
        <w:rPr>
          <w:rFonts w:ascii="Book Antiqua" w:eastAsiaTheme="majorEastAsia" w:hAnsi="Book Antiqua" w:cstheme="majorBidi"/>
          <w:b/>
          <w:szCs w:val="26"/>
        </w:rPr>
      </w:pPr>
      <w:bookmarkStart w:id="122" w:name="_Toc868803"/>
      <w:r w:rsidRPr="009A07FF">
        <w:rPr>
          <w:rFonts w:ascii="Book Antiqua" w:eastAsiaTheme="majorEastAsia" w:hAnsi="Book Antiqua" w:cstheme="majorBidi"/>
          <w:b/>
          <w:szCs w:val="26"/>
        </w:rPr>
        <w:t>Liberty Power Holdings</w:t>
      </w:r>
      <w:bookmarkEnd w:id="122"/>
    </w:p>
    <w:p w14:paraId="36AE3DB1" w14:textId="77777777" w:rsidR="006F27DD" w:rsidRPr="006F44CB" w:rsidRDefault="006F44CB" w:rsidP="006F27DD">
      <w:pPr>
        <w:spacing w:after="200" w:line="360" w:lineRule="auto"/>
        <w:ind w:firstLine="720"/>
        <w:rPr>
          <w:rFonts w:ascii="Book Antiqua" w:hAnsi="Book Antiqua" w:cstheme="minorBidi"/>
          <w:szCs w:val="26"/>
        </w:rPr>
      </w:pPr>
      <w:r w:rsidRPr="006F44CB">
        <w:rPr>
          <w:rFonts w:ascii="Book Antiqua" w:hAnsi="Book Antiqua" w:cstheme="minorBidi"/>
          <w:szCs w:val="26"/>
        </w:rPr>
        <w:t xml:space="preserve">Liberty Power Holdings submitted that all of its retail customers in California voluntarily returned to bundled service as of December 29, 2016. </w:t>
      </w:r>
      <w:r w:rsidR="00C961F7">
        <w:rPr>
          <w:rFonts w:ascii="Book Antiqua" w:hAnsi="Book Antiqua" w:cstheme="minorBidi"/>
          <w:szCs w:val="26"/>
        </w:rPr>
        <w:t xml:space="preserve"> </w:t>
      </w:r>
      <w:r w:rsidRPr="006F44CB">
        <w:rPr>
          <w:rFonts w:ascii="Book Antiqua" w:hAnsi="Book Antiqua" w:cstheme="minorBidi"/>
          <w:szCs w:val="26"/>
        </w:rPr>
        <w:t>Further, Liberty Power Holdings states that it “encourages the Commission to consider modifying D.18</w:t>
      </w:r>
      <w:r w:rsidR="00D84A09">
        <w:rPr>
          <w:rFonts w:ascii="Book Antiqua" w:hAnsi="Book Antiqua" w:cstheme="minorBidi"/>
          <w:szCs w:val="26"/>
        </w:rPr>
        <w:noBreakHyphen/>
      </w:r>
      <w:r w:rsidRPr="006F44CB">
        <w:rPr>
          <w:rFonts w:ascii="Book Antiqua" w:hAnsi="Book Antiqua" w:cstheme="minorBidi"/>
          <w:szCs w:val="26"/>
        </w:rPr>
        <w:t>02</w:t>
      </w:r>
      <w:r w:rsidR="00D84A09">
        <w:rPr>
          <w:rFonts w:ascii="Book Antiqua" w:hAnsi="Book Antiqua" w:cstheme="minorBidi"/>
          <w:szCs w:val="26"/>
        </w:rPr>
        <w:noBreakHyphen/>
      </w:r>
      <w:r w:rsidRPr="006F44CB">
        <w:rPr>
          <w:rFonts w:ascii="Book Antiqua" w:hAnsi="Book Antiqua" w:cstheme="minorBidi"/>
          <w:szCs w:val="26"/>
        </w:rPr>
        <w:t xml:space="preserve">018 or future IRP requirements on its own motion to exempt any LSE that has no retail customers, no load and no procurement from future IRP compliance obligations until such a time as it begins to serve or plans to serve retail customers. </w:t>
      </w:r>
      <w:r w:rsidR="00C961F7">
        <w:rPr>
          <w:rFonts w:ascii="Book Antiqua" w:hAnsi="Book Antiqua" w:cstheme="minorBidi"/>
          <w:szCs w:val="26"/>
        </w:rPr>
        <w:t xml:space="preserve"> </w:t>
      </w:r>
      <w:r w:rsidRPr="006F44CB">
        <w:rPr>
          <w:rFonts w:ascii="Book Antiqua" w:hAnsi="Book Antiqua" w:cstheme="minorBidi"/>
          <w:szCs w:val="26"/>
        </w:rPr>
        <w:t>In the alternative, a simple declaration from such a situated LSE attesting to the fact that it has no retail customers, serves no load, and has no procurement should be acceptable as well and further the interests of administrative efficiency.”</w:t>
      </w:r>
      <w:r w:rsidR="006F27DD">
        <w:rPr>
          <w:rFonts w:ascii="Book Antiqua" w:hAnsi="Book Antiqua" w:cstheme="minorBidi"/>
          <w:szCs w:val="26"/>
        </w:rPr>
        <w:t xml:space="preserve"> </w:t>
      </w:r>
      <w:r w:rsidR="0031076F">
        <w:rPr>
          <w:rFonts w:ascii="Book Antiqua" w:hAnsi="Book Antiqua" w:cstheme="minorBidi"/>
          <w:szCs w:val="26"/>
        </w:rPr>
        <w:t xml:space="preserve"> </w:t>
      </w:r>
      <w:r w:rsidR="006F27DD">
        <w:rPr>
          <w:rFonts w:ascii="Book Antiqua" w:hAnsi="Book Antiqua" w:cstheme="minorBidi"/>
          <w:szCs w:val="26"/>
        </w:rPr>
        <w:t>We agree that Liberty Power Holdings is not required to provide an IRP in this cycle, but will be required to submit similar documentation as long as it is registered to serve load in California.</w:t>
      </w:r>
    </w:p>
    <w:p w14:paraId="55817462" w14:textId="77777777" w:rsidR="006F44CB" w:rsidRPr="00D07949" w:rsidRDefault="006F44CB" w:rsidP="00F05ED0">
      <w:pPr>
        <w:keepNext/>
        <w:keepLines/>
        <w:spacing w:before="240" w:after="120" w:line="360" w:lineRule="auto"/>
        <w:outlineLvl w:val="2"/>
        <w:rPr>
          <w:rFonts w:ascii="Book Antiqua" w:eastAsiaTheme="majorEastAsia" w:hAnsi="Book Antiqua" w:cstheme="majorBidi"/>
          <w:b/>
          <w:szCs w:val="26"/>
        </w:rPr>
      </w:pPr>
      <w:bookmarkStart w:id="123" w:name="_Toc868804"/>
      <w:r w:rsidRPr="00D07949">
        <w:rPr>
          <w:rFonts w:ascii="Book Antiqua" w:eastAsiaTheme="majorEastAsia" w:hAnsi="Book Antiqua" w:cstheme="majorBidi"/>
          <w:b/>
          <w:szCs w:val="26"/>
        </w:rPr>
        <w:t>Plumas</w:t>
      </w:r>
      <w:r w:rsidR="00D84A09" w:rsidRPr="00D07949">
        <w:rPr>
          <w:rFonts w:ascii="Book Antiqua" w:eastAsiaTheme="majorEastAsia" w:hAnsi="Book Antiqua" w:cstheme="majorBidi"/>
          <w:b/>
          <w:szCs w:val="26"/>
        </w:rPr>
        <w:noBreakHyphen/>
      </w:r>
      <w:r w:rsidRPr="00D07949">
        <w:rPr>
          <w:rFonts w:ascii="Book Antiqua" w:eastAsiaTheme="majorEastAsia" w:hAnsi="Book Antiqua" w:cstheme="majorBidi"/>
          <w:b/>
          <w:szCs w:val="26"/>
        </w:rPr>
        <w:t>Sierra Rural Electric Cooperative</w:t>
      </w:r>
      <w:bookmarkEnd w:id="123"/>
    </w:p>
    <w:p w14:paraId="625ABF92" w14:textId="77777777" w:rsidR="006F44CB" w:rsidRPr="006F44CB" w:rsidRDefault="006F44CB" w:rsidP="006F27DD">
      <w:pPr>
        <w:spacing w:after="200" w:line="360" w:lineRule="auto"/>
        <w:ind w:firstLine="720"/>
        <w:rPr>
          <w:rFonts w:ascii="Book Antiqua" w:hAnsi="Book Antiqua" w:cstheme="minorBidi"/>
          <w:szCs w:val="26"/>
        </w:rPr>
      </w:pPr>
      <w:r w:rsidRPr="006F44CB">
        <w:rPr>
          <w:rFonts w:ascii="Book Antiqua" w:hAnsi="Book Antiqua" w:cstheme="minorBidi"/>
          <w:szCs w:val="26"/>
        </w:rPr>
        <w:t>Plumas</w:t>
      </w:r>
      <w:r w:rsidR="00D84A09">
        <w:rPr>
          <w:rFonts w:ascii="Book Antiqua" w:hAnsi="Book Antiqua" w:cstheme="minorBidi"/>
          <w:szCs w:val="26"/>
        </w:rPr>
        <w:noBreakHyphen/>
      </w:r>
      <w:r w:rsidRPr="006F44CB">
        <w:rPr>
          <w:rFonts w:ascii="Book Antiqua" w:hAnsi="Book Antiqua" w:cstheme="minorBidi"/>
          <w:szCs w:val="26"/>
        </w:rPr>
        <w:t>Sierra Rural Electric Cooperative submitted copies of its Form EIA</w:t>
      </w:r>
      <w:r w:rsidR="00D84A09">
        <w:rPr>
          <w:rFonts w:ascii="Book Antiqua" w:hAnsi="Book Antiqua" w:cstheme="minorBidi"/>
          <w:szCs w:val="26"/>
        </w:rPr>
        <w:noBreakHyphen/>
      </w:r>
      <w:r w:rsidRPr="006F44CB">
        <w:rPr>
          <w:rFonts w:ascii="Book Antiqua" w:hAnsi="Book Antiqua" w:cstheme="minorBidi"/>
          <w:szCs w:val="26"/>
        </w:rPr>
        <w:t>861, Schedule 2, Part B, for the years 2016</w:t>
      </w:r>
      <w:r w:rsidR="00D84A09">
        <w:rPr>
          <w:rFonts w:ascii="Book Antiqua" w:hAnsi="Book Antiqua" w:cstheme="minorBidi"/>
          <w:szCs w:val="26"/>
        </w:rPr>
        <w:noBreakHyphen/>
      </w:r>
      <w:r w:rsidRPr="006F44CB">
        <w:rPr>
          <w:rFonts w:ascii="Book Antiqua" w:hAnsi="Book Antiqua" w:cstheme="minorBidi"/>
          <w:szCs w:val="26"/>
        </w:rPr>
        <w:t>2017 to substantiate its eligibility for exemption from the requirements to file an LSE Plan.</w:t>
      </w:r>
      <w:r w:rsidR="00C961F7">
        <w:rPr>
          <w:rFonts w:ascii="Book Antiqua" w:hAnsi="Book Antiqua" w:cstheme="minorBidi"/>
          <w:szCs w:val="26"/>
        </w:rPr>
        <w:t xml:space="preserve"> </w:t>
      </w:r>
      <w:r w:rsidR="006F27DD">
        <w:rPr>
          <w:rFonts w:ascii="Book Antiqua" w:hAnsi="Book Antiqua" w:cstheme="minorBidi"/>
          <w:szCs w:val="26"/>
        </w:rPr>
        <w:t xml:space="preserve"> We agree that based on its documentation provided, Plumas</w:t>
      </w:r>
      <w:r w:rsidR="00D84A09">
        <w:rPr>
          <w:rFonts w:ascii="Book Antiqua" w:hAnsi="Book Antiqua" w:cstheme="minorBidi"/>
          <w:szCs w:val="26"/>
        </w:rPr>
        <w:noBreakHyphen/>
      </w:r>
      <w:r w:rsidR="006F27DD">
        <w:rPr>
          <w:rFonts w:ascii="Book Antiqua" w:hAnsi="Book Antiqua" w:cstheme="minorBidi"/>
          <w:szCs w:val="26"/>
        </w:rPr>
        <w:t>Sierra Rural Electric Cooperative is exempt from filing an IRP.</w:t>
      </w:r>
    </w:p>
    <w:p w14:paraId="4E743A6D" w14:textId="77777777" w:rsidR="006F44CB" w:rsidRPr="009A07FF" w:rsidRDefault="006F44CB" w:rsidP="00F05ED0">
      <w:pPr>
        <w:keepNext/>
        <w:keepLines/>
        <w:spacing w:before="240" w:after="120" w:line="360" w:lineRule="auto"/>
        <w:outlineLvl w:val="2"/>
        <w:rPr>
          <w:rFonts w:ascii="Book Antiqua" w:eastAsiaTheme="majorEastAsia" w:hAnsi="Book Antiqua" w:cstheme="majorBidi"/>
          <w:b/>
          <w:szCs w:val="26"/>
        </w:rPr>
      </w:pPr>
      <w:bookmarkStart w:id="124" w:name="_Toc868805"/>
      <w:r w:rsidRPr="009A07FF">
        <w:rPr>
          <w:rFonts w:ascii="Book Antiqua" w:eastAsiaTheme="majorEastAsia" w:hAnsi="Book Antiqua" w:cstheme="majorBidi"/>
          <w:b/>
          <w:szCs w:val="26"/>
        </w:rPr>
        <w:t>Praxair Plainfield</w:t>
      </w:r>
      <w:bookmarkEnd w:id="124"/>
    </w:p>
    <w:p w14:paraId="5BF24123" w14:textId="77777777" w:rsidR="006F27DD" w:rsidRPr="006F44CB" w:rsidRDefault="006F44CB" w:rsidP="006F27DD">
      <w:pPr>
        <w:spacing w:after="200" w:line="360" w:lineRule="auto"/>
        <w:ind w:firstLine="720"/>
        <w:rPr>
          <w:rFonts w:ascii="Book Antiqua" w:hAnsi="Book Antiqua" w:cstheme="minorBidi"/>
          <w:szCs w:val="26"/>
        </w:rPr>
      </w:pPr>
      <w:r w:rsidRPr="006F44CB">
        <w:rPr>
          <w:rFonts w:ascii="Book Antiqua" w:hAnsi="Book Antiqua" w:cstheme="minorBidi"/>
          <w:szCs w:val="26"/>
        </w:rPr>
        <w:t>Praxair Plainfield submitted that it “has not served any retail customers since 2008 and has no procurement,” and that it “maintains its ESP registration should it decide to resume serving retail customers at a future date.”</w:t>
      </w:r>
      <w:r w:rsidR="006F27DD">
        <w:rPr>
          <w:rFonts w:ascii="Book Antiqua" w:hAnsi="Book Antiqua" w:cstheme="minorBidi"/>
          <w:szCs w:val="26"/>
        </w:rPr>
        <w:t xml:space="preserve"> </w:t>
      </w:r>
      <w:r w:rsidR="0031076F">
        <w:rPr>
          <w:rFonts w:ascii="Book Antiqua" w:hAnsi="Book Antiqua" w:cstheme="minorBidi"/>
          <w:szCs w:val="26"/>
        </w:rPr>
        <w:t xml:space="preserve"> </w:t>
      </w:r>
      <w:r w:rsidR="006F27DD">
        <w:rPr>
          <w:rFonts w:ascii="Book Antiqua" w:hAnsi="Book Antiqua" w:cstheme="minorBidi"/>
          <w:szCs w:val="26"/>
        </w:rPr>
        <w:t>We agree that Praxair Plainfield is not required to provide an IRP in this cycle, but will be required to submit similar documentation as long as it is registered to serve load in California.</w:t>
      </w:r>
    </w:p>
    <w:p w14:paraId="77B9B7E0" w14:textId="77777777" w:rsidR="006F44CB" w:rsidRPr="009A07FF" w:rsidRDefault="006F44CB" w:rsidP="00F05ED0">
      <w:pPr>
        <w:keepNext/>
        <w:keepLines/>
        <w:spacing w:before="240" w:after="120" w:line="360" w:lineRule="auto"/>
        <w:outlineLvl w:val="2"/>
        <w:rPr>
          <w:rFonts w:ascii="Book Antiqua" w:eastAsiaTheme="majorEastAsia" w:hAnsi="Book Antiqua" w:cstheme="majorBidi"/>
          <w:b/>
          <w:szCs w:val="26"/>
        </w:rPr>
      </w:pPr>
      <w:bookmarkStart w:id="125" w:name="_Toc868806"/>
      <w:r w:rsidRPr="009A07FF">
        <w:rPr>
          <w:rFonts w:ascii="Book Antiqua" w:eastAsiaTheme="majorEastAsia" w:hAnsi="Book Antiqua" w:cstheme="majorBidi"/>
          <w:b/>
          <w:szCs w:val="26"/>
        </w:rPr>
        <w:t>Surprise Valley Electric Corp</w:t>
      </w:r>
      <w:bookmarkEnd w:id="125"/>
    </w:p>
    <w:p w14:paraId="2ACFF640" w14:textId="77777777" w:rsidR="006F44CB" w:rsidRPr="006F44CB" w:rsidRDefault="006F44CB" w:rsidP="006F27DD">
      <w:pPr>
        <w:spacing w:after="200" w:line="360" w:lineRule="auto"/>
        <w:ind w:firstLine="720"/>
        <w:rPr>
          <w:rFonts w:ascii="Book Antiqua" w:hAnsi="Book Antiqua" w:cstheme="minorBidi"/>
          <w:szCs w:val="26"/>
        </w:rPr>
      </w:pPr>
      <w:r w:rsidRPr="006F44CB">
        <w:rPr>
          <w:rFonts w:ascii="Book Antiqua" w:hAnsi="Book Antiqua" w:cstheme="minorBidi"/>
          <w:szCs w:val="26"/>
        </w:rPr>
        <w:t>Surprise Valley submitted copies of its Form EIA</w:t>
      </w:r>
      <w:r w:rsidR="00D84A09">
        <w:rPr>
          <w:rFonts w:ascii="Book Antiqua" w:hAnsi="Book Antiqua" w:cstheme="minorBidi"/>
          <w:szCs w:val="26"/>
        </w:rPr>
        <w:noBreakHyphen/>
      </w:r>
      <w:r w:rsidRPr="006F44CB">
        <w:rPr>
          <w:rFonts w:ascii="Book Antiqua" w:hAnsi="Book Antiqua" w:cstheme="minorBidi"/>
          <w:szCs w:val="26"/>
        </w:rPr>
        <w:t>861, Schedule 2, Part B, for the years 2015</w:t>
      </w:r>
      <w:r w:rsidR="00D84A09">
        <w:rPr>
          <w:rFonts w:ascii="Book Antiqua" w:hAnsi="Book Antiqua" w:cstheme="minorBidi"/>
          <w:szCs w:val="26"/>
        </w:rPr>
        <w:noBreakHyphen/>
      </w:r>
      <w:r w:rsidRPr="006F44CB">
        <w:rPr>
          <w:rFonts w:ascii="Book Antiqua" w:hAnsi="Book Antiqua" w:cstheme="minorBidi"/>
          <w:szCs w:val="26"/>
        </w:rPr>
        <w:t>2017 to substantiate its eligibility for exemption from the requirements to file an LSE Plan.</w:t>
      </w:r>
      <w:r w:rsidR="006F27DD">
        <w:rPr>
          <w:rFonts w:ascii="Book Antiqua" w:hAnsi="Book Antiqua" w:cstheme="minorBidi"/>
          <w:szCs w:val="26"/>
        </w:rPr>
        <w:t xml:space="preserve"> </w:t>
      </w:r>
      <w:r w:rsidR="00C961F7">
        <w:rPr>
          <w:rFonts w:ascii="Book Antiqua" w:hAnsi="Book Antiqua" w:cstheme="minorBidi"/>
          <w:szCs w:val="26"/>
        </w:rPr>
        <w:t xml:space="preserve"> </w:t>
      </w:r>
      <w:r w:rsidR="006F27DD">
        <w:rPr>
          <w:rFonts w:ascii="Book Antiqua" w:hAnsi="Book Antiqua" w:cstheme="minorBidi"/>
          <w:szCs w:val="26"/>
        </w:rPr>
        <w:t xml:space="preserve">We agree that based on the documentation provided by Surprise Valley, it is exempt from the requirements to file an IRP. </w:t>
      </w:r>
    </w:p>
    <w:p w14:paraId="0726C20E" w14:textId="77777777" w:rsidR="006F44CB" w:rsidRPr="009A07FF" w:rsidRDefault="006F44CB" w:rsidP="00F05ED0">
      <w:pPr>
        <w:keepNext/>
        <w:keepLines/>
        <w:spacing w:before="240" w:after="120" w:line="360" w:lineRule="auto"/>
        <w:outlineLvl w:val="2"/>
        <w:rPr>
          <w:rFonts w:ascii="Book Antiqua" w:eastAsiaTheme="majorEastAsia" w:hAnsi="Book Antiqua" w:cstheme="majorBidi"/>
          <w:b/>
          <w:szCs w:val="26"/>
        </w:rPr>
      </w:pPr>
      <w:bookmarkStart w:id="126" w:name="_Toc868807"/>
      <w:r w:rsidRPr="009A07FF">
        <w:rPr>
          <w:rFonts w:ascii="Book Antiqua" w:eastAsiaTheme="majorEastAsia" w:hAnsi="Book Antiqua" w:cstheme="majorBidi"/>
          <w:b/>
          <w:szCs w:val="26"/>
        </w:rPr>
        <w:t>Valley Electric Association, Inc.</w:t>
      </w:r>
      <w:bookmarkEnd w:id="126"/>
    </w:p>
    <w:p w14:paraId="74EF4D87" w14:textId="77777777" w:rsidR="006F44CB" w:rsidRPr="006F44CB" w:rsidRDefault="00DA7A72" w:rsidP="006F27DD">
      <w:pPr>
        <w:spacing w:after="200" w:line="360" w:lineRule="auto"/>
        <w:ind w:firstLine="720"/>
        <w:rPr>
          <w:rFonts w:ascii="Book Antiqua" w:hAnsi="Book Antiqua" w:cstheme="minorBidi"/>
          <w:szCs w:val="26"/>
        </w:rPr>
      </w:pPr>
      <w:r>
        <w:rPr>
          <w:rFonts w:ascii="Book Antiqua" w:hAnsi="Book Antiqua" w:cstheme="minorBidi"/>
          <w:szCs w:val="26"/>
        </w:rPr>
        <w:t>VEA</w:t>
      </w:r>
      <w:r w:rsidR="006F44CB" w:rsidRPr="006F44CB">
        <w:rPr>
          <w:rFonts w:ascii="Book Antiqua" w:hAnsi="Book Antiqua" w:cstheme="minorBidi"/>
          <w:szCs w:val="26"/>
        </w:rPr>
        <w:t xml:space="preserve"> submitted copies of its Form EIA</w:t>
      </w:r>
      <w:r w:rsidR="00D84A09">
        <w:rPr>
          <w:rFonts w:ascii="Book Antiqua" w:hAnsi="Book Antiqua" w:cstheme="minorBidi"/>
          <w:szCs w:val="26"/>
        </w:rPr>
        <w:noBreakHyphen/>
      </w:r>
      <w:r w:rsidR="009A07FF">
        <w:rPr>
          <w:rFonts w:ascii="Book Antiqua" w:hAnsi="Book Antiqua" w:cstheme="minorBidi"/>
          <w:szCs w:val="26"/>
        </w:rPr>
        <w:t>861, Schedule </w:t>
      </w:r>
      <w:r w:rsidR="006F44CB" w:rsidRPr="006F44CB">
        <w:rPr>
          <w:rFonts w:ascii="Book Antiqua" w:hAnsi="Book Antiqua" w:cstheme="minorBidi"/>
          <w:szCs w:val="26"/>
        </w:rPr>
        <w:t>2, Part B, for the years 2016</w:t>
      </w:r>
      <w:r w:rsidR="00D84A09">
        <w:rPr>
          <w:rFonts w:ascii="Book Antiqua" w:hAnsi="Book Antiqua" w:cstheme="minorBidi"/>
          <w:szCs w:val="26"/>
        </w:rPr>
        <w:noBreakHyphen/>
      </w:r>
      <w:r w:rsidR="006F44CB" w:rsidRPr="006F44CB">
        <w:rPr>
          <w:rFonts w:ascii="Book Antiqua" w:hAnsi="Book Antiqua" w:cstheme="minorBidi"/>
          <w:szCs w:val="26"/>
        </w:rPr>
        <w:t>2017 to substantiate its eligibility for exemption from the requirements to file an LSE Plan.</w:t>
      </w:r>
      <w:r w:rsidR="006F27DD">
        <w:rPr>
          <w:rFonts w:ascii="Book Antiqua" w:hAnsi="Book Antiqua" w:cstheme="minorBidi"/>
          <w:szCs w:val="26"/>
        </w:rPr>
        <w:t xml:space="preserve"> </w:t>
      </w:r>
      <w:r w:rsidR="00C961F7">
        <w:rPr>
          <w:rFonts w:ascii="Book Antiqua" w:hAnsi="Book Antiqua" w:cstheme="minorBidi"/>
          <w:szCs w:val="26"/>
        </w:rPr>
        <w:t xml:space="preserve"> </w:t>
      </w:r>
      <w:r w:rsidR="006F27DD">
        <w:rPr>
          <w:rFonts w:ascii="Book Antiqua" w:hAnsi="Book Antiqua" w:cstheme="minorBidi"/>
          <w:szCs w:val="26"/>
        </w:rPr>
        <w:t>W</w:t>
      </w:r>
      <w:r w:rsidR="00C961F7">
        <w:rPr>
          <w:rFonts w:ascii="Book Antiqua" w:hAnsi="Book Antiqua" w:cstheme="minorBidi"/>
          <w:szCs w:val="26"/>
        </w:rPr>
        <w:t>e</w:t>
      </w:r>
      <w:r w:rsidR="006F27DD">
        <w:rPr>
          <w:rFonts w:ascii="Book Antiqua" w:hAnsi="Book Antiqua" w:cstheme="minorBidi"/>
          <w:szCs w:val="26"/>
        </w:rPr>
        <w:t xml:space="preserve"> agree that based on the documentation provided by </w:t>
      </w:r>
      <w:r>
        <w:rPr>
          <w:rFonts w:ascii="Book Antiqua" w:hAnsi="Book Antiqua" w:cstheme="minorBidi"/>
          <w:szCs w:val="26"/>
        </w:rPr>
        <w:t>VEA</w:t>
      </w:r>
      <w:r w:rsidR="006F27DD">
        <w:rPr>
          <w:rFonts w:ascii="Book Antiqua" w:hAnsi="Book Antiqua" w:cstheme="minorBidi"/>
          <w:szCs w:val="26"/>
        </w:rPr>
        <w:t xml:space="preserve">, it is exempt from the requirements to file an IRP. </w:t>
      </w:r>
    </w:p>
    <w:p w14:paraId="1B7E27F6" w14:textId="77777777" w:rsidR="00F05ED0" w:rsidRDefault="00F05ED0" w:rsidP="001A7699">
      <w:pPr>
        <w:pStyle w:val="Heading3"/>
      </w:pPr>
      <w:bookmarkStart w:id="127" w:name="_Toc3803842"/>
      <w:r>
        <w:t>LSEs Failing to Submit Any Documentation</w:t>
      </w:r>
      <w:bookmarkEnd w:id="127"/>
    </w:p>
    <w:p w14:paraId="51CFBBD8" w14:textId="77777777" w:rsidR="00F05ED0" w:rsidRPr="009A07FF" w:rsidRDefault="00F05ED0" w:rsidP="00F05ED0">
      <w:pPr>
        <w:keepNext/>
        <w:keepLines/>
        <w:spacing w:before="240" w:after="120" w:line="360" w:lineRule="auto"/>
        <w:outlineLvl w:val="2"/>
        <w:rPr>
          <w:rFonts w:ascii="Book Antiqua" w:eastAsiaTheme="majorEastAsia" w:hAnsi="Book Antiqua" w:cstheme="majorBidi"/>
          <w:b/>
          <w:szCs w:val="26"/>
        </w:rPr>
      </w:pPr>
      <w:bookmarkStart w:id="128" w:name="_Toc868799"/>
      <w:r w:rsidRPr="009A07FF">
        <w:rPr>
          <w:rFonts w:ascii="Book Antiqua" w:eastAsiaTheme="majorEastAsia" w:hAnsi="Book Antiqua" w:cstheme="majorBidi"/>
          <w:b/>
          <w:szCs w:val="26"/>
        </w:rPr>
        <w:t>Commercial Energy of California</w:t>
      </w:r>
      <w:bookmarkEnd w:id="128"/>
    </w:p>
    <w:p w14:paraId="29661F24" w14:textId="38F8322D" w:rsidR="00753C94" w:rsidRPr="009D32BA" w:rsidRDefault="00F05ED0" w:rsidP="009D32BA">
      <w:pPr>
        <w:spacing w:after="200" w:line="360" w:lineRule="auto"/>
        <w:ind w:firstLine="720"/>
        <w:rPr>
          <w:rFonts w:ascii="Book Antiqua" w:hAnsi="Book Antiqua" w:cstheme="minorBidi"/>
          <w:szCs w:val="26"/>
        </w:rPr>
      </w:pPr>
      <w:r w:rsidRPr="006F44CB">
        <w:rPr>
          <w:rFonts w:ascii="Book Antiqua" w:hAnsi="Book Antiqua" w:cstheme="minorBidi"/>
          <w:szCs w:val="26"/>
        </w:rPr>
        <w:t xml:space="preserve">Commercial Energy of California did not file an LSE Plan as required by August 1, 2018. </w:t>
      </w:r>
      <w:r w:rsidR="00C961F7">
        <w:rPr>
          <w:rFonts w:ascii="Book Antiqua" w:hAnsi="Book Antiqua" w:cstheme="minorBidi"/>
          <w:szCs w:val="26"/>
        </w:rPr>
        <w:t xml:space="preserve"> </w:t>
      </w:r>
      <w:r w:rsidRPr="006F44CB">
        <w:rPr>
          <w:rFonts w:ascii="Book Antiqua" w:hAnsi="Book Antiqua" w:cstheme="minorBidi"/>
          <w:szCs w:val="26"/>
        </w:rPr>
        <w:t xml:space="preserve">On August 6, 2018, Commercial Energy submitted a request for an extension of time until September 1, </w:t>
      </w:r>
      <w:r w:rsidRPr="009D32BA">
        <w:rPr>
          <w:rFonts w:ascii="Book Antiqua" w:hAnsi="Book Antiqua" w:cstheme="minorBidi"/>
          <w:szCs w:val="26"/>
        </w:rPr>
        <w:t xml:space="preserve">2018. </w:t>
      </w:r>
      <w:r w:rsidR="00C961F7">
        <w:rPr>
          <w:rFonts w:ascii="Book Antiqua" w:hAnsi="Book Antiqua" w:cstheme="minorBidi"/>
          <w:szCs w:val="26"/>
        </w:rPr>
        <w:t xml:space="preserve"> </w:t>
      </w:r>
      <w:r w:rsidRPr="009D32BA">
        <w:rPr>
          <w:rFonts w:ascii="Book Antiqua" w:hAnsi="Book Antiqua" w:cstheme="minorBidi"/>
          <w:szCs w:val="26"/>
        </w:rPr>
        <w:t>As of the issuance of this Proposed Decision, Commercial Energy has yet to file an LSE Plan.</w:t>
      </w:r>
      <w:r w:rsidR="009D32BA">
        <w:rPr>
          <w:rFonts w:ascii="Book Antiqua" w:hAnsi="Book Antiqua" w:cstheme="minorBidi"/>
          <w:szCs w:val="26"/>
        </w:rPr>
        <w:t xml:space="preserve"> </w:t>
      </w:r>
      <w:r w:rsidR="00C961F7">
        <w:rPr>
          <w:rFonts w:ascii="Book Antiqua" w:hAnsi="Book Antiqua" w:cstheme="minorBidi"/>
          <w:szCs w:val="26"/>
        </w:rPr>
        <w:t xml:space="preserve"> </w:t>
      </w:r>
      <w:r w:rsidR="009D32BA">
        <w:rPr>
          <w:rFonts w:ascii="Book Antiqua" w:hAnsi="Book Antiqua" w:cstheme="minorBidi"/>
          <w:szCs w:val="26"/>
        </w:rPr>
        <w:t>Thus, Commercial Energy is out of compliance with D.18</w:t>
      </w:r>
      <w:r w:rsidR="00D84A09">
        <w:rPr>
          <w:rFonts w:ascii="Book Antiqua" w:hAnsi="Book Antiqua" w:cstheme="minorBidi"/>
          <w:szCs w:val="26"/>
        </w:rPr>
        <w:noBreakHyphen/>
      </w:r>
      <w:r w:rsidR="009D32BA">
        <w:rPr>
          <w:rFonts w:ascii="Book Antiqua" w:hAnsi="Book Antiqua" w:cstheme="minorBidi"/>
          <w:szCs w:val="26"/>
        </w:rPr>
        <w:t>20</w:t>
      </w:r>
      <w:r w:rsidR="00D84A09">
        <w:rPr>
          <w:rFonts w:ascii="Book Antiqua" w:hAnsi="Book Antiqua" w:cstheme="minorBidi"/>
          <w:szCs w:val="26"/>
        </w:rPr>
        <w:noBreakHyphen/>
      </w:r>
      <w:r w:rsidR="009D32BA">
        <w:rPr>
          <w:rFonts w:ascii="Book Antiqua" w:hAnsi="Book Antiqua" w:cstheme="minorBidi"/>
          <w:szCs w:val="26"/>
        </w:rPr>
        <w:t>018 requirements.</w:t>
      </w:r>
      <w:r w:rsidR="00C961F7">
        <w:rPr>
          <w:rFonts w:ascii="Book Antiqua" w:hAnsi="Book Antiqua" w:cstheme="minorBidi"/>
          <w:szCs w:val="26"/>
        </w:rPr>
        <w:t xml:space="preserve"> </w:t>
      </w:r>
      <w:r w:rsidR="009D32BA">
        <w:rPr>
          <w:rFonts w:ascii="Book Antiqua" w:hAnsi="Book Antiqua" w:cstheme="minorBidi"/>
          <w:szCs w:val="26"/>
        </w:rPr>
        <w:t xml:space="preserve"> In future IRP cycles, we will </w:t>
      </w:r>
      <w:r w:rsidR="00913CD6">
        <w:rPr>
          <w:rFonts w:ascii="Book Antiqua" w:hAnsi="Book Antiqua" w:cstheme="minorBidi"/>
          <w:szCs w:val="26"/>
        </w:rPr>
        <w:t>implement a</w:t>
      </w:r>
      <w:r w:rsidR="009D32BA">
        <w:rPr>
          <w:rFonts w:ascii="Book Antiqua" w:hAnsi="Book Antiqua" w:cstheme="minorBidi"/>
          <w:szCs w:val="26"/>
        </w:rPr>
        <w:t xml:space="preserve"> citation </w:t>
      </w:r>
      <w:r w:rsidR="00913CD6">
        <w:rPr>
          <w:rFonts w:ascii="Book Antiqua" w:hAnsi="Book Antiqua" w:cstheme="minorBidi"/>
          <w:szCs w:val="26"/>
        </w:rPr>
        <w:t xml:space="preserve">process </w:t>
      </w:r>
      <w:r w:rsidR="009D32BA">
        <w:rPr>
          <w:rFonts w:ascii="Book Antiqua" w:hAnsi="Book Antiqua" w:cstheme="minorBidi"/>
          <w:szCs w:val="26"/>
        </w:rPr>
        <w:t>so that entities failing to provide any documentation will face monetary sanctions.</w:t>
      </w:r>
    </w:p>
    <w:p w14:paraId="4DC58178" w14:textId="77777777" w:rsidR="00152A24" w:rsidRDefault="00152A24" w:rsidP="00152A24">
      <w:pPr>
        <w:pStyle w:val="Heading1"/>
      </w:pPr>
      <w:bookmarkStart w:id="129" w:name="_Toc3803843"/>
      <w:r>
        <w:t>Preferred System Portfolio</w:t>
      </w:r>
      <w:bookmarkEnd w:id="129"/>
    </w:p>
    <w:p w14:paraId="2D04A6D2" w14:textId="77777777" w:rsidR="009317C2" w:rsidRPr="001A7699" w:rsidRDefault="009317C2" w:rsidP="001E6EC3">
      <w:pPr>
        <w:pStyle w:val="standard"/>
        <w:rPr>
          <w:rFonts w:ascii="Book Antiqua" w:hAnsi="Book Antiqua"/>
        </w:rPr>
      </w:pPr>
      <w:r w:rsidRPr="001A7699">
        <w:rPr>
          <w:rFonts w:ascii="Book Antiqua" w:hAnsi="Book Antiqua"/>
        </w:rPr>
        <w:t xml:space="preserve">On January 11, 2019, an ALJ ruling was issued containing the staff recommendations for the </w:t>
      </w:r>
      <w:r w:rsidR="00FA2300">
        <w:rPr>
          <w:rFonts w:ascii="Book Antiqua" w:hAnsi="Book Antiqua"/>
        </w:rPr>
        <w:t>P</w:t>
      </w:r>
      <w:r w:rsidRPr="001A7699">
        <w:rPr>
          <w:rFonts w:ascii="Book Antiqua" w:hAnsi="Book Antiqua"/>
        </w:rPr>
        <w:t xml:space="preserve">referred </w:t>
      </w:r>
      <w:r w:rsidR="00FA2300">
        <w:rPr>
          <w:rFonts w:ascii="Book Antiqua" w:hAnsi="Book Antiqua"/>
        </w:rPr>
        <w:t>S</w:t>
      </w:r>
      <w:r w:rsidRPr="001A7699">
        <w:rPr>
          <w:rFonts w:ascii="Book Antiqua" w:hAnsi="Book Antiqua"/>
        </w:rPr>
        <w:t xml:space="preserve">ystem </w:t>
      </w:r>
      <w:r w:rsidR="00FA2300">
        <w:rPr>
          <w:rFonts w:ascii="Book Antiqua" w:hAnsi="Book Antiqua"/>
        </w:rPr>
        <w:t>P</w:t>
      </w:r>
      <w:r w:rsidRPr="001A7699">
        <w:rPr>
          <w:rFonts w:ascii="Book Antiqua" w:hAnsi="Book Antiqua"/>
        </w:rPr>
        <w:t>ortfolio to be adopted by the Commission and used by the CAISO in the TPP.</w:t>
      </w:r>
      <w:r w:rsidR="00C961F7" w:rsidRPr="001A7699">
        <w:rPr>
          <w:rFonts w:ascii="Book Antiqua" w:hAnsi="Book Antiqua"/>
        </w:rPr>
        <w:t xml:space="preserve"> </w:t>
      </w:r>
      <w:r w:rsidRPr="001A7699">
        <w:rPr>
          <w:rFonts w:ascii="Book Antiqua" w:hAnsi="Book Antiqua"/>
        </w:rPr>
        <w:t xml:space="preserve"> This ruling and its attachments, as well as the previous rulings on September 2</w:t>
      </w:r>
      <w:r w:rsidR="0031076F">
        <w:rPr>
          <w:rFonts w:ascii="Book Antiqua" w:hAnsi="Book Antiqua"/>
        </w:rPr>
        <w:t xml:space="preserve">4, 2018 and November 15, 2018, </w:t>
      </w:r>
      <w:r w:rsidRPr="001A7699">
        <w:rPr>
          <w:rFonts w:ascii="Book Antiqua" w:hAnsi="Book Antiqua"/>
        </w:rPr>
        <w:t>detailed the manner in which Commission staff aggregated the individual IRPs and then conducted production cost modeling to evaluate the results of the aggregated portfolio, and whether the portfolio would m</w:t>
      </w:r>
      <w:r w:rsidR="00FA2300">
        <w:rPr>
          <w:rFonts w:ascii="Book Antiqua" w:hAnsi="Book Antiqua"/>
        </w:rPr>
        <w:t>e</w:t>
      </w:r>
      <w:r w:rsidRPr="001A7699">
        <w:rPr>
          <w:rFonts w:ascii="Book Antiqua" w:hAnsi="Book Antiqua"/>
        </w:rPr>
        <w:t xml:space="preserve">et the </w:t>
      </w:r>
      <w:r w:rsidR="00FA2300">
        <w:rPr>
          <w:rFonts w:ascii="Book Antiqua" w:hAnsi="Book Antiqua"/>
        </w:rPr>
        <w:t xml:space="preserve">2030 </w:t>
      </w:r>
      <w:r w:rsidRPr="001A7699">
        <w:rPr>
          <w:rFonts w:ascii="Book Antiqua" w:hAnsi="Book Antiqua"/>
        </w:rPr>
        <w:t xml:space="preserve">GHG emissions </w:t>
      </w:r>
      <w:r w:rsidR="00FA2300">
        <w:rPr>
          <w:rFonts w:ascii="Book Antiqua" w:hAnsi="Book Antiqua"/>
        </w:rPr>
        <w:t xml:space="preserve">planning </w:t>
      </w:r>
      <w:r w:rsidRPr="001A7699">
        <w:rPr>
          <w:rFonts w:ascii="Book Antiqua" w:hAnsi="Book Antiqua"/>
        </w:rPr>
        <w:t>target of 42 MMT adopted by the Commission in D.18</w:t>
      </w:r>
      <w:r w:rsidR="00D84A09" w:rsidRPr="001A7699">
        <w:rPr>
          <w:rFonts w:ascii="Book Antiqua" w:hAnsi="Book Antiqua"/>
        </w:rPr>
        <w:noBreakHyphen/>
      </w:r>
      <w:r w:rsidRPr="001A7699">
        <w:rPr>
          <w:rFonts w:ascii="Book Antiqua" w:hAnsi="Book Antiqua"/>
        </w:rPr>
        <w:t>02</w:t>
      </w:r>
      <w:r w:rsidR="00D84A09" w:rsidRPr="001A7699">
        <w:rPr>
          <w:rFonts w:ascii="Book Antiqua" w:hAnsi="Book Antiqua"/>
        </w:rPr>
        <w:noBreakHyphen/>
      </w:r>
      <w:r w:rsidRPr="001A7699">
        <w:rPr>
          <w:rFonts w:ascii="Book Antiqua" w:hAnsi="Book Antiqua"/>
        </w:rPr>
        <w:t xml:space="preserve">018. </w:t>
      </w:r>
      <w:r w:rsidR="00C961F7" w:rsidRPr="001A7699">
        <w:rPr>
          <w:rFonts w:ascii="Book Antiqua" w:hAnsi="Book Antiqua"/>
        </w:rPr>
        <w:t xml:space="preserve"> </w:t>
      </w:r>
      <w:r w:rsidRPr="001A7699">
        <w:rPr>
          <w:rFonts w:ascii="Book Antiqua" w:hAnsi="Book Antiqua"/>
        </w:rPr>
        <w:t xml:space="preserve">This section discusses our determination on the PSP to be adopted. </w:t>
      </w:r>
    </w:p>
    <w:p w14:paraId="2680920B" w14:textId="77777777" w:rsidR="00152A24" w:rsidRDefault="00152A24" w:rsidP="004C75AB">
      <w:pPr>
        <w:pStyle w:val="Heading2"/>
      </w:pPr>
      <w:bookmarkStart w:id="130" w:name="_Toc3803844"/>
      <w:r>
        <w:t>Individual IRP Aggregation Analysis</w:t>
      </w:r>
      <w:r w:rsidR="00D9397C">
        <w:t>, Production Cost Modeling, and PSP Recommendation</w:t>
      </w:r>
      <w:bookmarkEnd w:id="130"/>
    </w:p>
    <w:p w14:paraId="2D6F7BFA" w14:textId="77777777" w:rsidR="005F6918" w:rsidRPr="005F6918" w:rsidRDefault="005F6918" w:rsidP="001A7699">
      <w:pPr>
        <w:pStyle w:val="Heading3"/>
      </w:pPr>
      <w:bookmarkStart w:id="131" w:name="_Toc3803845"/>
      <w:r>
        <w:t>Individual IRP Aggregation Analysis</w:t>
      </w:r>
      <w:bookmarkEnd w:id="131"/>
    </w:p>
    <w:p w14:paraId="28F3E057" w14:textId="77777777" w:rsidR="009317C2" w:rsidRPr="001A7699" w:rsidRDefault="009317C2" w:rsidP="009317C2">
      <w:pPr>
        <w:spacing w:line="360" w:lineRule="auto"/>
        <w:ind w:firstLine="720"/>
        <w:rPr>
          <w:rFonts w:ascii="Book Antiqua" w:hAnsi="Book Antiqua"/>
        </w:rPr>
      </w:pPr>
      <w:r w:rsidRPr="001A7699">
        <w:rPr>
          <w:rFonts w:ascii="Book Antiqua" w:hAnsi="Book Antiqua"/>
        </w:rPr>
        <w:t xml:space="preserve">The aggregation </w:t>
      </w:r>
      <w:r w:rsidR="00D27003" w:rsidRPr="001A7699">
        <w:rPr>
          <w:rFonts w:ascii="Book Antiqua" w:hAnsi="Book Antiqua"/>
        </w:rPr>
        <w:t xml:space="preserve">of individual LSE IRPs into </w:t>
      </w:r>
      <w:r w:rsidR="00FA2300">
        <w:rPr>
          <w:rFonts w:ascii="Book Antiqua" w:hAnsi="Book Antiqua"/>
        </w:rPr>
        <w:t>a single CAISO system-wide</w:t>
      </w:r>
      <w:r w:rsidR="00FA2300" w:rsidRPr="001A7699">
        <w:rPr>
          <w:rFonts w:ascii="Book Antiqua" w:hAnsi="Book Antiqua"/>
        </w:rPr>
        <w:t xml:space="preserve"> </w:t>
      </w:r>
      <w:r w:rsidR="00D27003" w:rsidRPr="001A7699">
        <w:rPr>
          <w:rFonts w:ascii="Book Antiqua" w:hAnsi="Book Antiqua"/>
        </w:rPr>
        <w:t xml:space="preserve">portfolio, </w:t>
      </w:r>
      <w:r w:rsidRPr="001A7699">
        <w:rPr>
          <w:rFonts w:ascii="Book Antiqua" w:hAnsi="Book Antiqua"/>
        </w:rPr>
        <w:t>conducted by Commission staff</w:t>
      </w:r>
      <w:r w:rsidR="00D27003" w:rsidRPr="001A7699">
        <w:rPr>
          <w:rFonts w:ascii="Book Antiqua" w:hAnsi="Book Antiqua"/>
        </w:rPr>
        <w:t>,</w:t>
      </w:r>
      <w:r w:rsidRPr="001A7699">
        <w:rPr>
          <w:rFonts w:ascii="Book Antiqua" w:hAnsi="Book Antiqua"/>
        </w:rPr>
        <w:t xml:space="preserve"> is referred to herein as the hybrid conforming portfolio</w:t>
      </w:r>
      <w:r w:rsidR="002B721B" w:rsidRPr="001A7699">
        <w:rPr>
          <w:rFonts w:ascii="Book Antiqua" w:hAnsi="Book Antiqua"/>
        </w:rPr>
        <w:t xml:space="preserve"> (HCP)</w:t>
      </w:r>
      <w:r w:rsidRPr="001A7699">
        <w:rPr>
          <w:rFonts w:ascii="Book Antiqua" w:hAnsi="Book Antiqua"/>
        </w:rPr>
        <w:t xml:space="preserve">.  In order to construct a feasible portfolio in the year 2030, Commission staff made some adjustments to aggregate LSE resource plans to fit within the technical resource potential in certain geographic areas and in order to utilize existing transmission availability within California that coincides with the assumptions made earlier when using the </w:t>
      </w:r>
      <w:r w:rsidRPr="006D5B14">
        <w:rPr>
          <w:rFonts w:ascii="Book Antiqua" w:hAnsi="Book Antiqua"/>
        </w:rPr>
        <w:t>RESOLVE</w:t>
      </w:r>
      <w:r w:rsidR="006D5B14">
        <w:rPr>
          <w:rFonts w:ascii="Book Antiqua" w:hAnsi="Book Antiqua"/>
        </w:rPr>
        <w:t xml:space="preserve"> </w:t>
      </w:r>
      <w:r w:rsidRPr="001A7699">
        <w:rPr>
          <w:rFonts w:ascii="Book Antiqua" w:hAnsi="Book Antiqua"/>
        </w:rPr>
        <w:t>capacity expansion model.</w:t>
      </w:r>
    </w:p>
    <w:p w14:paraId="2EF23E20" w14:textId="61ADF981" w:rsidR="009317C2" w:rsidRPr="001A7699" w:rsidRDefault="009317C2" w:rsidP="009317C2">
      <w:pPr>
        <w:spacing w:line="360" w:lineRule="auto"/>
        <w:ind w:firstLine="720"/>
        <w:rPr>
          <w:rFonts w:ascii="Book Antiqua" w:hAnsi="Book Antiqua"/>
        </w:rPr>
      </w:pPr>
      <w:r w:rsidRPr="001A7699">
        <w:rPr>
          <w:rFonts w:ascii="Book Antiqua" w:hAnsi="Book Antiqua"/>
        </w:rPr>
        <w:t xml:space="preserve">This was partly necessary due to the large number of new LSEs entering the generation procurement market perhaps not being fully aware of the limits on technical potential, as well as their inability to be aware of the planned activities of numerous other entities also entering the market recently. </w:t>
      </w:r>
      <w:r w:rsidR="00A52514">
        <w:rPr>
          <w:rFonts w:ascii="Book Antiqua" w:hAnsi="Book Antiqua"/>
        </w:rPr>
        <w:t xml:space="preserve"> </w:t>
      </w:r>
      <w:r w:rsidR="00C84856">
        <w:rPr>
          <w:rFonts w:ascii="Book Antiqua" w:hAnsi="Book Antiqua"/>
        </w:rPr>
        <w:t xml:space="preserve">While new entry of LSEs into the market may slow down as CCA formation becomes geographically saturated, the aggregation process that will take place during each IRP cycle inherently helps bridge the gap between the knowledge of individual LSEs and the overall system needs. </w:t>
      </w:r>
    </w:p>
    <w:p w14:paraId="1E462745" w14:textId="77777777" w:rsidR="009317C2" w:rsidRPr="001A7699" w:rsidRDefault="009317C2" w:rsidP="009317C2">
      <w:pPr>
        <w:spacing w:line="360" w:lineRule="auto"/>
        <w:ind w:firstLine="720"/>
        <w:rPr>
          <w:rFonts w:ascii="Book Antiqua" w:hAnsi="Book Antiqua"/>
        </w:rPr>
      </w:pPr>
      <w:r w:rsidRPr="001A7699">
        <w:rPr>
          <w:rFonts w:ascii="Book Antiqua" w:hAnsi="Book Antiqua"/>
        </w:rPr>
        <w:t>The aggregation conducted by staff includes both baseline and new resource plans included in individual IRPs filed by LSEs.  Baseline resources include those that already exist or are already planned to be built as of 2018.  New resources include planned purchase</w:t>
      </w:r>
      <w:r w:rsidR="00FA2300">
        <w:rPr>
          <w:rFonts w:ascii="Book Antiqua" w:hAnsi="Book Antiqua"/>
        </w:rPr>
        <w:t>s</w:t>
      </w:r>
      <w:r w:rsidRPr="001A7699">
        <w:rPr>
          <w:rFonts w:ascii="Book Antiqua" w:hAnsi="Book Antiqua"/>
        </w:rPr>
        <w:t xml:space="preserve"> of energy or capacity from resources that are not yet in existence or </w:t>
      </w:r>
      <w:r w:rsidR="00B30873">
        <w:rPr>
          <w:rFonts w:ascii="Book Antiqua" w:hAnsi="Book Antiqua"/>
        </w:rPr>
        <w:t>contracted</w:t>
      </w:r>
      <w:r w:rsidR="00B30873" w:rsidRPr="001A7699">
        <w:rPr>
          <w:rFonts w:ascii="Book Antiqua" w:hAnsi="Book Antiqua"/>
        </w:rPr>
        <w:t xml:space="preserve"> </w:t>
      </w:r>
      <w:r w:rsidRPr="001A7699">
        <w:rPr>
          <w:rFonts w:ascii="Book Antiqua" w:hAnsi="Book Antiqua"/>
        </w:rPr>
        <w:t>as of 2018, but that LSEs may build or purchase in the future.  New resources are comparable to those</w:t>
      </w:r>
      <w:r w:rsidR="00B91532">
        <w:rPr>
          <w:rFonts w:ascii="Book Antiqua" w:hAnsi="Book Antiqua"/>
        </w:rPr>
        <w:t xml:space="preserve"> resources selected from the wider set of</w:t>
      </w:r>
      <w:r w:rsidRPr="001A7699">
        <w:rPr>
          <w:rFonts w:ascii="Book Antiqua" w:hAnsi="Book Antiqua"/>
        </w:rPr>
        <w:t xml:space="preserve"> “candidate resources” by the RESOLVE model </w:t>
      </w:r>
      <w:r w:rsidR="00B91532">
        <w:rPr>
          <w:rFonts w:ascii="Book Antiqua" w:hAnsi="Book Antiqua"/>
        </w:rPr>
        <w:t xml:space="preserve">that was </w:t>
      </w:r>
      <w:r w:rsidRPr="001A7699">
        <w:rPr>
          <w:rFonts w:ascii="Book Antiqua" w:hAnsi="Book Antiqua"/>
        </w:rPr>
        <w:t>used to develop the RSP.</w:t>
      </w:r>
      <w:r w:rsidRPr="001A7699">
        <w:rPr>
          <w:rStyle w:val="FootnoteReference"/>
          <w:rFonts w:ascii="Book Antiqua" w:hAnsi="Book Antiqua"/>
        </w:rPr>
        <w:footnoteReference w:id="8"/>
      </w:r>
      <w:r w:rsidRPr="001A7699">
        <w:rPr>
          <w:rFonts w:ascii="Book Antiqua" w:hAnsi="Book Antiqua"/>
        </w:rPr>
        <w:t xml:space="preserve"> </w:t>
      </w:r>
    </w:p>
    <w:p w14:paraId="045D4D26" w14:textId="77777777" w:rsidR="009317C2" w:rsidRPr="001A7699" w:rsidRDefault="009317C2" w:rsidP="009317C2">
      <w:pPr>
        <w:spacing w:line="360" w:lineRule="auto"/>
        <w:ind w:firstLine="720"/>
        <w:rPr>
          <w:rFonts w:ascii="Book Antiqua" w:hAnsi="Book Antiqua"/>
        </w:rPr>
      </w:pPr>
      <w:r w:rsidRPr="001A7699">
        <w:rPr>
          <w:rFonts w:ascii="Book Antiqua" w:hAnsi="Book Antiqua"/>
        </w:rPr>
        <w:t>Commission staff aggregated the baseline and new resources contained in the</w:t>
      </w:r>
      <w:r w:rsidR="00FA2300">
        <w:rPr>
          <w:rFonts w:ascii="Book Antiqua" w:hAnsi="Book Antiqua"/>
        </w:rPr>
        <w:t xml:space="preserve"> LSEs’</w:t>
      </w:r>
      <w:r w:rsidRPr="001A7699">
        <w:rPr>
          <w:rFonts w:ascii="Book Antiqua" w:hAnsi="Book Antiqua"/>
        </w:rPr>
        <w:t xml:space="preserve"> conforming plans.</w:t>
      </w:r>
      <w:r w:rsidR="00C961F7" w:rsidRPr="001A7699">
        <w:rPr>
          <w:rFonts w:ascii="Book Antiqua" w:hAnsi="Book Antiqua"/>
        </w:rPr>
        <w:t xml:space="preserve"> </w:t>
      </w:r>
      <w:r w:rsidRPr="001A7699">
        <w:rPr>
          <w:rFonts w:ascii="Book Antiqua" w:hAnsi="Book Antiqua"/>
        </w:rPr>
        <w:t xml:space="preserve"> Conforming plans were required by LSEs with </w:t>
      </w:r>
      <w:r w:rsidR="00FA2300">
        <w:rPr>
          <w:rFonts w:ascii="Book Antiqua" w:hAnsi="Book Antiqua"/>
        </w:rPr>
        <w:t xml:space="preserve">forecast annual </w:t>
      </w:r>
      <w:r w:rsidRPr="001A7699">
        <w:rPr>
          <w:rFonts w:ascii="Book Antiqua" w:hAnsi="Book Antiqua"/>
        </w:rPr>
        <w:t>load over 700 gigawatt</w:t>
      </w:r>
      <w:r w:rsidR="00D84A09" w:rsidRPr="001A7699">
        <w:rPr>
          <w:rFonts w:ascii="Book Antiqua" w:hAnsi="Book Antiqua"/>
        </w:rPr>
        <w:noBreakHyphen/>
      </w:r>
      <w:r w:rsidRPr="001A7699">
        <w:rPr>
          <w:rFonts w:ascii="Book Antiqua" w:hAnsi="Book Antiqua"/>
        </w:rPr>
        <w:t xml:space="preserve">hours (GWh) </w:t>
      </w:r>
      <w:r w:rsidR="00FA2300">
        <w:rPr>
          <w:rFonts w:ascii="Book Antiqua" w:hAnsi="Book Antiqua"/>
        </w:rPr>
        <w:t>during any o</w:t>
      </w:r>
      <w:r w:rsidR="00D90D11">
        <w:rPr>
          <w:rFonts w:ascii="Book Antiqua" w:hAnsi="Book Antiqua"/>
        </w:rPr>
        <w:t>f</w:t>
      </w:r>
      <w:r w:rsidR="00FA2300">
        <w:rPr>
          <w:rFonts w:ascii="Book Antiqua" w:hAnsi="Book Antiqua"/>
        </w:rPr>
        <w:t xml:space="preserve"> the first five years of the IRP planning horizon</w:t>
      </w:r>
      <w:r w:rsidRPr="001A7699">
        <w:rPr>
          <w:rFonts w:ascii="Book Antiqua" w:hAnsi="Book Antiqua"/>
        </w:rPr>
        <w:t>.</w:t>
      </w:r>
      <w:r w:rsidR="00C961F7" w:rsidRPr="001A7699">
        <w:rPr>
          <w:rFonts w:ascii="Book Antiqua" w:hAnsi="Book Antiqua"/>
        </w:rPr>
        <w:t xml:space="preserve"> </w:t>
      </w:r>
      <w:r w:rsidRPr="001A7699">
        <w:rPr>
          <w:rFonts w:ascii="Book Antiqua" w:hAnsi="Book Antiqua"/>
        </w:rPr>
        <w:t xml:space="preserve"> LSEs meeting this threshold were instructed to use inputs and assumptions that aligned with the 2017 IEPR and/or the RSP, though LSEs were permitted to depart from the exact mix of resources found in the RSP portfolio. </w:t>
      </w:r>
    </w:p>
    <w:p w14:paraId="0A655E6F" w14:textId="77777777" w:rsidR="009317C2" w:rsidRPr="001A7699" w:rsidRDefault="00C561BA" w:rsidP="009317C2">
      <w:pPr>
        <w:spacing w:line="360" w:lineRule="auto"/>
        <w:ind w:firstLine="720"/>
        <w:rPr>
          <w:rFonts w:ascii="Book Antiqua" w:hAnsi="Book Antiqua"/>
        </w:rPr>
      </w:pPr>
      <w:r>
        <w:rPr>
          <w:rFonts w:ascii="Book Antiqua" w:hAnsi="Book Antiqua"/>
        </w:rPr>
        <w:t>Two</w:t>
      </w:r>
      <w:r w:rsidRPr="001A7699">
        <w:rPr>
          <w:rFonts w:ascii="Book Antiqua" w:hAnsi="Book Antiqua"/>
        </w:rPr>
        <w:t xml:space="preserve"> </w:t>
      </w:r>
      <w:r w:rsidR="009317C2" w:rsidRPr="001A7699">
        <w:rPr>
          <w:rFonts w:ascii="Book Antiqua" w:hAnsi="Book Antiqua"/>
        </w:rPr>
        <w:t>large utilities filed preferred portfolios that were different from their conforming portfolios.  In the case</w:t>
      </w:r>
      <w:r w:rsidR="0084239D">
        <w:rPr>
          <w:rFonts w:ascii="Book Antiqua" w:hAnsi="Book Antiqua"/>
        </w:rPr>
        <w:t xml:space="preserve"> of </w:t>
      </w:r>
      <w:r w:rsidR="009317C2" w:rsidRPr="001A7699">
        <w:rPr>
          <w:rFonts w:ascii="Book Antiqua" w:hAnsi="Book Antiqua"/>
        </w:rPr>
        <w:t>SCE</w:t>
      </w:r>
      <w:r w:rsidR="0084239D">
        <w:rPr>
          <w:rFonts w:ascii="Book Antiqua" w:hAnsi="Book Antiqua"/>
        </w:rPr>
        <w:t xml:space="preserve"> and </w:t>
      </w:r>
      <w:r w:rsidR="009317C2" w:rsidRPr="001A7699">
        <w:rPr>
          <w:rFonts w:ascii="Book Antiqua" w:hAnsi="Book Antiqua"/>
        </w:rPr>
        <w:t>PG&amp;E, both filed preferred portfolios that utilized an assumption about cost allocation among LSEs that was not adopted by the Commission.  SCE also utilized an assumption of a lower GHG emissions target in 2030 for the electric sector, which could not be compared across LSEs</w:t>
      </w:r>
      <w:r w:rsidR="00FA2300">
        <w:rPr>
          <w:rFonts w:ascii="Book Antiqua" w:hAnsi="Book Antiqua"/>
        </w:rPr>
        <w:t xml:space="preserve"> who did not plan to achieve the same target</w:t>
      </w:r>
      <w:r w:rsidR="009317C2" w:rsidRPr="001A7699">
        <w:rPr>
          <w:rFonts w:ascii="Book Antiqua" w:hAnsi="Book Antiqua"/>
        </w:rPr>
        <w:t xml:space="preserve">.  </w:t>
      </w:r>
    </w:p>
    <w:p w14:paraId="6DE48191" w14:textId="77777777" w:rsidR="009317C2" w:rsidRPr="001A7699" w:rsidRDefault="009317C2" w:rsidP="009317C2">
      <w:pPr>
        <w:spacing w:line="360" w:lineRule="auto"/>
        <w:ind w:firstLine="720"/>
        <w:rPr>
          <w:rFonts w:ascii="Book Antiqua" w:hAnsi="Book Antiqua"/>
        </w:rPr>
      </w:pPr>
      <w:r w:rsidRPr="001A7699">
        <w:rPr>
          <w:rFonts w:ascii="Book Antiqua" w:hAnsi="Book Antiqua"/>
        </w:rPr>
        <w:t>Several smaller LSEs made small adjustments to their conforming portfolios to construct their preferred portfolios; those changes did not result in impacts on system</w:t>
      </w:r>
      <w:r w:rsidR="00D84A09" w:rsidRPr="001A7699">
        <w:rPr>
          <w:rFonts w:ascii="Book Antiqua" w:hAnsi="Book Antiqua"/>
        </w:rPr>
        <w:noBreakHyphen/>
      </w:r>
      <w:r w:rsidRPr="001A7699">
        <w:rPr>
          <w:rFonts w:ascii="Book Antiqua" w:hAnsi="Book Antiqua"/>
        </w:rPr>
        <w:t>level resources that necessitated their being modeled separately.  Finally, Commission staff needed to ensure that all of the LSE loads added to the total system load, in order to ensure an accurate picture of the total system.</w:t>
      </w:r>
      <w:r w:rsidR="00C961F7" w:rsidRPr="001A7699">
        <w:rPr>
          <w:rFonts w:ascii="Book Antiqua" w:hAnsi="Book Antiqua"/>
        </w:rPr>
        <w:t xml:space="preserve"> </w:t>
      </w:r>
      <w:r w:rsidRPr="001A7699">
        <w:rPr>
          <w:rFonts w:ascii="Book Antiqua" w:hAnsi="Book Antiqua"/>
        </w:rPr>
        <w:t xml:space="preserve"> For all these reasons, Commission staff focused only on the conforming portfolios of all LSEs for purposes of the analysis. </w:t>
      </w:r>
    </w:p>
    <w:p w14:paraId="724B8F2F" w14:textId="77777777" w:rsidR="009317C2" w:rsidRPr="001A7699" w:rsidRDefault="009317C2" w:rsidP="009317C2">
      <w:pPr>
        <w:spacing w:line="360" w:lineRule="auto"/>
        <w:ind w:firstLine="720"/>
        <w:rPr>
          <w:rFonts w:ascii="Book Antiqua" w:hAnsi="Book Antiqua"/>
        </w:rPr>
      </w:pPr>
      <w:r w:rsidRPr="001A7699">
        <w:rPr>
          <w:rFonts w:ascii="Book Antiqua" w:hAnsi="Book Antiqua"/>
        </w:rPr>
        <w:t xml:space="preserve">The aggregated conforming portfolio compiled by Commission staff was then </w:t>
      </w:r>
      <w:r w:rsidR="0084239D">
        <w:rPr>
          <w:rFonts w:ascii="Book Antiqua" w:hAnsi="Book Antiqua"/>
        </w:rPr>
        <w:t xml:space="preserve">compared against the existing </w:t>
      </w:r>
      <w:r w:rsidRPr="001A7699">
        <w:rPr>
          <w:rFonts w:ascii="Book Antiqua" w:hAnsi="Book Antiqua"/>
        </w:rPr>
        <w:t>NQC available on the CAISO system.  The planned new resources of all LSEs were also compared against the new resources selected by RESOLVE to develop the 2017 RSP</w:t>
      </w:r>
      <w:r w:rsidR="00A86574">
        <w:rPr>
          <w:rFonts w:ascii="Book Antiqua" w:hAnsi="Book Antiqua"/>
        </w:rPr>
        <w:t>, originally</w:t>
      </w:r>
      <w:r w:rsidRPr="001A7699">
        <w:rPr>
          <w:rFonts w:ascii="Book Antiqua" w:hAnsi="Book Antiqua"/>
        </w:rPr>
        <w:t xml:space="preserve"> based on the </w:t>
      </w:r>
      <w:r w:rsidR="00A86574">
        <w:rPr>
          <w:rFonts w:ascii="Book Antiqua" w:hAnsi="Book Antiqua"/>
        </w:rPr>
        <w:t xml:space="preserve">2016 IEPR and later updated to take into account the </w:t>
      </w:r>
      <w:r w:rsidRPr="001A7699">
        <w:rPr>
          <w:rFonts w:ascii="Book Antiqua" w:hAnsi="Book Antiqua"/>
        </w:rPr>
        <w:t xml:space="preserve">2017 IEPR assumptions.  Finally, staff verified that new resource purchase proposals did not exceed the resource potential or existing transmission </w:t>
      </w:r>
      <w:r w:rsidR="00A86574">
        <w:rPr>
          <w:rFonts w:ascii="Book Antiqua" w:hAnsi="Book Antiqua"/>
        </w:rPr>
        <w:t>availability</w:t>
      </w:r>
      <w:r w:rsidR="00A86574" w:rsidRPr="001A7699">
        <w:rPr>
          <w:rFonts w:ascii="Book Antiqua" w:hAnsi="Book Antiqua"/>
        </w:rPr>
        <w:t xml:space="preserve"> </w:t>
      </w:r>
      <w:r w:rsidRPr="001A7699">
        <w:rPr>
          <w:rFonts w:ascii="Book Antiqua" w:hAnsi="Book Antiqua"/>
        </w:rPr>
        <w:t xml:space="preserve">and made adjustments to stay within those limits. </w:t>
      </w:r>
      <w:r w:rsidR="00C961F7" w:rsidRPr="001A7699">
        <w:rPr>
          <w:rFonts w:ascii="Book Antiqua" w:hAnsi="Book Antiqua"/>
        </w:rPr>
        <w:t xml:space="preserve"> </w:t>
      </w:r>
      <w:r w:rsidRPr="001A7699">
        <w:rPr>
          <w:rFonts w:ascii="Book Antiqua" w:hAnsi="Book Antiqua"/>
        </w:rPr>
        <w:t xml:space="preserve">These adjustments are described below. </w:t>
      </w:r>
    </w:p>
    <w:p w14:paraId="57C0F37C" w14:textId="77777777" w:rsidR="009317C2" w:rsidRPr="001A7699" w:rsidRDefault="009317C2" w:rsidP="009317C2">
      <w:pPr>
        <w:spacing w:line="360" w:lineRule="auto"/>
        <w:ind w:firstLine="720"/>
        <w:rPr>
          <w:rFonts w:ascii="Book Antiqua" w:hAnsi="Book Antiqua"/>
        </w:rPr>
      </w:pPr>
      <w:r w:rsidRPr="001A7699">
        <w:rPr>
          <w:rFonts w:ascii="Book Antiqua" w:hAnsi="Book Antiqua"/>
        </w:rPr>
        <w:t>Commission staff identified four regions where the proposed new wind resources exceeded the resource potential assumed in the RESOLVE model:  Nort</w:t>
      </w:r>
      <w:r w:rsidR="0084239D">
        <w:rPr>
          <w:rFonts w:ascii="Book Antiqua" w:hAnsi="Book Antiqua"/>
        </w:rPr>
        <w:t>hern California (438 MW</w:t>
      </w:r>
      <w:r w:rsidRPr="001A7699">
        <w:rPr>
          <w:rFonts w:ascii="Book Antiqua" w:hAnsi="Book Antiqua"/>
        </w:rPr>
        <w:t xml:space="preserve">), Solano (169 MW), </w:t>
      </w:r>
      <w:r w:rsidR="0084239D">
        <w:rPr>
          <w:rFonts w:ascii="Book Antiqua" w:hAnsi="Book Antiqua"/>
        </w:rPr>
        <w:t>Southern California Desert (120 </w:t>
      </w:r>
      <w:r w:rsidRPr="001A7699">
        <w:rPr>
          <w:rFonts w:ascii="Book Antiqua" w:hAnsi="Book Antiqua"/>
        </w:rPr>
        <w:t xml:space="preserve">MW), and Riverside East Palm Springs (58 MW).  These resources were adjusted to come from nearby regions for purposes of the production cost modeling of the </w:t>
      </w:r>
      <w:r w:rsidR="002B721B" w:rsidRPr="001A7699">
        <w:rPr>
          <w:rFonts w:ascii="Book Antiqua" w:hAnsi="Book Antiqua"/>
        </w:rPr>
        <w:t>HCP</w:t>
      </w:r>
      <w:r w:rsidRPr="001A7699">
        <w:rPr>
          <w:rFonts w:ascii="Book Antiqua" w:hAnsi="Book Antiqua"/>
        </w:rPr>
        <w:t xml:space="preserve">.  </w:t>
      </w:r>
    </w:p>
    <w:p w14:paraId="2049CE2A" w14:textId="77777777" w:rsidR="009317C2" w:rsidRPr="001A7699" w:rsidRDefault="009317C2" w:rsidP="009317C2">
      <w:pPr>
        <w:spacing w:line="360" w:lineRule="auto"/>
        <w:ind w:firstLine="720"/>
        <w:rPr>
          <w:rFonts w:ascii="Book Antiqua" w:hAnsi="Book Antiqua"/>
        </w:rPr>
      </w:pPr>
      <w:r w:rsidRPr="001A7699">
        <w:rPr>
          <w:rFonts w:ascii="Book Antiqua" w:hAnsi="Book Antiqua"/>
        </w:rPr>
        <w:t xml:space="preserve">In addition, there were five regions where the renewable buildout proposed would </w:t>
      </w:r>
      <w:r w:rsidR="007F0E65">
        <w:rPr>
          <w:rFonts w:ascii="Book Antiqua" w:hAnsi="Book Antiqua"/>
        </w:rPr>
        <w:t xml:space="preserve">unnecessarily </w:t>
      </w:r>
      <w:r w:rsidRPr="001A7699">
        <w:rPr>
          <w:rFonts w:ascii="Book Antiqua" w:hAnsi="Book Antiqua"/>
        </w:rPr>
        <w:t>exceed available transmission capacity in California, even on an energy</w:t>
      </w:r>
      <w:r w:rsidR="00D84A09" w:rsidRPr="001A7699">
        <w:rPr>
          <w:rFonts w:ascii="Book Antiqua" w:hAnsi="Book Antiqua"/>
        </w:rPr>
        <w:noBreakHyphen/>
      </w:r>
      <w:r w:rsidRPr="001A7699">
        <w:rPr>
          <w:rFonts w:ascii="Book Antiqua" w:hAnsi="Book Antiqua"/>
        </w:rPr>
        <w:t>only basis, recognizing that these assumptions represent some amount of uncertainty.  These regions are:  Central Valley North Los Banos, Greater Carrizo, Southern California Desert, Northern California, and Solano.  Adjustments were also made to preserve geographic location wherever possible by converting to energy</w:t>
      </w:r>
      <w:r w:rsidR="00D84A09" w:rsidRPr="001A7699">
        <w:rPr>
          <w:rFonts w:ascii="Book Antiqua" w:hAnsi="Book Antiqua"/>
        </w:rPr>
        <w:noBreakHyphen/>
      </w:r>
      <w:r w:rsidRPr="001A7699">
        <w:rPr>
          <w:rFonts w:ascii="Book Antiqua" w:hAnsi="Book Antiqua"/>
        </w:rPr>
        <w:t>only status, or to move resources to nearby locations when the transmission assumptions were exceeded.  Solar was converted to energy</w:t>
      </w:r>
      <w:r w:rsidR="00D84A09" w:rsidRPr="001A7699">
        <w:rPr>
          <w:rFonts w:ascii="Book Antiqua" w:hAnsi="Book Antiqua"/>
        </w:rPr>
        <w:noBreakHyphen/>
      </w:r>
      <w:r w:rsidRPr="001A7699">
        <w:rPr>
          <w:rFonts w:ascii="Book Antiqua" w:hAnsi="Book Antiqua"/>
        </w:rPr>
        <w:t xml:space="preserve">only status more often than wind resources, because of differences in capacity value. </w:t>
      </w:r>
    </w:p>
    <w:p w14:paraId="4A76ED3C" w14:textId="6A49B5FC" w:rsidR="009317C2" w:rsidRPr="001A7699" w:rsidRDefault="009317C2" w:rsidP="009317C2">
      <w:pPr>
        <w:spacing w:line="360" w:lineRule="auto"/>
        <w:ind w:firstLine="720"/>
        <w:rPr>
          <w:rFonts w:ascii="Book Antiqua" w:hAnsi="Book Antiqua"/>
        </w:rPr>
      </w:pPr>
      <w:r w:rsidRPr="001A7699">
        <w:rPr>
          <w:rFonts w:ascii="Book Antiqua" w:hAnsi="Book Antiqua"/>
        </w:rPr>
        <w:t xml:space="preserve">No adjustments were made to </w:t>
      </w:r>
      <w:r w:rsidR="00A86574">
        <w:rPr>
          <w:rFonts w:ascii="Book Antiqua" w:hAnsi="Book Antiqua"/>
        </w:rPr>
        <w:t>specific</w:t>
      </w:r>
      <w:r w:rsidR="00A86574" w:rsidRPr="001A7699">
        <w:rPr>
          <w:rFonts w:ascii="Book Antiqua" w:hAnsi="Book Antiqua"/>
        </w:rPr>
        <w:t xml:space="preserve"> </w:t>
      </w:r>
      <w:r w:rsidRPr="001A7699">
        <w:rPr>
          <w:rFonts w:ascii="Book Antiqua" w:hAnsi="Book Antiqua"/>
        </w:rPr>
        <w:t>out</w:t>
      </w:r>
      <w:r w:rsidR="00D84A09" w:rsidRPr="001A7699">
        <w:rPr>
          <w:rFonts w:ascii="Book Antiqua" w:hAnsi="Book Antiqua"/>
        </w:rPr>
        <w:noBreakHyphen/>
      </w:r>
      <w:r w:rsidRPr="001A7699">
        <w:rPr>
          <w:rFonts w:ascii="Book Antiqua" w:hAnsi="Book Antiqua"/>
        </w:rPr>
        <w:t>of</w:t>
      </w:r>
      <w:r w:rsidR="00D84A09" w:rsidRPr="001A7699">
        <w:rPr>
          <w:rFonts w:ascii="Book Antiqua" w:hAnsi="Book Antiqua"/>
        </w:rPr>
        <w:noBreakHyphen/>
      </w:r>
      <w:r w:rsidRPr="001A7699">
        <w:rPr>
          <w:rFonts w:ascii="Book Antiqua" w:hAnsi="Book Antiqua"/>
        </w:rPr>
        <w:t>state resource selections</w:t>
      </w:r>
      <w:r w:rsidR="00234C36">
        <w:rPr>
          <w:rFonts w:ascii="Book Antiqua" w:hAnsi="Book Antiqua"/>
        </w:rPr>
        <w:t xml:space="preserve"> even though such selections </w:t>
      </w:r>
      <w:r w:rsidRPr="001A7699">
        <w:rPr>
          <w:rFonts w:ascii="Book Antiqua" w:hAnsi="Book Antiqua"/>
        </w:rPr>
        <w:t>may imply transmission upgrades (</w:t>
      </w:r>
      <w:r w:rsidRPr="001A7699">
        <w:rPr>
          <w:rFonts w:ascii="Book Antiqua" w:hAnsi="Book Antiqua"/>
          <w:i/>
        </w:rPr>
        <w:t>e.g</w:t>
      </w:r>
      <w:r w:rsidRPr="001A7699">
        <w:rPr>
          <w:rFonts w:ascii="Book Antiqua" w:hAnsi="Book Antiqua"/>
        </w:rPr>
        <w:t xml:space="preserve">., Wyoming or New Mexico resources).  </w:t>
      </w:r>
      <w:r w:rsidR="00234C36">
        <w:rPr>
          <w:rFonts w:ascii="Book Antiqua" w:hAnsi="Book Antiqua"/>
        </w:rPr>
        <w:t xml:space="preserve">Commission staff assumed that when LSEs selected specific out-of-state resources, it was an intentional choice (as opposed to a generic one), as the best option to meet their needs. </w:t>
      </w:r>
      <w:r w:rsidR="00A52514">
        <w:rPr>
          <w:rFonts w:ascii="Book Antiqua" w:hAnsi="Book Antiqua"/>
        </w:rPr>
        <w:t xml:space="preserve"> </w:t>
      </w:r>
      <w:r w:rsidRPr="001A7699">
        <w:rPr>
          <w:rFonts w:ascii="Book Antiqua" w:hAnsi="Book Antiqua"/>
        </w:rPr>
        <w:t xml:space="preserve">All of the adjustments were made to the </w:t>
      </w:r>
      <w:r w:rsidRPr="00A6781C">
        <w:rPr>
          <w:rFonts w:ascii="Book Antiqua" w:hAnsi="Book Antiqua"/>
        </w:rPr>
        <w:t>portfolios in 2030, and then</w:t>
      </w:r>
      <w:r w:rsidRPr="001A7699">
        <w:rPr>
          <w:rFonts w:ascii="Book Antiqua" w:hAnsi="Book Antiqua"/>
        </w:rPr>
        <w:t xml:space="preserve"> back</w:t>
      </w:r>
      <w:r w:rsidR="00D84A09" w:rsidRPr="001A7699">
        <w:rPr>
          <w:rFonts w:ascii="Book Antiqua" w:hAnsi="Book Antiqua"/>
        </w:rPr>
        <w:noBreakHyphen/>
      </w:r>
      <w:r w:rsidRPr="001A7699">
        <w:rPr>
          <w:rFonts w:ascii="Book Antiqua" w:hAnsi="Book Antiqua"/>
        </w:rPr>
        <w:t xml:space="preserve">casted to modify portfolios in earlier years of the planning horizon. </w:t>
      </w:r>
    </w:p>
    <w:p w14:paraId="4F77F7AE" w14:textId="69EAE686" w:rsidR="009317C2" w:rsidRPr="001A7699" w:rsidRDefault="00234C36" w:rsidP="009317C2">
      <w:pPr>
        <w:pStyle w:val="standard"/>
        <w:rPr>
          <w:rFonts w:ascii="Book Antiqua" w:hAnsi="Book Antiqua"/>
        </w:rPr>
      </w:pPr>
      <w:r>
        <w:rPr>
          <w:rFonts w:ascii="Book Antiqua" w:hAnsi="Book Antiqua"/>
        </w:rPr>
        <w:t>As an improvement from earlier production cost modeling studies performed on the RSP, Commission staff also checked whether certain e</w:t>
      </w:r>
      <w:r w:rsidR="009317C2" w:rsidRPr="001A7699">
        <w:rPr>
          <w:rFonts w:ascii="Book Antiqua" w:hAnsi="Book Antiqua"/>
        </w:rPr>
        <w:t>xisting out</w:t>
      </w:r>
      <w:r w:rsidR="00D84A09" w:rsidRPr="001A7699">
        <w:rPr>
          <w:rFonts w:ascii="Book Antiqua" w:hAnsi="Book Antiqua"/>
        </w:rPr>
        <w:noBreakHyphen/>
      </w:r>
      <w:r w:rsidR="009317C2" w:rsidRPr="001A7699">
        <w:rPr>
          <w:rFonts w:ascii="Book Antiqua" w:hAnsi="Book Antiqua"/>
        </w:rPr>
        <w:t>of</w:t>
      </w:r>
      <w:r w:rsidR="00D84A09" w:rsidRPr="001A7699">
        <w:rPr>
          <w:rFonts w:ascii="Book Antiqua" w:hAnsi="Book Antiqua"/>
        </w:rPr>
        <w:noBreakHyphen/>
      </w:r>
      <w:r w:rsidR="009317C2" w:rsidRPr="001A7699">
        <w:rPr>
          <w:rFonts w:ascii="Book Antiqua" w:hAnsi="Book Antiqua"/>
        </w:rPr>
        <w:t>state renewables should be modeled as delivering into the CAISO system or not</w:t>
      </w:r>
      <w:r>
        <w:rPr>
          <w:rFonts w:ascii="Book Antiqua" w:hAnsi="Book Antiqua"/>
        </w:rPr>
        <w:t xml:space="preserve">, based on the project’s location, product content category, and contractual details. </w:t>
      </w:r>
      <w:r w:rsidR="00A52514">
        <w:rPr>
          <w:rFonts w:ascii="Book Antiqua" w:hAnsi="Book Antiqua"/>
        </w:rPr>
        <w:t xml:space="preserve"> </w:t>
      </w:r>
      <w:r>
        <w:rPr>
          <w:rFonts w:ascii="Book Antiqua" w:hAnsi="Book Antiqua"/>
        </w:rPr>
        <w:t xml:space="preserve">Commission staff also improved upon the earlier studies by changing </w:t>
      </w:r>
      <w:r w:rsidR="009317C2" w:rsidRPr="001A7699">
        <w:rPr>
          <w:rFonts w:ascii="Book Antiqua" w:hAnsi="Book Antiqua"/>
        </w:rPr>
        <w:t>certain non</w:t>
      </w:r>
      <w:r w:rsidR="00D84A09" w:rsidRPr="001A7699">
        <w:rPr>
          <w:rFonts w:ascii="Book Antiqua" w:hAnsi="Book Antiqua"/>
        </w:rPr>
        <w:noBreakHyphen/>
      </w:r>
      <w:r w:rsidR="009317C2" w:rsidRPr="001A7699">
        <w:rPr>
          <w:rFonts w:ascii="Book Antiqua" w:hAnsi="Book Antiqua"/>
        </w:rPr>
        <w:t>CAISO gas</w:t>
      </w:r>
      <w:r w:rsidR="00D84A09" w:rsidRPr="001A7699">
        <w:rPr>
          <w:rFonts w:ascii="Book Antiqua" w:hAnsi="Book Antiqua"/>
        </w:rPr>
        <w:noBreakHyphen/>
      </w:r>
      <w:r w:rsidR="009317C2" w:rsidRPr="001A7699">
        <w:rPr>
          <w:rFonts w:ascii="Book Antiqua" w:hAnsi="Book Antiqua"/>
        </w:rPr>
        <w:t xml:space="preserve">fired units </w:t>
      </w:r>
      <w:r>
        <w:rPr>
          <w:rFonts w:ascii="Book Antiqua" w:hAnsi="Book Antiqua"/>
        </w:rPr>
        <w:t>to be</w:t>
      </w:r>
      <w:r w:rsidR="009317C2" w:rsidRPr="001A7699">
        <w:rPr>
          <w:rFonts w:ascii="Book Antiqua" w:hAnsi="Book Antiqua"/>
        </w:rPr>
        <w:t xml:space="preserve"> modeled as dispatched into the regions where they are located, even when they </w:t>
      </w:r>
      <w:r>
        <w:rPr>
          <w:rFonts w:ascii="Book Antiqua" w:hAnsi="Book Antiqua"/>
        </w:rPr>
        <w:t xml:space="preserve">have the ability to be </w:t>
      </w:r>
      <w:r w:rsidR="009317C2" w:rsidRPr="001A7699">
        <w:rPr>
          <w:rFonts w:ascii="Book Antiqua" w:hAnsi="Book Antiqua"/>
        </w:rPr>
        <w:t>dynamically</w:t>
      </w:r>
      <w:r w:rsidR="00D84A09" w:rsidRPr="001A7699">
        <w:rPr>
          <w:rFonts w:ascii="Book Antiqua" w:hAnsi="Book Antiqua"/>
        </w:rPr>
        <w:noBreakHyphen/>
      </w:r>
      <w:r w:rsidR="009317C2" w:rsidRPr="001A7699">
        <w:rPr>
          <w:rFonts w:ascii="Book Antiqua" w:hAnsi="Book Antiqua"/>
        </w:rPr>
        <w:t>scheduled into the CAISO</w:t>
      </w:r>
      <w:r>
        <w:rPr>
          <w:rFonts w:ascii="Book Antiqua" w:hAnsi="Book Antiqua"/>
        </w:rPr>
        <w:t xml:space="preserve"> markets. </w:t>
      </w:r>
      <w:r w:rsidR="00A52514">
        <w:rPr>
          <w:rFonts w:ascii="Book Antiqua" w:hAnsi="Book Antiqua"/>
        </w:rPr>
        <w:t xml:space="preserve"> </w:t>
      </w:r>
      <w:r>
        <w:rPr>
          <w:rFonts w:ascii="Book Antiqua" w:hAnsi="Book Antiqua"/>
        </w:rPr>
        <w:t>This change was based on an improved understanding about how this group of non-CAISO gas-fired units participate in the wholesale market</w:t>
      </w:r>
      <w:r w:rsidR="009317C2" w:rsidRPr="001A7699">
        <w:rPr>
          <w:rFonts w:ascii="Book Antiqua" w:hAnsi="Book Antiqua"/>
        </w:rPr>
        <w:t xml:space="preserve">. </w:t>
      </w:r>
    </w:p>
    <w:p w14:paraId="4865A2BB" w14:textId="77777777" w:rsidR="009317C2" w:rsidRPr="001A7699" w:rsidRDefault="009317C2" w:rsidP="009317C2">
      <w:pPr>
        <w:spacing w:line="360" w:lineRule="auto"/>
        <w:ind w:firstLine="720"/>
        <w:rPr>
          <w:rFonts w:ascii="Book Antiqua" w:hAnsi="Book Antiqua"/>
        </w:rPr>
      </w:pPr>
      <w:r w:rsidRPr="001A7699">
        <w:rPr>
          <w:rFonts w:ascii="Book Antiqua" w:hAnsi="Book Antiqua"/>
        </w:rPr>
        <w:t>Commission staff made these adjustments in consultation with individual LSEs, and in some cases, resulted in modified IRPs filed by a few LSEs to reflect the modified resource assumptions.  Several LSEs also filed corrections to their resource selections when errors or inconsistencies were pointed out by Commission staff.  Many LSEs also characterized their resource choices as indicative but not final, since they have not yet conducted solicitations to choose particular sites or projects to be contracted.  An exception to this was the selection of out</w:t>
      </w:r>
      <w:r w:rsidR="00D84A09" w:rsidRPr="001A7699">
        <w:rPr>
          <w:rFonts w:ascii="Book Antiqua" w:hAnsi="Book Antiqua"/>
        </w:rPr>
        <w:noBreakHyphen/>
      </w:r>
      <w:r w:rsidRPr="001A7699">
        <w:rPr>
          <w:rFonts w:ascii="Book Antiqua" w:hAnsi="Book Antiqua"/>
        </w:rPr>
        <w:t>of</w:t>
      </w:r>
      <w:r w:rsidR="00D84A09" w:rsidRPr="001A7699">
        <w:rPr>
          <w:rFonts w:ascii="Book Antiqua" w:hAnsi="Book Antiqua"/>
        </w:rPr>
        <w:noBreakHyphen/>
      </w:r>
      <w:r w:rsidRPr="001A7699">
        <w:rPr>
          <w:rFonts w:ascii="Book Antiqua" w:hAnsi="Book Antiqua"/>
        </w:rPr>
        <w:t xml:space="preserve">state resources, which appeared to be more intentional on the part of the LSEs. </w:t>
      </w:r>
    </w:p>
    <w:p w14:paraId="7E20B593" w14:textId="739A7F97" w:rsidR="009317C2" w:rsidRPr="001A7699" w:rsidRDefault="009317C2" w:rsidP="009317C2">
      <w:pPr>
        <w:spacing w:line="360" w:lineRule="auto"/>
        <w:ind w:firstLine="720"/>
        <w:rPr>
          <w:rFonts w:ascii="Book Antiqua" w:hAnsi="Book Antiqua"/>
        </w:rPr>
      </w:pPr>
      <w:r w:rsidRPr="001A7699">
        <w:rPr>
          <w:rFonts w:ascii="Book Antiqua" w:hAnsi="Book Antiqua"/>
        </w:rPr>
        <w:t xml:space="preserve">Also of note, the resource plans included in the </w:t>
      </w:r>
      <w:r w:rsidR="002B721B" w:rsidRPr="001A7699">
        <w:rPr>
          <w:rFonts w:ascii="Book Antiqua" w:hAnsi="Book Antiqua"/>
        </w:rPr>
        <w:t>HCP</w:t>
      </w:r>
      <w:r w:rsidRPr="001A7699">
        <w:rPr>
          <w:rFonts w:ascii="Book Antiqua" w:hAnsi="Book Antiqua"/>
        </w:rPr>
        <w:t xml:space="preserve"> developed by Commission staff represent the LSEs filing “standard” plans only.  A small number of LSE</w:t>
      </w:r>
      <w:r w:rsidR="00234C36">
        <w:rPr>
          <w:rFonts w:ascii="Book Antiqua" w:hAnsi="Book Antiqua"/>
        </w:rPr>
        <w:t>s</w:t>
      </w:r>
      <w:r w:rsidRPr="001A7699">
        <w:rPr>
          <w:rFonts w:ascii="Book Antiqua" w:hAnsi="Book Antiqua"/>
        </w:rPr>
        <w:t xml:space="preserve"> file “alternative” plans (described further in D.18</w:t>
      </w:r>
      <w:r w:rsidR="00D84A09" w:rsidRPr="001A7699">
        <w:rPr>
          <w:rFonts w:ascii="Book Antiqua" w:hAnsi="Book Antiqua"/>
        </w:rPr>
        <w:noBreakHyphen/>
      </w:r>
      <w:r w:rsidRPr="001A7699">
        <w:rPr>
          <w:rFonts w:ascii="Book Antiqua" w:hAnsi="Book Antiqua"/>
        </w:rPr>
        <w:t>02</w:t>
      </w:r>
      <w:r w:rsidR="00D84A09" w:rsidRPr="001A7699">
        <w:rPr>
          <w:rFonts w:ascii="Book Antiqua" w:hAnsi="Book Antiqua"/>
        </w:rPr>
        <w:noBreakHyphen/>
      </w:r>
      <w:r w:rsidRPr="001A7699">
        <w:rPr>
          <w:rFonts w:ascii="Book Antiqua" w:hAnsi="Book Antiqua"/>
        </w:rPr>
        <w:t xml:space="preserve">018, which are essentially short form IRPs).  The alternative plan filers represent approximately </w:t>
      </w:r>
      <w:r w:rsidR="00D0161E" w:rsidRPr="001A7699">
        <w:rPr>
          <w:rFonts w:ascii="Book Antiqua" w:hAnsi="Book Antiqua"/>
        </w:rPr>
        <w:t>3%</w:t>
      </w:r>
      <w:r w:rsidRPr="001A7699">
        <w:rPr>
          <w:rFonts w:ascii="Book Antiqua" w:hAnsi="Book Antiqua"/>
        </w:rPr>
        <w:t xml:space="preserve"> of load in the electricity system and are mostly represented by small ESPs.  </w:t>
      </w:r>
      <w:r w:rsidR="00FB5C57">
        <w:rPr>
          <w:rFonts w:ascii="Book Antiqua" w:hAnsi="Book Antiqua"/>
        </w:rPr>
        <w:t>Data contained in a</w:t>
      </w:r>
      <w:r w:rsidRPr="001A7699">
        <w:rPr>
          <w:rFonts w:ascii="Book Antiqua" w:hAnsi="Book Antiqua"/>
        </w:rPr>
        <w:t>lternative plan</w:t>
      </w:r>
      <w:r w:rsidR="00FB5C57">
        <w:rPr>
          <w:rFonts w:ascii="Book Antiqua" w:hAnsi="Book Antiqua"/>
        </w:rPr>
        <w:t xml:space="preserve"> filing</w:t>
      </w:r>
      <w:r w:rsidRPr="001A7699">
        <w:rPr>
          <w:rFonts w:ascii="Book Antiqua" w:hAnsi="Book Antiqua"/>
        </w:rPr>
        <w:t xml:space="preserve">s </w:t>
      </w:r>
      <w:r w:rsidR="008A43D4">
        <w:rPr>
          <w:rFonts w:ascii="Book Antiqua" w:hAnsi="Book Antiqua"/>
        </w:rPr>
        <w:t xml:space="preserve">were reviewed, as indicated in Section 2 above, but </w:t>
      </w:r>
      <w:r w:rsidRPr="001A7699">
        <w:rPr>
          <w:rFonts w:ascii="Book Antiqua" w:hAnsi="Book Antiqua"/>
        </w:rPr>
        <w:t xml:space="preserve">are not reflected in the </w:t>
      </w:r>
      <w:r w:rsidR="00FB5C57">
        <w:rPr>
          <w:rFonts w:ascii="Book Antiqua" w:hAnsi="Book Antiqua"/>
        </w:rPr>
        <w:t xml:space="preserve">system-wide </w:t>
      </w:r>
      <w:r w:rsidRPr="001A7699">
        <w:rPr>
          <w:rFonts w:ascii="Book Antiqua" w:hAnsi="Book Antiqua"/>
        </w:rPr>
        <w:t>analysis conducted by Commission staff.</w:t>
      </w:r>
      <w:r w:rsidR="00A52514">
        <w:rPr>
          <w:rFonts w:ascii="Book Antiqua" w:hAnsi="Book Antiqua"/>
        </w:rPr>
        <w:t xml:space="preserve"> </w:t>
      </w:r>
      <w:r w:rsidRPr="001A7699">
        <w:rPr>
          <w:rFonts w:ascii="Book Antiqua" w:hAnsi="Book Antiqua"/>
        </w:rPr>
        <w:t xml:space="preserve"> </w:t>
      </w:r>
      <w:r w:rsidR="007F0E65">
        <w:rPr>
          <w:rFonts w:ascii="Book Antiqua" w:hAnsi="Book Antiqua"/>
        </w:rPr>
        <w:t>It is also worth noting that the resources of publicly-owned utilities</w:t>
      </w:r>
      <w:r w:rsidR="00A4518E">
        <w:rPr>
          <w:rFonts w:ascii="Book Antiqua" w:hAnsi="Book Antiqua"/>
        </w:rPr>
        <w:t>, either part of the CAISO system or outside of it, are also not reflected in the HCP</w:t>
      </w:r>
      <w:r w:rsidR="00F77C71">
        <w:rPr>
          <w:rFonts w:ascii="Book Antiqua" w:hAnsi="Book Antiqua"/>
        </w:rPr>
        <w:t>, though load from customers of all LSEs in the CAISO was taken into account</w:t>
      </w:r>
      <w:r w:rsidR="00A4518E">
        <w:rPr>
          <w:rFonts w:ascii="Book Antiqua" w:hAnsi="Book Antiqua"/>
        </w:rPr>
        <w:t xml:space="preserve">. </w:t>
      </w:r>
    </w:p>
    <w:p w14:paraId="47E2B9D8" w14:textId="091DA6B1" w:rsidR="009317C2" w:rsidRPr="001A7699" w:rsidRDefault="009317C2" w:rsidP="00072CB7">
      <w:pPr>
        <w:spacing w:line="360" w:lineRule="auto"/>
        <w:ind w:firstLine="720"/>
        <w:rPr>
          <w:rFonts w:ascii="Book Antiqua" w:hAnsi="Book Antiqua"/>
        </w:rPr>
      </w:pPr>
      <w:r w:rsidRPr="001A7699">
        <w:rPr>
          <w:rFonts w:ascii="Book Antiqua" w:hAnsi="Book Antiqua"/>
        </w:rPr>
        <w:t xml:space="preserve">In the last major adjustment to the modeling assumptions previously utilized to develop the RSP, for the </w:t>
      </w:r>
      <w:r w:rsidR="002B721B" w:rsidRPr="001A7699">
        <w:rPr>
          <w:rFonts w:ascii="Book Antiqua" w:hAnsi="Book Antiqua"/>
        </w:rPr>
        <w:t>HCP</w:t>
      </w:r>
      <w:r w:rsidRPr="001A7699">
        <w:rPr>
          <w:rFonts w:ascii="Book Antiqua" w:hAnsi="Book Antiqua"/>
        </w:rPr>
        <w:t xml:space="preserve"> analysis, Commission staff utilized an assumption of a 40</w:t>
      </w:r>
      <w:r w:rsidR="00D84A09" w:rsidRPr="001A7699">
        <w:rPr>
          <w:rFonts w:ascii="Book Antiqua" w:hAnsi="Book Antiqua"/>
        </w:rPr>
        <w:noBreakHyphen/>
      </w:r>
      <w:r w:rsidRPr="001A7699">
        <w:rPr>
          <w:rFonts w:ascii="Book Antiqua" w:hAnsi="Book Antiqua"/>
        </w:rPr>
        <w:t>year life for fossil</w:t>
      </w:r>
      <w:r w:rsidR="00D84A09" w:rsidRPr="001A7699">
        <w:rPr>
          <w:rFonts w:ascii="Book Antiqua" w:hAnsi="Book Antiqua"/>
        </w:rPr>
        <w:noBreakHyphen/>
      </w:r>
      <w:r w:rsidRPr="001A7699">
        <w:rPr>
          <w:rFonts w:ascii="Book Antiqua" w:hAnsi="Book Antiqua"/>
        </w:rPr>
        <w:t>fueled resources, which serves as a proxy for likely retirement of either inefficient units or those less likely to have long</w:t>
      </w:r>
      <w:r w:rsidR="00D84A09" w:rsidRPr="001A7699">
        <w:rPr>
          <w:rFonts w:ascii="Book Antiqua" w:hAnsi="Book Antiqua"/>
        </w:rPr>
        <w:noBreakHyphen/>
      </w:r>
      <w:r w:rsidRPr="001A7699">
        <w:rPr>
          <w:rFonts w:ascii="Book Antiqua" w:hAnsi="Book Antiqua"/>
        </w:rPr>
        <w:t xml:space="preserve">term contracts because they are nearing the end of their useful lives. </w:t>
      </w:r>
      <w:r w:rsidR="00C961F7" w:rsidRPr="001A7699">
        <w:rPr>
          <w:rFonts w:ascii="Book Antiqua" w:hAnsi="Book Antiqua"/>
        </w:rPr>
        <w:t xml:space="preserve"> </w:t>
      </w:r>
      <w:r w:rsidR="00F77C71">
        <w:rPr>
          <w:rFonts w:ascii="Book Antiqua" w:hAnsi="Book Antiqua"/>
        </w:rPr>
        <w:t xml:space="preserve">Commission staff also augmented the 40-year life assumptions by using existing contract information to defer assumed retirement until the end of the contract, if the unit in question still had a contract in place at age 40. </w:t>
      </w:r>
      <w:r w:rsidR="00A52514">
        <w:rPr>
          <w:rFonts w:ascii="Book Antiqua" w:hAnsi="Book Antiqua"/>
        </w:rPr>
        <w:t xml:space="preserve"> </w:t>
      </w:r>
      <w:r w:rsidR="00F77C71">
        <w:rPr>
          <w:rFonts w:ascii="Book Antiqua" w:hAnsi="Book Antiqua"/>
        </w:rPr>
        <w:t>The 40-year life assumptions was developed</w:t>
      </w:r>
      <w:r w:rsidRPr="001A7699">
        <w:rPr>
          <w:rFonts w:ascii="Book Antiqua" w:hAnsi="Book Antiqua"/>
        </w:rPr>
        <w:t xml:space="preserve"> partly in response to stakeholder concerns about the RSP relying on assumptions about gas</w:t>
      </w:r>
      <w:r w:rsidR="00D84A09" w:rsidRPr="001A7699">
        <w:rPr>
          <w:rFonts w:ascii="Book Antiqua" w:hAnsi="Book Antiqua"/>
        </w:rPr>
        <w:noBreakHyphen/>
      </w:r>
      <w:r w:rsidRPr="001A7699">
        <w:rPr>
          <w:rFonts w:ascii="Book Antiqua" w:hAnsi="Book Antiqua"/>
        </w:rPr>
        <w:t>fired resources that were too optimistic</w:t>
      </w:r>
      <w:r w:rsidR="00821480">
        <w:rPr>
          <w:rFonts w:ascii="Book Antiqua" w:hAnsi="Book Antiqua"/>
        </w:rPr>
        <w:t xml:space="preserve"> (assuming that resources would remain, in the absence of contracts and beyond their useful lives)</w:t>
      </w:r>
      <w:r w:rsidRPr="001A7699">
        <w:rPr>
          <w:rFonts w:ascii="Book Antiqua" w:hAnsi="Book Antiqua"/>
        </w:rPr>
        <w:t xml:space="preserve"> and partly </w:t>
      </w:r>
      <w:r w:rsidR="00F77C71">
        <w:rPr>
          <w:rFonts w:ascii="Book Antiqua" w:hAnsi="Book Antiqua"/>
        </w:rPr>
        <w:t>because of</w:t>
      </w:r>
      <w:r w:rsidRPr="001A7699">
        <w:rPr>
          <w:rFonts w:ascii="Book Antiqua" w:hAnsi="Book Antiqua"/>
        </w:rPr>
        <w:t xml:space="preserve"> the absence of these types of resources in the IRPs filed by individual LSEs in 2018. </w:t>
      </w:r>
      <w:r w:rsidR="00C961F7" w:rsidRPr="001A7699">
        <w:rPr>
          <w:rFonts w:ascii="Book Antiqua" w:hAnsi="Book Antiqua"/>
        </w:rPr>
        <w:t xml:space="preserve"> </w:t>
      </w:r>
      <w:r w:rsidRPr="001A7699">
        <w:rPr>
          <w:rFonts w:ascii="Book Antiqua" w:hAnsi="Book Antiqua"/>
        </w:rPr>
        <w:t>The 40</w:t>
      </w:r>
      <w:r w:rsidR="00D84A09" w:rsidRPr="001A7699">
        <w:rPr>
          <w:rFonts w:ascii="Book Antiqua" w:hAnsi="Book Antiqua"/>
        </w:rPr>
        <w:noBreakHyphen/>
      </w:r>
      <w:r w:rsidRPr="001A7699">
        <w:rPr>
          <w:rFonts w:ascii="Book Antiqua" w:hAnsi="Book Antiqua"/>
        </w:rPr>
        <w:t>year</w:t>
      </w:r>
      <w:r w:rsidR="00D84A09" w:rsidRPr="001A7699">
        <w:rPr>
          <w:rFonts w:ascii="Book Antiqua" w:hAnsi="Book Antiqua"/>
        </w:rPr>
        <w:noBreakHyphen/>
      </w:r>
      <w:r w:rsidRPr="001A7699">
        <w:rPr>
          <w:rFonts w:ascii="Book Antiqua" w:hAnsi="Book Antiqua"/>
        </w:rPr>
        <w:t>life assumption was previously used in the long</w:t>
      </w:r>
      <w:r w:rsidR="00D84A09" w:rsidRPr="001A7699">
        <w:rPr>
          <w:rFonts w:ascii="Book Antiqua" w:hAnsi="Book Antiqua"/>
        </w:rPr>
        <w:noBreakHyphen/>
      </w:r>
      <w:r w:rsidRPr="001A7699">
        <w:rPr>
          <w:rFonts w:ascii="Book Antiqua" w:hAnsi="Book Antiqua"/>
        </w:rPr>
        <w:t xml:space="preserve">term procurement planning (LTPP) process as well as some previous </w:t>
      </w:r>
      <w:r w:rsidR="00F77C71">
        <w:rPr>
          <w:rFonts w:ascii="Book Antiqua" w:hAnsi="Book Antiqua"/>
        </w:rPr>
        <w:t xml:space="preserve">CAISO </w:t>
      </w:r>
      <w:r w:rsidRPr="001A7699">
        <w:rPr>
          <w:rFonts w:ascii="Book Antiqua" w:hAnsi="Book Antiqua"/>
        </w:rPr>
        <w:t xml:space="preserve">TPP analyses. </w:t>
      </w:r>
    </w:p>
    <w:p w14:paraId="60006D9B" w14:textId="77777777" w:rsidR="00152A24" w:rsidRDefault="005F6918" w:rsidP="001A7699">
      <w:pPr>
        <w:pStyle w:val="Heading3"/>
      </w:pPr>
      <w:bookmarkStart w:id="132" w:name="_Toc3803846"/>
      <w:r>
        <w:t>Production Cost Modeling</w:t>
      </w:r>
      <w:r w:rsidR="00FE202E">
        <w:t xml:space="preserve"> Results</w:t>
      </w:r>
      <w:bookmarkEnd w:id="132"/>
    </w:p>
    <w:p w14:paraId="0B79C0DB" w14:textId="77777777" w:rsidR="00FE202E" w:rsidRPr="001A7699" w:rsidRDefault="00FE202E" w:rsidP="00FE202E">
      <w:pPr>
        <w:pStyle w:val="sub2"/>
        <w:rPr>
          <w:rFonts w:ascii="Book Antiqua" w:hAnsi="Book Antiqua"/>
        </w:rPr>
      </w:pPr>
      <w:r w:rsidRPr="001A7699">
        <w:rPr>
          <w:rFonts w:ascii="Book Antiqua" w:hAnsi="Book Antiqua"/>
        </w:rPr>
        <w:t xml:space="preserve">In general, Commission staff analysis of the </w:t>
      </w:r>
      <w:r w:rsidR="002B721B" w:rsidRPr="001A7699">
        <w:rPr>
          <w:rFonts w:ascii="Book Antiqua" w:hAnsi="Book Antiqua"/>
        </w:rPr>
        <w:t>HCP</w:t>
      </w:r>
      <w:r w:rsidRPr="001A7699">
        <w:rPr>
          <w:rFonts w:ascii="Book Antiqua" w:hAnsi="Book Antiqua"/>
        </w:rPr>
        <w:t xml:space="preserve"> determined that it results in a reasonably reliable and operable portfolio that can be studied further in th</w:t>
      </w:r>
      <w:r w:rsidR="001A7699" w:rsidRPr="001A7699">
        <w:rPr>
          <w:rFonts w:ascii="Book Antiqua" w:hAnsi="Book Antiqua"/>
        </w:rPr>
        <w:t xml:space="preserve">e CAISO’s TPP process.  </w:t>
      </w:r>
      <w:r w:rsidRPr="001A7699">
        <w:rPr>
          <w:rFonts w:ascii="Book Antiqua" w:hAnsi="Book Antiqua"/>
        </w:rPr>
        <w:t>Since the portfolio represents LSE planning preferences, updated from the RSP, it represent</w:t>
      </w:r>
      <w:r w:rsidR="00FB5C57">
        <w:rPr>
          <w:rFonts w:ascii="Book Antiqua" w:hAnsi="Book Antiqua"/>
        </w:rPr>
        <w:t>ed</w:t>
      </w:r>
      <w:r w:rsidRPr="001A7699">
        <w:rPr>
          <w:rFonts w:ascii="Book Antiqua" w:hAnsi="Book Antiqua"/>
        </w:rPr>
        <w:t xml:space="preserve"> a step forward to be further analyzed.  </w:t>
      </w:r>
    </w:p>
    <w:p w14:paraId="58E85A76" w14:textId="77777777" w:rsidR="00FE202E" w:rsidRPr="00C8182B" w:rsidRDefault="00FE202E" w:rsidP="00C8182B">
      <w:pPr>
        <w:pStyle w:val="Heading4"/>
      </w:pPr>
      <w:r w:rsidRPr="00C8182B">
        <w:t>Resource Portfolio Results</w:t>
      </w:r>
    </w:p>
    <w:p w14:paraId="64E356F4" w14:textId="77777777" w:rsidR="00FE202E" w:rsidRPr="001A7699" w:rsidRDefault="00FE202E" w:rsidP="00FE202E">
      <w:pPr>
        <w:pStyle w:val="sub2"/>
        <w:rPr>
          <w:rFonts w:ascii="Book Antiqua" w:hAnsi="Book Antiqua"/>
        </w:rPr>
      </w:pPr>
      <w:r w:rsidRPr="001A7699">
        <w:rPr>
          <w:rFonts w:ascii="Book Antiqua" w:hAnsi="Book Antiqua"/>
        </w:rPr>
        <w:t>The level of commitment to planned baseline and new energy purchases over time varies by type of LSE.  The IOUs generally plan their resource mix to meet a declining portion of their current total load over time, reflecting an expectation of load departure.</w:t>
      </w:r>
    </w:p>
    <w:p w14:paraId="008BB2AD" w14:textId="77777777" w:rsidR="00FE202E" w:rsidRPr="001A7699" w:rsidRDefault="00FE202E" w:rsidP="00FE202E">
      <w:pPr>
        <w:pStyle w:val="sub2"/>
        <w:rPr>
          <w:rFonts w:ascii="Book Antiqua" w:hAnsi="Book Antiqua"/>
        </w:rPr>
      </w:pPr>
      <w:r w:rsidRPr="001A7699">
        <w:rPr>
          <w:rFonts w:ascii="Book Antiqua" w:hAnsi="Book Antiqua"/>
        </w:rPr>
        <w:t xml:space="preserve">CCAs are the LSEs with the </w:t>
      </w:r>
      <w:r w:rsidR="00B91532">
        <w:rPr>
          <w:rFonts w:ascii="Book Antiqua" w:hAnsi="Book Antiqua"/>
        </w:rPr>
        <w:t xml:space="preserve">vast </w:t>
      </w:r>
      <w:r w:rsidRPr="001A7699">
        <w:rPr>
          <w:rFonts w:ascii="Book Antiqua" w:hAnsi="Book Antiqua"/>
        </w:rPr>
        <w:t>majority of planned new resource purchases through 2030, reflecting their expectation of growing load.  Finally, the IRPs of the ESPs generally reflect their shorter planning horizon in a competitive market.  Overall, the CCAs plan the most long</w:t>
      </w:r>
      <w:r w:rsidR="00D84A09" w:rsidRPr="001A7699">
        <w:rPr>
          <w:rFonts w:ascii="Book Antiqua" w:hAnsi="Book Antiqua"/>
        </w:rPr>
        <w:noBreakHyphen/>
      </w:r>
      <w:r w:rsidRPr="001A7699">
        <w:rPr>
          <w:rFonts w:ascii="Book Antiqua" w:hAnsi="Book Antiqua"/>
        </w:rPr>
        <w:t>term new resource purchases to meet their expected load, while ESPs and IOUs expect additional short</w:t>
      </w:r>
      <w:r w:rsidR="00A6781C">
        <w:rPr>
          <w:rFonts w:ascii="Book Antiqua" w:hAnsi="Book Antiqua"/>
        </w:rPr>
        <w:t>-</w:t>
      </w:r>
      <w:r w:rsidRPr="001A7699">
        <w:rPr>
          <w:rFonts w:ascii="Book Antiqua" w:hAnsi="Book Antiqua"/>
        </w:rPr>
        <w:t xml:space="preserve">term market purchases to fill out their portfolios. </w:t>
      </w:r>
    </w:p>
    <w:p w14:paraId="0A5236C5" w14:textId="77777777" w:rsidR="00FE202E" w:rsidRPr="001A7699" w:rsidRDefault="00FE202E" w:rsidP="00FE202E">
      <w:pPr>
        <w:pStyle w:val="sub2"/>
        <w:rPr>
          <w:rFonts w:ascii="Book Antiqua" w:hAnsi="Book Antiqua"/>
        </w:rPr>
      </w:pPr>
      <w:r w:rsidRPr="001A7699">
        <w:rPr>
          <w:rFonts w:ascii="Book Antiqua" w:hAnsi="Book Antiqua"/>
        </w:rPr>
        <w:t xml:space="preserve">With respect to </w:t>
      </w:r>
      <w:r w:rsidR="006475F8">
        <w:rPr>
          <w:rFonts w:ascii="Book Antiqua" w:hAnsi="Book Antiqua"/>
        </w:rPr>
        <w:t>combined</w:t>
      </w:r>
      <w:r w:rsidR="006475F8" w:rsidRPr="001A7699">
        <w:rPr>
          <w:rFonts w:ascii="Book Antiqua" w:hAnsi="Book Antiqua"/>
        </w:rPr>
        <w:t xml:space="preserve"> </w:t>
      </w:r>
      <w:r w:rsidRPr="001A7699">
        <w:rPr>
          <w:rFonts w:ascii="Book Antiqua" w:hAnsi="Book Antiqua"/>
        </w:rPr>
        <w:t xml:space="preserve">baseline and new resources, the largest categories are wind, hydro, nuclear, and solar, in terms of total planned purchases of energy.  Nuclear resources decline after 2025 due to the approved retirement of Diablo Canyon.  Many LSEs also indicate plans to purchase unspecified system power.  It is also important to note that the analysis was not conducted with the purpose of determining compliance with resource adequacy requirements, and thus does not imply any assessment or conclusion about resource adequacy. </w:t>
      </w:r>
    </w:p>
    <w:p w14:paraId="0F0BE595" w14:textId="77777777" w:rsidR="00FE202E" w:rsidRPr="001A7699" w:rsidRDefault="00FE202E" w:rsidP="00FE202E">
      <w:pPr>
        <w:pStyle w:val="sub2"/>
        <w:rPr>
          <w:rFonts w:ascii="Book Antiqua" w:hAnsi="Book Antiqua"/>
        </w:rPr>
      </w:pPr>
      <w:r w:rsidRPr="001A7699">
        <w:rPr>
          <w:rFonts w:ascii="Book Antiqua" w:hAnsi="Book Antiqua"/>
        </w:rPr>
        <w:t xml:space="preserve">In general, the </w:t>
      </w:r>
      <w:r w:rsidR="002B721B" w:rsidRPr="001A7699">
        <w:rPr>
          <w:rFonts w:ascii="Book Antiqua" w:hAnsi="Book Antiqua"/>
        </w:rPr>
        <w:t>HCP</w:t>
      </w:r>
      <w:r w:rsidRPr="001A7699">
        <w:rPr>
          <w:rFonts w:ascii="Book Antiqua" w:hAnsi="Book Antiqua"/>
        </w:rPr>
        <w:t xml:space="preserve"> indicates a decreasing reliance on existing resources over time, especially non</w:t>
      </w:r>
      <w:r w:rsidR="00D84A09" w:rsidRPr="001A7699">
        <w:rPr>
          <w:rFonts w:ascii="Book Antiqua" w:hAnsi="Book Antiqua"/>
        </w:rPr>
        <w:noBreakHyphen/>
      </w:r>
      <w:r w:rsidRPr="001A7699">
        <w:rPr>
          <w:rFonts w:ascii="Book Antiqua" w:hAnsi="Book Antiqua"/>
        </w:rPr>
        <w:t xml:space="preserve">renewable resources.  Resources also </w:t>
      </w:r>
      <w:r w:rsidR="00B91532">
        <w:rPr>
          <w:rFonts w:ascii="Book Antiqua" w:hAnsi="Book Antiqua"/>
        </w:rPr>
        <w:t>receiving</w:t>
      </w:r>
      <w:r w:rsidR="00B91532" w:rsidRPr="001A7699">
        <w:rPr>
          <w:rFonts w:ascii="Book Antiqua" w:hAnsi="Book Antiqua"/>
        </w:rPr>
        <w:t xml:space="preserve"> </w:t>
      </w:r>
      <w:r w:rsidRPr="001A7699">
        <w:rPr>
          <w:rFonts w:ascii="Book Antiqua" w:hAnsi="Book Antiqua"/>
        </w:rPr>
        <w:t>less long</w:t>
      </w:r>
      <w:r w:rsidR="00D84A09" w:rsidRPr="001A7699">
        <w:rPr>
          <w:rFonts w:ascii="Book Antiqua" w:hAnsi="Book Antiqua"/>
        </w:rPr>
        <w:noBreakHyphen/>
      </w:r>
      <w:r w:rsidRPr="001A7699">
        <w:rPr>
          <w:rFonts w:ascii="Book Antiqua" w:hAnsi="Book Antiqua"/>
        </w:rPr>
        <w:t>term commitment compared to the RSP portfolio and over the planning time horizon include geothermal, biogas, pumped storage, and hydro, in addition to the thermal (non</w:t>
      </w:r>
      <w:r w:rsidR="00D84A09" w:rsidRPr="001A7699">
        <w:rPr>
          <w:rFonts w:ascii="Book Antiqua" w:hAnsi="Book Antiqua"/>
        </w:rPr>
        <w:noBreakHyphen/>
      </w:r>
      <w:r w:rsidRPr="001A7699">
        <w:rPr>
          <w:rFonts w:ascii="Book Antiqua" w:hAnsi="Book Antiqua"/>
        </w:rPr>
        <w:t xml:space="preserve">renewable) resources. </w:t>
      </w:r>
    </w:p>
    <w:p w14:paraId="56734514" w14:textId="77777777" w:rsidR="00FE202E" w:rsidRPr="001A7699" w:rsidRDefault="00FE202E" w:rsidP="00FE202E">
      <w:pPr>
        <w:pStyle w:val="sub2"/>
        <w:rPr>
          <w:rFonts w:ascii="Book Antiqua" w:hAnsi="Book Antiqua"/>
        </w:rPr>
      </w:pPr>
      <w:r w:rsidRPr="001A7699">
        <w:rPr>
          <w:rFonts w:ascii="Book Antiqua" w:hAnsi="Book Antiqua"/>
        </w:rPr>
        <w:t xml:space="preserve">Existing solar thermal resources, on the other hand, appear to be fully utilized throughout the period to 2030.  Wind, solar photovoltaics (PV), and nuclear resources are also heavily committed, along with battery storage. </w:t>
      </w:r>
    </w:p>
    <w:p w14:paraId="1F2DFE73" w14:textId="77777777" w:rsidR="00FE202E" w:rsidRPr="001A7699" w:rsidRDefault="00FE202E" w:rsidP="00FE202E">
      <w:pPr>
        <w:pStyle w:val="sub2"/>
        <w:rPr>
          <w:rFonts w:ascii="Book Antiqua" w:hAnsi="Book Antiqua"/>
        </w:rPr>
      </w:pPr>
      <w:r w:rsidRPr="001A7699">
        <w:rPr>
          <w:rFonts w:ascii="Book Antiqua" w:hAnsi="Book Antiqua"/>
        </w:rPr>
        <w:t>These resource utilization findings lead to questions that are already being surfaced in several venues about the long</w:t>
      </w:r>
      <w:r w:rsidR="00D84A09" w:rsidRPr="001A7699">
        <w:rPr>
          <w:rFonts w:ascii="Book Antiqua" w:hAnsi="Book Antiqua"/>
        </w:rPr>
        <w:noBreakHyphen/>
      </w:r>
      <w:r w:rsidRPr="001A7699">
        <w:rPr>
          <w:rFonts w:ascii="Book Antiqua" w:hAnsi="Book Antiqua"/>
        </w:rPr>
        <w:t>term future of the numerous fossil</w:t>
      </w:r>
      <w:r w:rsidR="00F77C71">
        <w:rPr>
          <w:rFonts w:ascii="Book Antiqua" w:hAnsi="Book Antiqua"/>
        </w:rPr>
        <w:t>-</w:t>
      </w:r>
      <w:r w:rsidRPr="001A7699">
        <w:rPr>
          <w:rFonts w:ascii="Book Antiqua" w:hAnsi="Book Antiqua"/>
        </w:rPr>
        <w:t>fueled thermal plan</w:t>
      </w:r>
      <w:r w:rsidR="00F77C71">
        <w:rPr>
          <w:rFonts w:ascii="Book Antiqua" w:hAnsi="Book Antiqua"/>
        </w:rPr>
        <w:t>t</w:t>
      </w:r>
      <w:r w:rsidRPr="001A7699">
        <w:rPr>
          <w:rFonts w:ascii="Book Antiqua" w:hAnsi="Book Antiqua"/>
        </w:rPr>
        <w:t xml:space="preserve">s that </w:t>
      </w:r>
      <w:r w:rsidR="00D70B9A">
        <w:rPr>
          <w:rFonts w:ascii="Book Antiqua" w:hAnsi="Book Antiqua"/>
        </w:rPr>
        <w:t>may</w:t>
      </w:r>
      <w:r w:rsidR="00D70B9A" w:rsidRPr="001A7699">
        <w:rPr>
          <w:rFonts w:ascii="Book Antiqua" w:hAnsi="Book Antiqua"/>
        </w:rPr>
        <w:t xml:space="preserve"> </w:t>
      </w:r>
      <w:r w:rsidRPr="001A7699">
        <w:rPr>
          <w:rFonts w:ascii="Book Antiqua" w:hAnsi="Book Antiqua"/>
        </w:rPr>
        <w:t xml:space="preserve">be without contracts by the end of the next decade, even as they may be needed for reliability purposes.  </w:t>
      </w:r>
    </w:p>
    <w:p w14:paraId="42874C68" w14:textId="77777777" w:rsidR="00FE202E" w:rsidRPr="001A7699" w:rsidRDefault="00FE202E" w:rsidP="00FE202E">
      <w:pPr>
        <w:pStyle w:val="sub2"/>
        <w:rPr>
          <w:rFonts w:ascii="Book Antiqua" w:hAnsi="Book Antiqua"/>
        </w:rPr>
      </w:pPr>
      <w:r w:rsidRPr="001A7699">
        <w:rPr>
          <w:rFonts w:ascii="Book Antiqua" w:hAnsi="Book Antiqua"/>
        </w:rPr>
        <w:t xml:space="preserve">In terms of new resources, the </w:t>
      </w:r>
      <w:r w:rsidR="002B721B" w:rsidRPr="001A7699">
        <w:rPr>
          <w:rFonts w:ascii="Book Antiqua" w:hAnsi="Book Antiqua"/>
        </w:rPr>
        <w:t>HCP</w:t>
      </w:r>
      <w:r w:rsidRPr="001A7699">
        <w:rPr>
          <w:rFonts w:ascii="Book Antiqua" w:hAnsi="Book Antiqua"/>
        </w:rPr>
        <w:t xml:space="preserve"> includes the majority of new resource buildout being driven by CCA load growth.  While the IOUs and ESPs, aggregated together, propose to invest in approximately 1,000 MW of new resources by 2030, CCAs in aggregate propose more than 10,000 MW. </w:t>
      </w:r>
    </w:p>
    <w:p w14:paraId="5B8B0852" w14:textId="77777777" w:rsidR="00FE202E" w:rsidRPr="001A7699" w:rsidRDefault="00FE202E" w:rsidP="00FE202E">
      <w:pPr>
        <w:pStyle w:val="sub2"/>
        <w:rPr>
          <w:rFonts w:ascii="Book Antiqua" w:hAnsi="Book Antiqua"/>
        </w:rPr>
      </w:pPr>
      <w:r w:rsidRPr="001A7699">
        <w:rPr>
          <w:rFonts w:ascii="Book Antiqua" w:hAnsi="Book Antiqua"/>
        </w:rPr>
        <w:t>Of that total planned resource investment, more than 60</w:t>
      </w:r>
      <w:r w:rsidR="00D0161E" w:rsidRPr="001A7699">
        <w:rPr>
          <w:rFonts w:ascii="Book Antiqua" w:hAnsi="Book Antiqua"/>
        </w:rPr>
        <w:t>%</w:t>
      </w:r>
      <w:r w:rsidRPr="001A7699">
        <w:rPr>
          <w:rFonts w:ascii="Book Antiqua" w:hAnsi="Book Antiqua"/>
        </w:rPr>
        <w:t xml:space="preserve"> is planned to be solar PV.  Another 10</w:t>
      </w:r>
      <w:r w:rsidR="00D0161E" w:rsidRPr="001A7699">
        <w:rPr>
          <w:rFonts w:ascii="Book Antiqua" w:hAnsi="Book Antiqua"/>
        </w:rPr>
        <w:t>%</w:t>
      </w:r>
      <w:r w:rsidRPr="001A7699">
        <w:rPr>
          <w:rFonts w:ascii="Book Antiqua" w:hAnsi="Book Antiqua"/>
        </w:rPr>
        <w:t xml:space="preserve"> or so is expected to come from battery storage, with the remainder split between biogas, biomass, geothermal, and wind. </w:t>
      </w:r>
    </w:p>
    <w:p w14:paraId="7FCB2A1F" w14:textId="77777777" w:rsidR="00FE202E" w:rsidRPr="001A7699" w:rsidRDefault="00FE202E" w:rsidP="00FE202E">
      <w:pPr>
        <w:pStyle w:val="sub2"/>
        <w:rPr>
          <w:rFonts w:ascii="Book Antiqua" w:hAnsi="Book Antiqua"/>
        </w:rPr>
      </w:pPr>
      <w:r w:rsidRPr="001A7699">
        <w:rPr>
          <w:rFonts w:ascii="Book Antiqua" w:hAnsi="Book Antiqua"/>
        </w:rPr>
        <w:t>Compared with the resource portfolio outlined in the RSP, as adjusted for the 2017 IEPR updated assumptions, LSEs in their IRPs plan to buy</w:t>
      </w:r>
      <w:r w:rsidR="00D70B9A">
        <w:rPr>
          <w:rFonts w:ascii="Book Antiqua" w:hAnsi="Book Antiqua"/>
        </w:rPr>
        <w:t xml:space="preserve"> or contract with</w:t>
      </w:r>
      <w:r w:rsidRPr="001A7699">
        <w:rPr>
          <w:rFonts w:ascii="Book Antiqua" w:hAnsi="Book Antiqua"/>
        </w:rPr>
        <w:t xml:space="preserve"> 4</w:t>
      </w:r>
      <w:r w:rsidR="00D84A09" w:rsidRPr="001A7699">
        <w:rPr>
          <w:rFonts w:ascii="Book Antiqua" w:hAnsi="Book Antiqua"/>
        </w:rPr>
        <w:noBreakHyphen/>
      </w:r>
      <w:r w:rsidRPr="001A7699">
        <w:rPr>
          <w:rFonts w:ascii="Book Antiqua" w:hAnsi="Book Antiqua"/>
        </w:rPr>
        <w:t>hour batteries generally instead of 1</w:t>
      </w:r>
      <w:r w:rsidR="005D56CE">
        <w:rPr>
          <w:rFonts w:ascii="Book Antiqua" w:hAnsi="Book Antiqua"/>
        </w:rPr>
        <w:t>-</w:t>
      </w:r>
      <w:r w:rsidRPr="001A7699">
        <w:rPr>
          <w:rFonts w:ascii="Book Antiqua" w:hAnsi="Book Antiqua"/>
        </w:rPr>
        <w:t>hour batteries, about 1,400 MW less geothermal, about 900 MW more in state wind, and similar amounts of out</w:t>
      </w:r>
      <w:r w:rsidR="00D84A09" w:rsidRPr="001A7699">
        <w:rPr>
          <w:rFonts w:ascii="Book Antiqua" w:hAnsi="Book Antiqua"/>
        </w:rPr>
        <w:noBreakHyphen/>
      </w:r>
      <w:r w:rsidRPr="001A7699">
        <w:rPr>
          <w:rFonts w:ascii="Book Antiqua" w:hAnsi="Book Antiqua"/>
        </w:rPr>
        <w:t>of</w:t>
      </w:r>
      <w:r w:rsidR="00D84A09" w:rsidRPr="001A7699">
        <w:rPr>
          <w:rFonts w:ascii="Book Antiqua" w:hAnsi="Book Antiqua"/>
        </w:rPr>
        <w:noBreakHyphen/>
      </w:r>
      <w:r w:rsidRPr="001A7699">
        <w:rPr>
          <w:rFonts w:ascii="Book Antiqua" w:hAnsi="Book Antiqua"/>
        </w:rPr>
        <w:t>state wind from specific areas such as New Mexico and Wyoming.</w:t>
      </w:r>
    </w:p>
    <w:p w14:paraId="301BDC87" w14:textId="77777777" w:rsidR="00FE202E" w:rsidRPr="001A7699" w:rsidRDefault="00FE202E" w:rsidP="00FE202E">
      <w:pPr>
        <w:pStyle w:val="sub2"/>
        <w:rPr>
          <w:rFonts w:ascii="Book Antiqua" w:hAnsi="Book Antiqua"/>
        </w:rPr>
      </w:pPr>
      <w:r w:rsidRPr="001A7699">
        <w:rPr>
          <w:rFonts w:ascii="Book Antiqua" w:hAnsi="Book Antiqua"/>
        </w:rPr>
        <w:t xml:space="preserve">Commission staff also had to account for the impact of the Commission’s 1,325 MW storage target and reconcile it with the planned additions of battery storage, resulting in a total of 2,480 MW assumed to be online in the CAISO system by 2030.  </w:t>
      </w:r>
    </w:p>
    <w:p w14:paraId="37E7E4DC" w14:textId="77777777" w:rsidR="00FE202E" w:rsidRDefault="00FE202E" w:rsidP="00C8182B">
      <w:pPr>
        <w:pStyle w:val="Heading4"/>
      </w:pPr>
      <w:r>
        <w:t>Feasibility of Hydroelectric Generation Use</w:t>
      </w:r>
      <w:r w:rsidR="000F09A0">
        <w:t>d</w:t>
      </w:r>
      <w:r>
        <w:t xml:space="preserve"> in LSE Plans</w:t>
      </w:r>
    </w:p>
    <w:p w14:paraId="5643A024" w14:textId="77777777" w:rsidR="00FE202E" w:rsidRPr="001A7699" w:rsidRDefault="00FE202E" w:rsidP="00FE202E">
      <w:pPr>
        <w:pStyle w:val="sub2"/>
        <w:rPr>
          <w:rFonts w:ascii="Book Antiqua" w:hAnsi="Book Antiqua"/>
        </w:rPr>
      </w:pPr>
      <w:r w:rsidRPr="001A7699">
        <w:rPr>
          <w:rFonts w:ascii="Book Antiqua" w:hAnsi="Book Antiqua"/>
        </w:rPr>
        <w:t xml:space="preserve">Due to the number of comments raised by parties about the use of hydroelectric generation in LSE plans, Commission staff conducted a more detailed investigation into the feasibility of the use of these types of resources out to 2030, both within California and imported from the Pacific Northwest. </w:t>
      </w:r>
    </w:p>
    <w:p w14:paraId="7B636535" w14:textId="77777777" w:rsidR="00FE202E" w:rsidRPr="001A7699" w:rsidRDefault="00FE202E" w:rsidP="00FE202E">
      <w:pPr>
        <w:pStyle w:val="sub2"/>
        <w:rPr>
          <w:rFonts w:ascii="Book Antiqua" w:hAnsi="Book Antiqua"/>
        </w:rPr>
      </w:pPr>
      <w:r w:rsidRPr="001A7699">
        <w:rPr>
          <w:rFonts w:ascii="Book Antiqua" w:hAnsi="Book Antiqua"/>
        </w:rPr>
        <w:t>Commission staff first gathered data about the historical level of imported hydroelectricity, in</w:t>
      </w:r>
      <w:r w:rsidR="00355B68">
        <w:rPr>
          <w:rFonts w:ascii="Book Antiqua" w:hAnsi="Book Antiqua"/>
        </w:rPr>
        <w:t>-s</w:t>
      </w:r>
      <w:r w:rsidRPr="001A7699">
        <w:rPr>
          <w:rFonts w:ascii="Book Antiqua" w:hAnsi="Book Antiqua"/>
        </w:rPr>
        <w:t xml:space="preserve">tate production, and utilization by LSEs.  Staff </w:t>
      </w:r>
      <w:r w:rsidR="00355B68">
        <w:rPr>
          <w:rFonts w:ascii="Book Antiqua" w:hAnsi="Book Antiqua"/>
        </w:rPr>
        <w:t>also</w:t>
      </w:r>
      <w:r w:rsidR="00355B68" w:rsidRPr="001A7699">
        <w:rPr>
          <w:rFonts w:ascii="Book Antiqua" w:hAnsi="Book Antiqua"/>
        </w:rPr>
        <w:t xml:space="preserve"> </w:t>
      </w:r>
      <w:r w:rsidRPr="001A7699">
        <w:rPr>
          <w:rFonts w:ascii="Book Antiqua" w:hAnsi="Book Antiqua"/>
        </w:rPr>
        <w:t xml:space="preserve">looked at the projected utilization of hydroelectricity by publicly owned utilities, in order to form a complete picture of statewide production and usage data. </w:t>
      </w:r>
    </w:p>
    <w:p w14:paraId="2F2EA42E" w14:textId="77777777" w:rsidR="00FE202E" w:rsidRPr="001A7699" w:rsidRDefault="00FE202E" w:rsidP="00FE202E">
      <w:pPr>
        <w:pStyle w:val="sub2"/>
        <w:rPr>
          <w:rFonts w:ascii="Book Antiqua" w:hAnsi="Book Antiqua"/>
        </w:rPr>
      </w:pPr>
      <w:r w:rsidRPr="001A7699">
        <w:rPr>
          <w:rFonts w:ascii="Book Antiqua" w:hAnsi="Book Antiqua"/>
        </w:rPr>
        <w:t xml:space="preserve">In summary, Commission staff found that the proposed utilization of hydroelectric resources from the Pacific Northwest is for energy purposes only and is within historical import levels.  This does not represent an analysis of the potential for contract or resource shuffling, but rather just a physical analysis of the amount of energy being imported.   </w:t>
      </w:r>
    </w:p>
    <w:p w14:paraId="2B5D515A" w14:textId="77777777" w:rsidR="00FE202E" w:rsidRPr="001A7699" w:rsidRDefault="00FE202E" w:rsidP="00FE202E">
      <w:pPr>
        <w:pStyle w:val="sub2"/>
        <w:rPr>
          <w:rFonts w:ascii="Book Antiqua" w:hAnsi="Book Antiqua"/>
        </w:rPr>
      </w:pPr>
      <w:r w:rsidRPr="001A7699">
        <w:rPr>
          <w:rFonts w:ascii="Book Antiqua" w:hAnsi="Book Antiqua"/>
        </w:rPr>
        <w:t>Commission staff analysis indicates that the utilization of California hydro, however, has some risks relative to historical production levels</w:t>
      </w:r>
      <w:r w:rsidR="00355B68">
        <w:rPr>
          <w:rFonts w:ascii="Book Antiqua" w:hAnsi="Book Antiqua"/>
        </w:rPr>
        <w:t>, because California hydro production is highly sensitive to drought conditions and decreases significantly in dry years</w:t>
      </w:r>
      <w:r w:rsidRPr="001A7699">
        <w:rPr>
          <w:rFonts w:ascii="Book Antiqua" w:hAnsi="Book Antiqua"/>
        </w:rPr>
        <w:t xml:space="preserve">. </w:t>
      </w:r>
      <w:r w:rsidR="00C961F7" w:rsidRPr="001A7699">
        <w:rPr>
          <w:rFonts w:ascii="Book Antiqua" w:hAnsi="Book Antiqua"/>
        </w:rPr>
        <w:t xml:space="preserve"> </w:t>
      </w:r>
      <w:r w:rsidRPr="001A7699">
        <w:rPr>
          <w:rFonts w:ascii="Book Antiqua" w:hAnsi="Book Antiqua"/>
        </w:rPr>
        <w:t xml:space="preserve">LSEs’ proposed utilization of hydro appears considerably more at risk of drought conditions in California than in the Pacific Northwest. </w:t>
      </w:r>
    </w:p>
    <w:p w14:paraId="3606BEF7" w14:textId="77777777" w:rsidR="00FE202E" w:rsidRPr="001A7699" w:rsidRDefault="00FE202E" w:rsidP="00FE202E">
      <w:pPr>
        <w:pStyle w:val="sub2"/>
        <w:rPr>
          <w:rFonts w:ascii="Book Antiqua" w:hAnsi="Book Antiqua"/>
        </w:rPr>
      </w:pPr>
      <w:r w:rsidRPr="001A7699">
        <w:rPr>
          <w:rFonts w:ascii="Book Antiqua" w:hAnsi="Book Antiqua"/>
        </w:rPr>
        <w:t xml:space="preserve">In the future, Commission staff plan to make several improvements to the analysis of hydroelectric resources, including revisiting import assumptions in RESOLVE, requiring LSEs to provide a description in their IRPs of plans to address drought risk, revising the </w:t>
      </w:r>
      <w:r w:rsidR="00957240">
        <w:rPr>
          <w:rFonts w:ascii="Book Antiqua" w:hAnsi="Book Antiqua"/>
        </w:rPr>
        <w:t>CNS</w:t>
      </w:r>
      <w:r w:rsidRPr="001A7699">
        <w:rPr>
          <w:rFonts w:ascii="Book Antiqua" w:hAnsi="Book Antiqua"/>
        </w:rPr>
        <w:t xml:space="preserve"> calculator to more clearly distinguish between in</w:t>
      </w:r>
      <w:r w:rsidR="006475F8">
        <w:rPr>
          <w:rFonts w:ascii="Book Antiqua" w:hAnsi="Book Antiqua"/>
        </w:rPr>
        <w:t>-</w:t>
      </w:r>
      <w:r w:rsidRPr="001A7699">
        <w:rPr>
          <w:rFonts w:ascii="Book Antiqua" w:hAnsi="Book Antiqua"/>
        </w:rPr>
        <w:t xml:space="preserve">state and imported hydro resources, and developing more specific filing requirements to enable analysis and monitoring of the potential for resource shuffling.  Commission staff are also actively communicating with staff from the Northwest Power </w:t>
      </w:r>
      <w:r w:rsidR="006475F8">
        <w:rPr>
          <w:rFonts w:ascii="Book Antiqua" w:hAnsi="Book Antiqua"/>
        </w:rPr>
        <w:t xml:space="preserve">and Conservation </w:t>
      </w:r>
      <w:r w:rsidRPr="001A7699">
        <w:rPr>
          <w:rFonts w:ascii="Book Antiqua" w:hAnsi="Book Antiqua"/>
        </w:rPr>
        <w:t>Council on these issues</w:t>
      </w:r>
      <w:r w:rsidR="00355B68">
        <w:rPr>
          <w:rFonts w:ascii="Book Antiqua" w:hAnsi="Book Antiqua"/>
        </w:rPr>
        <w:t>, in order to understand potential changes in the availability of imported Northwest hydro in the future</w:t>
      </w:r>
      <w:r w:rsidRPr="001A7699">
        <w:rPr>
          <w:rFonts w:ascii="Book Antiqua" w:hAnsi="Book Antiqua"/>
        </w:rPr>
        <w:t>.</w:t>
      </w:r>
    </w:p>
    <w:p w14:paraId="3BD8D855" w14:textId="77777777" w:rsidR="00FE202E" w:rsidRDefault="00FE202E" w:rsidP="00C8182B">
      <w:pPr>
        <w:pStyle w:val="Heading4"/>
      </w:pPr>
      <w:r>
        <w:t>Reliability Results</w:t>
      </w:r>
    </w:p>
    <w:p w14:paraId="08EFFD1D" w14:textId="77777777" w:rsidR="00FE202E" w:rsidRPr="001A7699" w:rsidRDefault="00FE202E" w:rsidP="00FE202E">
      <w:pPr>
        <w:pStyle w:val="sub2"/>
        <w:rPr>
          <w:rFonts w:ascii="Book Antiqua" w:hAnsi="Book Antiqua"/>
        </w:rPr>
      </w:pPr>
      <w:r w:rsidRPr="001A7699">
        <w:rPr>
          <w:rFonts w:ascii="Book Antiqua" w:hAnsi="Book Antiqua"/>
        </w:rPr>
        <w:t>All of the resource assumptions and adjustments were utilized in the SERVM</w:t>
      </w:r>
      <w:r w:rsidR="003D2F3E" w:rsidRPr="001A7699">
        <w:rPr>
          <w:rFonts w:ascii="Book Antiqua" w:hAnsi="Book Antiqua"/>
        </w:rPr>
        <w:t xml:space="preserve"> model</w:t>
      </w:r>
      <w:r w:rsidRPr="001A7699">
        <w:rPr>
          <w:rFonts w:ascii="Book Antiqua" w:hAnsi="Book Antiqua"/>
        </w:rPr>
        <w:t xml:space="preserve">, within which staff conducted a reliability assessment for 2030.  For the 2030 analysis, the model uses 35 equally weighted weather years representing patterns from 1980 to 2014. </w:t>
      </w:r>
      <w:r w:rsidR="00C961F7" w:rsidRPr="001A7699">
        <w:rPr>
          <w:rFonts w:ascii="Book Antiqua" w:hAnsi="Book Antiqua"/>
        </w:rPr>
        <w:t xml:space="preserve"> </w:t>
      </w:r>
      <w:r w:rsidRPr="001A7699">
        <w:rPr>
          <w:rFonts w:ascii="Book Antiqua" w:hAnsi="Book Antiqua"/>
        </w:rPr>
        <w:t>In addition, there were five weighted economic output levels representing uncertainty in future electric load levels.  The reliability metrics, including frequency, duration, and magnitude of reliability events, are reported as expected values (probability weighted averages).</w:t>
      </w:r>
      <w:r w:rsidR="00194546">
        <w:rPr>
          <w:rStyle w:val="FootnoteReference"/>
          <w:rFonts w:ascii="Book Antiqua" w:hAnsi="Book Antiqua"/>
        </w:rPr>
        <w:footnoteReference w:id="9"/>
      </w:r>
      <w:r w:rsidRPr="001A7699">
        <w:rPr>
          <w:rFonts w:ascii="Book Antiqua" w:hAnsi="Book Antiqua"/>
        </w:rPr>
        <w:t xml:space="preserve"> </w:t>
      </w:r>
    </w:p>
    <w:p w14:paraId="79CDF8E7" w14:textId="77777777" w:rsidR="00FE202E" w:rsidRPr="001A7699" w:rsidRDefault="00FE202E" w:rsidP="00FE202E">
      <w:pPr>
        <w:pStyle w:val="sub2"/>
        <w:rPr>
          <w:rFonts w:ascii="Book Antiqua" w:hAnsi="Book Antiqua"/>
        </w:rPr>
      </w:pPr>
      <w:r w:rsidRPr="001A7699">
        <w:rPr>
          <w:rFonts w:ascii="Book Antiqua" w:hAnsi="Book Antiqua"/>
        </w:rPr>
        <w:t>For the reliability assessment, Commission staff focused on two main studies.  The first was the “as</w:t>
      </w:r>
      <w:r w:rsidR="00194546">
        <w:rPr>
          <w:rFonts w:ascii="Book Antiqua" w:hAnsi="Book Antiqua"/>
        </w:rPr>
        <w:t>-</w:t>
      </w:r>
      <w:r w:rsidRPr="001A7699">
        <w:rPr>
          <w:rFonts w:ascii="Book Antiqua" w:hAnsi="Book Antiqua"/>
        </w:rPr>
        <w:t xml:space="preserve">found” loss of load study, which utilized the </w:t>
      </w:r>
      <w:r w:rsidR="002B721B" w:rsidRPr="001A7699">
        <w:rPr>
          <w:rFonts w:ascii="Book Antiqua" w:hAnsi="Book Antiqua"/>
        </w:rPr>
        <w:t>HCP</w:t>
      </w:r>
      <w:r w:rsidRPr="001A7699">
        <w:rPr>
          <w:rFonts w:ascii="Book Antiqua" w:hAnsi="Book Antiqua"/>
        </w:rPr>
        <w:t xml:space="preserve"> already described.  The second was a calibrated </w:t>
      </w:r>
      <w:r w:rsidR="006175D2" w:rsidRPr="001A7699">
        <w:rPr>
          <w:rFonts w:ascii="Book Antiqua" w:hAnsi="Book Antiqua"/>
        </w:rPr>
        <w:t>loss of load expectation (</w:t>
      </w:r>
      <w:r w:rsidRPr="001A7699">
        <w:rPr>
          <w:rFonts w:ascii="Book Antiqua" w:hAnsi="Book Antiqua"/>
        </w:rPr>
        <w:t>LOLE</w:t>
      </w:r>
      <w:r w:rsidR="006175D2" w:rsidRPr="001A7699">
        <w:rPr>
          <w:rFonts w:ascii="Book Antiqua" w:hAnsi="Book Antiqua"/>
        </w:rPr>
        <w:t>)</w:t>
      </w:r>
      <w:r w:rsidRPr="001A7699">
        <w:rPr>
          <w:rFonts w:ascii="Book Antiqua" w:hAnsi="Book Antiqua"/>
        </w:rPr>
        <w:t xml:space="preserve"> study, where staff removed additional </w:t>
      </w:r>
      <w:r w:rsidR="00194546">
        <w:rPr>
          <w:rFonts w:ascii="Book Antiqua" w:hAnsi="Book Antiqua"/>
        </w:rPr>
        <w:t xml:space="preserve">existing fossil-fueled </w:t>
      </w:r>
      <w:r w:rsidRPr="001A7699">
        <w:rPr>
          <w:rFonts w:ascii="Book Antiqua" w:hAnsi="Book Antiqua"/>
        </w:rPr>
        <w:t xml:space="preserve">resources to bring the system reliability level to a 0.1 LOLE </w:t>
      </w:r>
      <w:r w:rsidR="00194546">
        <w:rPr>
          <w:rFonts w:ascii="Book Antiqua" w:hAnsi="Book Antiqua"/>
        </w:rPr>
        <w:t>per year target, which corresponds to the industry standard of “one day in ten years” for loss-of-load events</w:t>
      </w:r>
      <w:r w:rsidRPr="001A7699">
        <w:rPr>
          <w:rFonts w:ascii="Book Antiqua" w:hAnsi="Book Antiqua"/>
        </w:rPr>
        <w:t xml:space="preserve">.  In both cases, </w:t>
      </w:r>
      <w:r w:rsidR="00194546">
        <w:rPr>
          <w:rFonts w:ascii="Book Antiqua" w:hAnsi="Book Antiqua"/>
        </w:rPr>
        <w:t xml:space="preserve">existing </w:t>
      </w:r>
      <w:r w:rsidRPr="001A7699">
        <w:rPr>
          <w:rFonts w:ascii="Book Antiqua" w:hAnsi="Book Antiqua"/>
        </w:rPr>
        <w:t>fossil</w:t>
      </w:r>
      <w:r w:rsidR="00D84A09" w:rsidRPr="001A7699">
        <w:rPr>
          <w:rFonts w:ascii="Book Antiqua" w:hAnsi="Book Antiqua"/>
        </w:rPr>
        <w:noBreakHyphen/>
      </w:r>
      <w:r w:rsidRPr="001A7699">
        <w:rPr>
          <w:rFonts w:ascii="Book Antiqua" w:hAnsi="Book Antiqua"/>
        </w:rPr>
        <w:t>fueled thermal resources were assumed to retire at 40 years</w:t>
      </w:r>
      <w:r w:rsidR="00194546">
        <w:rPr>
          <w:rFonts w:ascii="Book Antiqua" w:hAnsi="Book Antiqua"/>
        </w:rPr>
        <w:t xml:space="preserve"> of age</w:t>
      </w:r>
      <w:r w:rsidRPr="001A7699">
        <w:rPr>
          <w:rFonts w:ascii="Book Antiqua" w:hAnsi="Book Antiqua"/>
        </w:rPr>
        <w:t xml:space="preserve">. </w:t>
      </w:r>
    </w:p>
    <w:p w14:paraId="6DD2BF09" w14:textId="519077E4" w:rsidR="00FE202E" w:rsidRPr="001A7699" w:rsidRDefault="00FE202E" w:rsidP="00FE202E">
      <w:pPr>
        <w:pStyle w:val="sub2"/>
        <w:rPr>
          <w:rFonts w:ascii="Book Antiqua" w:hAnsi="Book Antiqua"/>
        </w:rPr>
      </w:pPr>
      <w:r w:rsidRPr="001A7699">
        <w:rPr>
          <w:rFonts w:ascii="Book Antiqua" w:hAnsi="Book Antiqua"/>
        </w:rPr>
        <w:t>For the as</w:t>
      </w:r>
      <w:r w:rsidR="00194546">
        <w:rPr>
          <w:rFonts w:ascii="Book Antiqua" w:hAnsi="Book Antiqua"/>
        </w:rPr>
        <w:t>-</w:t>
      </w:r>
      <w:r w:rsidRPr="001A7699">
        <w:rPr>
          <w:rFonts w:ascii="Book Antiqua" w:hAnsi="Book Antiqua"/>
        </w:rPr>
        <w:t>found study, Commission staff found very few loss</w:t>
      </w:r>
      <w:r w:rsidR="00D84A09" w:rsidRPr="001A7699">
        <w:rPr>
          <w:rFonts w:ascii="Book Antiqua" w:hAnsi="Book Antiqua"/>
        </w:rPr>
        <w:noBreakHyphen/>
      </w:r>
      <w:r w:rsidRPr="001A7699">
        <w:rPr>
          <w:rFonts w:ascii="Book Antiqua" w:hAnsi="Book Antiqua"/>
        </w:rPr>
        <w:t>of</w:t>
      </w:r>
      <w:r w:rsidR="00D84A09" w:rsidRPr="001A7699">
        <w:rPr>
          <w:rFonts w:ascii="Book Antiqua" w:hAnsi="Book Antiqua"/>
        </w:rPr>
        <w:noBreakHyphen/>
      </w:r>
      <w:r w:rsidRPr="001A7699">
        <w:rPr>
          <w:rFonts w:ascii="Book Antiqua" w:hAnsi="Book Antiqua"/>
        </w:rPr>
        <w:t xml:space="preserve">load events in 2030.  Commission staff defined a </w:t>
      </w:r>
      <w:r w:rsidR="00194546">
        <w:rPr>
          <w:rFonts w:ascii="Book Antiqua" w:hAnsi="Book Antiqua"/>
        </w:rPr>
        <w:t>loss-of-load event</w:t>
      </w:r>
      <w:r w:rsidR="00194546" w:rsidRPr="001A7699">
        <w:rPr>
          <w:rFonts w:ascii="Book Antiqua" w:hAnsi="Book Antiqua"/>
        </w:rPr>
        <w:t xml:space="preserve"> </w:t>
      </w:r>
      <w:r w:rsidRPr="001A7699">
        <w:rPr>
          <w:rFonts w:ascii="Book Antiqua" w:hAnsi="Book Antiqua"/>
        </w:rPr>
        <w:t xml:space="preserve">as an </w:t>
      </w:r>
      <w:r w:rsidR="00194546">
        <w:rPr>
          <w:rFonts w:ascii="Book Antiqua" w:hAnsi="Book Antiqua"/>
        </w:rPr>
        <w:t>instance</w:t>
      </w:r>
      <w:r w:rsidR="00194546" w:rsidRPr="001A7699">
        <w:rPr>
          <w:rFonts w:ascii="Book Antiqua" w:hAnsi="Book Antiqua"/>
        </w:rPr>
        <w:t xml:space="preserve"> </w:t>
      </w:r>
      <w:r w:rsidRPr="001A7699">
        <w:rPr>
          <w:rFonts w:ascii="Book Antiqua" w:hAnsi="Book Antiqua"/>
        </w:rPr>
        <w:t>where hourly unit dispatch is unable to serve firm electric demand or necessary reserves (spinning reserves and regulation up, but not non</w:t>
      </w:r>
      <w:r w:rsidR="00D84A09" w:rsidRPr="001A7699">
        <w:rPr>
          <w:rFonts w:ascii="Book Antiqua" w:hAnsi="Book Antiqua"/>
        </w:rPr>
        <w:noBreakHyphen/>
      </w:r>
      <w:r w:rsidRPr="001A7699">
        <w:rPr>
          <w:rFonts w:ascii="Book Antiqua" w:hAnsi="Book Antiqua"/>
        </w:rPr>
        <w:t xml:space="preserve">spinning reserves) either by providing capacity or economically curtailing load. </w:t>
      </w:r>
      <w:r w:rsidR="00C961F7" w:rsidRPr="001A7699">
        <w:rPr>
          <w:rFonts w:ascii="Book Antiqua" w:hAnsi="Book Antiqua"/>
        </w:rPr>
        <w:t xml:space="preserve"> </w:t>
      </w:r>
      <w:r w:rsidRPr="001A7699">
        <w:rPr>
          <w:rFonts w:ascii="Book Antiqua" w:hAnsi="Book Antiqua"/>
        </w:rPr>
        <w:t>All of the loss</w:t>
      </w:r>
      <w:r w:rsidR="00D84A09" w:rsidRPr="001A7699">
        <w:rPr>
          <w:rFonts w:ascii="Book Antiqua" w:hAnsi="Book Antiqua"/>
        </w:rPr>
        <w:noBreakHyphen/>
      </w:r>
      <w:r w:rsidRPr="001A7699">
        <w:rPr>
          <w:rFonts w:ascii="Book Antiqua" w:hAnsi="Book Antiqua"/>
        </w:rPr>
        <w:t>of</w:t>
      </w:r>
      <w:r w:rsidR="00D84A09" w:rsidRPr="001A7699">
        <w:rPr>
          <w:rFonts w:ascii="Book Antiqua" w:hAnsi="Book Antiqua"/>
        </w:rPr>
        <w:noBreakHyphen/>
      </w:r>
      <w:r w:rsidRPr="001A7699">
        <w:rPr>
          <w:rFonts w:ascii="Book Antiqua" w:hAnsi="Book Antiqua"/>
        </w:rPr>
        <w:t>load metric results were small, though staff’s modeling results did show a loss of non</w:t>
      </w:r>
      <w:r w:rsidR="00D84A09" w:rsidRPr="001A7699">
        <w:rPr>
          <w:rFonts w:ascii="Book Antiqua" w:hAnsi="Book Antiqua"/>
        </w:rPr>
        <w:noBreakHyphen/>
      </w:r>
      <w:r w:rsidRPr="001A7699">
        <w:rPr>
          <w:rFonts w:ascii="Book Antiqua" w:hAnsi="Book Antiqua"/>
        </w:rPr>
        <w:t xml:space="preserve">spinning reserves.  Generally, the system performed more reliably than the 0.1 LOLE </w:t>
      </w:r>
      <w:r w:rsidR="00194546">
        <w:rPr>
          <w:rFonts w:ascii="Book Antiqua" w:hAnsi="Book Antiqua"/>
        </w:rPr>
        <w:t>target</w:t>
      </w:r>
      <w:r w:rsidRPr="001A7699">
        <w:rPr>
          <w:rFonts w:ascii="Book Antiqua" w:hAnsi="Book Antiqua"/>
        </w:rPr>
        <w:t>.</w:t>
      </w:r>
      <w:r w:rsidR="00194546">
        <w:rPr>
          <w:rFonts w:ascii="Book Antiqua" w:hAnsi="Book Antiqua"/>
        </w:rPr>
        <w:t xml:space="preserve">  Modeling results also showed that loss of non-spinning reserves occurred somewhat more often than loss-of-load events. </w:t>
      </w:r>
      <w:r w:rsidR="00A52514">
        <w:rPr>
          <w:rFonts w:ascii="Book Antiqua" w:hAnsi="Book Antiqua"/>
        </w:rPr>
        <w:t xml:space="preserve"> </w:t>
      </w:r>
      <w:r w:rsidR="00194546">
        <w:rPr>
          <w:rFonts w:ascii="Book Antiqua" w:hAnsi="Book Antiqua"/>
        </w:rPr>
        <w:t>However, shortages of non-spinning reserves were not defined as a reliability event and were not analyzed further.</w:t>
      </w:r>
      <w:r w:rsidRPr="001A7699">
        <w:rPr>
          <w:rFonts w:ascii="Book Antiqua" w:hAnsi="Book Antiqua"/>
        </w:rPr>
        <w:t xml:space="preserve"> </w:t>
      </w:r>
    </w:p>
    <w:p w14:paraId="48F7A5B2" w14:textId="77777777" w:rsidR="00FE202E" w:rsidRPr="001A7699" w:rsidRDefault="00FE202E" w:rsidP="00FE202E">
      <w:pPr>
        <w:pStyle w:val="sub2"/>
        <w:rPr>
          <w:rFonts w:ascii="Book Antiqua" w:hAnsi="Book Antiqua"/>
        </w:rPr>
      </w:pPr>
      <w:r w:rsidRPr="001A7699">
        <w:rPr>
          <w:rFonts w:ascii="Book Antiqua" w:hAnsi="Book Antiqua"/>
        </w:rPr>
        <w:t xml:space="preserve">When staff calibrated the study to meet the 0.1 LOLE </w:t>
      </w:r>
      <w:r w:rsidR="00194546">
        <w:rPr>
          <w:rFonts w:ascii="Book Antiqua" w:hAnsi="Book Antiqua"/>
        </w:rPr>
        <w:t>target</w:t>
      </w:r>
      <w:r w:rsidR="00194546" w:rsidRPr="001A7699">
        <w:rPr>
          <w:rFonts w:ascii="Book Antiqua" w:hAnsi="Book Antiqua"/>
        </w:rPr>
        <w:t xml:space="preserve"> </w:t>
      </w:r>
      <w:r w:rsidRPr="001A7699">
        <w:rPr>
          <w:rFonts w:ascii="Book Antiqua" w:hAnsi="Book Antiqua"/>
        </w:rPr>
        <w:t xml:space="preserve">by removing additional </w:t>
      </w:r>
      <w:r w:rsidR="00194546">
        <w:rPr>
          <w:rFonts w:ascii="Book Antiqua" w:hAnsi="Book Antiqua"/>
        </w:rPr>
        <w:t xml:space="preserve">existing </w:t>
      </w:r>
      <w:r w:rsidRPr="001A7699">
        <w:rPr>
          <w:rFonts w:ascii="Book Antiqua" w:hAnsi="Book Antiqua"/>
        </w:rPr>
        <w:t xml:space="preserve">capacity, the reliability metrics indicated </w:t>
      </w:r>
      <w:r w:rsidR="00194546">
        <w:rPr>
          <w:rFonts w:ascii="Book Antiqua" w:hAnsi="Book Antiqua"/>
        </w:rPr>
        <w:t>a decrease in</w:t>
      </w:r>
      <w:r w:rsidR="00194546" w:rsidRPr="001A7699">
        <w:rPr>
          <w:rFonts w:ascii="Book Antiqua" w:hAnsi="Book Antiqua"/>
        </w:rPr>
        <w:t xml:space="preserve"> </w:t>
      </w:r>
      <w:r w:rsidRPr="001A7699">
        <w:rPr>
          <w:rFonts w:ascii="Book Antiqua" w:hAnsi="Book Antiqua"/>
        </w:rPr>
        <w:t xml:space="preserve">reliability </w:t>
      </w:r>
      <w:r w:rsidR="00194546">
        <w:rPr>
          <w:rFonts w:ascii="Book Antiqua" w:hAnsi="Book Antiqua"/>
        </w:rPr>
        <w:t>relative to the as-found system, as expected</w:t>
      </w:r>
      <w:r w:rsidRPr="001A7699">
        <w:rPr>
          <w:rFonts w:ascii="Book Antiqua" w:hAnsi="Book Antiqua"/>
        </w:rPr>
        <w:t>.  Expected unserved energy was approximately 100 megawatt</w:t>
      </w:r>
      <w:r w:rsidR="00D84A09" w:rsidRPr="001A7699">
        <w:rPr>
          <w:rFonts w:ascii="Book Antiqua" w:hAnsi="Book Antiqua"/>
        </w:rPr>
        <w:noBreakHyphen/>
      </w:r>
      <w:r w:rsidRPr="001A7699">
        <w:rPr>
          <w:rFonts w:ascii="Book Antiqua" w:hAnsi="Book Antiqua"/>
        </w:rPr>
        <w:t xml:space="preserve">hours (MWh) and mostly occurred in July through September, in the hours between 6 and 9 p.m.  It is also important to note that the capacity removed </w:t>
      </w:r>
      <w:r w:rsidR="00194546">
        <w:rPr>
          <w:rFonts w:ascii="Book Antiqua" w:hAnsi="Book Antiqua"/>
        </w:rPr>
        <w:t xml:space="preserve">in these studies </w:t>
      </w:r>
      <w:r w:rsidRPr="001A7699">
        <w:rPr>
          <w:rFonts w:ascii="Book Antiqua" w:hAnsi="Book Antiqua"/>
        </w:rPr>
        <w:t xml:space="preserve">is based on </w:t>
      </w:r>
      <w:r w:rsidR="00194546">
        <w:rPr>
          <w:rFonts w:ascii="Book Antiqua" w:hAnsi="Book Antiqua"/>
        </w:rPr>
        <w:t xml:space="preserve">a </w:t>
      </w:r>
      <w:r w:rsidRPr="001A7699">
        <w:rPr>
          <w:rFonts w:ascii="Book Antiqua" w:hAnsi="Book Antiqua"/>
        </w:rPr>
        <w:t xml:space="preserve">modeling convention and is not meant to be indicative or predictive of actual unit retirements.  </w:t>
      </w:r>
    </w:p>
    <w:p w14:paraId="5F9C6704" w14:textId="1CD3DC69" w:rsidR="001A0F7D" w:rsidRDefault="00FE202E" w:rsidP="00FE202E">
      <w:pPr>
        <w:pStyle w:val="sub2"/>
        <w:rPr>
          <w:rFonts w:ascii="Book Antiqua" w:hAnsi="Book Antiqua"/>
        </w:rPr>
      </w:pPr>
      <w:r w:rsidRPr="001A7699">
        <w:rPr>
          <w:rFonts w:ascii="Book Antiqua" w:hAnsi="Book Antiqua"/>
        </w:rPr>
        <w:t>In both the as</w:t>
      </w:r>
      <w:r w:rsidR="00D84A09" w:rsidRPr="001A7699">
        <w:rPr>
          <w:rFonts w:ascii="Book Antiqua" w:hAnsi="Book Antiqua"/>
        </w:rPr>
        <w:noBreakHyphen/>
      </w:r>
      <w:r w:rsidRPr="001A7699">
        <w:rPr>
          <w:rFonts w:ascii="Book Antiqua" w:hAnsi="Book Antiqua"/>
        </w:rPr>
        <w:t xml:space="preserve">found study and the calibrated LOLE study, Commission staff found that there would be more imports, fewer exports, and less curtailment than the previous SERVM study of the RSP, calibrated to the 2017 IEPR assumptions (first presented in the September 24, 2018 ALJ ruling). </w:t>
      </w:r>
      <w:r w:rsidR="00C961F7" w:rsidRPr="001A7699">
        <w:rPr>
          <w:rFonts w:ascii="Book Antiqua" w:hAnsi="Book Antiqua"/>
        </w:rPr>
        <w:t xml:space="preserve"> </w:t>
      </w:r>
    </w:p>
    <w:p w14:paraId="0E28FDFD" w14:textId="77777777" w:rsidR="00FE202E" w:rsidRPr="001A7699" w:rsidRDefault="00FE202E" w:rsidP="00FE202E">
      <w:pPr>
        <w:pStyle w:val="sub2"/>
        <w:rPr>
          <w:rFonts w:ascii="Book Antiqua" w:hAnsi="Book Antiqua"/>
        </w:rPr>
      </w:pPr>
      <w:r w:rsidRPr="001A7699">
        <w:rPr>
          <w:rFonts w:ascii="Book Antiqua" w:hAnsi="Book Antiqua"/>
        </w:rPr>
        <w:t>Changes to amounts and types of resources delivering energy within the CAISO area contributed to this outcome.  The changes include a decrease in the amount of thermal generation within the CAISO, fewer baseload resources such as geothermal and cogeneration, less existing out</w:t>
      </w:r>
      <w:r w:rsidR="00D84A09" w:rsidRPr="001A7699">
        <w:rPr>
          <w:rFonts w:ascii="Book Antiqua" w:hAnsi="Book Antiqua"/>
        </w:rPr>
        <w:noBreakHyphen/>
      </w:r>
      <w:r w:rsidRPr="001A7699">
        <w:rPr>
          <w:rFonts w:ascii="Book Antiqua" w:hAnsi="Book Antiqua"/>
        </w:rPr>
        <w:t>of</w:t>
      </w:r>
      <w:r w:rsidR="00D84A09" w:rsidRPr="001A7699">
        <w:rPr>
          <w:rFonts w:ascii="Book Antiqua" w:hAnsi="Book Antiqua"/>
        </w:rPr>
        <w:noBreakHyphen/>
      </w:r>
      <w:r w:rsidRPr="001A7699">
        <w:rPr>
          <w:rFonts w:ascii="Book Antiqua" w:hAnsi="Book Antiqua"/>
        </w:rPr>
        <w:t xml:space="preserve">state wind being counted as within the CAISO, and lower assumed production from </w:t>
      </w:r>
      <w:r w:rsidR="00F77C71">
        <w:rPr>
          <w:rFonts w:ascii="Book Antiqua" w:hAnsi="Book Antiqua"/>
        </w:rPr>
        <w:t>behind-the-meter (</w:t>
      </w:r>
      <w:r w:rsidRPr="001A7699">
        <w:rPr>
          <w:rFonts w:ascii="Book Antiqua" w:hAnsi="Book Antiqua"/>
        </w:rPr>
        <w:t>BTM</w:t>
      </w:r>
      <w:r w:rsidR="00F77C71">
        <w:rPr>
          <w:rFonts w:ascii="Book Antiqua" w:hAnsi="Book Antiqua"/>
        </w:rPr>
        <w:t>)</w:t>
      </w:r>
      <w:r w:rsidRPr="001A7699">
        <w:rPr>
          <w:rFonts w:ascii="Book Antiqua" w:hAnsi="Book Antiqua"/>
        </w:rPr>
        <w:t xml:space="preserve"> solar PV</w:t>
      </w:r>
      <w:r w:rsidR="007F2F58">
        <w:rPr>
          <w:rFonts w:ascii="Book Antiqua" w:hAnsi="Book Antiqua"/>
        </w:rPr>
        <w:t xml:space="preserve"> (though the amount of solar capacity assumed is the same)</w:t>
      </w:r>
      <w:r w:rsidRPr="001A7699">
        <w:rPr>
          <w:rFonts w:ascii="Book Antiqua" w:hAnsi="Book Antiqua"/>
        </w:rPr>
        <w:t xml:space="preserve">.  The </w:t>
      </w:r>
      <w:r w:rsidR="002B721B" w:rsidRPr="001A7699">
        <w:rPr>
          <w:rFonts w:ascii="Book Antiqua" w:hAnsi="Book Antiqua"/>
        </w:rPr>
        <w:t>HCP</w:t>
      </w:r>
      <w:r w:rsidRPr="001A7699">
        <w:rPr>
          <w:rFonts w:ascii="Book Antiqua" w:hAnsi="Book Antiqua"/>
        </w:rPr>
        <w:t xml:space="preserve"> has significantly higher unspecified imports to make up for the reduced amounts of CAISO generation.  Curtailment is also reduced because there is less must</w:t>
      </w:r>
      <w:r w:rsidR="00D84A09" w:rsidRPr="001A7699">
        <w:rPr>
          <w:rFonts w:ascii="Book Antiqua" w:hAnsi="Book Antiqua"/>
        </w:rPr>
        <w:noBreakHyphen/>
      </w:r>
      <w:r w:rsidRPr="001A7699">
        <w:rPr>
          <w:rFonts w:ascii="Book Antiqua" w:hAnsi="Book Antiqua"/>
        </w:rPr>
        <w:t xml:space="preserve">take generation in the CAISO area. </w:t>
      </w:r>
    </w:p>
    <w:p w14:paraId="55A49E36" w14:textId="77777777" w:rsidR="00FE202E" w:rsidRPr="001A7699" w:rsidRDefault="00FE202E" w:rsidP="00FE202E">
      <w:pPr>
        <w:pStyle w:val="sub2"/>
        <w:rPr>
          <w:rFonts w:ascii="Book Antiqua" w:hAnsi="Book Antiqua"/>
        </w:rPr>
      </w:pPr>
      <w:r w:rsidRPr="001A7699">
        <w:rPr>
          <w:rFonts w:ascii="Book Antiqua" w:hAnsi="Book Antiqua"/>
        </w:rPr>
        <w:t xml:space="preserve">When additional </w:t>
      </w:r>
      <w:r w:rsidR="006D0675">
        <w:rPr>
          <w:rFonts w:ascii="Book Antiqua" w:hAnsi="Book Antiqua"/>
        </w:rPr>
        <w:t xml:space="preserve">existing </w:t>
      </w:r>
      <w:r w:rsidRPr="001A7699">
        <w:rPr>
          <w:rFonts w:ascii="Book Antiqua" w:hAnsi="Book Antiqua"/>
        </w:rPr>
        <w:t>capacity was removed for the calibrated LOLE study, unspecified imports further increased, and curtailment further decreased.  The removal of additional capacity included removal of must</w:t>
      </w:r>
      <w:r w:rsidR="00D84A09" w:rsidRPr="001A7699">
        <w:rPr>
          <w:rFonts w:ascii="Book Antiqua" w:hAnsi="Book Antiqua"/>
        </w:rPr>
        <w:noBreakHyphen/>
      </w:r>
      <w:r w:rsidRPr="001A7699">
        <w:rPr>
          <w:rFonts w:ascii="Book Antiqua" w:hAnsi="Book Antiqua"/>
        </w:rPr>
        <w:t xml:space="preserve">run cogeneration which therefore allowed an increase in usable renewable output to serve load and increased natural gas peaking utilization to integrate the renewables. </w:t>
      </w:r>
    </w:p>
    <w:p w14:paraId="27566C83" w14:textId="77777777" w:rsidR="00FE202E" w:rsidRPr="001A7699" w:rsidRDefault="00FE202E" w:rsidP="00FE202E">
      <w:pPr>
        <w:pStyle w:val="sub2"/>
        <w:rPr>
          <w:rFonts w:ascii="Book Antiqua" w:hAnsi="Book Antiqua"/>
        </w:rPr>
      </w:pPr>
      <w:r w:rsidRPr="001A7699">
        <w:rPr>
          <w:rFonts w:ascii="Book Antiqua" w:hAnsi="Book Antiqua"/>
        </w:rPr>
        <w:t xml:space="preserve">In both the </w:t>
      </w:r>
      <w:r w:rsidR="00B91532">
        <w:rPr>
          <w:rFonts w:ascii="Book Antiqua" w:hAnsi="Book Antiqua"/>
        </w:rPr>
        <w:t>as-found</w:t>
      </w:r>
      <w:r w:rsidR="00B91532" w:rsidRPr="001A7699">
        <w:rPr>
          <w:rFonts w:ascii="Book Antiqua" w:hAnsi="Book Antiqua"/>
        </w:rPr>
        <w:t xml:space="preserve"> </w:t>
      </w:r>
      <w:r w:rsidRPr="001A7699">
        <w:rPr>
          <w:rFonts w:ascii="Book Antiqua" w:hAnsi="Book Antiqua"/>
        </w:rPr>
        <w:t xml:space="preserve">and the calibrated LOLE study cases, the CAISO would be a net importer in 11 months of the year.  In general, storage volumes look similar across different seasons and weather.  Significant amounts of spring mid day excess energy are exported and/or curtailed. </w:t>
      </w:r>
    </w:p>
    <w:p w14:paraId="398DB0D6" w14:textId="77777777" w:rsidR="00FE202E" w:rsidRDefault="00FE202E" w:rsidP="00C8182B">
      <w:pPr>
        <w:pStyle w:val="Heading4"/>
      </w:pPr>
      <w:r>
        <w:t>Renewables Portfolio Standard Results</w:t>
      </w:r>
    </w:p>
    <w:p w14:paraId="0BC5D404" w14:textId="77777777" w:rsidR="00FE202E" w:rsidRPr="001A7699" w:rsidRDefault="00FE202E" w:rsidP="00FE202E">
      <w:pPr>
        <w:pStyle w:val="sub2"/>
        <w:rPr>
          <w:rFonts w:ascii="Book Antiqua" w:hAnsi="Book Antiqua"/>
        </w:rPr>
      </w:pPr>
      <w:r w:rsidRPr="001A7699">
        <w:rPr>
          <w:rFonts w:ascii="Book Antiqua" w:hAnsi="Book Antiqua"/>
        </w:rPr>
        <w:t xml:space="preserve">Commission staff also reported some metrics from the SERVM modeling of the </w:t>
      </w:r>
      <w:r w:rsidR="002B721B" w:rsidRPr="001A7699">
        <w:rPr>
          <w:rFonts w:ascii="Book Antiqua" w:hAnsi="Book Antiqua"/>
        </w:rPr>
        <w:t>HCP</w:t>
      </w:r>
      <w:r w:rsidRPr="001A7699">
        <w:rPr>
          <w:rFonts w:ascii="Book Antiqua" w:hAnsi="Book Antiqua"/>
        </w:rPr>
        <w:t xml:space="preserve"> related to the renewables portfolio standard (RPS) requirements.</w:t>
      </w:r>
      <w:r w:rsidR="00C961F7" w:rsidRPr="001A7699">
        <w:rPr>
          <w:rFonts w:ascii="Book Antiqua" w:hAnsi="Book Antiqua"/>
        </w:rPr>
        <w:t xml:space="preserve"> </w:t>
      </w:r>
      <w:r w:rsidRPr="001A7699">
        <w:rPr>
          <w:rFonts w:ascii="Book Antiqua" w:hAnsi="Book Antiqua"/>
        </w:rPr>
        <w:t xml:space="preserve"> Staff found that because the </w:t>
      </w:r>
      <w:r w:rsidR="002B721B" w:rsidRPr="001A7699">
        <w:rPr>
          <w:rFonts w:ascii="Book Antiqua" w:hAnsi="Book Antiqua"/>
        </w:rPr>
        <w:t>HCP</w:t>
      </w:r>
      <w:r w:rsidRPr="001A7699">
        <w:rPr>
          <w:rFonts w:ascii="Book Antiqua" w:hAnsi="Book Antiqua"/>
        </w:rPr>
        <w:t xml:space="preserve"> contained less geothermal energy, moderately less existing out</w:t>
      </w:r>
      <w:r w:rsidR="00D84A09" w:rsidRPr="001A7699">
        <w:rPr>
          <w:rFonts w:ascii="Book Antiqua" w:hAnsi="Book Antiqua"/>
        </w:rPr>
        <w:noBreakHyphen/>
      </w:r>
      <w:r w:rsidRPr="001A7699">
        <w:rPr>
          <w:rFonts w:ascii="Book Antiqua" w:hAnsi="Book Antiqua"/>
        </w:rPr>
        <w:t>of</w:t>
      </w:r>
      <w:r w:rsidR="00D84A09" w:rsidRPr="001A7699">
        <w:rPr>
          <w:rFonts w:ascii="Book Antiqua" w:hAnsi="Book Antiqua"/>
        </w:rPr>
        <w:noBreakHyphen/>
      </w:r>
      <w:r w:rsidRPr="001A7699">
        <w:rPr>
          <w:rFonts w:ascii="Book Antiqua" w:hAnsi="Book Antiqua"/>
        </w:rPr>
        <w:t>state wind counted as within the CAISO, and moderately higher retail sales from less assumed BTM solar PV energy production</w:t>
      </w:r>
      <w:r w:rsidR="007F2F58">
        <w:rPr>
          <w:rFonts w:ascii="Book Antiqua" w:hAnsi="Book Antiqua"/>
        </w:rPr>
        <w:t xml:space="preserve"> (though with identical solar capacity amounts)</w:t>
      </w:r>
      <w:r w:rsidRPr="001A7699">
        <w:rPr>
          <w:rFonts w:ascii="Book Antiqua" w:hAnsi="Book Antiqua"/>
        </w:rPr>
        <w:t>, these changes</w:t>
      </w:r>
      <w:r w:rsidR="00B91532">
        <w:rPr>
          <w:rFonts w:ascii="Book Antiqua" w:hAnsi="Book Antiqua"/>
        </w:rPr>
        <w:t xml:space="preserve">, </w:t>
      </w:r>
      <w:r w:rsidR="007F2F58">
        <w:rPr>
          <w:rFonts w:ascii="Book Antiqua" w:hAnsi="Book Antiqua"/>
        </w:rPr>
        <w:t>mostly</w:t>
      </w:r>
      <w:r w:rsidR="00B91532">
        <w:rPr>
          <w:rFonts w:ascii="Book Antiqua" w:hAnsi="Book Antiqua"/>
        </w:rPr>
        <w:t xml:space="preserve"> </w:t>
      </w:r>
      <w:r w:rsidR="007F2F58">
        <w:rPr>
          <w:rFonts w:ascii="Book Antiqua" w:hAnsi="Book Antiqua"/>
        </w:rPr>
        <w:t xml:space="preserve">associated with </w:t>
      </w:r>
      <w:r w:rsidR="00B91532">
        <w:rPr>
          <w:rFonts w:ascii="Book Antiqua" w:hAnsi="Book Antiqua"/>
        </w:rPr>
        <w:t>LSE resource selection,</w:t>
      </w:r>
      <w:r w:rsidRPr="001A7699">
        <w:rPr>
          <w:rFonts w:ascii="Book Antiqua" w:hAnsi="Book Antiqua"/>
        </w:rPr>
        <w:t xml:space="preserve"> collectively resulted in a lower calculated CAISO RPS percentage (51.5</w:t>
      </w:r>
      <w:r w:rsidR="00D0161E" w:rsidRPr="001A7699">
        <w:rPr>
          <w:rFonts w:ascii="Book Antiqua" w:hAnsi="Book Antiqua"/>
        </w:rPr>
        <w:t>%</w:t>
      </w:r>
      <w:r w:rsidRPr="001A7699">
        <w:rPr>
          <w:rFonts w:ascii="Book Antiqua" w:hAnsi="Book Antiqua"/>
        </w:rPr>
        <w:t>), relative to the SERVM results from the RSP using 2017 IEPR assumptions (58.3</w:t>
      </w:r>
      <w:r w:rsidR="00D0161E" w:rsidRPr="001A7699">
        <w:rPr>
          <w:rFonts w:ascii="Book Antiqua" w:hAnsi="Book Antiqua"/>
        </w:rPr>
        <w:t>%</w:t>
      </w:r>
      <w:r w:rsidRPr="001A7699">
        <w:rPr>
          <w:rFonts w:ascii="Book Antiqua" w:hAnsi="Book Antiqua"/>
        </w:rPr>
        <w:t xml:space="preserve">). </w:t>
      </w:r>
    </w:p>
    <w:p w14:paraId="3F6361DD" w14:textId="77777777" w:rsidR="00FE202E" w:rsidRPr="001A7699" w:rsidRDefault="00FE202E" w:rsidP="00FE202E">
      <w:pPr>
        <w:pStyle w:val="sub2"/>
        <w:rPr>
          <w:rFonts w:ascii="Book Antiqua" w:hAnsi="Book Antiqua"/>
        </w:rPr>
      </w:pPr>
      <w:r w:rsidRPr="001A7699">
        <w:rPr>
          <w:rFonts w:ascii="Book Antiqua" w:hAnsi="Book Antiqua"/>
        </w:rPr>
        <w:t>As previously reported by Commission staff, curtailment of renewables is quite a bit higher in the SERVM analysis of the RSP with the 2017 IEPR assumptions (9.8</w:t>
      </w:r>
      <w:r w:rsidR="00D0161E" w:rsidRPr="001A7699">
        <w:rPr>
          <w:rFonts w:ascii="Book Antiqua" w:hAnsi="Book Antiqua"/>
        </w:rPr>
        <w:t>%</w:t>
      </w:r>
      <w:r w:rsidRPr="001A7699">
        <w:rPr>
          <w:rFonts w:ascii="Book Antiqua" w:hAnsi="Book Antiqua"/>
        </w:rPr>
        <w:t>), than was orig</w:t>
      </w:r>
      <w:r w:rsidR="00C961F7" w:rsidRPr="001A7699">
        <w:rPr>
          <w:rFonts w:ascii="Book Antiqua" w:hAnsi="Book Antiqua"/>
        </w:rPr>
        <w:t>inally reported by RESOLVE (4.2</w:t>
      </w:r>
      <w:r w:rsidR="00D0161E" w:rsidRPr="001A7699">
        <w:rPr>
          <w:rFonts w:ascii="Book Antiqua" w:hAnsi="Book Antiqua"/>
        </w:rPr>
        <w:t>%</w:t>
      </w:r>
      <w:r w:rsidRPr="001A7699">
        <w:rPr>
          <w:rFonts w:ascii="Book Antiqua" w:hAnsi="Book Antiqua"/>
        </w:rPr>
        <w:t xml:space="preserve">), even </w:t>
      </w:r>
      <w:r w:rsidR="006D0675">
        <w:rPr>
          <w:rFonts w:ascii="Book Antiqua" w:hAnsi="Book Antiqua"/>
        </w:rPr>
        <w:t>when modeling the same portfolio</w:t>
      </w:r>
      <w:r w:rsidRPr="001A7699">
        <w:rPr>
          <w:rFonts w:ascii="Book Antiqua" w:hAnsi="Book Antiqua"/>
        </w:rPr>
        <w:t xml:space="preserve">.  The model input changes introduced with the </w:t>
      </w:r>
      <w:r w:rsidR="002B721B" w:rsidRPr="001A7699">
        <w:rPr>
          <w:rFonts w:ascii="Book Antiqua" w:hAnsi="Book Antiqua"/>
        </w:rPr>
        <w:t>HCP</w:t>
      </w:r>
      <w:r w:rsidRPr="001A7699">
        <w:rPr>
          <w:rFonts w:ascii="Book Antiqua" w:hAnsi="Book Antiqua"/>
        </w:rPr>
        <w:t xml:space="preserve"> resulted in moderately lower curtailment (8</w:t>
      </w:r>
      <w:r w:rsidR="00D0161E" w:rsidRPr="001A7699">
        <w:rPr>
          <w:rFonts w:ascii="Book Antiqua" w:hAnsi="Book Antiqua"/>
        </w:rPr>
        <w:t>%</w:t>
      </w:r>
      <w:r w:rsidRPr="001A7699">
        <w:rPr>
          <w:rFonts w:ascii="Book Antiqua" w:hAnsi="Book Antiqua"/>
        </w:rPr>
        <w:t xml:space="preserve">). </w:t>
      </w:r>
      <w:r w:rsidR="00C961F7" w:rsidRPr="001A7699">
        <w:rPr>
          <w:rFonts w:ascii="Book Antiqua" w:hAnsi="Book Antiqua"/>
        </w:rPr>
        <w:t xml:space="preserve"> </w:t>
      </w:r>
      <w:r w:rsidR="00295559">
        <w:rPr>
          <w:rFonts w:ascii="Book Antiqua" w:hAnsi="Book Antiqua"/>
        </w:rPr>
        <w:t xml:space="preserve">These results are likely due to modeling differences and not predictive of </w:t>
      </w:r>
      <w:r w:rsidR="00AC3341">
        <w:rPr>
          <w:rFonts w:ascii="Book Antiqua" w:hAnsi="Book Antiqua"/>
        </w:rPr>
        <w:t>actual curtailment differences between the cases; m</w:t>
      </w:r>
      <w:r w:rsidRPr="001A7699">
        <w:rPr>
          <w:rFonts w:ascii="Book Antiqua" w:hAnsi="Book Antiqua"/>
        </w:rPr>
        <w:t xml:space="preserve">ore work is planned for the next IRP cycle to align RESOLVE and SERVM such that curtailment and other outputs are in closer agreement. </w:t>
      </w:r>
    </w:p>
    <w:p w14:paraId="62AE2EE7" w14:textId="77777777" w:rsidR="00FE202E" w:rsidRDefault="00FE202E" w:rsidP="00C8182B">
      <w:pPr>
        <w:pStyle w:val="Heading4"/>
      </w:pPr>
      <w:r>
        <w:t>2030 Emissions Results</w:t>
      </w:r>
    </w:p>
    <w:p w14:paraId="4F4A4908" w14:textId="77777777" w:rsidR="00FE202E" w:rsidRPr="001A7699" w:rsidRDefault="00FE202E" w:rsidP="00FE202E">
      <w:pPr>
        <w:pStyle w:val="sub2"/>
        <w:rPr>
          <w:rFonts w:ascii="Book Antiqua" w:hAnsi="Book Antiqua"/>
        </w:rPr>
      </w:pPr>
      <w:r w:rsidRPr="001A7699">
        <w:rPr>
          <w:rFonts w:ascii="Book Antiqua" w:hAnsi="Book Antiqua"/>
        </w:rPr>
        <w:t xml:space="preserve">Commission staff also reported criteria pollutant and GHG emissions results from analyzing the </w:t>
      </w:r>
      <w:r w:rsidR="002B721B" w:rsidRPr="001A7699">
        <w:rPr>
          <w:rFonts w:ascii="Book Antiqua" w:hAnsi="Book Antiqua"/>
        </w:rPr>
        <w:t>HCP</w:t>
      </w:r>
      <w:r w:rsidRPr="001A7699">
        <w:rPr>
          <w:rFonts w:ascii="Book Antiqua" w:hAnsi="Book Antiqua"/>
        </w:rPr>
        <w:t xml:space="preserve">.  </w:t>
      </w:r>
    </w:p>
    <w:p w14:paraId="6FE08E12" w14:textId="77777777" w:rsidR="00FE202E" w:rsidRPr="001A7699" w:rsidRDefault="00FE202E" w:rsidP="00FE202E">
      <w:pPr>
        <w:pStyle w:val="sub2"/>
        <w:rPr>
          <w:rFonts w:ascii="Book Antiqua" w:hAnsi="Book Antiqua"/>
        </w:rPr>
      </w:pPr>
      <w:r w:rsidRPr="001A7699">
        <w:rPr>
          <w:rFonts w:ascii="Book Antiqua" w:hAnsi="Book Antiqua"/>
        </w:rPr>
        <w:t>For criteria pollutants, staff estimated total NOx and PM2.5 emissions as the sum of emissions from steady</w:t>
      </w:r>
      <w:r w:rsidR="006D0675">
        <w:rPr>
          <w:rFonts w:ascii="Book Antiqua" w:hAnsi="Book Antiqua"/>
        </w:rPr>
        <w:t>-</w:t>
      </w:r>
      <w:r w:rsidRPr="001A7699">
        <w:rPr>
          <w:rFonts w:ascii="Book Antiqua" w:hAnsi="Book Antiqua"/>
        </w:rPr>
        <w:t>state operations and hot, warm, and cold starts.  Staff used fuel burn, number and type of starts, and generation output from SERVM, applying appropriate emissions factors, to estimate emissions as a post</w:t>
      </w:r>
      <w:r w:rsidR="00D84A09" w:rsidRPr="001A7699">
        <w:rPr>
          <w:rFonts w:ascii="Book Antiqua" w:hAnsi="Book Antiqua"/>
        </w:rPr>
        <w:noBreakHyphen/>
      </w:r>
      <w:r w:rsidRPr="001A7699">
        <w:rPr>
          <w:rFonts w:ascii="Book Antiqua" w:hAnsi="Book Antiqua"/>
        </w:rPr>
        <w:t xml:space="preserve">processing step.  Where generator subtype (different types of thermal generators) was available, staff used that subtype to identify the appropriate emissions factor. </w:t>
      </w:r>
      <w:r w:rsidR="00C961F7" w:rsidRPr="001A7699">
        <w:rPr>
          <w:rFonts w:ascii="Book Antiqua" w:hAnsi="Book Antiqua"/>
        </w:rPr>
        <w:t xml:space="preserve"> </w:t>
      </w:r>
      <w:r w:rsidRPr="001A7699">
        <w:rPr>
          <w:rFonts w:ascii="Book Antiqua" w:hAnsi="Book Antiqua"/>
        </w:rPr>
        <w:t xml:space="preserve">No </w:t>
      </w:r>
      <w:r w:rsidR="00355B68">
        <w:rPr>
          <w:rFonts w:ascii="Book Antiqua" w:hAnsi="Book Antiqua"/>
        </w:rPr>
        <w:t xml:space="preserve">NOx </w:t>
      </w:r>
      <w:r w:rsidRPr="001A7699">
        <w:rPr>
          <w:rFonts w:ascii="Book Antiqua" w:hAnsi="Book Antiqua"/>
        </w:rPr>
        <w:t>factors for warm starts were available, so an average of cold and hot factors was used as an estimate.  Criteria pollutants were counted from within the CAISO only, and not from unspecified imports.  Then, emissions were grouped into two simplified categories:  those from generating units located in disadvantaged communities as defined by the California Environmental Protection Agency and in D.18</w:t>
      </w:r>
      <w:r w:rsidR="00D84A09" w:rsidRPr="001A7699">
        <w:rPr>
          <w:rFonts w:ascii="Book Antiqua" w:hAnsi="Book Antiqua"/>
        </w:rPr>
        <w:noBreakHyphen/>
      </w:r>
      <w:r w:rsidRPr="001A7699">
        <w:rPr>
          <w:rFonts w:ascii="Book Antiqua" w:hAnsi="Book Antiqua"/>
        </w:rPr>
        <w:t>02</w:t>
      </w:r>
      <w:r w:rsidR="00D84A09" w:rsidRPr="001A7699">
        <w:rPr>
          <w:rFonts w:ascii="Book Antiqua" w:hAnsi="Book Antiqua"/>
        </w:rPr>
        <w:noBreakHyphen/>
      </w:r>
      <w:r w:rsidRPr="001A7699">
        <w:rPr>
          <w:rFonts w:ascii="Book Antiqua" w:hAnsi="Book Antiqua"/>
        </w:rPr>
        <w:t xml:space="preserve">018 (even if the emissions may migrate beyond) and those from generation not located in disadvantaged communities (even if emissions may migrate into such communities). </w:t>
      </w:r>
    </w:p>
    <w:p w14:paraId="14B74466" w14:textId="77777777" w:rsidR="00FE202E" w:rsidRPr="001A7699" w:rsidRDefault="00FE202E" w:rsidP="00FE202E">
      <w:pPr>
        <w:pStyle w:val="sub2"/>
        <w:rPr>
          <w:rFonts w:ascii="Book Antiqua" w:hAnsi="Book Antiqua"/>
        </w:rPr>
      </w:pPr>
      <w:r w:rsidRPr="001A7699">
        <w:rPr>
          <w:rFonts w:ascii="Book Antiqua" w:hAnsi="Book Antiqua"/>
        </w:rPr>
        <w:t>Emissions are reported only from fossil</w:t>
      </w:r>
      <w:r w:rsidR="00D84A09" w:rsidRPr="001A7699">
        <w:rPr>
          <w:rFonts w:ascii="Book Antiqua" w:hAnsi="Book Antiqua"/>
        </w:rPr>
        <w:noBreakHyphen/>
      </w:r>
      <w:r w:rsidRPr="001A7699">
        <w:rPr>
          <w:rFonts w:ascii="Book Antiqua" w:hAnsi="Book Antiqua"/>
        </w:rPr>
        <w:t xml:space="preserve">fueled resources, and do not include emissions from biomass, biogas, or geothermal resources.  Emissions from unspecified imports are reported for GHG only, utilizing a uniform emissions factor from the California Air Resources Board (CARB). </w:t>
      </w:r>
    </w:p>
    <w:p w14:paraId="55C7BA45" w14:textId="77777777" w:rsidR="00FE202E" w:rsidRPr="001A7699" w:rsidRDefault="00FE202E" w:rsidP="00FE202E">
      <w:pPr>
        <w:pStyle w:val="sub2"/>
        <w:rPr>
          <w:rFonts w:ascii="Book Antiqua" w:hAnsi="Book Antiqua"/>
        </w:rPr>
      </w:pPr>
      <w:r w:rsidRPr="001A7699">
        <w:rPr>
          <w:rFonts w:ascii="Book Antiqua" w:hAnsi="Book Antiqua"/>
        </w:rPr>
        <w:t xml:space="preserve">Generally, the </w:t>
      </w:r>
      <w:r w:rsidR="002B721B" w:rsidRPr="001A7699">
        <w:rPr>
          <w:rFonts w:ascii="Book Antiqua" w:hAnsi="Book Antiqua"/>
        </w:rPr>
        <w:t>HCP</w:t>
      </w:r>
      <w:r w:rsidRPr="001A7699">
        <w:rPr>
          <w:rFonts w:ascii="Book Antiqua" w:hAnsi="Book Antiqua"/>
        </w:rPr>
        <w:t xml:space="preserve"> </w:t>
      </w:r>
      <w:r w:rsidR="001A0F7D">
        <w:rPr>
          <w:rFonts w:ascii="Book Antiqua" w:hAnsi="Book Antiqua"/>
        </w:rPr>
        <w:t xml:space="preserve">as-found </w:t>
      </w:r>
      <w:r w:rsidRPr="001A7699">
        <w:rPr>
          <w:rFonts w:ascii="Book Antiqua" w:hAnsi="Book Antiqua"/>
        </w:rPr>
        <w:t>and the calibrated LOLE study show lower criteria pollutant emissions in all categories than the RSP with 2017 IEPR assumptions.  This is partly due to the increased reliance on unspecified imports relative to the RSP</w:t>
      </w:r>
      <w:r w:rsidR="006D0675">
        <w:rPr>
          <w:rFonts w:ascii="Book Antiqua" w:hAnsi="Book Antiqua"/>
        </w:rPr>
        <w:t xml:space="preserve"> with 2017 IEPR assumptions</w:t>
      </w:r>
      <w:r w:rsidRPr="001A7699">
        <w:rPr>
          <w:rFonts w:ascii="Book Antiqua" w:hAnsi="Book Antiqua"/>
        </w:rPr>
        <w:t>, because the imports are not assigned criteria pollutant emissions in California.</w:t>
      </w:r>
      <w:r w:rsidR="00C961F7" w:rsidRPr="001A7699">
        <w:rPr>
          <w:rFonts w:ascii="Book Antiqua" w:hAnsi="Book Antiqua"/>
        </w:rPr>
        <w:t xml:space="preserve"> </w:t>
      </w:r>
      <w:r w:rsidRPr="001A7699">
        <w:rPr>
          <w:rFonts w:ascii="Book Antiqua" w:hAnsi="Book Antiqua"/>
        </w:rPr>
        <w:t xml:space="preserve"> It is also due to the thermal generation that was retired in the </w:t>
      </w:r>
      <w:r w:rsidR="002B721B" w:rsidRPr="001A7699">
        <w:rPr>
          <w:rFonts w:ascii="Book Antiqua" w:hAnsi="Book Antiqua"/>
        </w:rPr>
        <w:t>HCP</w:t>
      </w:r>
      <w:r w:rsidRPr="001A7699">
        <w:rPr>
          <w:rFonts w:ascii="Book Antiqua" w:hAnsi="Book Antiqua"/>
        </w:rPr>
        <w:t xml:space="preserve"> but retained in the RSP with 2017 IEPR assumptions.</w:t>
      </w:r>
    </w:p>
    <w:p w14:paraId="6A41D243" w14:textId="06BB5B06" w:rsidR="00FE202E" w:rsidRPr="001A7699" w:rsidRDefault="00FE202E" w:rsidP="00FE202E">
      <w:pPr>
        <w:pStyle w:val="sub2"/>
        <w:rPr>
          <w:rFonts w:ascii="Book Antiqua" w:hAnsi="Book Antiqua"/>
        </w:rPr>
      </w:pPr>
      <w:r w:rsidRPr="001A7699">
        <w:rPr>
          <w:rFonts w:ascii="Book Antiqua" w:hAnsi="Book Antiqua"/>
        </w:rPr>
        <w:t xml:space="preserve">For GHG emissions, on the other hand, the </w:t>
      </w:r>
      <w:r w:rsidR="002B721B" w:rsidRPr="001A7699">
        <w:rPr>
          <w:rFonts w:ascii="Book Antiqua" w:hAnsi="Book Antiqua"/>
        </w:rPr>
        <w:t>HCP</w:t>
      </w:r>
      <w:r w:rsidRPr="001A7699">
        <w:rPr>
          <w:rFonts w:ascii="Book Antiqua" w:hAnsi="Book Antiqua"/>
        </w:rPr>
        <w:t xml:space="preserve"> and the calibrated LOLE study both show increased GHG emissions relative to the RSP</w:t>
      </w:r>
      <w:r w:rsidR="006D0675">
        <w:rPr>
          <w:rFonts w:ascii="Book Antiqua" w:hAnsi="Book Antiqua"/>
        </w:rPr>
        <w:t xml:space="preserve"> with 2017 IEPR assumptions</w:t>
      </w:r>
      <w:r w:rsidRPr="001A7699">
        <w:rPr>
          <w:rFonts w:ascii="Book Antiqua" w:hAnsi="Book Antiqua"/>
        </w:rPr>
        <w:t xml:space="preserve">.  While the </w:t>
      </w:r>
      <w:r w:rsidR="006D0675">
        <w:rPr>
          <w:rFonts w:ascii="Book Antiqua" w:hAnsi="Book Antiqua"/>
        </w:rPr>
        <w:t>Commission</w:t>
      </w:r>
      <w:r w:rsidRPr="001A7699">
        <w:rPr>
          <w:rFonts w:ascii="Book Antiqua" w:hAnsi="Book Antiqua"/>
        </w:rPr>
        <w:t xml:space="preserve"> adopted in D.18</w:t>
      </w:r>
      <w:r w:rsidR="00D84A09" w:rsidRPr="001A7699">
        <w:rPr>
          <w:rFonts w:ascii="Book Antiqua" w:hAnsi="Book Antiqua"/>
        </w:rPr>
        <w:noBreakHyphen/>
      </w:r>
      <w:r w:rsidRPr="001A7699">
        <w:rPr>
          <w:rFonts w:ascii="Book Antiqua" w:hAnsi="Book Antiqua"/>
        </w:rPr>
        <w:t>02</w:t>
      </w:r>
      <w:r w:rsidR="00D84A09" w:rsidRPr="001A7699">
        <w:rPr>
          <w:rFonts w:ascii="Book Antiqua" w:hAnsi="Book Antiqua"/>
        </w:rPr>
        <w:noBreakHyphen/>
      </w:r>
      <w:r w:rsidRPr="001A7699">
        <w:rPr>
          <w:rFonts w:ascii="Book Antiqua" w:hAnsi="Book Antiqua"/>
        </w:rPr>
        <w:t xml:space="preserve">018 </w:t>
      </w:r>
      <w:r w:rsidR="006D0675">
        <w:rPr>
          <w:rFonts w:ascii="Book Antiqua" w:hAnsi="Book Antiqua"/>
        </w:rPr>
        <w:t xml:space="preserve">an </w:t>
      </w:r>
      <w:r w:rsidRPr="001A7699">
        <w:rPr>
          <w:rFonts w:ascii="Book Antiqua" w:hAnsi="Book Antiqua"/>
        </w:rPr>
        <w:t xml:space="preserve">estimated </w:t>
      </w:r>
      <w:r w:rsidR="006D0675">
        <w:rPr>
          <w:rFonts w:ascii="Book Antiqua" w:hAnsi="Book Antiqua"/>
        </w:rPr>
        <w:t xml:space="preserve">statewide </w:t>
      </w:r>
      <w:r w:rsidRPr="001A7699">
        <w:rPr>
          <w:rFonts w:ascii="Book Antiqua" w:hAnsi="Book Antiqua"/>
        </w:rPr>
        <w:t>electric sector contribution to GHG emissions of 42 MMT</w:t>
      </w:r>
      <w:r w:rsidR="001A0F7D">
        <w:rPr>
          <w:rFonts w:ascii="Book Antiqua" w:hAnsi="Book Antiqua"/>
        </w:rPr>
        <w:t xml:space="preserve"> on a statewide basis</w:t>
      </w:r>
      <w:r w:rsidRPr="001A7699">
        <w:rPr>
          <w:rFonts w:ascii="Book Antiqua" w:hAnsi="Book Antiqua"/>
        </w:rPr>
        <w:t xml:space="preserve">, this </w:t>
      </w:r>
      <w:r w:rsidR="006D0675">
        <w:rPr>
          <w:rFonts w:ascii="Book Antiqua" w:hAnsi="Book Antiqua"/>
        </w:rPr>
        <w:t xml:space="preserve">corresponds </w:t>
      </w:r>
      <w:r w:rsidRPr="001A7699">
        <w:rPr>
          <w:rFonts w:ascii="Book Antiqua" w:hAnsi="Book Antiqua"/>
        </w:rPr>
        <w:t>to 34 MMT within the CAISO area</w:t>
      </w:r>
      <w:r w:rsidR="006D0675">
        <w:rPr>
          <w:rFonts w:ascii="Book Antiqua" w:hAnsi="Book Antiqua"/>
        </w:rPr>
        <w:t>, as reported by the RESOLVE model</w:t>
      </w:r>
      <w:r w:rsidRPr="001A7699">
        <w:rPr>
          <w:rFonts w:ascii="Book Antiqua" w:hAnsi="Book Antiqua"/>
        </w:rPr>
        <w:t xml:space="preserve">.  The </w:t>
      </w:r>
      <w:r w:rsidR="006D0675">
        <w:rPr>
          <w:rFonts w:ascii="Book Antiqua" w:hAnsi="Book Antiqua"/>
        </w:rPr>
        <w:t xml:space="preserve">comparable </w:t>
      </w:r>
      <w:r w:rsidRPr="001A7699">
        <w:rPr>
          <w:rFonts w:ascii="Book Antiqua" w:hAnsi="Book Antiqua"/>
        </w:rPr>
        <w:t xml:space="preserve">SERVM analysis of the CAISO </w:t>
      </w:r>
      <w:r w:rsidR="006D0675">
        <w:rPr>
          <w:rFonts w:ascii="Book Antiqua" w:hAnsi="Book Antiqua"/>
        </w:rPr>
        <w:t xml:space="preserve">area using the RSP with 2017 IEPR assumptions </w:t>
      </w:r>
      <w:r w:rsidRPr="001A7699">
        <w:rPr>
          <w:rFonts w:ascii="Book Antiqua" w:hAnsi="Book Antiqua"/>
        </w:rPr>
        <w:t xml:space="preserve">resulted in an estimate of 38 MMT, primarily due to more granular </w:t>
      </w:r>
      <w:r w:rsidR="001A0F7D">
        <w:rPr>
          <w:rFonts w:ascii="Book Antiqua" w:hAnsi="Book Antiqua"/>
        </w:rPr>
        <w:t>representation</w:t>
      </w:r>
      <w:r w:rsidR="001A0F7D" w:rsidRPr="001A7699">
        <w:rPr>
          <w:rFonts w:ascii="Book Antiqua" w:hAnsi="Book Antiqua"/>
        </w:rPr>
        <w:t xml:space="preserve"> </w:t>
      </w:r>
      <w:r w:rsidRPr="001A7699">
        <w:rPr>
          <w:rFonts w:ascii="Book Antiqua" w:hAnsi="Book Antiqua"/>
        </w:rPr>
        <w:t xml:space="preserve">of unit operations and generator data (aggregate heat rates modeled in SERVM were higher than in RESOLVE).  The </w:t>
      </w:r>
      <w:r w:rsidR="002B721B" w:rsidRPr="001A7699">
        <w:rPr>
          <w:rFonts w:ascii="Book Antiqua" w:hAnsi="Book Antiqua"/>
        </w:rPr>
        <w:t>HCP</w:t>
      </w:r>
      <w:r w:rsidRPr="001A7699">
        <w:rPr>
          <w:rFonts w:ascii="Book Antiqua" w:hAnsi="Book Antiqua"/>
        </w:rPr>
        <w:t xml:space="preserve"> modeled in SERVM further increases th</w:t>
      </w:r>
      <w:r w:rsidR="006D0675">
        <w:rPr>
          <w:rFonts w:ascii="Book Antiqua" w:hAnsi="Book Antiqua"/>
        </w:rPr>
        <w:t>e 38 MMT</w:t>
      </w:r>
      <w:r w:rsidR="00957240">
        <w:rPr>
          <w:rFonts w:ascii="Book Antiqua" w:hAnsi="Book Antiqua"/>
        </w:rPr>
        <w:t xml:space="preserve"> within CAISO to around 43 </w:t>
      </w:r>
      <w:r w:rsidRPr="001A7699">
        <w:rPr>
          <w:rFonts w:ascii="Book Antiqua" w:hAnsi="Book Antiqua"/>
        </w:rPr>
        <w:t xml:space="preserve">MMT.  This is partly driven by the higher reliance on unspecified imports which do affect GHG emissions based on the import emission factor assigned by CARB.  The </w:t>
      </w:r>
      <w:r w:rsidR="002B721B" w:rsidRPr="001A7699">
        <w:rPr>
          <w:rFonts w:ascii="Book Antiqua" w:hAnsi="Book Antiqua"/>
        </w:rPr>
        <w:t>HCP</w:t>
      </w:r>
      <w:r w:rsidRPr="001A7699">
        <w:rPr>
          <w:rFonts w:ascii="Book Antiqua" w:hAnsi="Book Antiqua"/>
        </w:rPr>
        <w:t xml:space="preserve"> also had less geothermal, moderately less existing out</w:t>
      </w:r>
      <w:r w:rsidR="00D84A09" w:rsidRPr="001A7699">
        <w:rPr>
          <w:rFonts w:ascii="Book Antiqua" w:hAnsi="Book Antiqua"/>
        </w:rPr>
        <w:noBreakHyphen/>
      </w:r>
      <w:r w:rsidRPr="001A7699">
        <w:rPr>
          <w:rFonts w:ascii="Book Antiqua" w:hAnsi="Book Antiqua"/>
        </w:rPr>
        <w:t>of</w:t>
      </w:r>
      <w:r w:rsidR="00D84A09" w:rsidRPr="001A7699">
        <w:rPr>
          <w:rFonts w:ascii="Book Antiqua" w:hAnsi="Book Antiqua"/>
        </w:rPr>
        <w:noBreakHyphen/>
      </w:r>
      <w:r w:rsidRPr="001A7699">
        <w:rPr>
          <w:rFonts w:ascii="Book Antiqua" w:hAnsi="Book Antiqua"/>
        </w:rPr>
        <w:t xml:space="preserve">state wind counted as within the CAISO, and moderately less assumed BTM solar PV energy production, which each contribute to the outcome of higher emissions. </w:t>
      </w:r>
    </w:p>
    <w:p w14:paraId="7A2C5570" w14:textId="77777777" w:rsidR="00490DC1" w:rsidRDefault="00490DC1" w:rsidP="001A7699">
      <w:pPr>
        <w:pStyle w:val="Heading3"/>
      </w:pPr>
      <w:bookmarkStart w:id="133" w:name="_Toc3803847"/>
      <w:r>
        <w:t>Staff Recommendation for Preferred System Portfolio</w:t>
      </w:r>
      <w:bookmarkEnd w:id="133"/>
    </w:p>
    <w:p w14:paraId="11D6A89F" w14:textId="524363CB" w:rsidR="00490DC1" w:rsidRPr="001A7699" w:rsidRDefault="00490DC1" w:rsidP="005261E2">
      <w:pPr>
        <w:pStyle w:val="sub2"/>
        <w:rPr>
          <w:rFonts w:ascii="Book Antiqua" w:hAnsi="Book Antiqua"/>
        </w:rPr>
      </w:pPr>
      <w:r w:rsidRPr="001A7699">
        <w:rPr>
          <w:rFonts w:ascii="Book Antiqua" w:hAnsi="Book Antiqua"/>
        </w:rPr>
        <w:t xml:space="preserve">At the conclusion of the analysis described above, </w:t>
      </w:r>
      <w:r w:rsidR="005D56CE">
        <w:rPr>
          <w:rFonts w:ascii="Book Antiqua" w:hAnsi="Book Antiqua"/>
        </w:rPr>
        <w:t xml:space="preserve">at the January 7, 2019 workshop explaining the differences between the analyzed results of the HCP and the RSP (and the January 11, 2019 ALJ ruling requesting party comment on the analysis), </w:t>
      </w:r>
      <w:r w:rsidRPr="001A7699">
        <w:rPr>
          <w:rFonts w:ascii="Book Antiqua" w:hAnsi="Book Antiqua"/>
        </w:rPr>
        <w:t xml:space="preserve">Commission staff recommended that the Commission adopt the </w:t>
      </w:r>
      <w:r w:rsidR="002B721B" w:rsidRPr="001A7699">
        <w:rPr>
          <w:rFonts w:ascii="Book Antiqua" w:hAnsi="Book Antiqua"/>
        </w:rPr>
        <w:t>HCP</w:t>
      </w:r>
      <w:r w:rsidRPr="001A7699">
        <w:rPr>
          <w:rFonts w:ascii="Book Antiqua" w:hAnsi="Book Antiqua"/>
        </w:rPr>
        <w:t xml:space="preserve"> as the preferred system portfolio, since it represents the best snapshot of LSE resource choices and a starting point for further analysis and planning that will take place beginning with the RSP for the 2019</w:t>
      </w:r>
      <w:r w:rsidR="00D84A09" w:rsidRPr="001A7699">
        <w:rPr>
          <w:rFonts w:ascii="Book Antiqua" w:hAnsi="Book Antiqua"/>
        </w:rPr>
        <w:noBreakHyphen/>
      </w:r>
      <w:r w:rsidRPr="001A7699">
        <w:rPr>
          <w:rFonts w:ascii="Book Antiqua" w:hAnsi="Book Antiqua"/>
        </w:rPr>
        <w:t xml:space="preserve">2020 cycle of IRP. </w:t>
      </w:r>
      <w:r w:rsidR="00C961F7" w:rsidRPr="001A7699">
        <w:rPr>
          <w:rFonts w:ascii="Book Antiqua" w:hAnsi="Book Antiqua"/>
        </w:rPr>
        <w:t xml:space="preserve"> </w:t>
      </w:r>
      <w:r w:rsidR="005D56CE">
        <w:rPr>
          <w:rFonts w:ascii="Book Antiqua" w:hAnsi="Book Antiqua"/>
        </w:rPr>
        <w:t>As discussed further below, this decision does not adopt that recommendation.</w:t>
      </w:r>
    </w:p>
    <w:p w14:paraId="730F83D8" w14:textId="77777777" w:rsidR="00152A24" w:rsidRDefault="005F6918" w:rsidP="004C75AB">
      <w:pPr>
        <w:pStyle w:val="Heading2"/>
      </w:pPr>
      <w:bookmarkStart w:id="134" w:name="_Toc3803848"/>
      <w:r>
        <w:t>Comments of Parties</w:t>
      </w:r>
      <w:bookmarkEnd w:id="134"/>
    </w:p>
    <w:p w14:paraId="3541FC7E" w14:textId="77777777" w:rsidR="00152A24" w:rsidRPr="001A7699" w:rsidRDefault="00B52E28" w:rsidP="00152A24">
      <w:pPr>
        <w:pStyle w:val="sub2"/>
        <w:rPr>
          <w:rFonts w:ascii="Book Antiqua" w:hAnsi="Book Antiqua"/>
        </w:rPr>
      </w:pPr>
      <w:r w:rsidRPr="001A7699">
        <w:rPr>
          <w:rFonts w:ascii="Book Antiqua" w:hAnsi="Book Antiqua"/>
        </w:rPr>
        <w:t>In comments and reply comments filed o</w:t>
      </w:r>
      <w:r w:rsidR="00C8182B" w:rsidRPr="001A7699">
        <w:rPr>
          <w:rFonts w:ascii="Book Antiqua" w:hAnsi="Book Antiqua"/>
        </w:rPr>
        <w:t>n January 31, 2019 and February </w:t>
      </w:r>
      <w:r w:rsidRPr="001A7699">
        <w:rPr>
          <w:rFonts w:ascii="Book Antiqua" w:hAnsi="Book Antiqua"/>
        </w:rPr>
        <w:t xml:space="preserve">11, 2019, respectively, parties </w:t>
      </w:r>
      <w:r w:rsidR="00E852C8" w:rsidRPr="001A7699">
        <w:rPr>
          <w:rFonts w:ascii="Book Antiqua" w:hAnsi="Book Antiqua"/>
        </w:rPr>
        <w:t xml:space="preserve">voiced their opinions about whether the </w:t>
      </w:r>
      <w:r w:rsidR="002B721B" w:rsidRPr="001A7699">
        <w:rPr>
          <w:rFonts w:ascii="Book Antiqua" w:hAnsi="Book Antiqua"/>
        </w:rPr>
        <w:t>HCP</w:t>
      </w:r>
      <w:r w:rsidR="00E852C8" w:rsidRPr="001A7699">
        <w:rPr>
          <w:rFonts w:ascii="Book Antiqua" w:hAnsi="Book Antiqua"/>
        </w:rPr>
        <w:t xml:space="preserve"> is the right portfolio for the Commission to use for future planning efforts, as well as </w:t>
      </w:r>
      <w:r w:rsidR="00BF0D89" w:rsidRPr="001A7699">
        <w:rPr>
          <w:rFonts w:ascii="Book Antiqua" w:hAnsi="Book Antiqua"/>
        </w:rPr>
        <w:t>for</w:t>
      </w:r>
      <w:r w:rsidR="00E852C8" w:rsidRPr="001A7699">
        <w:rPr>
          <w:rFonts w:ascii="Book Antiqua" w:hAnsi="Book Antiqua"/>
        </w:rPr>
        <w:t xml:space="preserve"> the CAISO for use in the TPP analysis.</w:t>
      </w:r>
    </w:p>
    <w:p w14:paraId="3F802D8A" w14:textId="77777777" w:rsidR="00E852C8" w:rsidRPr="001A7699" w:rsidRDefault="00AC06E9" w:rsidP="00152A24">
      <w:pPr>
        <w:pStyle w:val="sub2"/>
        <w:rPr>
          <w:rFonts w:ascii="Book Antiqua" w:hAnsi="Book Antiqua"/>
        </w:rPr>
      </w:pPr>
      <w:r w:rsidRPr="001A7699">
        <w:rPr>
          <w:rFonts w:ascii="Book Antiqua" w:hAnsi="Book Antiqua"/>
        </w:rPr>
        <w:t>Parties were</w:t>
      </w:r>
      <w:r w:rsidR="002B721B" w:rsidRPr="001A7699">
        <w:rPr>
          <w:rFonts w:ascii="Book Antiqua" w:hAnsi="Book Antiqua"/>
        </w:rPr>
        <w:t xml:space="preserve"> fairly</w:t>
      </w:r>
      <w:r w:rsidRPr="001A7699">
        <w:rPr>
          <w:rFonts w:ascii="Book Antiqua" w:hAnsi="Book Antiqua"/>
        </w:rPr>
        <w:t xml:space="preserve"> divided</w:t>
      </w:r>
      <w:r w:rsidR="002B721B" w:rsidRPr="001A7699">
        <w:rPr>
          <w:rFonts w:ascii="Book Antiqua" w:hAnsi="Book Antiqua"/>
        </w:rPr>
        <w:t xml:space="preserve"> on their comfort with the HCP as the basis for both future planning efforts and CAISO transmission analysis. </w:t>
      </w:r>
      <w:r w:rsidR="00C961F7" w:rsidRPr="001A7699">
        <w:rPr>
          <w:rFonts w:ascii="Book Antiqua" w:hAnsi="Book Antiqua"/>
        </w:rPr>
        <w:t xml:space="preserve"> </w:t>
      </w:r>
      <w:r w:rsidR="00805879" w:rsidRPr="001A7699">
        <w:rPr>
          <w:rFonts w:ascii="Book Antiqua" w:hAnsi="Book Antiqua"/>
        </w:rPr>
        <w:t>Approximately 15 parties supported the HCP being adopted as the Preferred System Portfolio (PSP), with many offering conditions, such as calling it an “interim plan” and</w:t>
      </w:r>
      <w:r w:rsidR="00D70B9A">
        <w:rPr>
          <w:rFonts w:ascii="Book Antiqua" w:hAnsi="Book Antiqua"/>
        </w:rPr>
        <w:t>/</w:t>
      </w:r>
      <w:r w:rsidR="00805879" w:rsidRPr="001A7699">
        <w:rPr>
          <w:rFonts w:ascii="Book Antiqua" w:hAnsi="Book Antiqua"/>
        </w:rPr>
        <w:t>or including caveats that the HCP is not actually preferred by the Commission, or that it should not result in resource procurement authorization or new transmission.</w:t>
      </w:r>
      <w:r w:rsidR="00C961F7" w:rsidRPr="001A7699">
        <w:rPr>
          <w:rFonts w:ascii="Book Antiqua" w:hAnsi="Book Antiqua"/>
        </w:rPr>
        <w:t xml:space="preserve"> </w:t>
      </w:r>
      <w:r w:rsidR="00805879" w:rsidRPr="001A7699">
        <w:rPr>
          <w:rFonts w:ascii="Book Antiqua" w:hAnsi="Book Antiqua"/>
        </w:rPr>
        <w:t xml:space="preserve"> Parties supporting the HCP with caveats included: </w:t>
      </w:r>
      <w:r w:rsidR="004731C2" w:rsidRPr="001A7699">
        <w:rPr>
          <w:rFonts w:ascii="Book Antiqua" w:hAnsi="Book Antiqua"/>
        </w:rPr>
        <w:t xml:space="preserve"> </w:t>
      </w:r>
      <w:r w:rsidR="00805879" w:rsidRPr="001A7699">
        <w:rPr>
          <w:rFonts w:ascii="Book Antiqua" w:hAnsi="Book Antiqua"/>
        </w:rPr>
        <w:t xml:space="preserve">SDG&amp;E, CAISO, BAMx, the Joint CCAs, Calpine, </w:t>
      </w:r>
      <w:r w:rsidR="00547A98">
        <w:rPr>
          <w:rFonts w:ascii="Book Antiqua" w:hAnsi="Book Antiqua"/>
        </w:rPr>
        <w:t xml:space="preserve">CORD, </w:t>
      </w:r>
      <w:r w:rsidR="00805879" w:rsidRPr="001A7699">
        <w:rPr>
          <w:rFonts w:ascii="Book Antiqua" w:hAnsi="Book Antiqua"/>
        </w:rPr>
        <w:t xml:space="preserve">POC, CESA, PG&amp;E, NRG, LS Power, AReM, SDCWA, SWPG, Wellhead, and WPTF. </w:t>
      </w:r>
      <w:r w:rsidR="00C961F7" w:rsidRPr="001A7699">
        <w:rPr>
          <w:rFonts w:ascii="Book Antiqua" w:hAnsi="Book Antiqua"/>
        </w:rPr>
        <w:t xml:space="preserve"> </w:t>
      </w:r>
      <w:r w:rsidR="00805879" w:rsidRPr="001A7699">
        <w:rPr>
          <w:rFonts w:ascii="Book Antiqua" w:hAnsi="Book Antiqua"/>
        </w:rPr>
        <w:t>Ormat did not support the HCP, but did not oppose it either.</w:t>
      </w:r>
    </w:p>
    <w:p w14:paraId="335FD0B7" w14:textId="2507708F" w:rsidR="00805879" w:rsidRPr="001A7699" w:rsidRDefault="00287C46" w:rsidP="00152A24">
      <w:pPr>
        <w:pStyle w:val="sub2"/>
        <w:rPr>
          <w:rFonts w:ascii="Book Antiqua" w:hAnsi="Book Antiqua"/>
        </w:rPr>
      </w:pPr>
      <w:r>
        <w:rPr>
          <w:rFonts w:ascii="Book Antiqua" w:hAnsi="Book Antiqua"/>
        </w:rPr>
        <w:t>Numerous</w:t>
      </w:r>
      <w:r w:rsidR="00D70B9A" w:rsidRPr="001A7699">
        <w:rPr>
          <w:rFonts w:ascii="Book Antiqua" w:hAnsi="Book Antiqua"/>
        </w:rPr>
        <w:t xml:space="preserve"> </w:t>
      </w:r>
      <w:r w:rsidR="00E47F83" w:rsidRPr="001A7699">
        <w:rPr>
          <w:rFonts w:ascii="Book Antiqua" w:hAnsi="Book Antiqua"/>
        </w:rPr>
        <w:t>parties opposed the HCP</w:t>
      </w:r>
      <w:r w:rsidR="0035571C" w:rsidRPr="001A7699">
        <w:rPr>
          <w:rFonts w:ascii="Book Antiqua" w:hAnsi="Book Antiqua"/>
        </w:rPr>
        <w:t xml:space="preserve"> being used as the basis for the PSP</w:t>
      </w:r>
      <w:r w:rsidR="00E47F83" w:rsidRPr="001A7699">
        <w:rPr>
          <w:rFonts w:ascii="Book Antiqua" w:hAnsi="Book Antiqua"/>
        </w:rPr>
        <w:t xml:space="preserve">, including TURN, </w:t>
      </w:r>
      <w:r w:rsidR="00D70B9A">
        <w:rPr>
          <w:rFonts w:ascii="Book Antiqua" w:hAnsi="Book Antiqua"/>
        </w:rPr>
        <w:t xml:space="preserve">Cal Advocates, </w:t>
      </w:r>
      <w:r w:rsidR="00E47F83" w:rsidRPr="001A7699">
        <w:rPr>
          <w:rFonts w:ascii="Book Antiqua" w:hAnsi="Book Antiqua"/>
        </w:rPr>
        <w:t xml:space="preserve">SCE, CEDC, Hell’s Kitchen, CEERT, CEJA and Sierra Club, GPI, IID, Reid, </w:t>
      </w:r>
      <w:r>
        <w:rPr>
          <w:rFonts w:ascii="Book Antiqua" w:hAnsi="Book Antiqua"/>
        </w:rPr>
        <w:t xml:space="preserve">and </w:t>
      </w:r>
      <w:r w:rsidR="00E47F83" w:rsidRPr="001A7699">
        <w:rPr>
          <w:rFonts w:ascii="Book Antiqua" w:hAnsi="Book Antiqua"/>
        </w:rPr>
        <w:t xml:space="preserve">EDF. </w:t>
      </w:r>
      <w:r w:rsidR="00C961F7" w:rsidRPr="001A7699">
        <w:rPr>
          <w:rFonts w:ascii="Book Antiqua" w:hAnsi="Book Antiqua"/>
        </w:rPr>
        <w:t xml:space="preserve"> </w:t>
      </w:r>
      <w:r w:rsidR="00E47F83" w:rsidRPr="001A7699">
        <w:rPr>
          <w:rFonts w:ascii="Book Antiqua" w:hAnsi="Book Antiqua"/>
        </w:rPr>
        <w:t>Some of these parties, including</w:t>
      </w:r>
      <w:r w:rsidR="00B5384C">
        <w:rPr>
          <w:rFonts w:ascii="Book Antiqua" w:hAnsi="Book Antiqua"/>
        </w:rPr>
        <w:t xml:space="preserve"> Cal </w:t>
      </w:r>
      <w:r w:rsidR="00D70B9A">
        <w:rPr>
          <w:rFonts w:ascii="Book Antiqua" w:hAnsi="Book Antiqua"/>
        </w:rPr>
        <w:t>Advocates,</w:t>
      </w:r>
      <w:r w:rsidR="00E47F83" w:rsidRPr="001A7699">
        <w:rPr>
          <w:rFonts w:ascii="Book Antiqua" w:hAnsi="Book Antiqua"/>
        </w:rPr>
        <w:t xml:space="preserve"> SCE, CEJA and Sierra Club, IID, and Reid, recommended instead utilizing the RSP with the 2017 IEPR assumptions, and with some additional modifications. </w:t>
      </w:r>
      <w:r w:rsidR="00C961F7" w:rsidRPr="001A7699">
        <w:rPr>
          <w:rFonts w:ascii="Book Antiqua" w:hAnsi="Book Antiqua"/>
        </w:rPr>
        <w:t xml:space="preserve"> </w:t>
      </w:r>
      <w:r w:rsidR="00E47F83" w:rsidRPr="001A7699">
        <w:rPr>
          <w:rFonts w:ascii="Book Antiqua" w:hAnsi="Book Antiqua"/>
        </w:rPr>
        <w:t xml:space="preserve">This modified RSP would become the PSP. </w:t>
      </w:r>
    </w:p>
    <w:p w14:paraId="7DD6BE30" w14:textId="77777777" w:rsidR="007C2AF6" w:rsidRPr="001A7699" w:rsidRDefault="00E47F83" w:rsidP="00152A24">
      <w:pPr>
        <w:pStyle w:val="sub2"/>
        <w:rPr>
          <w:rFonts w:ascii="Book Antiqua" w:hAnsi="Book Antiqua"/>
        </w:rPr>
      </w:pPr>
      <w:r w:rsidRPr="001A7699">
        <w:rPr>
          <w:rFonts w:ascii="Book Antiqua" w:hAnsi="Book Antiqua"/>
        </w:rPr>
        <w:t xml:space="preserve">Several parties also </w:t>
      </w:r>
      <w:r w:rsidR="0007066A" w:rsidRPr="001A7699">
        <w:rPr>
          <w:rFonts w:ascii="Book Antiqua" w:hAnsi="Book Antiqua"/>
        </w:rPr>
        <w:t xml:space="preserve">expressed concerns about the use of the HCP, but did not </w:t>
      </w:r>
      <w:r w:rsidR="007C2AF6" w:rsidRPr="001A7699">
        <w:rPr>
          <w:rFonts w:ascii="Book Antiqua" w:hAnsi="Book Antiqua"/>
        </w:rPr>
        <w:t xml:space="preserve">offer an alternative option. </w:t>
      </w:r>
      <w:r w:rsidR="00C961F7" w:rsidRPr="001A7699">
        <w:rPr>
          <w:rFonts w:ascii="Book Antiqua" w:hAnsi="Book Antiqua"/>
        </w:rPr>
        <w:t xml:space="preserve"> </w:t>
      </w:r>
      <w:r w:rsidR="007C2AF6" w:rsidRPr="001A7699">
        <w:rPr>
          <w:rFonts w:ascii="Book Antiqua" w:hAnsi="Book Antiqua"/>
        </w:rPr>
        <w:t>Those parties included AEE, LSA, and DOW.</w:t>
      </w:r>
    </w:p>
    <w:p w14:paraId="324B431B" w14:textId="77777777" w:rsidR="002B721B" w:rsidRPr="001A7699" w:rsidRDefault="007C2AF6" w:rsidP="00152A24">
      <w:pPr>
        <w:pStyle w:val="sub2"/>
        <w:rPr>
          <w:rFonts w:ascii="Book Antiqua" w:hAnsi="Book Antiqua"/>
        </w:rPr>
      </w:pPr>
      <w:r w:rsidRPr="001A7699">
        <w:rPr>
          <w:rFonts w:ascii="Book Antiqua" w:hAnsi="Book Antiqua"/>
        </w:rPr>
        <w:t>In addition, several parties, including CEERT and EDF, recommended that a PSP not be adopted a</w:t>
      </w:r>
      <w:r w:rsidR="006475F8">
        <w:rPr>
          <w:rFonts w:ascii="Book Antiqua" w:hAnsi="Book Antiqua"/>
        </w:rPr>
        <w:t>t</w:t>
      </w:r>
      <w:r w:rsidRPr="001A7699">
        <w:rPr>
          <w:rFonts w:ascii="Book Antiqua" w:hAnsi="Book Antiqua"/>
        </w:rPr>
        <w:t xml:space="preserve"> this time at all, or that it be only labeled an “interim” plan. </w:t>
      </w:r>
    </w:p>
    <w:p w14:paraId="0C5A2C77" w14:textId="77777777" w:rsidR="007C2AF6" w:rsidRPr="001A7699" w:rsidRDefault="00626885" w:rsidP="00152A24">
      <w:pPr>
        <w:pStyle w:val="sub2"/>
        <w:rPr>
          <w:rFonts w:ascii="Book Antiqua" w:hAnsi="Book Antiqua"/>
        </w:rPr>
      </w:pPr>
      <w:r w:rsidRPr="001A7699">
        <w:rPr>
          <w:rFonts w:ascii="Book Antiqua" w:hAnsi="Book Antiqua"/>
        </w:rPr>
        <w:t xml:space="preserve">With respect to the reliability analysis of the HCP conducted by staff, the majority of parties commented that a determination was not really possible. </w:t>
      </w:r>
      <w:r w:rsidR="00C961F7" w:rsidRPr="001A7699">
        <w:rPr>
          <w:rFonts w:ascii="Book Antiqua" w:hAnsi="Book Antiqua"/>
        </w:rPr>
        <w:t xml:space="preserve"> </w:t>
      </w:r>
      <w:r w:rsidRPr="001A7699">
        <w:rPr>
          <w:rFonts w:ascii="Book Antiqua" w:hAnsi="Book Antiqua"/>
        </w:rPr>
        <w:t>Some are concerned that the SERVM analysis does not account for local reliability or sub</w:t>
      </w:r>
      <w:r w:rsidR="00D84A09" w:rsidRPr="001A7699">
        <w:rPr>
          <w:rFonts w:ascii="Book Antiqua" w:hAnsi="Book Antiqua"/>
        </w:rPr>
        <w:noBreakHyphen/>
      </w:r>
      <w:r w:rsidRPr="001A7699">
        <w:rPr>
          <w:rFonts w:ascii="Book Antiqua" w:hAnsi="Book Antiqua"/>
        </w:rPr>
        <w:t xml:space="preserve">hourly effects, and that a reliability check was not conducted for each individual LSE’s IRP. </w:t>
      </w:r>
    </w:p>
    <w:p w14:paraId="7A6899E8" w14:textId="77777777" w:rsidR="00626885" w:rsidRPr="001A7699" w:rsidRDefault="00626885" w:rsidP="00152A24">
      <w:pPr>
        <w:pStyle w:val="sub2"/>
        <w:rPr>
          <w:rFonts w:ascii="Book Antiqua" w:hAnsi="Book Antiqua"/>
        </w:rPr>
      </w:pPr>
      <w:r w:rsidRPr="001A7699">
        <w:rPr>
          <w:rFonts w:ascii="Book Antiqua" w:hAnsi="Book Antiqua"/>
        </w:rPr>
        <w:t>With respect to the geographic adjustments made by staff to the location of some renewable choices by LSEs, numerous parties were concerned about the change from full deliverability to energy</w:t>
      </w:r>
      <w:r w:rsidR="00D84A09" w:rsidRPr="001A7699">
        <w:rPr>
          <w:rFonts w:ascii="Book Antiqua" w:hAnsi="Book Antiqua"/>
        </w:rPr>
        <w:noBreakHyphen/>
      </w:r>
      <w:r w:rsidRPr="001A7699">
        <w:rPr>
          <w:rFonts w:ascii="Book Antiqua" w:hAnsi="Book Antiqua"/>
        </w:rPr>
        <w:t xml:space="preserve">only status for some renewables. </w:t>
      </w:r>
      <w:r w:rsidR="00C961F7" w:rsidRPr="001A7699">
        <w:rPr>
          <w:rFonts w:ascii="Book Antiqua" w:hAnsi="Book Antiqua"/>
        </w:rPr>
        <w:t xml:space="preserve"> </w:t>
      </w:r>
      <w:r w:rsidRPr="001A7699">
        <w:rPr>
          <w:rFonts w:ascii="Book Antiqua" w:hAnsi="Book Antiqua"/>
        </w:rPr>
        <w:t xml:space="preserve">In addition, parties commented that staff could have been more transparent about when and why these changes were made. </w:t>
      </w:r>
      <w:r w:rsidR="00C961F7" w:rsidRPr="001A7699">
        <w:rPr>
          <w:rFonts w:ascii="Book Antiqua" w:hAnsi="Book Antiqua"/>
        </w:rPr>
        <w:t xml:space="preserve"> </w:t>
      </w:r>
      <w:r w:rsidRPr="001A7699">
        <w:rPr>
          <w:rFonts w:ascii="Book Antiqua" w:hAnsi="Book Antiqua"/>
        </w:rPr>
        <w:t xml:space="preserve">In general, many parties felt that </w:t>
      </w:r>
      <w:r w:rsidR="000A053F">
        <w:rPr>
          <w:rFonts w:ascii="Book Antiqua" w:hAnsi="Book Antiqua"/>
        </w:rPr>
        <w:t>the Commission</w:t>
      </w:r>
      <w:r w:rsidR="000A053F" w:rsidRPr="001A7699">
        <w:rPr>
          <w:rFonts w:ascii="Book Antiqua" w:hAnsi="Book Antiqua"/>
        </w:rPr>
        <w:t xml:space="preserve"> </w:t>
      </w:r>
      <w:r w:rsidRPr="001A7699">
        <w:rPr>
          <w:rFonts w:ascii="Book Antiqua" w:hAnsi="Book Antiqua"/>
        </w:rPr>
        <w:t>need</w:t>
      </w:r>
      <w:r w:rsidR="000A053F">
        <w:rPr>
          <w:rFonts w:ascii="Book Antiqua" w:hAnsi="Book Antiqua"/>
        </w:rPr>
        <w:t>s</w:t>
      </w:r>
      <w:r w:rsidRPr="001A7699">
        <w:rPr>
          <w:rFonts w:ascii="Book Antiqua" w:hAnsi="Book Antiqua"/>
        </w:rPr>
        <w:t xml:space="preserve"> better coordination with the CAISO regarding transmission availability and congestion, to avoid some of these issues in the future. </w:t>
      </w:r>
    </w:p>
    <w:p w14:paraId="19E560D4" w14:textId="77777777" w:rsidR="002B721B" w:rsidRPr="001A7699" w:rsidRDefault="00911B8D" w:rsidP="00152A24">
      <w:pPr>
        <w:pStyle w:val="sub2"/>
        <w:rPr>
          <w:rFonts w:ascii="Book Antiqua" w:hAnsi="Book Antiqua"/>
        </w:rPr>
      </w:pPr>
      <w:r w:rsidRPr="001A7699">
        <w:rPr>
          <w:rFonts w:ascii="Book Antiqua" w:hAnsi="Book Antiqua"/>
        </w:rPr>
        <w:t xml:space="preserve">On the subject of the hydroelectric analysis conducted by staff alongside the production cost modeling, most parties were supportive of continuing to look at these issues. </w:t>
      </w:r>
      <w:r w:rsidR="00C961F7" w:rsidRPr="001A7699">
        <w:rPr>
          <w:rFonts w:ascii="Book Antiqua" w:hAnsi="Book Antiqua"/>
        </w:rPr>
        <w:t xml:space="preserve"> </w:t>
      </w:r>
      <w:r w:rsidRPr="001A7699">
        <w:rPr>
          <w:rFonts w:ascii="Book Antiqua" w:hAnsi="Book Antiqua"/>
        </w:rPr>
        <w:t>The CCA parties were very supportive of the finding that the hydroelectric utilization, including from the Pacific Northwest, was feasible in the HCP</w:t>
      </w:r>
      <w:r w:rsidR="006475F8">
        <w:rPr>
          <w:rFonts w:ascii="Book Antiqua" w:hAnsi="Book Antiqua"/>
        </w:rPr>
        <w:t>, based on historical data, and thus argued that their planned procurement is reasonable</w:t>
      </w:r>
      <w:r w:rsidRPr="001A7699">
        <w:rPr>
          <w:rFonts w:ascii="Book Antiqua" w:hAnsi="Book Antiqua"/>
        </w:rPr>
        <w:t xml:space="preserve">. </w:t>
      </w:r>
    </w:p>
    <w:p w14:paraId="0FC06F1F" w14:textId="77777777" w:rsidR="00911B8D" w:rsidRPr="001A7699" w:rsidRDefault="00911B8D" w:rsidP="00152A24">
      <w:pPr>
        <w:pStyle w:val="sub2"/>
        <w:rPr>
          <w:rFonts w:ascii="Book Antiqua" w:hAnsi="Book Antiqua"/>
        </w:rPr>
      </w:pPr>
      <w:r w:rsidRPr="001A7699">
        <w:rPr>
          <w:rFonts w:ascii="Book Antiqua" w:hAnsi="Book Antiqua"/>
        </w:rPr>
        <w:t>Some parties recommended further exploring energy</w:t>
      </w:r>
      <w:r w:rsidR="00D84A09" w:rsidRPr="001A7699">
        <w:rPr>
          <w:rFonts w:ascii="Book Antiqua" w:hAnsi="Book Antiqua"/>
        </w:rPr>
        <w:noBreakHyphen/>
      </w:r>
      <w:r w:rsidRPr="001A7699">
        <w:rPr>
          <w:rFonts w:ascii="Book Antiqua" w:hAnsi="Book Antiqua"/>
        </w:rPr>
        <w:t xml:space="preserve">only contracts for hydro and aligning resource choices with portfolio need.  GPI identified the need to establish “standardized risk factors” for reliance on hydro in the future. </w:t>
      </w:r>
      <w:r w:rsidR="00C961F7" w:rsidRPr="001A7699">
        <w:rPr>
          <w:rFonts w:ascii="Book Antiqua" w:hAnsi="Book Antiqua"/>
        </w:rPr>
        <w:t xml:space="preserve"> </w:t>
      </w:r>
      <w:r w:rsidRPr="001A7699">
        <w:rPr>
          <w:rFonts w:ascii="Book Antiqua" w:hAnsi="Book Antiqua"/>
        </w:rPr>
        <w:t>Several parties recommended future modeling should utilize a lower resource availability assumption, coordinate with the CAISO on assumptions for in</w:t>
      </w:r>
      <w:r w:rsidR="00D84A09" w:rsidRPr="001A7699">
        <w:rPr>
          <w:rFonts w:ascii="Book Antiqua" w:hAnsi="Book Antiqua"/>
        </w:rPr>
        <w:noBreakHyphen/>
      </w:r>
      <w:r w:rsidRPr="001A7699">
        <w:rPr>
          <w:rFonts w:ascii="Book Antiqua" w:hAnsi="Book Antiqua"/>
        </w:rPr>
        <w:t>state vs. Northwest hydro, and coordinate with the CEC with respect to expected</w:t>
      </w:r>
      <w:r w:rsidR="00C31396" w:rsidRPr="001A7699">
        <w:rPr>
          <w:rFonts w:ascii="Book Antiqua" w:hAnsi="Book Antiqua"/>
        </w:rPr>
        <w:t xml:space="preserve"> publicly</w:t>
      </w:r>
      <w:r w:rsidR="00D84A09" w:rsidRPr="001A7699">
        <w:rPr>
          <w:rFonts w:ascii="Book Antiqua" w:hAnsi="Book Antiqua"/>
        </w:rPr>
        <w:noBreakHyphen/>
      </w:r>
      <w:r w:rsidR="00C31396" w:rsidRPr="001A7699">
        <w:rPr>
          <w:rFonts w:ascii="Book Antiqua" w:hAnsi="Book Antiqua"/>
        </w:rPr>
        <w:t>owned utility</w:t>
      </w:r>
      <w:r w:rsidRPr="001A7699">
        <w:rPr>
          <w:rFonts w:ascii="Book Antiqua" w:hAnsi="Book Antiqua"/>
        </w:rPr>
        <w:t xml:space="preserve"> </w:t>
      </w:r>
      <w:r w:rsidR="00C31396" w:rsidRPr="001A7699">
        <w:rPr>
          <w:rFonts w:ascii="Book Antiqua" w:hAnsi="Book Antiqua"/>
        </w:rPr>
        <w:t>(</w:t>
      </w:r>
      <w:r w:rsidRPr="001A7699">
        <w:rPr>
          <w:rFonts w:ascii="Book Antiqua" w:hAnsi="Book Antiqua"/>
        </w:rPr>
        <w:t>POU</w:t>
      </w:r>
      <w:r w:rsidR="00C31396" w:rsidRPr="001A7699">
        <w:rPr>
          <w:rFonts w:ascii="Book Antiqua" w:hAnsi="Book Antiqua"/>
        </w:rPr>
        <w:t>)</w:t>
      </w:r>
      <w:r w:rsidRPr="001A7699">
        <w:rPr>
          <w:rFonts w:ascii="Book Antiqua" w:hAnsi="Book Antiqua"/>
        </w:rPr>
        <w:t xml:space="preserve"> hydro utilization. </w:t>
      </w:r>
    </w:p>
    <w:p w14:paraId="6473C463" w14:textId="77777777" w:rsidR="00897F1D" w:rsidRPr="001A7699" w:rsidRDefault="00E61706" w:rsidP="00152A24">
      <w:pPr>
        <w:pStyle w:val="sub2"/>
        <w:rPr>
          <w:rFonts w:ascii="Book Antiqua" w:hAnsi="Book Antiqua"/>
        </w:rPr>
      </w:pPr>
      <w:r w:rsidRPr="001A7699">
        <w:rPr>
          <w:rFonts w:ascii="Book Antiqua" w:hAnsi="Book Antiqua"/>
        </w:rPr>
        <w:t xml:space="preserve">To mitigate drought risk in future IRPs, numerous parties supported having a hydro sensitivity representing a low water year, with high renewable curtailment expected. </w:t>
      </w:r>
      <w:r w:rsidR="00C961F7" w:rsidRPr="001A7699">
        <w:rPr>
          <w:rFonts w:ascii="Book Antiqua" w:hAnsi="Book Antiqua"/>
        </w:rPr>
        <w:t xml:space="preserve"> </w:t>
      </w:r>
      <w:r w:rsidRPr="001A7699">
        <w:rPr>
          <w:rFonts w:ascii="Book Antiqua" w:hAnsi="Book Antiqua"/>
        </w:rPr>
        <w:t xml:space="preserve">Most parties also supported the idea that LSEs should be required to include in their IRPs “hedging strategies” for hydro power, though PG&amp;E would prefer that this be a topic for the rulemaking on climate adaptation. </w:t>
      </w:r>
    </w:p>
    <w:p w14:paraId="4841F8C9" w14:textId="77777777" w:rsidR="00E61706" w:rsidRPr="001A7699" w:rsidRDefault="00E61706" w:rsidP="00152A24">
      <w:pPr>
        <w:pStyle w:val="sub2"/>
        <w:rPr>
          <w:rFonts w:ascii="Book Antiqua" w:hAnsi="Book Antiqua"/>
        </w:rPr>
      </w:pPr>
      <w:r w:rsidRPr="001A7699">
        <w:rPr>
          <w:rFonts w:ascii="Book Antiqua" w:hAnsi="Book Antiqua"/>
        </w:rPr>
        <w:t xml:space="preserve">Many parties also argued that </w:t>
      </w:r>
      <w:r w:rsidR="005011EF">
        <w:rPr>
          <w:rFonts w:ascii="Book Antiqua" w:hAnsi="Book Antiqua"/>
        </w:rPr>
        <w:t xml:space="preserve">more detailed </w:t>
      </w:r>
      <w:r w:rsidR="00957240" w:rsidRPr="00D07949">
        <w:rPr>
          <w:rFonts w:ascii="Book Antiqua" w:hAnsi="Book Antiqua"/>
        </w:rPr>
        <w:t>Western Electricity Coordinating Council</w:t>
      </w:r>
      <w:r w:rsidR="00957240" w:rsidRPr="00957240">
        <w:rPr>
          <w:rFonts w:ascii="Book Antiqua" w:hAnsi="Book Antiqua"/>
        </w:rPr>
        <w:t xml:space="preserve"> </w:t>
      </w:r>
      <w:r w:rsidR="00957240">
        <w:rPr>
          <w:rFonts w:ascii="Book Antiqua" w:hAnsi="Book Antiqua"/>
        </w:rPr>
        <w:t>(</w:t>
      </w:r>
      <w:r w:rsidRPr="001A7699">
        <w:rPr>
          <w:rFonts w:ascii="Book Antiqua" w:hAnsi="Book Antiqua"/>
        </w:rPr>
        <w:t>WECC</w:t>
      </w:r>
      <w:r w:rsidR="00957240">
        <w:rPr>
          <w:rFonts w:ascii="Book Antiqua" w:hAnsi="Book Antiqua"/>
        </w:rPr>
        <w:t xml:space="preserve">) </w:t>
      </w:r>
      <w:r w:rsidR="00D84A09" w:rsidRPr="001A7699">
        <w:rPr>
          <w:rFonts w:ascii="Book Antiqua" w:hAnsi="Book Antiqua"/>
        </w:rPr>
        <w:noBreakHyphen/>
      </w:r>
      <w:r w:rsidRPr="001A7699">
        <w:rPr>
          <w:rFonts w:ascii="Book Antiqua" w:hAnsi="Book Antiqua"/>
        </w:rPr>
        <w:t xml:space="preserve">wide modeling is needed, on a seasonal or more granular basis. </w:t>
      </w:r>
      <w:r w:rsidR="00C961F7" w:rsidRPr="001A7699">
        <w:rPr>
          <w:rFonts w:ascii="Book Antiqua" w:hAnsi="Book Antiqua"/>
        </w:rPr>
        <w:t xml:space="preserve"> </w:t>
      </w:r>
      <w:r w:rsidRPr="001A7699">
        <w:rPr>
          <w:rFonts w:ascii="Book Antiqua" w:hAnsi="Book Antiqua"/>
        </w:rPr>
        <w:t>In addition, emissions factors for unspecified imports should be reexamined, as well as transmission costs rolled into the costs of out</w:t>
      </w:r>
      <w:r w:rsidR="00D84A09" w:rsidRPr="001A7699">
        <w:rPr>
          <w:rFonts w:ascii="Book Antiqua" w:hAnsi="Book Antiqua"/>
        </w:rPr>
        <w:noBreakHyphen/>
      </w:r>
      <w:r w:rsidRPr="001A7699">
        <w:rPr>
          <w:rFonts w:ascii="Book Antiqua" w:hAnsi="Book Antiqua"/>
        </w:rPr>
        <w:t>of</w:t>
      </w:r>
      <w:r w:rsidR="00D84A09" w:rsidRPr="001A7699">
        <w:rPr>
          <w:rFonts w:ascii="Book Antiqua" w:hAnsi="Book Antiqua"/>
        </w:rPr>
        <w:noBreakHyphen/>
      </w:r>
      <w:r w:rsidRPr="001A7699">
        <w:rPr>
          <w:rFonts w:ascii="Book Antiqua" w:hAnsi="Book Antiqua"/>
        </w:rPr>
        <w:t xml:space="preserve">state hydro resources for accuracy. </w:t>
      </w:r>
      <w:r w:rsidR="00C961F7" w:rsidRPr="001A7699">
        <w:rPr>
          <w:rFonts w:ascii="Book Antiqua" w:hAnsi="Book Antiqua"/>
        </w:rPr>
        <w:t xml:space="preserve"> </w:t>
      </w:r>
      <w:r w:rsidRPr="001A7699">
        <w:rPr>
          <w:rFonts w:ascii="Book Antiqua" w:hAnsi="Book Antiqua"/>
        </w:rPr>
        <w:t>NRDC, in particular, recommended that staff in the next cycle of IRP look for deficiencies in the WECC</w:t>
      </w:r>
      <w:r w:rsidR="00D84A09" w:rsidRPr="001A7699">
        <w:rPr>
          <w:rFonts w:ascii="Book Antiqua" w:hAnsi="Book Antiqua"/>
        </w:rPr>
        <w:noBreakHyphen/>
      </w:r>
      <w:r w:rsidRPr="001A7699">
        <w:rPr>
          <w:rFonts w:ascii="Book Antiqua" w:hAnsi="Book Antiqua"/>
        </w:rPr>
        <w:t>wide anchor data set, though recognized that the Commission may not have adequate resources to undertake this task.</w:t>
      </w:r>
    </w:p>
    <w:p w14:paraId="25F2034C" w14:textId="77777777" w:rsidR="00E61706" w:rsidRPr="001A7699" w:rsidRDefault="00E61706" w:rsidP="00152A24">
      <w:pPr>
        <w:pStyle w:val="sub2"/>
        <w:rPr>
          <w:rFonts w:ascii="Book Antiqua" w:hAnsi="Book Antiqua"/>
        </w:rPr>
      </w:pPr>
      <w:r w:rsidRPr="001A7699">
        <w:rPr>
          <w:rFonts w:ascii="Book Antiqua" w:hAnsi="Book Antiqua"/>
        </w:rPr>
        <w:t xml:space="preserve">With respect to the criteria pollutant emissions results from the HCP analyzed, </w:t>
      </w:r>
      <w:r w:rsidR="00EB6FAA" w:rsidRPr="001A7699">
        <w:rPr>
          <w:rFonts w:ascii="Book Antiqua" w:hAnsi="Book Antiqua"/>
        </w:rPr>
        <w:t xml:space="preserve">there were a few specific comments from parties. </w:t>
      </w:r>
      <w:r w:rsidR="00C961F7" w:rsidRPr="001A7699">
        <w:rPr>
          <w:rFonts w:ascii="Book Antiqua" w:hAnsi="Book Antiqua"/>
        </w:rPr>
        <w:t xml:space="preserve"> </w:t>
      </w:r>
      <w:r w:rsidR="00EB6FAA" w:rsidRPr="001A7699">
        <w:rPr>
          <w:rFonts w:ascii="Book Antiqua" w:hAnsi="Book Antiqua"/>
        </w:rPr>
        <w:t>First, some parties felt that the 40</w:t>
      </w:r>
      <w:r w:rsidR="00D84A09" w:rsidRPr="001A7699">
        <w:rPr>
          <w:rFonts w:ascii="Book Antiqua" w:hAnsi="Book Antiqua"/>
        </w:rPr>
        <w:noBreakHyphen/>
      </w:r>
      <w:r w:rsidR="00EB6FAA" w:rsidRPr="001A7699">
        <w:rPr>
          <w:rFonts w:ascii="Book Antiqua" w:hAnsi="Book Antiqua"/>
        </w:rPr>
        <w:t>year retirement assumption for cogeneration was not realistic, because those units are unlikely to retire if they are needed for industrial processes.</w:t>
      </w:r>
      <w:r w:rsidR="00C961F7" w:rsidRPr="001A7699">
        <w:rPr>
          <w:rFonts w:ascii="Book Antiqua" w:hAnsi="Book Antiqua"/>
        </w:rPr>
        <w:t xml:space="preserve"> </w:t>
      </w:r>
      <w:r w:rsidR="00EB6FAA" w:rsidRPr="001A7699">
        <w:rPr>
          <w:rFonts w:ascii="Book Antiqua" w:hAnsi="Book Antiqua"/>
        </w:rPr>
        <w:t xml:space="preserve"> In addition, many parties commented that the Commission has not done enough work prioritizing issues in disadvantaged communities, and that more work is needed to attribute air pollutants correctly. </w:t>
      </w:r>
    </w:p>
    <w:p w14:paraId="50755100" w14:textId="77777777" w:rsidR="00EB6FAA" w:rsidRPr="001A7699" w:rsidRDefault="00EB6FAA" w:rsidP="00152A24">
      <w:pPr>
        <w:pStyle w:val="sub2"/>
        <w:rPr>
          <w:rFonts w:ascii="Book Antiqua" w:hAnsi="Book Antiqua"/>
        </w:rPr>
      </w:pPr>
      <w:r w:rsidRPr="001A7699">
        <w:rPr>
          <w:rFonts w:ascii="Book Antiqua" w:hAnsi="Book Antiqua"/>
        </w:rPr>
        <w:t xml:space="preserve">On the GHG emissions analysis, several parties including Cal Advocates, noted the disconnect between aggregate GHG emissions and the </w:t>
      </w:r>
      <w:r w:rsidR="008A7EEE" w:rsidRPr="001A7699">
        <w:rPr>
          <w:rFonts w:ascii="Book Antiqua" w:hAnsi="Book Antiqua"/>
        </w:rPr>
        <w:t>CNS</w:t>
      </w:r>
      <w:r w:rsidRPr="001A7699">
        <w:rPr>
          <w:rFonts w:ascii="Book Antiqua" w:hAnsi="Book Antiqua"/>
        </w:rPr>
        <w:t xml:space="preserve"> calculator submissions by LSEs in their individual IRPs. </w:t>
      </w:r>
      <w:r w:rsidR="00C961F7" w:rsidRPr="001A7699">
        <w:rPr>
          <w:rFonts w:ascii="Book Antiqua" w:hAnsi="Book Antiqua"/>
        </w:rPr>
        <w:t xml:space="preserve"> </w:t>
      </w:r>
      <w:r w:rsidRPr="001A7699">
        <w:rPr>
          <w:rFonts w:ascii="Book Antiqua" w:hAnsi="Book Antiqua"/>
        </w:rPr>
        <w:t xml:space="preserve">They also noted the disconnect between RESOLVE and SERVM emissions results, which staff has previously acknowledged and explained. </w:t>
      </w:r>
    </w:p>
    <w:p w14:paraId="3FB15766" w14:textId="77777777" w:rsidR="008F78F9" w:rsidRPr="001A7699" w:rsidRDefault="00EB6FAA" w:rsidP="008F78F9">
      <w:pPr>
        <w:pStyle w:val="sub2"/>
        <w:rPr>
          <w:rFonts w:ascii="Book Antiqua" w:hAnsi="Book Antiqua"/>
        </w:rPr>
      </w:pPr>
      <w:r w:rsidRPr="001A7699">
        <w:rPr>
          <w:rFonts w:ascii="Book Antiqua" w:hAnsi="Book Antiqua"/>
        </w:rPr>
        <w:t xml:space="preserve">The January 11, 2019 ALJ ruling also contained a question about whether the Commission needs to institute </w:t>
      </w:r>
      <w:r w:rsidR="005D56CE">
        <w:rPr>
          <w:rFonts w:ascii="Book Antiqua" w:hAnsi="Book Antiqua"/>
        </w:rPr>
        <w:t>more specific and stringent</w:t>
      </w:r>
      <w:r w:rsidR="005D56CE" w:rsidRPr="001A7699">
        <w:rPr>
          <w:rFonts w:ascii="Book Antiqua" w:hAnsi="Book Antiqua"/>
        </w:rPr>
        <w:t xml:space="preserve"> </w:t>
      </w:r>
      <w:r w:rsidRPr="001A7699">
        <w:rPr>
          <w:rFonts w:ascii="Book Antiqua" w:hAnsi="Book Antiqua"/>
        </w:rPr>
        <w:t>filing requirements in the next cycle of IRP, for the individual IRP filings.</w:t>
      </w:r>
      <w:r w:rsidR="00C961F7" w:rsidRPr="001A7699">
        <w:rPr>
          <w:rFonts w:ascii="Book Antiqua" w:hAnsi="Book Antiqua"/>
        </w:rPr>
        <w:t xml:space="preserve"> </w:t>
      </w:r>
      <w:r w:rsidRPr="001A7699">
        <w:rPr>
          <w:rFonts w:ascii="Book Antiqua" w:hAnsi="Book Antiqua"/>
        </w:rPr>
        <w:t xml:space="preserve"> Opinions on this issue were split. </w:t>
      </w:r>
      <w:r w:rsidR="00C961F7" w:rsidRPr="001A7699">
        <w:rPr>
          <w:rFonts w:ascii="Book Antiqua" w:hAnsi="Book Antiqua"/>
        </w:rPr>
        <w:t xml:space="preserve"> </w:t>
      </w:r>
      <w:r w:rsidR="008F78F9" w:rsidRPr="001A7699">
        <w:rPr>
          <w:rFonts w:ascii="Book Antiqua" w:hAnsi="Book Antiqua"/>
        </w:rPr>
        <w:t xml:space="preserve">GridLiance and AEE generally felt there should be more information required about the certainty of resources and their stage of development. </w:t>
      </w:r>
      <w:r w:rsidR="00C961F7" w:rsidRPr="001A7699">
        <w:rPr>
          <w:rFonts w:ascii="Book Antiqua" w:hAnsi="Book Antiqua"/>
        </w:rPr>
        <w:t xml:space="preserve"> </w:t>
      </w:r>
      <w:r w:rsidR="008F78F9" w:rsidRPr="001A7699">
        <w:rPr>
          <w:rFonts w:ascii="Book Antiqua" w:hAnsi="Book Antiqua"/>
        </w:rPr>
        <w:t xml:space="preserve">Cal Advocates was concerned about conformance with RPS requirements, and that any deviations from RPS requirements be explained thoroughly. </w:t>
      </w:r>
      <w:r w:rsidR="00C961F7" w:rsidRPr="001A7699">
        <w:rPr>
          <w:rFonts w:ascii="Book Antiqua" w:hAnsi="Book Antiqua"/>
        </w:rPr>
        <w:t xml:space="preserve"> </w:t>
      </w:r>
      <w:r w:rsidR="008F78F9" w:rsidRPr="001A7699">
        <w:rPr>
          <w:rFonts w:ascii="Book Antiqua" w:hAnsi="Book Antiqua"/>
        </w:rPr>
        <w:t>PG&amp;E recommended that all LSE requirements align with IOU showing</w:t>
      </w:r>
      <w:r w:rsidR="005011EF">
        <w:rPr>
          <w:rFonts w:ascii="Book Antiqua" w:hAnsi="Book Antiqua"/>
        </w:rPr>
        <w:t>s</w:t>
      </w:r>
      <w:r w:rsidR="008F78F9" w:rsidRPr="001A7699">
        <w:rPr>
          <w:rFonts w:ascii="Book Antiqua" w:hAnsi="Book Antiqua"/>
        </w:rPr>
        <w:t xml:space="preserve">, especially with respect to firmness of resource commitments. </w:t>
      </w:r>
      <w:r w:rsidR="00C961F7" w:rsidRPr="001A7699">
        <w:rPr>
          <w:rFonts w:ascii="Book Antiqua" w:hAnsi="Book Antiqua"/>
        </w:rPr>
        <w:t xml:space="preserve"> </w:t>
      </w:r>
      <w:r w:rsidR="008F78F9" w:rsidRPr="001A7699">
        <w:rPr>
          <w:rFonts w:ascii="Book Antiqua" w:hAnsi="Book Antiqua"/>
        </w:rPr>
        <w:t xml:space="preserve">In addition, PG&amp;E would like all LSEs to utilize the </w:t>
      </w:r>
      <w:r w:rsidR="00957240">
        <w:rPr>
          <w:rFonts w:ascii="Book Antiqua" w:hAnsi="Book Antiqua"/>
        </w:rPr>
        <w:t>CNS</w:t>
      </w:r>
      <w:r w:rsidR="008F78F9" w:rsidRPr="001A7699">
        <w:rPr>
          <w:rFonts w:ascii="Book Antiqua" w:hAnsi="Book Antiqua"/>
        </w:rPr>
        <w:t xml:space="preserve"> calculator in their templates. </w:t>
      </w:r>
      <w:r w:rsidR="00C961F7" w:rsidRPr="001A7699">
        <w:rPr>
          <w:rFonts w:ascii="Book Antiqua" w:hAnsi="Book Antiqua"/>
        </w:rPr>
        <w:t xml:space="preserve"> </w:t>
      </w:r>
      <w:r w:rsidR="008F78F9" w:rsidRPr="001A7699">
        <w:rPr>
          <w:rFonts w:ascii="Book Antiqua" w:hAnsi="Book Antiqua"/>
        </w:rPr>
        <w:t xml:space="preserve">TURN would like to have a tighter focus on addressing resource shuffling, either by </w:t>
      </w:r>
      <w:r w:rsidR="005011EF">
        <w:rPr>
          <w:rFonts w:ascii="Book Antiqua" w:hAnsi="Book Antiqua"/>
        </w:rPr>
        <w:t>more robust and detailed</w:t>
      </w:r>
      <w:r w:rsidR="005011EF" w:rsidRPr="001A7699">
        <w:rPr>
          <w:rFonts w:ascii="Book Antiqua" w:hAnsi="Book Antiqua"/>
        </w:rPr>
        <w:t xml:space="preserve"> </w:t>
      </w:r>
      <w:r w:rsidR="008F78F9" w:rsidRPr="001A7699">
        <w:rPr>
          <w:rFonts w:ascii="Book Antiqua" w:hAnsi="Book Antiqua"/>
        </w:rPr>
        <w:t>Commission analysis or requiring affidavits from sellers about how the resource will be replaced in their portfolio.</w:t>
      </w:r>
    </w:p>
    <w:p w14:paraId="1172BB33" w14:textId="77777777" w:rsidR="008F78F9" w:rsidRPr="001A7699" w:rsidRDefault="008F78F9" w:rsidP="008F78F9">
      <w:pPr>
        <w:pStyle w:val="sub2"/>
        <w:rPr>
          <w:rFonts w:ascii="Book Antiqua" w:hAnsi="Book Antiqua"/>
        </w:rPr>
      </w:pPr>
      <w:r w:rsidRPr="001A7699">
        <w:rPr>
          <w:rFonts w:ascii="Book Antiqua" w:hAnsi="Book Antiqua"/>
        </w:rPr>
        <w:t>Four parties opposed any tighter requirements on individual IRPs, including AReM, CESA, Joint CCAs, and Ormat.</w:t>
      </w:r>
      <w:r w:rsidR="00C961F7" w:rsidRPr="001A7699">
        <w:rPr>
          <w:rFonts w:ascii="Book Antiqua" w:hAnsi="Book Antiqua"/>
        </w:rPr>
        <w:t xml:space="preserve"> </w:t>
      </w:r>
      <w:r w:rsidRPr="001A7699">
        <w:rPr>
          <w:rFonts w:ascii="Book Antiqua" w:hAnsi="Book Antiqua"/>
        </w:rPr>
        <w:t xml:space="preserve"> </w:t>
      </w:r>
      <w:r w:rsidR="00884AA8" w:rsidRPr="001A7699">
        <w:rPr>
          <w:rFonts w:ascii="Book Antiqua" w:hAnsi="Book Antiqua"/>
        </w:rPr>
        <w:t>AReM and Ormat focused their comments on refinement to existing IRP filing requirements, including allowing continued flexibility for resource type and location due to uncertainty that is inherent in long</w:t>
      </w:r>
      <w:r w:rsidR="00D84A09" w:rsidRPr="001A7699">
        <w:rPr>
          <w:rFonts w:ascii="Book Antiqua" w:hAnsi="Book Antiqua"/>
        </w:rPr>
        <w:noBreakHyphen/>
      </w:r>
      <w:r w:rsidR="00884AA8" w:rsidRPr="001A7699">
        <w:rPr>
          <w:rFonts w:ascii="Book Antiqua" w:hAnsi="Book Antiqua"/>
        </w:rPr>
        <w:t xml:space="preserve">term planning. </w:t>
      </w:r>
      <w:r w:rsidR="00C961F7" w:rsidRPr="001A7699">
        <w:rPr>
          <w:rFonts w:ascii="Book Antiqua" w:hAnsi="Book Antiqua"/>
        </w:rPr>
        <w:t xml:space="preserve"> </w:t>
      </w:r>
      <w:r w:rsidR="00884AA8" w:rsidRPr="001A7699">
        <w:rPr>
          <w:rFonts w:ascii="Book Antiqua" w:hAnsi="Book Antiqua"/>
        </w:rPr>
        <w:t xml:space="preserve">CESA recommended consistency and standardization, but not any tighter requirements. </w:t>
      </w:r>
      <w:r w:rsidR="00C961F7" w:rsidRPr="001A7699">
        <w:rPr>
          <w:rFonts w:ascii="Book Antiqua" w:hAnsi="Book Antiqua"/>
        </w:rPr>
        <w:t xml:space="preserve"> </w:t>
      </w:r>
      <w:r w:rsidR="00884AA8" w:rsidRPr="001A7699">
        <w:rPr>
          <w:rFonts w:ascii="Book Antiqua" w:hAnsi="Book Antiqua"/>
        </w:rPr>
        <w:t>The Joint CCAs argued that IRP requirements are only for coordination purposes and to help the state in planning, but their procurement is independent of this process.</w:t>
      </w:r>
    </w:p>
    <w:p w14:paraId="79845084" w14:textId="77777777" w:rsidR="00884AA8" w:rsidRPr="001A7699" w:rsidRDefault="00884AA8" w:rsidP="008F78F9">
      <w:pPr>
        <w:pStyle w:val="sub2"/>
        <w:rPr>
          <w:rFonts w:ascii="Book Antiqua" w:hAnsi="Book Antiqua"/>
        </w:rPr>
      </w:pPr>
      <w:r w:rsidRPr="001A7699">
        <w:rPr>
          <w:rFonts w:ascii="Book Antiqua" w:hAnsi="Book Antiqua"/>
        </w:rPr>
        <w:t xml:space="preserve">SCE recommended initiating a stakeholder process to refine the filing requirements for IRPs. </w:t>
      </w:r>
      <w:r w:rsidR="00C961F7" w:rsidRPr="001A7699">
        <w:rPr>
          <w:rFonts w:ascii="Book Antiqua" w:hAnsi="Book Antiqua"/>
        </w:rPr>
        <w:t xml:space="preserve"> </w:t>
      </w:r>
      <w:r w:rsidRPr="001A7699">
        <w:rPr>
          <w:rFonts w:ascii="Book Antiqua" w:hAnsi="Book Antiqua"/>
        </w:rPr>
        <w:t xml:space="preserve">NRDC suggested that the IRP provide directional guidance for additional procurement, but that individual resource proceedings should authorize additional procurement, if necessary. </w:t>
      </w:r>
      <w:r w:rsidR="00C961F7" w:rsidRPr="001A7699">
        <w:rPr>
          <w:rFonts w:ascii="Book Antiqua" w:hAnsi="Book Antiqua"/>
        </w:rPr>
        <w:t xml:space="preserve"> </w:t>
      </w:r>
      <w:r w:rsidRPr="001A7699">
        <w:rPr>
          <w:rFonts w:ascii="Book Antiqua" w:hAnsi="Book Antiqua"/>
        </w:rPr>
        <w:t xml:space="preserve">SDCWA commented that individual LSEs should be required to file IRPs out to 2045 and not just to 2030. </w:t>
      </w:r>
      <w:r w:rsidR="00C961F7" w:rsidRPr="001A7699">
        <w:rPr>
          <w:rFonts w:ascii="Book Antiqua" w:hAnsi="Book Antiqua"/>
        </w:rPr>
        <w:t xml:space="preserve"> </w:t>
      </w:r>
      <w:r w:rsidRPr="001A7699">
        <w:rPr>
          <w:rFonts w:ascii="Book Antiqua" w:hAnsi="Book Antiqua"/>
        </w:rPr>
        <w:t xml:space="preserve">And finally, the CAISO wanted additional attention to what happens if the LSEs do not meet their GHG emissions targets. </w:t>
      </w:r>
    </w:p>
    <w:p w14:paraId="6411D29C" w14:textId="77777777" w:rsidR="00152A24" w:rsidRDefault="005F6918" w:rsidP="004C75AB">
      <w:pPr>
        <w:pStyle w:val="Heading2"/>
      </w:pPr>
      <w:bookmarkStart w:id="135" w:name="_Toc3803849"/>
      <w:r>
        <w:t>Discussion</w:t>
      </w:r>
      <w:bookmarkEnd w:id="135"/>
    </w:p>
    <w:p w14:paraId="1AC991DA" w14:textId="77777777" w:rsidR="00152A24" w:rsidRPr="001A7699" w:rsidRDefault="006F5C6B" w:rsidP="00152A24">
      <w:pPr>
        <w:pStyle w:val="sub2"/>
        <w:rPr>
          <w:rFonts w:ascii="Book Antiqua" w:hAnsi="Book Antiqua"/>
        </w:rPr>
      </w:pPr>
      <w:r w:rsidRPr="001A7699">
        <w:rPr>
          <w:rFonts w:ascii="Book Antiqua" w:hAnsi="Book Antiqua"/>
        </w:rPr>
        <w:t>The original recommendation by Commission staff that we adopt the HCP as the PSP</w:t>
      </w:r>
      <w:r w:rsidR="00B40D80" w:rsidRPr="001A7699">
        <w:rPr>
          <w:rFonts w:ascii="Book Antiqua" w:hAnsi="Book Antiqua"/>
        </w:rPr>
        <w:t>, as articulated in the January 11, 2019 ALJ ruling,</w:t>
      </w:r>
      <w:r w:rsidR="00D94D95" w:rsidRPr="001A7699">
        <w:rPr>
          <w:rFonts w:ascii="Book Antiqua" w:hAnsi="Book Antiqua"/>
        </w:rPr>
        <w:t xml:space="preserve"> was focused on the </w:t>
      </w:r>
      <w:r w:rsidR="005B6D64" w:rsidRPr="001A7699">
        <w:rPr>
          <w:rFonts w:ascii="Book Antiqua" w:hAnsi="Book Antiqua"/>
        </w:rPr>
        <w:t>desire</w:t>
      </w:r>
      <w:r w:rsidR="00D94D95" w:rsidRPr="001A7699">
        <w:rPr>
          <w:rFonts w:ascii="Book Antiqua" w:hAnsi="Book Antiqua"/>
        </w:rPr>
        <w:t xml:space="preserve"> to reflect the resource procurement preferences of individual LSEs in our </w:t>
      </w:r>
      <w:r w:rsidR="00936DA4" w:rsidRPr="001A7699">
        <w:rPr>
          <w:rFonts w:ascii="Book Antiqua" w:hAnsi="Book Antiqua"/>
        </w:rPr>
        <w:t>future planning and the CAISO’s transmission analysis</w:t>
      </w:r>
      <w:r w:rsidR="00D94D95" w:rsidRPr="001A7699">
        <w:rPr>
          <w:rFonts w:ascii="Book Antiqua" w:hAnsi="Book Antiqua"/>
        </w:rPr>
        <w:t xml:space="preserve">. </w:t>
      </w:r>
      <w:r w:rsidR="00C961F7" w:rsidRPr="001A7699">
        <w:rPr>
          <w:rFonts w:ascii="Book Antiqua" w:hAnsi="Book Antiqua"/>
        </w:rPr>
        <w:t xml:space="preserve"> </w:t>
      </w:r>
      <w:r w:rsidR="000B0D6F" w:rsidRPr="001A7699">
        <w:rPr>
          <w:rFonts w:ascii="Book Antiqua" w:hAnsi="Book Antiqua"/>
        </w:rPr>
        <w:t xml:space="preserve">This is the first time we have had an indication of those </w:t>
      </w:r>
      <w:r w:rsidR="00B51E52" w:rsidRPr="001A7699">
        <w:rPr>
          <w:rFonts w:ascii="Book Antiqua" w:hAnsi="Book Antiqua"/>
        </w:rPr>
        <w:t xml:space="preserve">LSE </w:t>
      </w:r>
      <w:r w:rsidR="000B0D6F" w:rsidRPr="001A7699">
        <w:rPr>
          <w:rFonts w:ascii="Book Antiqua" w:hAnsi="Book Antiqua"/>
        </w:rPr>
        <w:t xml:space="preserve">preferences that we </w:t>
      </w:r>
      <w:r w:rsidR="002455B1" w:rsidRPr="001A7699">
        <w:rPr>
          <w:rFonts w:ascii="Book Antiqua" w:hAnsi="Book Antiqua"/>
        </w:rPr>
        <w:t>were</w:t>
      </w:r>
      <w:r w:rsidR="000B0D6F" w:rsidRPr="001A7699">
        <w:rPr>
          <w:rFonts w:ascii="Book Antiqua" w:hAnsi="Book Antiqua"/>
        </w:rPr>
        <w:t xml:space="preserve"> able to aggregate together into a total picture of what the system would look like should those choices come to fruition by 2030. </w:t>
      </w:r>
    </w:p>
    <w:p w14:paraId="41ED103E" w14:textId="77777777" w:rsidR="004C4536" w:rsidRPr="001A7699" w:rsidRDefault="002455B1" w:rsidP="00B4225C">
      <w:pPr>
        <w:pStyle w:val="sub2"/>
        <w:rPr>
          <w:rFonts w:ascii="Book Antiqua" w:hAnsi="Book Antiqua"/>
        </w:rPr>
      </w:pPr>
      <w:r w:rsidRPr="001A7699">
        <w:rPr>
          <w:rFonts w:ascii="Book Antiqua" w:hAnsi="Book Antiqua"/>
        </w:rPr>
        <w:t xml:space="preserve">Though some parties take issue with the adjustments made by Commission staff, we find that they were reasonable in order to form a complete picture of the CAISO system and evaluate the resulting portfolio in 2030 further. </w:t>
      </w:r>
      <w:r w:rsidR="00C961F7" w:rsidRPr="001A7699">
        <w:rPr>
          <w:rFonts w:ascii="Book Antiqua" w:hAnsi="Book Antiqua"/>
        </w:rPr>
        <w:t xml:space="preserve"> </w:t>
      </w:r>
      <w:r w:rsidRPr="001A7699">
        <w:rPr>
          <w:rFonts w:ascii="Book Antiqua" w:hAnsi="Book Antiqua"/>
        </w:rPr>
        <w:t xml:space="preserve">In the future, we would prefer that Commission staff not have to make adjustments to the aggregated portfolio in order to construct a feasible portfolio. </w:t>
      </w:r>
    </w:p>
    <w:p w14:paraId="3E94EF45" w14:textId="77777777" w:rsidR="00B4225C" w:rsidRPr="001A7699" w:rsidRDefault="00B4225C" w:rsidP="00B4225C">
      <w:pPr>
        <w:pStyle w:val="sub2"/>
        <w:rPr>
          <w:rFonts w:ascii="Book Antiqua" w:hAnsi="Book Antiqua"/>
        </w:rPr>
      </w:pPr>
      <w:r w:rsidRPr="001A7699">
        <w:rPr>
          <w:rFonts w:ascii="Book Antiqua" w:hAnsi="Book Antiqua"/>
        </w:rPr>
        <w:t xml:space="preserve">However, in this instance it was necessary for analysis of a feasible portfolio. </w:t>
      </w:r>
      <w:r w:rsidR="00C961F7" w:rsidRPr="001A7699">
        <w:rPr>
          <w:rFonts w:ascii="Book Antiqua" w:hAnsi="Book Antiqua"/>
        </w:rPr>
        <w:t xml:space="preserve"> </w:t>
      </w:r>
      <w:r w:rsidRPr="001A7699">
        <w:rPr>
          <w:rFonts w:ascii="Book Antiqua" w:hAnsi="Book Antiqua"/>
        </w:rPr>
        <w:t xml:space="preserve">Figure </w:t>
      </w:r>
      <w:r w:rsidR="00072CB7" w:rsidRPr="001A7699">
        <w:rPr>
          <w:rFonts w:ascii="Book Antiqua" w:hAnsi="Book Antiqua"/>
        </w:rPr>
        <w:t>1</w:t>
      </w:r>
      <w:r w:rsidRPr="001A7699">
        <w:rPr>
          <w:rFonts w:ascii="Book Antiqua" w:hAnsi="Book Antiqua"/>
        </w:rPr>
        <w:t xml:space="preserve"> below shows the adjustments made to the LSEs</w:t>
      </w:r>
      <w:r w:rsidR="00E31C6B">
        <w:rPr>
          <w:rFonts w:ascii="Book Antiqua" w:hAnsi="Book Antiqua"/>
        </w:rPr>
        <w:t>’</w:t>
      </w:r>
      <w:r w:rsidRPr="001A7699">
        <w:rPr>
          <w:rFonts w:ascii="Book Antiqua" w:hAnsi="Book Antiqua"/>
        </w:rPr>
        <w:t xml:space="preserve"> preferred renewable and storage resource choices compared to the </w:t>
      </w:r>
      <w:r w:rsidR="005011EF">
        <w:rPr>
          <w:rFonts w:ascii="Book Antiqua" w:hAnsi="Book Antiqua"/>
        </w:rPr>
        <w:t xml:space="preserve">results of </w:t>
      </w:r>
      <w:r w:rsidRPr="001A7699">
        <w:rPr>
          <w:rFonts w:ascii="Book Antiqua" w:hAnsi="Book Antiqua"/>
        </w:rPr>
        <w:t xml:space="preserve">RSP </w:t>
      </w:r>
      <w:r w:rsidR="005011EF">
        <w:rPr>
          <w:rFonts w:ascii="Book Antiqua" w:hAnsi="Book Antiqua"/>
        </w:rPr>
        <w:t xml:space="preserve">with 2017 IEPR assumptions </w:t>
      </w:r>
      <w:r w:rsidRPr="001A7699">
        <w:rPr>
          <w:rFonts w:ascii="Book Antiqua" w:hAnsi="Book Antiqua"/>
        </w:rPr>
        <w:t xml:space="preserve">from the RESOLVE model. </w:t>
      </w:r>
      <w:r w:rsidR="00C961F7" w:rsidRPr="001A7699">
        <w:rPr>
          <w:rFonts w:ascii="Book Antiqua" w:hAnsi="Book Antiqua"/>
        </w:rPr>
        <w:t xml:space="preserve"> </w:t>
      </w:r>
      <w:r w:rsidRPr="001A7699">
        <w:rPr>
          <w:rFonts w:ascii="Book Antiqua" w:hAnsi="Book Antiqua"/>
        </w:rPr>
        <w:t xml:space="preserve">Biomass and biogas resources are not shown in the table because no adjustments were made to those resource types. </w:t>
      </w:r>
      <w:r w:rsidR="00C961F7" w:rsidRPr="001A7699">
        <w:rPr>
          <w:rFonts w:ascii="Book Antiqua" w:hAnsi="Book Antiqua"/>
        </w:rPr>
        <w:t xml:space="preserve"> </w:t>
      </w:r>
      <w:r w:rsidRPr="001A7699">
        <w:rPr>
          <w:rFonts w:ascii="Book Antiqua" w:hAnsi="Book Antiqua"/>
        </w:rPr>
        <w:t>The relative mix of full capacity deliverability status (FCDS) vs. energy</w:t>
      </w:r>
      <w:r w:rsidR="00D84A09" w:rsidRPr="001A7699">
        <w:rPr>
          <w:rFonts w:ascii="Book Antiqua" w:hAnsi="Book Antiqua"/>
        </w:rPr>
        <w:noBreakHyphen/>
      </w:r>
      <w:r w:rsidRPr="001A7699">
        <w:rPr>
          <w:rFonts w:ascii="Book Antiqua" w:hAnsi="Book Antiqua"/>
        </w:rPr>
        <w:t xml:space="preserve">only (EO) capacity was adjusted to accommodate transmission </w:t>
      </w:r>
      <w:r w:rsidR="0033659F">
        <w:rPr>
          <w:rFonts w:ascii="Book Antiqua" w:hAnsi="Book Antiqua"/>
        </w:rPr>
        <w:t>availability</w:t>
      </w:r>
      <w:r w:rsidRPr="001A7699">
        <w:rPr>
          <w:rFonts w:ascii="Book Antiqua" w:hAnsi="Book Antiqua"/>
        </w:rPr>
        <w:t xml:space="preserve">. </w:t>
      </w:r>
      <w:r w:rsidR="00C961F7" w:rsidRPr="001A7699">
        <w:rPr>
          <w:rFonts w:ascii="Book Antiqua" w:hAnsi="Book Antiqua"/>
        </w:rPr>
        <w:t xml:space="preserve"> </w:t>
      </w:r>
      <w:r w:rsidR="007F3D5B" w:rsidRPr="001A7699">
        <w:rPr>
          <w:rFonts w:ascii="Book Antiqua" w:hAnsi="Book Antiqua"/>
        </w:rPr>
        <w:t xml:space="preserve">These adjustments also preserved the total requested capacity by LSEs by resource type, to show those resource preferences. </w:t>
      </w:r>
    </w:p>
    <w:p w14:paraId="72ABEE40" w14:textId="77777777" w:rsidR="00B4225C" w:rsidRPr="007B4AA3" w:rsidRDefault="00B4225C" w:rsidP="00B4225C">
      <w:pPr>
        <w:pStyle w:val="Caption"/>
        <w:keepNext/>
        <w:rPr>
          <w:rFonts w:ascii="Book Antiqua" w:hAnsi="Book Antiqua"/>
          <w:color w:val="auto"/>
          <w:sz w:val="26"/>
          <w:szCs w:val="24"/>
        </w:rPr>
      </w:pPr>
      <w:r w:rsidRPr="007B4AA3">
        <w:rPr>
          <w:rFonts w:ascii="Book Antiqua" w:hAnsi="Book Antiqua"/>
          <w:color w:val="auto"/>
          <w:sz w:val="26"/>
          <w:szCs w:val="24"/>
        </w:rPr>
        <w:t xml:space="preserve">Figure </w:t>
      </w:r>
      <w:r w:rsidR="00072CB7" w:rsidRPr="007B4AA3">
        <w:rPr>
          <w:rFonts w:ascii="Book Antiqua" w:hAnsi="Book Antiqua"/>
          <w:color w:val="auto"/>
          <w:sz w:val="26"/>
          <w:szCs w:val="24"/>
        </w:rPr>
        <w:t>1</w:t>
      </w:r>
      <w:r w:rsidRPr="007B4AA3">
        <w:rPr>
          <w:rFonts w:ascii="Book Antiqua" w:hAnsi="Book Antiqua"/>
          <w:color w:val="auto"/>
          <w:sz w:val="26"/>
          <w:szCs w:val="24"/>
        </w:rPr>
        <w:t xml:space="preserve">. </w:t>
      </w:r>
      <w:r w:rsidR="0033659F">
        <w:rPr>
          <w:rFonts w:ascii="Book Antiqua" w:hAnsi="Book Antiqua"/>
          <w:color w:val="auto"/>
          <w:sz w:val="26"/>
          <w:szCs w:val="24"/>
        </w:rPr>
        <w:t xml:space="preserve">2030 </w:t>
      </w:r>
      <w:r w:rsidR="007F3D5B" w:rsidRPr="007B4AA3">
        <w:rPr>
          <w:rFonts w:ascii="Book Antiqua" w:hAnsi="Book Antiqua"/>
          <w:color w:val="auto"/>
          <w:sz w:val="26"/>
          <w:szCs w:val="24"/>
        </w:rPr>
        <w:t>New Renewable and Storage Resources in RSP</w:t>
      </w:r>
      <w:r w:rsidR="0033659F">
        <w:rPr>
          <w:rFonts w:ascii="Book Antiqua" w:hAnsi="Book Antiqua"/>
          <w:color w:val="auto"/>
          <w:sz w:val="26"/>
          <w:szCs w:val="24"/>
        </w:rPr>
        <w:t xml:space="preserve"> with 2017 IEPR assumptions</w:t>
      </w:r>
      <w:r w:rsidR="007F3D5B" w:rsidRPr="007B4AA3">
        <w:rPr>
          <w:rFonts w:ascii="Book Antiqua" w:hAnsi="Book Antiqua"/>
          <w:color w:val="auto"/>
          <w:sz w:val="26"/>
          <w:szCs w:val="24"/>
        </w:rPr>
        <w:t>, Aggregated LSE IRPs, and Adjusted LSE IRPs</w:t>
      </w:r>
    </w:p>
    <w:p w14:paraId="48DFF254" w14:textId="77777777" w:rsidR="004C4536" w:rsidRDefault="00B4225C" w:rsidP="00B4225C">
      <w:pPr>
        <w:pStyle w:val="sub2"/>
        <w:ind w:firstLine="0"/>
      </w:pPr>
      <w:r>
        <w:rPr>
          <w:noProof/>
        </w:rPr>
        <w:drawing>
          <wp:inline distT="0" distB="0" distL="0" distR="0" wp14:anchorId="401C67F5" wp14:editId="1CCD0B6E">
            <wp:extent cx="6069965" cy="3705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1816" cy="3718563"/>
                    </a:xfrm>
                    <a:prstGeom prst="rect">
                      <a:avLst/>
                    </a:prstGeom>
                    <a:noFill/>
                  </pic:spPr>
                </pic:pic>
              </a:graphicData>
            </a:graphic>
          </wp:inline>
        </w:drawing>
      </w:r>
    </w:p>
    <w:p w14:paraId="52605BB4" w14:textId="77777777" w:rsidR="00F90D41" w:rsidRPr="001A7699" w:rsidRDefault="002455B1" w:rsidP="008E1DF3">
      <w:pPr>
        <w:pStyle w:val="sub2"/>
        <w:rPr>
          <w:rFonts w:ascii="Book Antiqua" w:hAnsi="Book Antiqua"/>
        </w:rPr>
      </w:pPr>
      <w:r w:rsidRPr="001A7699">
        <w:rPr>
          <w:rFonts w:ascii="Book Antiqua" w:hAnsi="Book Antiqua"/>
        </w:rPr>
        <w:t xml:space="preserve">In order to avoid </w:t>
      </w:r>
      <w:r w:rsidR="00424FA8" w:rsidRPr="001A7699">
        <w:rPr>
          <w:rFonts w:ascii="Book Antiqua" w:hAnsi="Book Antiqua"/>
        </w:rPr>
        <w:t>these</w:t>
      </w:r>
      <w:r w:rsidRPr="001A7699">
        <w:rPr>
          <w:rFonts w:ascii="Book Antiqua" w:hAnsi="Book Antiqua"/>
        </w:rPr>
        <w:t xml:space="preserve"> types of manual adjustments</w:t>
      </w:r>
      <w:r w:rsidR="00424FA8" w:rsidRPr="001A7699">
        <w:rPr>
          <w:rFonts w:ascii="Book Antiqua" w:hAnsi="Book Antiqua"/>
        </w:rPr>
        <w:t xml:space="preserve"> in the future</w:t>
      </w:r>
      <w:r w:rsidRPr="001A7699">
        <w:rPr>
          <w:rFonts w:ascii="Book Antiqua" w:hAnsi="Book Antiqua"/>
        </w:rPr>
        <w:t xml:space="preserve">, </w:t>
      </w:r>
      <w:r w:rsidR="00026579" w:rsidRPr="001A7699">
        <w:rPr>
          <w:rFonts w:ascii="Book Antiqua" w:hAnsi="Book Antiqua"/>
        </w:rPr>
        <w:t xml:space="preserve">one improvement </w:t>
      </w:r>
      <w:r w:rsidRPr="001A7699">
        <w:rPr>
          <w:rFonts w:ascii="Book Antiqua" w:hAnsi="Book Antiqua"/>
        </w:rPr>
        <w:t xml:space="preserve">we will </w:t>
      </w:r>
      <w:r w:rsidR="00026579" w:rsidRPr="001A7699">
        <w:rPr>
          <w:rFonts w:ascii="Book Antiqua" w:hAnsi="Book Antiqua"/>
        </w:rPr>
        <w:t>make is to</w:t>
      </w:r>
      <w:r w:rsidRPr="001A7699">
        <w:rPr>
          <w:rFonts w:ascii="Book Antiqua" w:hAnsi="Book Antiqua"/>
        </w:rPr>
        <w:t xml:space="preserve"> </w:t>
      </w:r>
      <w:r w:rsidR="00C16C3E" w:rsidRPr="001A7699">
        <w:rPr>
          <w:rFonts w:ascii="Book Antiqua" w:hAnsi="Book Antiqua"/>
        </w:rPr>
        <w:t>create</w:t>
      </w:r>
      <w:r w:rsidRPr="001A7699">
        <w:rPr>
          <w:rFonts w:ascii="Book Antiqua" w:hAnsi="Book Antiqua"/>
        </w:rPr>
        <w:t xml:space="preserve"> stricter filing requirements for LSEs.</w:t>
      </w:r>
      <w:r w:rsidR="00C961F7" w:rsidRPr="001A7699">
        <w:rPr>
          <w:rFonts w:ascii="Book Antiqua" w:hAnsi="Book Antiqua"/>
        </w:rPr>
        <w:t xml:space="preserve"> </w:t>
      </w:r>
      <w:r w:rsidR="008E1DF3" w:rsidRPr="001A7699">
        <w:rPr>
          <w:rFonts w:ascii="Book Antiqua" w:hAnsi="Book Antiqua"/>
        </w:rPr>
        <w:t xml:space="preserve"> </w:t>
      </w:r>
      <w:r w:rsidRPr="001A7699">
        <w:rPr>
          <w:rFonts w:ascii="Book Antiqua" w:hAnsi="Book Antiqua"/>
        </w:rPr>
        <w:t xml:space="preserve">In particular, in these first IRP filings, in many cases we were unable to distinguish </w:t>
      </w:r>
      <w:r w:rsidR="009A7EE9">
        <w:rPr>
          <w:rFonts w:ascii="Book Antiqua" w:hAnsi="Book Antiqua"/>
        </w:rPr>
        <w:t xml:space="preserve">between </w:t>
      </w:r>
      <w:r w:rsidRPr="001A7699">
        <w:rPr>
          <w:rFonts w:ascii="Book Antiqua" w:hAnsi="Book Antiqua"/>
        </w:rPr>
        <w:t>resources with</w:t>
      </w:r>
      <w:r w:rsidR="00B51E52" w:rsidRPr="001A7699">
        <w:rPr>
          <w:rFonts w:ascii="Book Antiqua" w:hAnsi="Book Antiqua"/>
        </w:rPr>
        <w:t>in</w:t>
      </w:r>
      <w:r w:rsidRPr="001A7699">
        <w:rPr>
          <w:rFonts w:ascii="Book Antiqua" w:hAnsi="Book Antiqua"/>
        </w:rPr>
        <w:t xml:space="preserve"> an LSE’s portfolio that represented existing contracts </w:t>
      </w:r>
      <w:r w:rsidR="009A7EE9">
        <w:rPr>
          <w:rFonts w:ascii="Book Antiqua" w:hAnsi="Book Antiqua"/>
        </w:rPr>
        <w:t>and</w:t>
      </w:r>
      <w:r w:rsidR="009A7EE9" w:rsidRPr="001A7699">
        <w:rPr>
          <w:rFonts w:ascii="Book Antiqua" w:hAnsi="Book Antiqua"/>
        </w:rPr>
        <w:t xml:space="preserve"> </w:t>
      </w:r>
      <w:r w:rsidRPr="001A7699">
        <w:rPr>
          <w:rFonts w:ascii="Book Antiqua" w:hAnsi="Book Antiqua"/>
        </w:rPr>
        <w:t xml:space="preserve">resources </w:t>
      </w:r>
      <w:r w:rsidR="00B51E52" w:rsidRPr="001A7699">
        <w:rPr>
          <w:rFonts w:ascii="Book Antiqua" w:hAnsi="Book Antiqua"/>
        </w:rPr>
        <w:t>that</w:t>
      </w:r>
      <w:r w:rsidRPr="001A7699">
        <w:rPr>
          <w:rFonts w:ascii="Book Antiqua" w:hAnsi="Book Antiqua"/>
        </w:rPr>
        <w:t xml:space="preserve"> were generic </w:t>
      </w:r>
      <w:r w:rsidR="009A7EE9">
        <w:rPr>
          <w:rFonts w:ascii="Book Antiqua" w:hAnsi="Book Antiqua"/>
        </w:rPr>
        <w:t xml:space="preserve">aspirational </w:t>
      </w:r>
      <w:r w:rsidRPr="001A7699">
        <w:rPr>
          <w:rFonts w:ascii="Book Antiqua" w:hAnsi="Book Antiqua"/>
        </w:rPr>
        <w:t xml:space="preserve">choices for the future that may or may not be developed. </w:t>
      </w:r>
      <w:r w:rsidR="00C961F7" w:rsidRPr="001A7699">
        <w:rPr>
          <w:rFonts w:ascii="Book Antiqua" w:hAnsi="Book Antiqua"/>
        </w:rPr>
        <w:t xml:space="preserve"> </w:t>
      </w:r>
      <w:r w:rsidRPr="001A7699">
        <w:rPr>
          <w:rFonts w:ascii="Book Antiqua" w:hAnsi="Book Antiqua"/>
        </w:rPr>
        <w:t>Several parties, including many CCAs, acknowledged the tentative nature of their new generation choices and asked that the Commission not rely on those choices included in their plans</w:t>
      </w:r>
      <w:r w:rsidR="00EC0A62" w:rsidRPr="001A7699">
        <w:rPr>
          <w:rFonts w:ascii="Book Antiqua" w:hAnsi="Book Antiqua"/>
        </w:rPr>
        <w:t xml:space="preserve"> for statewide planning purposes</w:t>
      </w:r>
      <w:r w:rsidRPr="001A7699">
        <w:rPr>
          <w:rFonts w:ascii="Book Antiqua" w:hAnsi="Book Antiqua"/>
        </w:rPr>
        <w:t xml:space="preserve">. </w:t>
      </w:r>
      <w:r w:rsidR="00C961F7" w:rsidRPr="001A7699">
        <w:rPr>
          <w:rFonts w:ascii="Book Antiqua" w:hAnsi="Book Antiqua"/>
        </w:rPr>
        <w:t xml:space="preserve"> </w:t>
      </w:r>
      <w:r w:rsidRPr="001A7699">
        <w:rPr>
          <w:rFonts w:ascii="Book Antiqua" w:hAnsi="Book Antiqua"/>
        </w:rPr>
        <w:t xml:space="preserve">Many of the CCAs also stated in their comments in response to the staff recommendation that their Conforming Plans, which Commission staff used as the basis for the portfolio aggregation for the entire CAISO system, were not representative of their resource preferences. </w:t>
      </w:r>
      <w:r w:rsidR="00C961F7" w:rsidRPr="001A7699">
        <w:rPr>
          <w:rFonts w:ascii="Book Antiqua" w:hAnsi="Book Antiqua"/>
        </w:rPr>
        <w:t xml:space="preserve"> </w:t>
      </w:r>
      <w:r w:rsidRPr="001A7699">
        <w:rPr>
          <w:rFonts w:ascii="Book Antiqua" w:hAnsi="Book Antiqua"/>
        </w:rPr>
        <w:t>Rather, those were included in the</w:t>
      </w:r>
      <w:r w:rsidR="00232163" w:rsidRPr="001A7699">
        <w:rPr>
          <w:rFonts w:ascii="Book Antiqua" w:hAnsi="Book Antiqua"/>
        </w:rPr>
        <w:t>ir</w:t>
      </w:r>
      <w:r w:rsidRPr="001A7699">
        <w:rPr>
          <w:rFonts w:ascii="Book Antiqua" w:hAnsi="Book Antiqua"/>
        </w:rPr>
        <w:t xml:space="preserve"> Preferred Plans, which were not able to be aggregated by staff because the load </w:t>
      </w:r>
      <w:r w:rsidR="00D70B9A">
        <w:rPr>
          <w:rFonts w:ascii="Book Antiqua" w:hAnsi="Book Antiqua"/>
        </w:rPr>
        <w:t xml:space="preserve">forecasts used for these plans </w:t>
      </w:r>
      <w:r w:rsidR="00026579" w:rsidRPr="001A7699">
        <w:rPr>
          <w:rFonts w:ascii="Book Antiqua" w:hAnsi="Book Antiqua"/>
        </w:rPr>
        <w:t xml:space="preserve">could not be added together to form </w:t>
      </w:r>
      <w:r w:rsidRPr="001A7699">
        <w:rPr>
          <w:rFonts w:ascii="Book Antiqua" w:hAnsi="Book Antiqua"/>
        </w:rPr>
        <w:t xml:space="preserve">a total CAISO </w:t>
      </w:r>
      <w:r w:rsidR="005D56CE">
        <w:rPr>
          <w:rFonts w:ascii="Book Antiqua" w:hAnsi="Book Antiqua"/>
        </w:rPr>
        <w:t xml:space="preserve">system </w:t>
      </w:r>
      <w:r w:rsidRPr="001A7699">
        <w:rPr>
          <w:rFonts w:ascii="Book Antiqua" w:hAnsi="Book Antiqua"/>
        </w:rPr>
        <w:t>picture</w:t>
      </w:r>
      <w:r w:rsidR="00D70B9A">
        <w:rPr>
          <w:rFonts w:ascii="Book Antiqua" w:hAnsi="Book Antiqua"/>
        </w:rPr>
        <w:t xml:space="preserve"> that aligns with the IEPR forecast</w:t>
      </w:r>
      <w:r w:rsidRPr="001A7699">
        <w:rPr>
          <w:rFonts w:ascii="Book Antiqua" w:hAnsi="Book Antiqua"/>
        </w:rPr>
        <w:t xml:space="preserve">. </w:t>
      </w:r>
    </w:p>
    <w:p w14:paraId="55AAE467" w14:textId="77777777" w:rsidR="00DA3E02" w:rsidRPr="001A7699" w:rsidRDefault="006907F2" w:rsidP="00152A24">
      <w:pPr>
        <w:pStyle w:val="sub2"/>
        <w:rPr>
          <w:rFonts w:ascii="Book Antiqua" w:hAnsi="Book Antiqua"/>
        </w:rPr>
      </w:pPr>
      <w:r w:rsidRPr="001A7699">
        <w:rPr>
          <w:rFonts w:ascii="Book Antiqua" w:hAnsi="Book Antiqua"/>
        </w:rPr>
        <w:t xml:space="preserve">Because of </w:t>
      </w:r>
      <w:r w:rsidR="005D56CE">
        <w:rPr>
          <w:rFonts w:ascii="Book Antiqua" w:hAnsi="Book Antiqua"/>
        </w:rPr>
        <w:t>this</w:t>
      </w:r>
      <w:r w:rsidRPr="001A7699">
        <w:rPr>
          <w:rFonts w:ascii="Book Antiqua" w:hAnsi="Book Antiqua"/>
        </w:rPr>
        <w:t xml:space="preserve"> uncertainty, in the next IRP filings we will require that individual LSEs disclose the contractual </w:t>
      </w:r>
      <w:r w:rsidR="00232163" w:rsidRPr="001A7699">
        <w:rPr>
          <w:rFonts w:ascii="Book Antiqua" w:hAnsi="Book Antiqua"/>
        </w:rPr>
        <w:t xml:space="preserve">and development status </w:t>
      </w:r>
      <w:r w:rsidRPr="001A7699">
        <w:rPr>
          <w:rFonts w:ascii="Book Antiqua" w:hAnsi="Book Antiqua"/>
        </w:rPr>
        <w:t xml:space="preserve">of their resource choices. </w:t>
      </w:r>
      <w:r w:rsidR="00C961F7" w:rsidRPr="001A7699">
        <w:rPr>
          <w:rFonts w:ascii="Book Antiqua" w:hAnsi="Book Antiqua"/>
        </w:rPr>
        <w:t xml:space="preserve"> </w:t>
      </w:r>
      <w:r w:rsidRPr="001A7699">
        <w:rPr>
          <w:rFonts w:ascii="Book Antiqua" w:hAnsi="Book Antiqua"/>
        </w:rPr>
        <w:t>If need be, this information can be submitted confidentially</w:t>
      </w:r>
      <w:r w:rsidR="002078C2" w:rsidRPr="001A7699">
        <w:rPr>
          <w:rFonts w:ascii="Book Antiqua" w:hAnsi="Book Antiqua"/>
        </w:rPr>
        <w:t xml:space="preserve">. </w:t>
      </w:r>
      <w:r w:rsidR="00C961F7" w:rsidRPr="001A7699">
        <w:rPr>
          <w:rFonts w:ascii="Book Antiqua" w:hAnsi="Book Antiqua"/>
        </w:rPr>
        <w:t xml:space="preserve"> </w:t>
      </w:r>
      <w:r w:rsidR="002078C2" w:rsidRPr="001A7699">
        <w:rPr>
          <w:rFonts w:ascii="Book Antiqua" w:hAnsi="Book Antiqua"/>
        </w:rPr>
        <w:t>B</w:t>
      </w:r>
      <w:r w:rsidRPr="001A7699">
        <w:rPr>
          <w:rFonts w:ascii="Book Antiqua" w:hAnsi="Book Antiqua"/>
        </w:rPr>
        <w:t xml:space="preserve">ut in order for us to form an accurate picture of the </w:t>
      </w:r>
      <w:r w:rsidR="002078C2" w:rsidRPr="001A7699">
        <w:rPr>
          <w:rFonts w:ascii="Book Antiqua" w:hAnsi="Book Antiqua"/>
        </w:rPr>
        <w:t>CAISO system that would result from the individual IRPs being aggregated, we will require this</w:t>
      </w:r>
      <w:r w:rsidR="00B51E52" w:rsidRPr="001A7699">
        <w:rPr>
          <w:rFonts w:ascii="Book Antiqua" w:hAnsi="Book Antiqua"/>
        </w:rPr>
        <w:t xml:space="preserve"> information</w:t>
      </w:r>
      <w:r w:rsidR="00E80DFF" w:rsidRPr="001A7699">
        <w:rPr>
          <w:rFonts w:ascii="Book Antiqua" w:hAnsi="Book Antiqua"/>
        </w:rPr>
        <w:t>.</w:t>
      </w:r>
      <w:r w:rsidR="00F26591" w:rsidRPr="001A7699">
        <w:rPr>
          <w:rFonts w:ascii="Book Antiqua" w:hAnsi="Book Antiqua"/>
        </w:rPr>
        <w:t xml:space="preserve"> </w:t>
      </w:r>
      <w:r w:rsidR="00C8182B" w:rsidRPr="001A7699">
        <w:rPr>
          <w:rFonts w:ascii="Book Antiqua" w:hAnsi="Book Antiqua"/>
        </w:rPr>
        <w:t xml:space="preserve"> </w:t>
      </w:r>
    </w:p>
    <w:p w14:paraId="18091F5C" w14:textId="08DA8437" w:rsidR="000905E3" w:rsidRPr="001A7699" w:rsidRDefault="000905E3" w:rsidP="00152A24">
      <w:pPr>
        <w:pStyle w:val="sub2"/>
        <w:rPr>
          <w:rFonts w:ascii="Book Antiqua" w:hAnsi="Book Antiqua"/>
        </w:rPr>
      </w:pPr>
      <w:r w:rsidRPr="001A7699">
        <w:rPr>
          <w:rFonts w:ascii="Book Antiqua" w:hAnsi="Book Antiqua"/>
        </w:rPr>
        <w:t xml:space="preserve">In order to improve and update the information included in the 2018 IRP filings, we will require that each LSE include the contractual status and the development status of each resource in an updated filing with Commission staff by no later than </w:t>
      </w:r>
      <w:r w:rsidR="00C84B32">
        <w:rPr>
          <w:rFonts w:ascii="Book Antiqua" w:hAnsi="Book Antiqua"/>
        </w:rPr>
        <w:t>August</w:t>
      </w:r>
      <w:r w:rsidR="00C84B32" w:rsidRPr="001A7699">
        <w:rPr>
          <w:rFonts w:ascii="Book Antiqua" w:hAnsi="Book Antiqua"/>
        </w:rPr>
        <w:t xml:space="preserve"> </w:t>
      </w:r>
      <w:r w:rsidRPr="001A7699">
        <w:rPr>
          <w:rFonts w:ascii="Book Antiqua" w:hAnsi="Book Antiqua"/>
        </w:rPr>
        <w:t>1</w:t>
      </w:r>
      <w:r w:rsidR="00C84B32">
        <w:rPr>
          <w:rFonts w:ascii="Book Antiqua" w:hAnsi="Book Antiqua"/>
        </w:rPr>
        <w:t>6</w:t>
      </w:r>
      <w:r w:rsidRPr="001A7699">
        <w:rPr>
          <w:rFonts w:ascii="Book Antiqua" w:hAnsi="Book Antiqua"/>
        </w:rPr>
        <w:t xml:space="preserve">, 2019. </w:t>
      </w:r>
      <w:r w:rsidR="00C961F7" w:rsidRPr="001A7699">
        <w:rPr>
          <w:rFonts w:ascii="Book Antiqua" w:hAnsi="Book Antiqua"/>
        </w:rPr>
        <w:t xml:space="preserve"> </w:t>
      </w:r>
      <w:r w:rsidRPr="001A7699">
        <w:rPr>
          <w:rFonts w:ascii="Book Antiqua" w:hAnsi="Book Antiqua"/>
        </w:rPr>
        <w:t>Commission staff will develop the exact data request format and template</w:t>
      </w:r>
      <w:r w:rsidR="0024405E">
        <w:rPr>
          <w:rFonts w:ascii="Book Antiqua" w:hAnsi="Book Antiqua"/>
        </w:rPr>
        <w:t>, and will also subsequently produce a public progress chart about the contractual and project status data submitted by LSEs</w:t>
      </w:r>
      <w:r w:rsidRPr="001A7699">
        <w:rPr>
          <w:rFonts w:ascii="Book Antiqua" w:hAnsi="Book Antiqua"/>
        </w:rPr>
        <w:t xml:space="preserve">. </w:t>
      </w:r>
      <w:r w:rsidR="00C961F7" w:rsidRPr="001A7699">
        <w:rPr>
          <w:rFonts w:ascii="Book Antiqua" w:hAnsi="Book Antiqua"/>
        </w:rPr>
        <w:t xml:space="preserve"> </w:t>
      </w:r>
    </w:p>
    <w:p w14:paraId="3104BB07" w14:textId="77777777" w:rsidR="009B2FF2" w:rsidRPr="001A7699" w:rsidRDefault="003341E7" w:rsidP="00152A24">
      <w:pPr>
        <w:pStyle w:val="sub2"/>
        <w:rPr>
          <w:rFonts w:ascii="Book Antiqua" w:hAnsi="Book Antiqua"/>
        </w:rPr>
      </w:pPr>
      <w:r w:rsidRPr="001A7699">
        <w:rPr>
          <w:rFonts w:ascii="Book Antiqua" w:hAnsi="Book Antiqua"/>
        </w:rPr>
        <w:t xml:space="preserve">Because the majority of new resources </w:t>
      </w:r>
      <w:r w:rsidR="00D70B9A">
        <w:rPr>
          <w:rFonts w:ascii="Book Antiqua" w:hAnsi="Book Antiqua"/>
        </w:rPr>
        <w:t xml:space="preserve">in California </w:t>
      </w:r>
      <w:r w:rsidRPr="001A7699">
        <w:rPr>
          <w:rFonts w:ascii="Book Antiqua" w:hAnsi="Book Antiqua"/>
        </w:rPr>
        <w:t xml:space="preserve">are expected to be acquired by CCAs in the next decade, this puts additional focus on their contributions to the IRP process. </w:t>
      </w:r>
      <w:r w:rsidR="00C961F7" w:rsidRPr="001A7699">
        <w:rPr>
          <w:rFonts w:ascii="Book Antiqua" w:hAnsi="Book Antiqua"/>
        </w:rPr>
        <w:t xml:space="preserve"> </w:t>
      </w:r>
      <w:r w:rsidRPr="001A7699">
        <w:rPr>
          <w:rFonts w:ascii="Book Antiqua" w:hAnsi="Book Antiqua"/>
        </w:rPr>
        <w:t>Very</w:t>
      </w:r>
      <w:r w:rsidR="00026579" w:rsidRPr="001A7699">
        <w:rPr>
          <w:rFonts w:ascii="Book Antiqua" w:hAnsi="Book Antiqua"/>
        </w:rPr>
        <w:t xml:space="preserve"> concerning overall is the attitude displayed by some CCAs with respect to the IRP process in general. </w:t>
      </w:r>
      <w:r w:rsidR="00C961F7" w:rsidRPr="001A7699">
        <w:rPr>
          <w:rFonts w:ascii="Book Antiqua" w:hAnsi="Book Antiqua"/>
        </w:rPr>
        <w:t xml:space="preserve"> </w:t>
      </w:r>
      <w:r w:rsidR="00026579" w:rsidRPr="001A7699">
        <w:rPr>
          <w:rFonts w:ascii="Book Antiqua" w:hAnsi="Book Antiqua"/>
        </w:rPr>
        <w:t xml:space="preserve">Several CCAs asserted the primacy of their voluntary plans approved by their local governing boards over the Commission’s IRP process, and argued that the Commission’s IRP processes do not fit with their </w:t>
      </w:r>
      <w:r w:rsidR="009B2FF2" w:rsidRPr="001A7699">
        <w:rPr>
          <w:rFonts w:ascii="Book Antiqua" w:hAnsi="Book Antiqua"/>
        </w:rPr>
        <w:t xml:space="preserve">individual </w:t>
      </w:r>
      <w:r w:rsidR="00026579" w:rsidRPr="001A7699">
        <w:rPr>
          <w:rFonts w:ascii="Book Antiqua" w:hAnsi="Book Antiqua"/>
        </w:rPr>
        <w:t>resource procurement plans.</w:t>
      </w:r>
      <w:r w:rsidR="00026579" w:rsidRPr="001A7699">
        <w:rPr>
          <w:rStyle w:val="FootnoteReference"/>
          <w:rFonts w:ascii="Book Antiqua" w:hAnsi="Book Antiqua"/>
        </w:rPr>
        <w:footnoteReference w:id="10"/>
      </w:r>
      <w:r w:rsidR="00026579" w:rsidRPr="001A7699">
        <w:rPr>
          <w:rFonts w:ascii="Book Antiqua" w:hAnsi="Book Antiqua"/>
        </w:rPr>
        <w:t xml:space="preserve"> </w:t>
      </w:r>
      <w:r w:rsidR="00C961F7" w:rsidRPr="001A7699">
        <w:rPr>
          <w:rFonts w:ascii="Book Antiqua" w:hAnsi="Book Antiqua"/>
        </w:rPr>
        <w:t xml:space="preserve"> </w:t>
      </w:r>
      <w:r w:rsidR="00026579" w:rsidRPr="001A7699">
        <w:rPr>
          <w:rFonts w:ascii="Book Antiqua" w:hAnsi="Book Antiqua"/>
        </w:rPr>
        <w:t xml:space="preserve">This demonstrates the crux of the problem the </w:t>
      </w:r>
      <w:r w:rsidR="009B2FF2" w:rsidRPr="001A7699">
        <w:rPr>
          <w:rFonts w:ascii="Book Antiqua" w:hAnsi="Book Antiqua"/>
        </w:rPr>
        <w:t>S</w:t>
      </w:r>
      <w:r w:rsidR="00026579" w:rsidRPr="001A7699">
        <w:rPr>
          <w:rFonts w:ascii="Book Antiqua" w:hAnsi="Book Antiqua"/>
        </w:rPr>
        <w:t>tate will face in coming years as more and more load is served by non</w:t>
      </w:r>
      <w:r w:rsidR="00D84A09" w:rsidRPr="001A7699">
        <w:rPr>
          <w:rFonts w:ascii="Book Antiqua" w:hAnsi="Book Antiqua"/>
        </w:rPr>
        <w:noBreakHyphen/>
      </w:r>
      <w:r w:rsidR="00026579" w:rsidRPr="001A7699">
        <w:rPr>
          <w:rFonts w:ascii="Book Antiqua" w:hAnsi="Book Antiqua"/>
        </w:rPr>
        <w:t>IOU</w:t>
      </w:r>
      <w:r w:rsidRPr="001A7699">
        <w:rPr>
          <w:rFonts w:ascii="Book Antiqua" w:hAnsi="Book Antiqua"/>
        </w:rPr>
        <w:t>, and specifically CCA,</w:t>
      </w:r>
      <w:r w:rsidR="00026579" w:rsidRPr="001A7699">
        <w:rPr>
          <w:rFonts w:ascii="Book Antiqua" w:hAnsi="Book Antiqua"/>
        </w:rPr>
        <w:t xml:space="preserve"> providers. </w:t>
      </w:r>
    </w:p>
    <w:p w14:paraId="1D87D4A3" w14:textId="72B6624C" w:rsidR="00026579" w:rsidRPr="001A7699" w:rsidRDefault="00026579" w:rsidP="00152A24">
      <w:pPr>
        <w:pStyle w:val="sub2"/>
        <w:rPr>
          <w:rFonts w:ascii="Book Antiqua" w:hAnsi="Book Antiqua"/>
        </w:rPr>
      </w:pPr>
      <w:r w:rsidRPr="001A7699">
        <w:rPr>
          <w:rFonts w:ascii="Book Antiqua" w:hAnsi="Book Antiqua"/>
        </w:rPr>
        <w:t xml:space="preserve">While local resource preferences </w:t>
      </w:r>
      <w:r w:rsidR="00BA259E" w:rsidRPr="001A7699">
        <w:rPr>
          <w:rFonts w:ascii="Book Antiqua" w:hAnsi="Book Antiqua"/>
        </w:rPr>
        <w:t>may vary</w:t>
      </w:r>
      <w:r w:rsidRPr="001A7699">
        <w:rPr>
          <w:rFonts w:ascii="Book Antiqua" w:hAnsi="Book Antiqua"/>
        </w:rPr>
        <w:t xml:space="preserve"> and should be respected</w:t>
      </w:r>
      <w:r w:rsidR="009B2FF2" w:rsidRPr="001A7699">
        <w:rPr>
          <w:rFonts w:ascii="Book Antiqua" w:hAnsi="Book Antiqua"/>
        </w:rPr>
        <w:t xml:space="preserve"> to </w:t>
      </w:r>
      <w:r w:rsidR="00A86902" w:rsidRPr="001A7699">
        <w:rPr>
          <w:rFonts w:ascii="Book Antiqua" w:hAnsi="Book Antiqua"/>
        </w:rPr>
        <w:t>a</w:t>
      </w:r>
      <w:r w:rsidR="009B2FF2" w:rsidRPr="001A7699">
        <w:rPr>
          <w:rFonts w:ascii="Book Antiqua" w:hAnsi="Book Antiqua"/>
        </w:rPr>
        <w:t xml:space="preserve"> degree</w:t>
      </w:r>
      <w:r w:rsidRPr="001A7699">
        <w:rPr>
          <w:rFonts w:ascii="Book Antiqua" w:hAnsi="Book Antiqua"/>
        </w:rPr>
        <w:t xml:space="preserve">, ultimately the electricity grid must operate as a system. </w:t>
      </w:r>
      <w:r w:rsidR="00C961F7" w:rsidRPr="001A7699">
        <w:rPr>
          <w:rFonts w:ascii="Book Antiqua" w:hAnsi="Book Antiqua"/>
        </w:rPr>
        <w:t xml:space="preserve"> </w:t>
      </w:r>
      <w:r w:rsidRPr="001A7699">
        <w:rPr>
          <w:rFonts w:ascii="Book Antiqua" w:hAnsi="Book Antiqua"/>
        </w:rPr>
        <w:t xml:space="preserve">With </w:t>
      </w:r>
      <w:r w:rsidR="000905E3" w:rsidRPr="001A7699">
        <w:rPr>
          <w:rFonts w:ascii="Book Antiqua" w:hAnsi="Book Antiqua"/>
        </w:rPr>
        <w:t>more than 40</w:t>
      </w:r>
      <w:r w:rsidRPr="001A7699">
        <w:rPr>
          <w:rFonts w:ascii="Book Antiqua" w:hAnsi="Book Antiqua"/>
        </w:rPr>
        <w:t xml:space="preserve"> entities (and counting), the Commission is charged with evaluating whether </w:t>
      </w:r>
      <w:r w:rsidR="00BA259E" w:rsidRPr="001A7699">
        <w:rPr>
          <w:rFonts w:ascii="Book Antiqua" w:hAnsi="Book Antiqua"/>
        </w:rPr>
        <w:t xml:space="preserve">resource procurement by all of these entities collectively will result in a reliable and affordable </w:t>
      </w:r>
      <w:r w:rsidR="00C50CDA" w:rsidRPr="001A7699">
        <w:rPr>
          <w:rFonts w:ascii="Book Antiqua" w:hAnsi="Book Antiqua"/>
        </w:rPr>
        <w:t xml:space="preserve">electric </w:t>
      </w:r>
      <w:r w:rsidR="00BA259E" w:rsidRPr="001A7699">
        <w:rPr>
          <w:rFonts w:ascii="Book Antiqua" w:hAnsi="Book Antiqua"/>
        </w:rPr>
        <w:t xml:space="preserve">system that meets the GHG </w:t>
      </w:r>
      <w:r w:rsidR="00D70B9A">
        <w:rPr>
          <w:rFonts w:ascii="Book Antiqua" w:hAnsi="Book Antiqua"/>
        </w:rPr>
        <w:t xml:space="preserve">emissions reduction </w:t>
      </w:r>
      <w:r w:rsidR="00BA259E" w:rsidRPr="001A7699">
        <w:rPr>
          <w:rFonts w:ascii="Book Antiqua" w:hAnsi="Book Antiqua"/>
        </w:rPr>
        <w:t xml:space="preserve">requirements of </w:t>
      </w:r>
      <w:r w:rsidR="009B2FF2" w:rsidRPr="001A7699">
        <w:rPr>
          <w:rFonts w:ascii="Book Antiqua" w:hAnsi="Book Antiqua"/>
        </w:rPr>
        <w:t>state law and policy.</w:t>
      </w:r>
      <w:r w:rsidR="00C961F7" w:rsidRPr="001A7699">
        <w:rPr>
          <w:rFonts w:ascii="Book Antiqua" w:hAnsi="Book Antiqua"/>
        </w:rPr>
        <w:t xml:space="preserve"> </w:t>
      </w:r>
      <w:r w:rsidR="009B2FF2" w:rsidRPr="001A7699">
        <w:rPr>
          <w:rFonts w:ascii="Book Antiqua" w:hAnsi="Book Antiqua"/>
        </w:rPr>
        <w:t xml:space="preserve"> </w:t>
      </w:r>
      <w:r w:rsidR="00844C77" w:rsidRPr="001A7699">
        <w:rPr>
          <w:rFonts w:ascii="Book Antiqua" w:hAnsi="Book Antiqua"/>
        </w:rPr>
        <w:t xml:space="preserve">While some </w:t>
      </w:r>
      <w:r w:rsidR="009A7EE9">
        <w:rPr>
          <w:rFonts w:ascii="Book Antiqua" w:hAnsi="Book Antiqua"/>
        </w:rPr>
        <w:t xml:space="preserve">amount of </w:t>
      </w:r>
      <w:r w:rsidR="00C50CDA" w:rsidRPr="001A7699">
        <w:rPr>
          <w:rFonts w:ascii="Book Antiqua" w:hAnsi="Book Antiqua"/>
        </w:rPr>
        <w:t xml:space="preserve">individual </w:t>
      </w:r>
      <w:r w:rsidR="00844C77" w:rsidRPr="001A7699">
        <w:rPr>
          <w:rFonts w:ascii="Book Antiqua" w:hAnsi="Book Antiqua"/>
        </w:rPr>
        <w:t xml:space="preserve">variation in resource choices may be able to be accommodated, the core of the system </w:t>
      </w:r>
      <w:r w:rsidR="00C102D4" w:rsidRPr="001A7699">
        <w:rPr>
          <w:rFonts w:ascii="Book Antiqua" w:hAnsi="Book Antiqua"/>
        </w:rPr>
        <w:t xml:space="preserve">needs to </w:t>
      </w:r>
      <w:r w:rsidR="00C50CDA" w:rsidRPr="001A7699">
        <w:rPr>
          <w:rFonts w:ascii="Book Antiqua" w:hAnsi="Book Antiqua"/>
        </w:rPr>
        <w:t xml:space="preserve">balance in real time and </w:t>
      </w:r>
      <w:r w:rsidR="00C102D4" w:rsidRPr="001A7699">
        <w:rPr>
          <w:rFonts w:ascii="Book Antiqua" w:hAnsi="Book Antiqua"/>
        </w:rPr>
        <w:t>function to deliver electricity over an integrated transmission and distribution grid</w:t>
      </w:r>
      <w:r w:rsidR="009A7EE9">
        <w:rPr>
          <w:rFonts w:ascii="Book Antiqua" w:hAnsi="Book Antiqua"/>
        </w:rPr>
        <w:t>, and thus there is an inherent balance that needs to be achieved to ensure reliability and renewable integration</w:t>
      </w:r>
      <w:r w:rsidR="00C102D4" w:rsidRPr="001A7699">
        <w:rPr>
          <w:rFonts w:ascii="Book Antiqua" w:hAnsi="Book Antiqua"/>
        </w:rPr>
        <w:t xml:space="preserve">. </w:t>
      </w:r>
      <w:r w:rsidR="00A52514">
        <w:rPr>
          <w:rFonts w:ascii="Book Antiqua" w:hAnsi="Book Antiqua"/>
        </w:rPr>
        <w:t xml:space="preserve"> </w:t>
      </w:r>
      <w:r w:rsidR="00F90D41">
        <w:rPr>
          <w:rFonts w:ascii="Book Antiqua" w:hAnsi="Book Antiqua"/>
        </w:rPr>
        <w:t xml:space="preserve">By looking collectively at the resource choices of individual LSEs, the Commission is the only entity in the position to ensure an optimal portfolio that meets the environmental goals, while also allowing the electric system to operate reliably and at least cost to ratepayers. </w:t>
      </w:r>
      <w:r w:rsidR="00A52514">
        <w:rPr>
          <w:rFonts w:ascii="Book Antiqua" w:hAnsi="Book Antiqua"/>
        </w:rPr>
        <w:t xml:space="preserve"> </w:t>
      </w:r>
      <w:r w:rsidR="00F90D41">
        <w:rPr>
          <w:rFonts w:ascii="Book Antiqua" w:hAnsi="Book Antiqua"/>
        </w:rPr>
        <w:t xml:space="preserve">This is something that no individual LSE can achieve with its individual plan. </w:t>
      </w:r>
    </w:p>
    <w:p w14:paraId="7EF52390" w14:textId="59E5EF80" w:rsidR="00F90D41" w:rsidRPr="00467505" w:rsidRDefault="00A86902" w:rsidP="00152A24">
      <w:pPr>
        <w:pStyle w:val="sub2"/>
        <w:rPr>
          <w:rFonts w:ascii="Book Antiqua" w:hAnsi="Book Antiqua"/>
        </w:rPr>
      </w:pPr>
      <w:r w:rsidRPr="001A7699">
        <w:rPr>
          <w:rFonts w:ascii="Book Antiqua" w:hAnsi="Book Antiqua"/>
        </w:rPr>
        <w:t xml:space="preserve">The critical </w:t>
      </w:r>
      <w:r w:rsidR="0088347B" w:rsidRPr="001A7699">
        <w:rPr>
          <w:rFonts w:ascii="Book Antiqua" w:hAnsi="Book Antiqua"/>
        </w:rPr>
        <w:t>issues</w:t>
      </w:r>
      <w:r w:rsidRPr="001A7699">
        <w:rPr>
          <w:rFonts w:ascii="Book Antiqua" w:hAnsi="Book Antiqua"/>
        </w:rPr>
        <w:t xml:space="preserve"> are with respect to the mix of renewable resource types to be procured</w:t>
      </w:r>
      <w:r w:rsidR="003341E7" w:rsidRPr="001A7699">
        <w:rPr>
          <w:rFonts w:ascii="Book Antiqua" w:hAnsi="Book Antiqua"/>
        </w:rPr>
        <w:t>,</w:t>
      </w:r>
      <w:r w:rsidRPr="001A7699">
        <w:rPr>
          <w:rFonts w:ascii="Book Antiqua" w:hAnsi="Book Antiqua"/>
        </w:rPr>
        <w:t xml:space="preserve"> as well as the resources to accomplish renewable integration.</w:t>
      </w:r>
      <w:r>
        <w:t xml:space="preserve"> </w:t>
      </w:r>
      <w:r w:rsidR="00C961F7">
        <w:t xml:space="preserve"> </w:t>
      </w:r>
      <w:r w:rsidR="003341E7" w:rsidRPr="00467505">
        <w:rPr>
          <w:rFonts w:ascii="Book Antiqua" w:hAnsi="Book Antiqua"/>
        </w:rPr>
        <w:t xml:space="preserve">Overall, the CCAs have shown, in their individual IRPs collectively, a preference for solar and wind resources, as well as </w:t>
      </w:r>
      <w:r w:rsidR="00302C0A" w:rsidRPr="00467505">
        <w:rPr>
          <w:rFonts w:ascii="Book Antiqua" w:hAnsi="Book Antiqua"/>
        </w:rPr>
        <w:t>four</w:t>
      </w:r>
      <w:r w:rsidR="00D84A09" w:rsidRPr="00467505">
        <w:rPr>
          <w:rFonts w:ascii="Book Antiqua" w:hAnsi="Book Antiqua"/>
        </w:rPr>
        <w:noBreakHyphen/>
      </w:r>
      <w:r w:rsidR="003341E7" w:rsidRPr="00467505">
        <w:rPr>
          <w:rFonts w:ascii="Book Antiqua" w:hAnsi="Book Antiqua"/>
        </w:rPr>
        <w:t xml:space="preserve">hour batteries, supplemented by imported hydroelectric power. </w:t>
      </w:r>
      <w:r w:rsidR="00C961F7" w:rsidRPr="00467505">
        <w:rPr>
          <w:rFonts w:ascii="Book Antiqua" w:hAnsi="Book Antiqua"/>
        </w:rPr>
        <w:t xml:space="preserve"> </w:t>
      </w:r>
      <w:r w:rsidR="003F7341" w:rsidRPr="00467505">
        <w:rPr>
          <w:rFonts w:ascii="Book Antiqua" w:hAnsi="Book Antiqua"/>
        </w:rPr>
        <w:t xml:space="preserve">However, to balance the system between now and 2030, the resource balance will need to include a mix of existing and new resources, a mix of baseload and intermittent resources, and a mix of renewable, storage, and conventional </w:t>
      </w:r>
      <w:r w:rsidR="00B460EF">
        <w:rPr>
          <w:rFonts w:ascii="Book Antiqua" w:hAnsi="Book Antiqua"/>
        </w:rPr>
        <w:t xml:space="preserve">fossil-fueled </w:t>
      </w:r>
      <w:r w:rsidR="003F7341" w:rsidRPr="00467505">
        <w:rPr>
          <w:rFonts w:ascii="Book Antiqua" w:hAnsi="Book Antiqua"/>
        </w:rPr>
        <w:t>resources.</w:t>
      </w:r>
      <w:r w:rsidR="00A52514">
        <w:rPr>
          <w:rFonts w:ascii="Book Antiqua" w:hAnsi="Book Antiqua"/>
        </w:rPr>
        <w:t xml:space="preserve"> </w:t>
      </w:r>
      <w:r w:rsidR="003F7341" w:rsidRPr="00467505">
        <w:rPr>
          <w:rFonts w:ascii="Book Antiqua" w:hAnsi="Book Antiqua"/>
        </w:rPr>
        <w:t xml:space="preserve"> In analyzing the </w:t>
      </w:r>
      <w:r w:rsidR="00C16C3E" w:rsidRPr="00467505">
        <w:rPr>
          <w:rFonts w:ascii="Book Antiqua" w:hAnsi="Book Antiqua"/>
        </w:rPr>
        <w:t xml:space="preserve">IRPs of all of the LSEs, there is inconsistent, and in some cases, nonexistent, recognition of these realities. </w:t>
      </w:r>
      <w:r w:rsidR="00C961F7" w:rsidRPr="00467505">
        <w:rPr>
          <w:rFonts w:ascii="Book Antiqua" w:hAnsi="Book Antiqua"/>
        </w:rPr>
        <w:t xml:space="preserve"> </w:t>
      </w:r>
    </w:p>
    <w:p w14:paraId="1D624DEA" w14:textId="77777777" w:rsidR="00B51E52" w:rsidRPr="00467505" w:rsidRDefault="00503019" w:rsidP="00152A24">
      <w:pPr>
        <w:pStyle w:val="sub2"/>
        <w:rPr>
          <w:rFonts w:ascii="Book Antiqua" w:hAnsi="Book Antiqua"/>
        </w:rPr>
      </w:pPr>
      <w:r w:rsidRPr="00467505">
        <w:rPr>
          <w:rFonts w:ascii="Book Antiqua" w:hAnsi="Book Antiqua"/>
        </w:rPr>
        <w:t xml:space="preserve">Meanwhile, </w:t>
      </w:r>
      <w:r w:rsidR="00C72DDA" w:rsidRPr="00467505">
        <w:rPr>
          <w:rFonts w:ascii="Book Antiqua" w:hAnsi="Book Antiqua"/>
        </w:rPr>
        <w:t xml:space="preserve">we </w:t>
      </w:r>
      <w:r w:rsidR="001A1E89" w:rsidRPr="00467505">
        <w:rPr>
          <w:rFonts w:ascii="Book Antiqua" w:hAnsi="Book Antiqua"/>
        </w:rPr>
        <w:t xml:space="preserve">are faced with the question of whether to adopt the HCP as the PSP for purposes of future </w:t>
      </w:r>
      <w:r w:rsidR="002B53B5">
        <w:rPr>
          <w:rFonts w:ascii="Book Antiqua" w:hAnsi="Book Antiqua"/>
        </w:rPr>
        <w:t>IRP cycles, any associated procurement actions,</w:t>
      </w:r>
      <w:r w:rsidR="002B53B5" w:rsidRPr="00467505">
        <w:rPr>
          <w:rFonts w:ascii="Book Antiqua" w:hAnsi="Book Antiqua"/>
        </w:rPr>
        <w:t xml:space="preserve"> </w:t>
      </w:r>
      <w:r w:rsidR="001A1E89" w:rsidRPr="00467505">
        <w:rPr>
          <w:rFonts w:ascii="Book Antiqua" w:hAnsi="Book Antiqua"/>
        </w:rPr>
        <w:t>and the CAISO’s transmission planning.</w:t>
      </w:r>
      <w:r w:rsidR="00C961F7" w:rsidRPr="00467505">
        <w:rPr>
          <w:rFonts w:ascii="Book Antiqua" w:hAnsi="Book Antiqua"/>
        </w:rPr>
        <w:t xml:space="preserve"> </w:t>
      </w:r>
      <w:r w:rsidR="001A1E89" w:rsidRPr="00467505">
        <w:rPr>
          <w:rFonts w:ascii="Book Antiqua" w:hAnsi="Book Antiqua"/>
        </w:rPr>
        <w:t xml:space="preserve"> </w:t>
      </w:r>
      <w:r w:rsidR="00B51E52" w:rsidRPr="00467505">
        <w:rPr>
          <w:rFonts w:ascii="Book Antiqua" w:hAnsi="Book Antiqua"/>
        </w:rPr>
        <w:t>We note that in addition to analysis conducted by Commission staff, modeling was also conducted by CAISO, SCE, and GridLiance.</w:t>
      </w:r>
    </w:p>
    <w:p w14:paraId="5F53D48F" w14:textId="77777777" w:rsidR="00A6781C" w:rsidRDefault="001A1E89" w:rsidP="00A6781C">
      <w:pPr>
        <w:pStyle w:val="sub2"/>
        <w:rPr>
          <w:rFonts w:ascii="Book Antiqua" w:hAnsi="Book Antiqua"/>
        </w:rPr>
      </w:pPr>
      <w:r w:rsidRPr="00467505">
        <w:rPr>
          <w:rFonts w:ascii="Book Antiqua" w:hAnsi="Book Antiqua"/>
        </w:rPr>
        <w:t xml:space="preserve">In its comments filed January 31, 2019, Cal Advocates helpfully provided a table that shows an overview of the results of the modeling conducted to support a PSP recommendation not only by Commission staff, but also by SCE and CAISO. </w:t>
      </w:r>
      <w:r w:rsidR="00C961F7" w:rsidRPr="00467505">
        <w:rPr>
          <w:rFonts w:ascii="Book Antiqua" w:hAnsi="Book Antiqua"/>
        </w:rPr>
        <w:t xml:space="preserve"> </w:t>
      </w:r>
      <w:r w:rsidRPr="00467505">
        <w:rPr>
          <w:rFonts w:ascii="Book Antiqua" w:hAnsi="Book Antiqua"/>
        </w:rPr>
        <w:t xml:space="preserve">Table </w:t>
      </w:r>
      <w:r w:rsidR="00072CB7" w:rsidRPr="00467505">
        <w:rPr>
          <w:rFonts w:ascii="Book Antiqua" w:hAnsi="Book Antiqua"/>
          <w:sz w:val="24"/>
          <w:szCs w:val="24"/>
        </w:rPr>
        <w:t>2</w:t>
      </w:r>
      <w:r w:rsidR="00D423C6" w:rsidRPr="00467505">
        <w:rPr>
          <w:rFonts w:ascii="Book Antiqua" w:hAnsi="Book Antiqua"/>
        </w:rPr>
        <w:t xml:space="preserve"> </w:t>
      </w:r>
      <w:r w:rsidRPr="00467505">
        <w:rPr>
          <w:rFonts w:ascii="Book Antiqua" w:hAnsi="Book Antiqua"/>
        </w:rPr>
        <w:t>below replicates the information provided in that summary table</w:t>
      </w:r>
      <w:r w:rsidR="002E63D4" w:rsidRPr="00467505">
        <w:rPr>
          <w:rFonts w:ascii="Book Antiqua" w:hAnsi="Book Antiqua"/>
        </w:rPr>
        <w:t xml:space="preserve"> from Cal Advocates</w:t>
      </w:r>
      <w:r w:rsidRPr="00467505">
        <w:rPr>
          <w:rFonts w:ascii="Book Antiqua" w:hAnsi="Book Antiqua"/>
        </w:rPr>
        <w:t>.</w:t>
      </w:r>
      <w:r w:rsidR="00B51E52" w:rsidRPr="00467505">
        <w:rPr>
          <w:rFonts w:ascii="Book Antiqua" w:hAnsi="Book Antiqua"/>
        </w:rPr>
        <w:t xml:space="preserve"> </w:t>
      </w:r>
      <w:r w:rsidR="00C961F7" w:rsidRPr="00467505">
        <w:rPr>
          <w:rFonts w:ascii="Book Antiqua" w:hAnsi="Book Antiqua"/>
        </w:rPr>
        <w:t xml:space="preserve"> </w:t>
      </w:r>
      <w:r w:rsidR="00B51E52" w:rsidRPr="00467505">
        <w:rPr>
          <w:rFonts w:ascii="Book Antiqua" w:hAnsi="Book Antiqua"/>
        </w:rPr>
        <w:t xml:space="preserve">The table shows emissions, reliability, renewable curtailment, operating cost estimates, and the RPS percentages results from each case analyzed. </w:t>
      </w:r>
    </w:p>
    <w:p w14:paraId="2E0E67E3" w14:textId="77777777" w:rsidR="007F3D5B" w:rsidRPr="00A6781C" w:rsidRDefault="007F3D5B" w:rsidP="00B5384C">
      <w:pPr>
        <w:pStyle w:val="sub2"/>
        <w:keepNext/>
        <w:keepLines/>
        <w:ind w:firstLine="0"/>
        <w:rPr>
          <w:rFonts w:ascii="Book Antiqua" w:hAnsi="Book Antiqua"/>
          <w:b/>
        </w:rPr>
      </w:pPr>
      <w:r w:rsidRPr="00A6781C">
        <w:rPr>
          <w:rFonts w:ascii="Book Antiqua" w:hAnsi="Book Antiqua"/>
          <w:b/>
          <w:szCs w:val="24"/>
        </w:rPr>
        <w:t xml:space="preserve">Table </w:t>
      </w:r>
      <w:r w:rsidR="00072CB7" w:rsidRPr="00A6781C">
        <w:rPr>
          <w:rFonts w:ascii="Book Antiqua" w:hAnsi="Book Antiqua"/>
          <w:b/>
          <w:szCs w:val="24"/>
        </w:rPr>
        <w:t>2</w:t>
      </w:r>
      <w:r w:rsidRPr="00A6781C">
        <w:rPr>
          <w:rFonts w:ascii="Book Antiqua" w:hAnsi="Book Antiqua"/>
          <w:b/>
          <w:szCs w:val="24"/>
        </w:rPr>
        <w:t>. Cal Advocates Summary Table of Portfolios Modeled</w:t>
      </w:r>
    </w:p>
    <w:tbl>
      <w:tblPr>
        <w:tblStyle w:val="TableGrid"/>
        <w:tblW w:w="9463" w:type="dxa"/>
        <w:tblLayout w:type="fixed"/>
        <w:tblLook w:val="04A0" w:firstRow="1" w:lastRow="0" w:firstColumn="1" w:lastColumn="0" w:noHBand="0" w:noVBand="1"/>
      </w:tblPr>
      <w:tblGrid>
        <w:gridCol w:w="985"/>
        <w:gridCol w:w="1854"/>
        <w:gridCol w:w="1386"/>
        <w:gridCol w:w="1440"/>
        <w:gridCol w:w="1620"/>
        <w:gridCol w:w="1350"/>
        <w:gridCol w:w="828"/>
      </w:tblGrid>
      <w:tr w:rsidR="005A3759" w:rsidRPr="00CD3DCA" w14:paraId="628FE68A" w14:textId="77777777" w:rsidTr="000670A3">
        <w:trPr>
          <w:tblHeader/>
        </w:trPr>
        <w:tc>
          <w:tcPr>
            <w:tcW w:w="985" w:type="dxa"/>
          </w:tcPr>
          <w:p w14:paraId="79B4458E" w14:textId="77777777" w:rsidR="001A1E89" w:rsidRPr="00CD3DCA" w:rsidRDefault="001A1E89" w:rsidP="00CD3DCA">
            <w:pPr>
              <w:pStyle w:val="sub2"/>
              <w:keepNext/>
              <w:keepLines/>
              <w:spacing w:before="60" w:after="60" w:line="240" w:lineRule="auto"/>
              <w:ind w:firstLine="0"/>
              <w:rPr>
                <w:rFonts w:ascii="Book Antiqua" w:hAnsi="Book Antiqua"/>
                <w:b/>
                <w:sz w:val="24"/>
                <w:szCs w:val="24"/>
              </w:rPr>
            </w:pPr>
            <w:r w:rsidRPr="00CD3DCA">
              <w:rPr>
                <w:rFonts w:ascii="Book Antiqua" w:hAnsi="Book Antiqua"/>
                <w:b/>
                <w:sz w:val="24"/>
                <w:szCs w:val="24"/>
              </w:rPr>
              <w:t>Source</w:t>
            </w:r>
          </w:p>
        </w:tc>
        <w:tc>
          <w:tcPr>
            <w:tcW w:w="1854" w:type="dxa"/>
          </w:tcPr>
          <w:p w14:paraId="13DD4D7A" w14:textId="77777777" w:rsidR="001A1E89" w:rsidRPr="00CD3DCA" w:rsidRDefault="001A1E89" w:rsidP="00CD3DCA">
            <w:pPr>
              <w:pStyle w:val="sub2"/>
              <w:keepNext/>
              <w:keepLines/>
              <w:spacing w:before="60" w:after="60" w:line="240" w:lineRule="auto"/>
              <w:ind w:firstLine="0"/>
              <w:rPr>
                <w:rFonts w:ascii="Book Antiqua" w:hAnsi="Book Antiqua"/>
                <w:b/>
                <w:sz w:val="24"/>
                <w:szCs w:val="24"/>
              </w:rPr>
            </w:pPr>
            <w:r w:rsidRPr="00CD3DCA">
              <w:rPr>
                <w:rFonts w:ascii="Book Antiqua" w:hAnsi="Book Antiqua"/>
                <w:b/>
                <w:sz w:val="24"/>
                <w:szCs w:val="24"/>
              </w:rPr>
              <w:t>Case</w:t>
            </w:r>
          </w:p>
        </w:tc>
        <w:tc>
          <w:tcPr>
            <w:tcW w:w="1386" w:type="dxa"/>
          </w:tcPr>
          <w:p w14:paraId="2BF20296" w14:textId="77777777" w:rsidR="001A1E89" w:rsidRPr="00CD3DCA" w:rsidRDefault="001A1E89" w:rsidP="00CD3DCA">
            <w:pPr>
              <w:pStyle w:val="sub2"/>
              <w:keepNext/>
              <w:keepLines/>
              <w:spacing w:before="60" w:after="60" w:line="240" w:lineRule="auto"/>
              <w:ind w:firstLine="0"/>
              <w:jc w:val="center"/>
              <w:rPr>
                <w:rFonts w:ascii="Book Antiqua" w:hAnsi="Book Antiqua"/>
                <w:b/>
                <w:sz w:val="24"/>
                <w:szCs w:val="24"/>
              </w:rPr>
            </w:pPr>
            <w:r w:rsidRPr="00CD3DCA">
              <w:rPr>
                <w:rFonts w:ascii="Book Antiqua" w:hAnsi="Book Antiqua"/>
                <w:b/>
                <w:sz w:val="24"/>
                <w:szCs w:val="24"/>
              </w:rPr>
              <w:t>CAISO GHG Emissions (MMT)</w:t>
            </w:r>
          </w:p>
        </w:tc>
        <w:tc>
          <w:tcPr>
            <w:tcW w:w="1440" w:type="dxa"/>
          </w:tcPr>
          <w:p w14:paraId="7E59EFFB" w14:textId="77777777" w:rsidR="001A1E89" w:rsidRPr="00CD3DCA" w:rsidRDefault="001A1E89" w:rsidP="00CD3DCA">
            <w:pPr>
              <w:pStyle w:val="sub2"/>
              <w:keepNext/>
              <w:keepLines/>
              <w:spacing w:before="60" w:after="60" w:line="240" w:lineRule="auto"/>
              <w:ind w:firstLine="0"/>
              <w:jc w:val="center"/>
              <w:rPr>
                <w:rFonts w:ascii="Book Antiqua" w:hAnsi="Book Antiqua"/>
                <w:b/>
                <w:sz w:val="24"/>
                <w:szCs w:val="24"/>
              </w:rPr>
            </w:pPr>
            <w:r w:rsidRPr="00CD3DCA">
              <w:rPr>
                <w:rFonts w:ascii="Book Antiqua" w:hAnsi="Book Antiqua"/>
                <w:b/>
                <w:sz w:val="24"/>
                <w:szCs w:val="24"/>
              </w:rPr>
              <w:t>Meets Reliability (Y/N)</w:t>
            </w:r>
          </w:p>
        </w:tc>
        <w:tc>
          <w:tcPr>
            <w:tcW w:w="1620" w:type="dxa"/>
          </w:tcPr>
          <w:p w14:paraId="5B5878ED" w14:textId="77777777" w:rsidR="001A1E89" w:rsidRPr="00CD3DCA" w:rsidRDefault="001A1E89" w:rsidP="00CD3DCA">
            <w:pPr>
              <w:pStyle w:val="sub2"/>
              <w:keepNext/>
              <w:keepLines/>
              <w:spacing w:before="60" w:after="60" w:line="240" w:lineRule="auto"/>
              <w:ind w:firstLine="0"/>
              <w:jc w:val="center"/>
              <w:rPr>
                <w:rFonts w:ascii="Book Antiqua" w:hAnsi="Book Antiqua"/>
                <w:b/>
                <w:sz w:val="24"/>
                <w:szCs w:val="24"/>
              </w:rPr>
            </w:pPr>
            <w:r w:rsidRPr="00CD3DCA">
              <w:rPr>
                <w:rFonts w:ascii="Book Antiqua" w:hAnsi="Book Antiqua"/>
                <w:b/>
                <w:sz w:val="24"/>
                <w:szCs w:val="24"/>
              </w:rPr>
              <w:t>Renewable Curtailment (GWh)</w:t>
            </w:r>
          </w:p>
        </w:tc>
        <w:tc>
          <w:tcPr>
            <w:tcW w:w="1350" w:type="dxa"/>
          </w:tcPr>
          <w:p w14:paraId="6C2408F7" w14:textId="77777777" w:rsidR="001A1E89" w:rsidRPr="00CD3DCA" w:rsidRDefault="001A1E89" w:rsidP="00CD3DCA">
            <w:pPr>
              <w:pStyle w:val="sub2"/>
              <w:keepNext/>
              <w:keepLines/>
              <w:spacing w:before="60" w:after="60" w:line="240" w:lineRule="auto"/>
              <w:ind w:firstLine="0"/>
              <w:jc w:val="center"/>
              <w:rPr>
                <w:rFonts w:ascii="Book Antiqua" w:hAnsi="Book Antiqua"/>
                <w:b/>
                <w:sz w:val="24"/>
                <w:szCs w:val="24"/>
              </w:rPr>
            </w:pPr>
            <w:r w:rsidRPr="00CD3DCA">
              <w:rPr>
                <w:rFonts w:ascii="Book Antiqua" w:hAnsi="Book Antiqua"/>
                <w:b/>
                <w:sz w:val="24"/>
                <w:szCs w:val="24"/>
              </w:rPr>
              <w:t>Total Operating Costs ($million)</w:t>
            </w:r>
          </w:p>
        </w:tc>
        <w:tc>
          <w:tcPr>
            <w:tcW w:w="828" w:type="dxa"/>
          </w:tcPr>
          <w:p w14:paraId="3D78E903" w14:textId="77777777" w:rsidR="001A1E89" w:rsidRPr="00CD3DCA" w:rsidRDefault="001A1E89" w:rsidP="00CD3DCA">
            <w:pPr>
              <w:pStyle w:val="sub2"/>
              <w:keepNext/>
              <w:keepLines/>
              <w:spacing w:before="60" w:after="60" w:line="240" w:lineRule="auto"/>
              <w:ind w:firstLine="0"/>
              <w:jc w:val="center"/>
              <w:rPr>
                <w:rFonts w:ascii="Book Antiqua" w:hAnsi="Book Antiqua"/>
                <w:b/>
                <w:sz w:val="24"/>
                <w:szCs w:val="24"/>
              </w:rPr>
            </w:pPr>
            <w:r w:rsidRPr="00CD3DCA">
              <w:rPr>
                <w:rFonts w:ascii="Book Antiqua" w:hAnsi="Book Antiqua"/>
                <w:b/>
                <w:sz w:val="24"/>
                <w:szCs w:val="24"/>
              </w:rPr>
              <w:t>RPS (%)</w:t>
            </w:r>
          </w:p>
        </w:tc>
      </w:tr>
      <w:tr w:rsidR="005A3759" w:rsidRPr="00CD3DCA" w14:paraId="554849D5" w14:textId="77777777" w:rsidTr="000670A3">
        <w:tc>
          <w:tcPr>
            <w:tcW w:w="985" w:type="dxa"/>
            <w:vMerge w:val="restart"/>
          </w:tcPr>
          <w:p w14:paraId="458C1CCA" w14:textId="77777777" w:rsidR="001A1E89" w:rsidRPr="00CD3DCA" w:rsidRDefault="005A3759" w:rsidP="00CD3DCA">
            <w:pPr>
              <w:pStyle w:val="sub2"/>
              <w:keepNext/>
              <w:keepLines/>
              <w:spacing w:before="60" w:after="60" w:line="240" w:lineRule="auto"/>
              <w:ind w:firstLine="0"/>
              <w:rPr>
                <w:rFonts w:ascii="Book Antiqua" w:hAnsi="Book Antiqua"/>
                <w:sz w:val="24"/>
                <w:szCs w:val="24"/>
              </w:rPr>
            </w:pPr>
            <w:r w:rsidRPr="00CD3DCA">
              <w:rPr>
                <w:rFonts w:ascii="Book Antiqua" w:hAnsi="Book Antiqua"/>
                <w:sz w:val="24"/>
                <w:szCs w:val="24"/>
              </w:rPr>
              <w:t>Staff</w:t>
            </w:r>
          </w:p>
        </w:tc>
        <w:tc>
          <w:tcPr>
            <w:tcW w:w="1854" w:type="dxa"/>
          </w:tcPr>
          <w:p w14:paraId="2B39575D" w14:textId="77777777" w:rsidR="001A1E89" w:rsidRPr="00CD3DCA" w:rsidRDefault="001A1E89" w:rsidP="00CD3DCA">
            <w:pPr>
              <w:pStyle w:val="sub2"/>
              <w:keepNext/>
              <w:keepLines/>
              <w:spacing w:before="60" w:after="60" w:line="240" w:lineRule="auto"/>
              <w:ind w:firstLine="0"/>
              <w:rPr>
                <w:rFonts w:ascii="Book Antiqua" w:hAnsi="Book Antiqua"/>
                <w:sz w:val="24"/>
                <w:szCs w:val="24"/>
              </w:rPr>
            </w:pPr>
            <w:r w:rsidRPr="00CD3DCA">
              <w:rPr>
                <w:rFonts w:ascii="Book Antiqua" w:hAnsi="Book Antiqua"/>
                <w:sz w:val="24"/>
                <w:szCs w:val="24"/>
              </w:rPr>
              <w:t>RSP with 2017 IEPR, RESOLVE</w:t>
            </w:r>
          </w:p>
        </w:tc>
        <w:tc>
          <w:tcPr>
            <w:tcW w:w="1386" w:type="dxa"/>
          </w:tcPr>
          <w:p w14:paraId="51D9466D" w14:textId="77777777" w:rsidR="001A1E89" w:rsidRPr="00CD3DCA" w:rsidRDefault="0031079A"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34</w:t>
            </w:r>
          </w:p>
        </w:tc>
        <w:tc>
          <w:tcPr>
            <w:tcW w:w="1440" w:type="dxa"/>
          </w:tcPr>
          <w:p w14:paraId="176FB3EB" w14:textId="77777777" w:rsidR="001A1E89" w:rsidRPr="00CD3DCA" w:rsidRDefault="0031079A"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Y</w:t>
            </w:r>
          </w:p>
        </w:tc>
        <w:tc>
          <w:tcPr>
            <w:tcW w:w="1620" w:type="dxa"/>
          </w:tcPr>
          <w:p w14:paraId="3355FC90" w14:textId="77777777" w:rsidR="001A1E89" w:rsidRPr="00CD3DCA" w:rsidRDefault="005A3759"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2,923</w:t>
            </w:r>
          </w:p>
        </w:tc>
        <w:tc>
          <w:tcPr>
            <w:tcW w:w="1350" w:type="dxa"/>
          </w:tcPr>
          <w:p w14:paraId="04C6F104" w14:textId="77777777" w:rsidR="001A1E89" w:rsidRPr="00CD3DCA" w:rsidRDefault="005A3759"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4,605</w:t>
            </w:r>
          </w:p>
        </w:tc>
        <w:tc>
          <w:tcPr>
            <w:tcW w:w="828" w:type="dxa"/>
          </w:tcPr>
          <w:p w14:paraId="5F18CB9E" w14:textId="77777777" w:rsidR="001A1E89" w:rsidRPr="00CD3DCA" w:rsidRDefault="005A3759"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60</w:t>
            </w:r>
          </w:p>
        </w:tc>
      </w:tr>
      <w:tr w:rsidR="005A3759" w:rsidRPr="00CD3DCA" w14:paraId="6B627F15" w14:textId="77777777" w:rsidTr="000670A3">
        <w:tc>
          <w:tcPr>
            <w:tcW w:w="985" w:type="dxa"/>
            <w:vMerge/>
          </w:tcPr>
          <w:p w14:paraId="51455DA0" w14:textId="77777777" w:rsidR="001A1E89" w:rsidRPr="00CD3DCA" w:rsidRDefault="001A1E89" w:rsidP="00CD3DCA">
            <w:pPr>
              <w:pStyle w:val="sub2"/>
              <w:keepNext/>
              <w:keepLines/>
              <w:spacing w:before="60" w:after="60" w:line="240" w:lineRule="auto"/>
              <w:ind w:firstLine="0"/>
              <w:rPr>
                <w:rFonts w:ascii="Book Antiqua" w:hAnsi="Book Antiqua"/>
                <w:sz w:val="24"/>
                <w:szCs w:val="24"/>
              </w:rPr>
            </w:pPr>
          </w:p>
        </w:tc>
        <w:tc>
          <w:tcPr>
            <w:tcW w:w="1854" w:type="dxa"/>
          </w:tcPr>
          <w:p w14:paraId="6D259685" w14:textId="77777777" w:rsidR="001A1E89" w:rsidRPr="00CD3DCA" w:rsidRDefault="001A1E89" w:rsidP="00CD3DCA">
            <w:pPr>
              <w:pStyle w:val="sub2"/>
              <w:keepNext/>
              <w:keepLines/>
              <w:spacing w:before="60" w:after="60" w:line="240" w:lineRule="auto"/>
              <w:ind w:firstLine="0"/>
              <w:rPr>
                <w:rFonts w:ascii="Book Antiqua" w:hAnsi="Book Antiqua"/>
                <w:sz w:val="24"/>
                <w:szCs w:val="24"/>
              </w:rPr>
            </w:pPr>
            <w:r w:rsidRPr="00CD3DCA">
              <w:rPr>
                <w:rFonts w:ascii="Book Antiqua" w:hAnsi="Book Antiqua"/>
                <w:sz w:val="24"/>
                <w:szCs w:val="24"/>
              </w:rPr>
              <w:t>RSP with 2017 IEPR, SERVM</w:t>
            </w:r>
          </w:p>
        </w:tc>
        <w:tc>
          <w:tcPr>
            <w:tcW w:w="1386" w:type="dxa"/>
          </w:tcPr>
          <w:p w14:paraId="560C4C86" w14:textId="77777777" w:rsidR="001A1E89" w:rsidRPr="00CD3DCA" w:rsidRDefault="0031079A"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38.2</w:t>
            </w:r>
          </w:p>
        </w:tc>
        <w:tc>
          <w:tcPr>
            <w:tcW w:w="1440" w:type="dxa"/>
          </w:tcPr>
          <w:p w14:paraId="30E09336" w14:textId="77777777" w:rsidR="001A1E89" w:rsidRPr="00CD3DCA" w:rsidRDefault="0031079A"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Y</w:t>
            </w:r>
          </w:p>
        </w:tc>
        <w:tc>
          <w:tcPr>
            <w:tcW w:w="1620" w:type="dxa"/>
          </w:tcPr>
          <w:p w14:paraId="327C52FD" w14:textId="77777777" w:rsidR="001A1E89" w:rsidRPr="00CD3DCA" w:rsidRDefault="005A3759"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11,055</w:t>
            </w:r>
          </w:p>
        </w:tc>
        <w:tc>
          <w:tcPr>
            <w:tcW w:w="1350" w:type="dxa"/>
          </w:tcPr>
          <w:p w14:paraId="66887B9D" w14:textId="77777777" w:rsidR="001A1E89" w:rsidRPr="00CD3DCA" w:rsidRDefault="005A3759"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4,981</w:t>
            </w:r>
          </w:p>
        </w:tc>
        <w:tc>
          <w:tcPr>
            <w:tcW w:w="828" w:type="dxa"/>
          </w:tcPr>
          <w:p w14:paraId="1CFB2FB9" w14:textId="77777777" w:rsidR="001A1E89" w:rsidRPr="00CD3DCA" w:rsidRDefault="005A3759"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58.3</w:t>
            </w:r>
          </w:p>
        </w:tc>
      </w:tr>
      <w:tr w:rsidR="005A3759" w:rsidRPr="00CD3DCA" w14:paraId="5AD20B68" w14:textId="77777777" w:rsidTr="000670A3">
        <w:tc>
          <w:tcPr>
            <w:tcW w:w="985" w:type="dxa"/>
            <w:vMerge/>
          </w:tcPr>
          <w:p w14:paraId="3CB22F48" w14:textId="77777777" w:rsidR="001A1E89" w:rsidRPr="00CD3DCA" w:rsidRDefault="001A1E89" w:rsidP="00CD3DCA">
            <w:pPr>
              <w:pStyle w:val="sub2"/>
              <w:keepNext/>
              <w:keepLines/>
              <w:spacing w:before="60" w:after="60" w:line="240" w:lineRule="auto"/>
              <w:ind w:firstLine="0"/>
              <w:rPr>
                <w:rFonts w:ascii="Book Antiqua" w:hAnsi="Book Antiqua"/>
                <w:sz w:val="24"/>
                <w:szCs w:val="24"/>
              </w:rPr>
            </w:pPr>
          </w:p>
        </w:tc>
        <w:tc>
          <w:tcPr>
            <w:tcW w:w="1854" w:type="dxa"/>
          </w:tcPr>
          <w:p w14:paraId="1ACCB14E" w14:textId="77777777" w:rsidR="001A1E89" w:rsidRPr="00CD3DCA" w:rsidRDefault="001A1E89" w:rsidP="00CD3DCA">
            <w:pPr>
              <w:pStyle w:val="sub2"/>
              <w:keepNext/>
              <w:keepLines/>
              <w:spacing w:before="60" w:after="60" w:line="240" w:lineRule="auto"/>
              <w:ind w:firstLine="0"/>
              <w:rPr>
                <w:rFonts w:ascii="Book Antiqua" w:hAnsi="Book Antiqua"/>
                <w:sz w:val="24"/>
                <w:szCs w:val="24"/>
              </w:rPr>
            </w:pPr>
            <w:r w:rsidRPr="00CD3DCA">
              <w:rPr>
                <w:rFonts w:ascii="Book Antiqua" w:hAnsi="Book Antiqua"/>
                <w:sz w:val="24"/>
                <w:szCs w:val="24"/>
              </w:rPr>
              <w:t>HCP, SERVM</w:t>
            </w:r>
          </w:p>
        </w:tc>
        <w:tc>
          <w:tcPr>
            <w:tcW w:w="1386" w:type="dxa"/>
          </w:tcPr>
          <w:p w14:paraId="39BAB023" w14:textId="77777777" w:rsidR="001A1E89" w:rsidRPr="00CD3DCA" w:rsidRDefault="0031079A"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42.7</w:t>
            </w:r>
          </w:p>
        </w:tc>
        <w:tc>
          <w:tcPr>
            <w:tcW w:w="1440" w:type="dxa"/>
          </w:tcPr>
          <w:p w14:paraId="4A040E66" w14:textId="77777777" w:rsidR="001A1E89" w:rsidRPr="00CD3DCA" w:rsidRDefault="0031079A"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Y</w:t>
            </w:r>
          </w:p>
        </w:tc>
        <w:tc>
          <w:tcPr>
            <w:tcW w:w="1620" w:type="dxa"/>
          </w:tcPr>
          <w:p w14:paraId="18A9372C" w14:textId="77777777" w:rsidR="001A1E89" w:rsidRPr="00CD3DCA" w:rsidRDefault="005A3759"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7,866</w:t>
            </w:r>
          </w:p>
        </w:tc>
        <w:tc>
          <w:tcPr>
            <w:tcW w:w="1350" w:type="dxa"/>
          </w:tcPr>
          <w:p w14:paraId="2EB65DD7" w14:textId="77777777" w:rsidR="001A1E89" w:rsidRPr="00CD3DCA" w:rsidRDefault="005A3759"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5,631</w:t>
            </w:r>
          </w:p>
        </w:tc>
        <w:tc>
          <w:tcPr>
            <w:tcW w:w="828" w:type="dxa"/>
          </w:tcPr>
          <w:p w14:paraId="253AC631" w14:textId="77777777" w:rsidR="001A1E89" w:rsidRPr="00CD3DCA" w:rsidRDefault="005A3759"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51.5</w:t>
            </w:r>
          </w:p>
        </w:tc>
      </w:tr>
      <w:tr w:rsidR="005A3759" w:rsidRPr="00CD3DCA" w14:paraId="00ECAD28" w14:textId="77777777" w:rsidTr="000670A3">
        <w:tc>
          <w:tcPr>
            <w:tcW w:w="985" w:type="dxa"/>
            <w:vMerge/>
          </w:tcPr>
          <w:p w14:paraId="470C8B2B" w14:textId="77777777" w:rsidR="001A1E89" w:rsidRPr="00CD3DCA" w:rsidRDefault="001A1E89" w:rsidP="00CD3DCA">
            <w:pPr>
              <w:pStyle w:val="sub2"/>
              <w:keepNext/>
              <w:keepLines/>
              <w:spacing w:before="60" w:after="60" w:line="240" w:lineRule="auto"/>
              <w:ind w:firstLine="0"/>
              <w:rPr>
                <w:rFonts w:ascii="Book Antiqua" w:hAnsi="Book Antiqua"/>
                <w:sz w:val="24"/>
                <w:szCs w:val="24"/>
              </w:rPr>
            </w:pPr>
          </w:p>
        </w:tc>
        <w:tc>
          <w:tcPr>
            <w:tcW w:w="1854" w:type="dxa"/>
          </w:tcPr>
          <w:p w14:paraId="4743CA29" w14:textId="77777777" w:rsidR="001A1E89" w:rsidRPr="00CD3DCA" w:rsidRDefault="001A1E89" w:rsidP="00CD3DCA">
            <w:pPr>
              <w:pStyle w:val="sub2"/>
              <w:keepNext/>
              <w:keepLines/>
              <w:spacing w:before="60" w:after="60" w:line="240" w:lineRule="auto"/>
              <w:ind w:firstLine="0"/>
              <w:rPr>
                <w:rFonts w:ascii="Book Antiqua" w:hAnsi="Book Antiqua"/>
                <w:sz w:val="24"/>
                <w:szCs w:val="24"/>
              </w:rPr>
            </w:pPr>
            <w:r w:rsidRPr="00CD3DCA">
              <w:rPr>
                <w:rFonts w:ascii="Book Antiqua" w:hAnsi="Book Antiqua"/>
                <w:sz w:val="24"/>
                <w:szCs w:val="24"/>
              </w:rPr>
              <w:t>HCP Calibrated LOLE, SERVM</w:t>
            </w:r>
          </w:p>
        </w:tc>
        <w:tc>
          <w:tcPr>
            <w:tcW w:w="1386" w:type="dxa"/>
          </w:tcPr>
          <w:p w14:paraId="0EAF630F" w14:textId="77777777" w:rsidR="001A1E89" w:rsidRPr="00CD3DCA" w:rsidRDefault="0031079A"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41.9</w:t>
            </w:r>
          </w:p>
        </w:tc>
        <w:tc>
          <w:tcPr>
            <w:tcW w:w="1440" w:type="dxa"/>
          </w:tcPr>
          <w:p w14:paraId="7977F9F5" w14:textId="77777777" w:rsidR="001A1E89" w:rsidRPr="00CD3DCA" w:rsidRDefault="0031079A"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Y</w:t>
            </w:r>
          </w:p>
        </w:tc>
        <w:tc>
          <w:tcPr>
            <w:tcW w:w="1620" w:type="dxa"/>
          </w:tcPr>
          <w:p w14:paraId="0ABD1F19" w14:textId="77777777" w:rsidR="001A1E89" w:rsidRPr="00CD3DCA" w:rsidRDefault="005A3759"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7,124</w:t>
            </w:r>
          </w:p>
        </w:tc>
        <w:tc>
          <w:tcPr>
            <w:tcW w:w="1350" w:type="dxa"/>
          </w:tcPr>
          <w:p w14:paraId="145EB590" w14:textId="77777777" w:rsidR="001A1E89" w:rsidRPr="00CD3DCA" w:rsidRDefault="005A3759"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5,880</w:t>
            </w:r>
          </w:p>
        </w:tc>
        <w:tc>
          <w:tcPr>
            <w:tcW w:w="828" w:type="dxa"/>
          </w:tcPr>
          <w:p w14:paraId="106800A0" w14:textId="77777777" w:rsidR="001A1E89" w:rsidRPr="00CD3DCA" w:rsidRDefault="005A3759" w:rsidP="00CD3DCA">
            <w:pPr>
              <w:pStyle w:val="sub2"/>
              <w:keepNext/>
              <w:keepLines/>
              <w:spacing w:before="60" w:after="60" w:line="240" w:lineRule="auto"/>
              <w:ind w:firstLine="0"/>
              <w:jc w:val="center"/>
              <w:rPr>
                <w:rFonts w:ascii="Book Antiqua" w:hAnsi="Book Antiqua"/>
                <w:sz w:val="24"/>
                <w:szCs w:val="24"/>
              </w:rPr>
            </w:pPr>
            <w:r w:rsidRPr="00CD3DCA">
              <w:rPr>
                <w:rFonts w:ascii="Book Antiqua" w:hAnsi="Book Antiqua"/>
                <w:sz w:val="24"/>
                <w:szCs w:val="24"/>
              </w:rPr>
              <w:t>51.8</w:t>
            </w:r>
          </w:p>
        </w:tc>
      </w:tr>
      <w:tr w:rsidR="002E63D4" w:rsidRPr="00CD3DCA" w14:paraId="09BB31F2" w14:textId="77777777" w:rsidTr="000670A3">
        <w:tc>
          <w:tcPr>
            <w:tcW w:w="985" w:type="dxa"/>
            <w:vMerge w:val="restart"/>
          </w:tcPr>
          <w:p w14:paraId="12BB7F65" w14:textId="77777777" w:rsidR="001A1E89" w:rsidRPr="00CD3DCA" w:rsidRDefault="001A1E89" w:rsidP="00CD3DCA">
            <w:pPr>
              <w:pStyle w:val="sub2"/>
              <w:spacing w:before="60" w:after="60" w:line="240" w:lineRule="auto"/>
              <w:ind w:firstLine="0"/>
              <w:rPr>
                <w:rFonts w:ascii="Book Antiqua" w:hAnsi="Book Antiqua"/>
                <w:sz w:val="24"/>
                <w:szCs w:val="24"/>
              </w:rPr>
            </w:pPr>
            <w:r w:rsidRPr="00CD3DCA">
              <w:rPr>
                <w:rFonts w:ascii="Book Antiqua" w:hAnsi="Book Antiqua"/>
                <w:sz w:val="24"/>
                <w:szCs w:val="24"/>
              </w:rPr>
              <w:t>SCE</w:t>
            </w:r>
          </w:p>
        </w:tc>
        <w:tc>
          <w:tcPr>
            <w:tcW w:w="1854" w:type="dxa"/>
          </w:tcPr>
          <w:p w14:paraId="3E131172" w14:textId="77777777" w:rsidR="001A1E89" w:rsidRPr="00CD3DCA" w:rsidRDefault="001A1E89" w:rsidP="00CD3DCA">
            <w:pPr>
              <w:pStyle w:val="sub2"/>
              <w:spacing w:before="60" w:after="60" w:line="240" w:lineRule="auto"/>
              <w:ind w:firstLine="0"/>
              <w:rPr>
                <w:rFonts w:ascii="Book Antiqua" w:hAnsi="Book Antiqua"/>
                <w:sz w:val="24"/>
                <w:szCs w:val="24"/>
              </w:rPr>
            </w:pPr>
            <w:r w:rsidRPr="00CD3DCA">
              <w:rPr>
                <w:rFonts w:ascii="Book Antiqua" w:hAnsi="Book Antiqua"/>
                <w:sz w:val="24"/>
                <w:szCs w:val="24"/>
              </w:rPr>
              <w:t>RSP with 2017 IEPR, PLEXOS</w:t>
            </w:r>
          </w:p>
        </w:tc>
        <w:tc>
          <w:tcPr>
            <w:tcW w:w="1386" w:type="dxa"/>
          </w:tcPr>
          <w:p w14:paraId="7C9119E4" w14:textId="77777777" w:rsidR="001A1E89" w:rsidRPr="00CD3DCA" w:rsidRDefault="0031079A"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34.2</w:t>
            </w:r>
          </w:p>
        </w:tc>
        <w:tc>
          <w:tcPr>
            <w:tcW w:w="1440" w:type="dxa"/>
          </w:tcPr>
          <w:p w14:paraId="659B2F52" w14:textId="77777777" w:rsidR="001A1E89" w:rsidRPr="00CD3DCA" w:rsidRDefault="0031079A"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Y</w:t>
            </w:r>
          </w:p>
        </w:tc>
        <w:tc>
          <w:tcPr>
            <w:tcW w:w="1620" w:type="dxa"/>
          </w:tcPr>
          <w:p w14:paraId="0D73416C" w14:textId="77777777" w:rsidR="001A1E89" w:rsidRPr="00CD3DCA" w:rsidRDefault="005A3759"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4,136</w:t>
            </w:r>
          </w:p>
        </w:tc>
        <w:tc>
          <w:tcPr>
            <w:tcW w:w="1350" w:type="dxa"/>
          </w:tcPr>
          <w:p w14:paraId="19A17D8A" w14:textId="77777777" w:rsidR="001A1E89" w:rsidRPr="00CD3DCA" w:rsidRDefault="005A3759"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4,529</w:t>
            </w:r>
          </w:p>
        </w:tc>
        <w:tc>
          <w:tcPr>
            <w:tcW w:w="828" w:type="dxa"/>
          </w:tcPr>
          <w:p w14:paraId="6359DE8A" w14:textId="77777777" w:rsidR="001A1E89" w:rsidRPr="00CD3DCA" w:rsidRDefault="005A3759"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54.7</w:t>
            </w:r>
          </w:p>
        </w:tc>
      </w:tr>
      <w:tr w:rsidR="002E63D4" w:rsidRPr="00CD3DCA" w14:paraId="7896DB8D" w14:textId="77777777" w:rsidTr="000670A3">
        <w:tc>
          <w:tcPr>
            <w:tcW w:w="985" w:type="dxa"/>
            <w:vMerge/>
          </w:tcPr>
          <w:p w14:paraId="6D77D446" w14:textId="77777777" w:rsidR="001A1E89" w:rsidRPr="00CD3DCA" w:rsidRDefault="001A1E89" w:rsidP="00CD3DCA">
            <w:pPr>
              <w:pStyle w:val="sub2"/>
              <w:spacing w:before="60" w:after="60" w:line="240" w:lineRule="auto"/>
              <w:ind w:firstLine="0"/>
              <w:rPr>
                <w:rFonts w:ascii="Book Antiqua" w:hAnsi="Book Antiqua"/>
                <w:sz w:val="24"/>
                <w:szCs w:val="24"/>
              </w:rPr>
            </w:pPr>
          </w:p>
        </w:tc>
        <w:tc>
          <w:tcPr>
            <w:tcW w:w="1854" w:type="dxa"/>
          </w:tcPr>
          <w:p w14:paraId="29176696" w14:textId="77777777" w:rsidR="001A1E89" w:rsidRPr="00CD3DCA" w:rsidRDefault="001A1E89" w:rsidP="00CD3DCA">
            <w:pPr>
              <w:pStyle w:val="sub2"/>
              <w:spacing w:before="60" w:after="60" w:line="240" w:lineRule="auto"/>
              <w:ind w:firstLine="0"/>
              <w:rPr>
                <w:rFonts w:ascii="Book Antiqua" w:hAnsi="Book Antiqua"/>
                <w:sz w:val="24"/>
                <w:szCs w:val="24"/>
              </w:rPr>
            </w:pPr>
            <w:r w:rsidRPr="00CD3DCA">
              <w:rPr>
                <w:rFonts w:ascii="Book Antiqua" w:hAnsi="Book Antiqua"/>
                <w:sz w:val="24"/>
                <w:szCs w:val="24"/>
              </w:rPr>
              <w:t>RSP with 2017 IEPR, with Gas Retirement, PLEXOS</w:t>
            </w:r>
          </w:p>
        </w:tc>
        <w:tc>
          <w:tcPr>
            <w:tcW w:w="1386" w:type="dxa"/>
          </w:tcPr>
          <w:p w14:paraId="01C7445D" w14:textId="77777777" w:rsidR="001A1E89" w:rsidRPr="00CD3DCA" w:rsidRDefault="0031079A"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33.5</w:t>
            </w:r>
          </w:p>
        </w:tc>
        <w:tc>
          <w:tcPr>
            <w:tcW w:w="1440" w:type="dxa"/>
          </w:tcPr>
          <w:p w14:paraId="54965C48" w14:textId="77777777" w:rsidR="001A1E89" w:rsidRPr="00CD3DCA" w:rsidRDefault="0031079A"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Y</w:t>
            </w:r>
          </w:p>
        </w:tc>
        <w:tc>
          <w:tcPr>
            <w:tcW w:w="1620" w:type="dxa"/>
          </w:tcPr>
          <w:p w14:paraId="275F0E5A" w14:textId="77777777" w:rsidR="001A1E89" w:rsidRPr="00CD3DCA" w:rsidRDefault="005A3759"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3,836</w:t>
            </w:r>
          </w:p>
        </w:tc>
        <w:tc>
          <w:tcPr>
            <w:tcW w:w="1350" w:type="dxa"/>
          </w:tcPr>
          <w:p w14:paraId="04B65529" w14:textId="77777777" w:rsidR="001A1E89" w:rsidRPr="00CD3DCA" w:rsidRDefault="005A3759"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4,453</w:t>
            </w:r>
          </w:p>
        </w:tc>
        <w:tc>
          <w:tcPr>
            <w:tcW w:w="828" w:type="dxa"/>
          </w:tcPr>
          <w:p w14:paraId="61EDBDCA" w14:textId="77777777" w:rsidR="001A1E89" w:rsidRPr="00CD3DCA" w:rsidRDefault="005A3759"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54.9</w:t>
            </w:r>
          </w:p>
        </w:tc>
      </w:tr>
      <w:tr w:rsidR="002E63D4" w:rsidRPr="00CD3DCA" w14:paraId="1B810EDA" w14:textId="77777777" w:rsidTr="000670A3">
        <w:tc>
          <w:tcPr>
            <w:tcW w:w="985" w:type="dxa"/>
            <w:vMerge/>
          </w:tcPr>
          <w:p w14:paraId="4E71A303" w14:textId="77777777" w:rsidR="001A1E89" w:rsidRPr="00CD3DCA" w:rsidRDefault="001A1E89" w:rsidP="00CD3DCA">
            <w:pPr>
              <w:pStyle w:val="sub2"/>
              <w:spacing w:before="60" w:after="60" w:line="240" w:lineRule="auto"/>
              <w:ind w:firstLine="0"/>
              <w:rPr>
                <w:rFonts w:ascii="Book Antiqua" w:hAnsi="Book Antiqua"/>
                <w:sz w:val="24"/>
                <w:szCs w:val="24"/>
              </w:rPr>
            </w:pPr>
          </w:p>
        </w:tc>
        <w:tc>
          <w:tcPr>
            <w:tcW w:w="1854" w:type="dxa"/>
          </w:tcPr>
          <w:p w14:paraId="78878E6A" w14:textId="77777777" w:rsidR="001A1E89" w:rsidRPr="00CD3DCA" w:rsidRDefault="001A1E89" w:rsidP="00CD3DCA">
            <w:pPr>
              <w:pStyle w:val="sub2"/>
              <w:spacing w:before="60" w:after="60" w:line="240" w:lineRule="auto"/>
              <w:ind w:firstLine="0"/>
              <w:rPr>
                <w:rFonts w:ascii="Book Antiqua" w:hAnsi="Book Antiqua"/>
                <w:sz w:val="24"/>
                <w:szCs w:val="24"/>
              </w:rPr>
            </w:pPr>
            <w:r w:rsidRPr="00CD3DCA">
              <w:rPr>
                <w:rFonts w:ascii="Book Antiqua" w:hAnsi="Book Antiqua"/>
                <w:sz w:val="24"/>
                <w:szCs w:val="24"/>
              </w:rPr>
              <w:t>HCP, with Gas Retirement, PLEXOS</w:t>
            </w:r>
          </w:p>
        </w:tc>
        <w:tc>
          <w:tcPr>
            <w:tcW w:w="1386" w:type="dxa"/>
          </w:tcPr>
          <w:p w14:paraId="036F8108" w14:textId="77777777" w:rsidR="001A1E89" w:rsidRPr="00CD3DCA" w:rsidRDefault="0031079A"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35.9</w:t>
            </w:r>
          </w:p>
        </w:tc>
        <w:tc>
          <w:tcPr>
            <w:tcW w:w="1440" w:type="dxa"/>
          </w:tcPr>
          <w:p w14:paraId="67B5C195" w14:textId="77777777" w:rsidR="001A1E89" w:rsidRPr="00CD3DCA" w:rsidRDefault="0031079A"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Y</w:t>
            </w:r>
          </w:p>
        </w:tc>
        <w:tc>
          <w:tcPr>
            <w:tcW w:w="1620" w:type="dxa"/>
          </w:tcPr>
          <w:p w14:paraId="42D05B61" w14:textId="77777777" w:rsidR="001A1E89" w:rsidRPr="00CD3DCA" w:rsidRDefault="005A3759"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4,157</w:t>
            </w:r>
          </w:p>
        </w:tc>
        <w:tc>
          <w:tcPr>
            <w:tcW w:w="1350" w:type="dxa"/>
          </w:tcPr>
          <w:p w14:paraId="4E4E6171" w14:textId="77777777" w:rsidR="001A1E89" w:rsidRPr="00CD3DCA" w:rsidRDefault="005A3759"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4,760</w:t>
            </w:r>
          </w:p>
        </w:tc>
        <w:tc>
          <w:tcPr>
            <w:tcW w:w="828" w:type="dxa"/>
          </w:tcPr>
          <w:p w14:paraId="2FFD17A6" w14:textId="77777777" w:rsidR="001A1E89" w:rsidRPr="00CD3DCA" w:rsidRDefault="005A3759"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51.4</w:t>
            </w:r>
          </w:p>
        </w:tc>
      </w:tr>
      <w:tr w:rsidR="002E63D4" w:rsidRPr="00CD3DCA" w14:paraId="7A71E1AC" w14:textId="77777777" w:rsidTr="000670A3">
        <w:tc>
          <w:tcPr>
            <w:tcW w:w="985" w:type="dxa"/>
          </w:tcPr>
          <w:p w14:paraId="412388FA" w14:textId="77777777" w:rsidR="001A1E89" w:rsidRPr="00CD3DCA" w:rsidRDefault="001A1E89" w:rsidP="00CD3DCA">
            <w:pPr>
              <w:pStyle w:val="sub2"/>
              <w:spacing w:before="60" w:after="60" w:line="240" w:lineRule="auto"/>
              <w:ind w:firstLine="0"/>
              <w:rPr>
                <w:rFonts w:ascii="Book Antiqua" w:hAnsi="Book Antiqua"/>
                <w:sz w:val="24"/>
                <w:szCs w:val="24"/>
              </w:rPr>
            </w:pPr>
            <w:r w:rsidRPr="00CD3DCA">
              <w:rPr>
                <w:rFonts w:ascii="Book Antiqua" w:hAnsi="Book Antiqua"/>
                <w:sz w:val="24"/>
                <w:szCs w:val="24"/>
              </w:rPr>
              <w:t>CAISO</w:t>
            </w:r>
          </w:p>
        </w:tc>
        <w:tc>
          <w:tcPr>
            <w:tcW w:w="1854" w:type="dxa"/>
          </w:tcPr>
          <w:p w14:paraId="0B4AB91D" w14:textId="77777777" w:rsidR="001A1E89" w:rsidRPr="00CD3DCA" w:rsidRDefault="001A1E89" w:rsidP="00CD3DCA">
            <w:pPr>
              <w:pStyle w:val="sub2"/>
              <w:spacing w:before="60" w:after="60" w:line="240" w:lineRule="auto"/>
              <w:ind w:firstLine="0"/>
              <w:rPr>
                <w:rFonts w:ascii="Book Antiqua" w:hAnsi="Book Antiqua"/>
                <w:sz w:val="24"/>
                <w:szCs w:val="24"/>
              </w:rPr>
            </w:pPr>
            <w:r w:rsidRPr="00CD3DCA">
              <w:rPr>
                <w:rFonts w:ascii="Book Antiqua" w:hAnsi="Book Antiqua"/>
                <w:sz w:val="24"/>
                <w:szCs w:val="24"/>
              </w:rPr>
              <w:t>HCP, PLEXOS</w:t>
            </w:r>
          </w:p>
        </w:tc>
        <w:tc>
          <w:tcPr>
            <w:tcW w:w="1386" w:type="dxa"/>
          </w:tcPr>
          <w:p w14:paraId="4CAC3C4A" w14:textId="77777777" w:rsidR="001A1E89" w:rsidRPr="00CD3DCA" w:rsidRDefault="0031079A"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38.55</w:t>
            </w:r>
          </w:p>
        </w:tc>
        <w:tc>
          <w:tcPr>
            <w:tcW w:w="1440" w:type="dxa"/>
          </w:tcPr>
          <w:p w14:paraId="0691C9EA" w14:textId="77777777" w:rsidR="001A1E89" w:rsidRPr="00CD3DCA" w:rsidRDefault="0031079A"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N</w:t>
            </w:r>
          </w:p>
        </w:tc>
        <w:tc>
          <w:tcPr>
            <w:tcW w:w="1620" w:type="dxa"/>
          </w:tcPr>
          <w:p w14:paraId="21FBC01F" w14:textId="77777777" w:rsidR="001A1E89" w:rsidRPr="00CD3DCA" w:rsidRDefault="005A3759"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3,332</w:t>
            </w:r>
          </w:p>
        </w:tc>
        <w:tc>
          <w:tcPr>
            <w:tcW w:w="1350" w:type="dxa"/>
          </w:tcPr>
          <w:p w14:paraId="52061BE2" w14:textId="77777777" w:rsidR="001A1E89" w:rsidRPr="00CD3DCA" w:rsidRDefault="005A3759"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2,866</w:t>
            </w:r>
          </w:p>
        </w:tc>
        <w:tc>
          <w:tcPr>
            <w:tcW w:w="828" w:type="dxa"/>
          </w:tcPr>
          <w:p w14:paraId="4F6896E6" w14:textId="77777777" w:rsidR="001A1E89" w:rsidRPr="00CD3DCA" w:rsidRDefault="005A3759" w:rsidP="00CD3DCA">
            <w:pPr>
              <w:pStyle w:val="sub2"/>
              <w:spacing w:before="60" w:after="60" w:line="240" w:lineRule="auto"/>
              <w:ind w:firstLine="0"/>
              <w:jc w:val="center"/>
              <w:rPr>
                <w:rFonts w:ascii="Book Antiqua" w:hAnsi="Book Antiqua"/>
                <w:sz w:val="24"/>
                <w:szCs w:val="24"/>
              </w:rPr>
            </w:pPr>
            <w:r w:rsidRPr="00CD3DCA">
              <w:rPr>
                <w:rFonts w:ascii="Book Antiqua" w:hAnsi="Book Antiqua"/>
                <w:sz w:val="24"/>
                <w:szCs w:val="24"/>
              </w:rPr>
              <w:t>51</w:t>
            </w:r>
          </w:p>
        </w:tc>
      </w:tr>
    </w:tbl>
    <w:p w14:paraId="7DEB87CE" w14:textId="77777777" w:rsidR="001A1E89" w:rsidRPr="00467505" w:rsidRDefault="001A1E89" w:rsidP="001A1E89">
      <w:pPr>
        <w:pStyle w:val="sub2"/>
        <w:ind w:firstLine="0"/>
        <w:rPr>
          <w:rFonts w:ascii="Book Antiqua" w:hAnsi="Book Antiqua"/>
        </w:rPr>
      </w:pPr>
    </w:p>
    <w:p w14:paraId="4FC5E1A5" w14:textId="77777777" w:rsidR="001A1E89" w:rsidRPr="00467505" w:rsidRDefault="00711E29" w:rsidP="00152A24">
      <w:pPr>
        <w:pStyle w:val="sub2"/>
        <w:rPr>
          <w:rFonts w:ascii="Book Antiqua" w:hAnsi="Book Antiqua"/>
        </w:rPr>
      </w:pPr>
      <w:r w:rsidRPr="00467505">
        <w:rPr>
          <w:rFonts w:ascii="Book Antiqua" w:hAnsi="Book Antiqua"/>
        </w:rPr>
        <w:t xml:space="preserve">Of most concern to us, based on the above results, is the fact that the HCP would, in </w:t>
      </w:r>
      <w:r w:rsidR="00D70B9A">
        <w:rPr>
          <w:rFonts w:ascii="Book Antiqua" w:hAnsi="Book Antiqua"/>
        </w:rPr>
        <w:t>each</w:t>
      </w:r>
      <w:r w:rsidR="00D70B9A" w:rsidRPr="00467505">
        <w:rPr>
          <w:rFonts w:ascii="Book Antiqua" w:hAnsi="Book Antiqua"/>
        </w:rPr>
        <w:t xml:space="preserve"> </w:t>
      </w:r>
      <w:r w:rsidRPr="00467505">
        <w:rPr>
          <w:rFonts w:ascii="Book Antiqua" w:hAnsi="Book Antiqua"/>
        </w:rPr>
        <w:t>analysis</w:t>
      </w:r>
      <w:r w:rsidR="00D70B9A">
        <w:rPr>
          <w:rFonts w:ascii="Book Antiqua" w:hAnsi="Book Antiqua"/>
        </w:rPr>
        <w:t xml:space="preserve"> provided</w:t>
      </w:r>
      <w:r w:rsidRPr="00467505">
        <w:rPr>
          <w:rFonts w:ascii="Book Antiqua" w:hAnsi="Book Antiqua"/>
        </w:rPr>
        <w:t>, result in greater GHG emissions in 2030 than the RSP adopted last year</w:t>
      </w:r>
      <w:r w:rsidR="001A0F7D">
        <w:rPr>
          <w:rFonts w:ascii="Book Antiqua" w:hAnsi="Book Antiqua"/>
        </w:rPr>
        <w:t>, after</w:t>
      </w:r>
      <w:r w:rsidRPr="00467505">
        <w:rPr>
          <w:rFonts w:ascii="Book Antiqua" w:hAnsi="Book Antiqua"/>
        </w:rPr>
        <w:t xml:space="preserve"> 2017 IEPR assumption adjustments. </w:t>
      </w:r>
      <w:r w:rsidR="00C961F7" w:rsidRPr="00467505">
        <w:rPr>
          <w:rFonts w:ascii="Book Antiqua" w:hAnsi="Book Antiqua"/>
        </w:rPr>
        <w:t xml:space="preserve"> </w:t>
      </w:r>
      <w:r w:rsidRPr="00467505">
        <w:rPr>
          <w:rFonts w:ascii="Book Antiqua" w:hAnsi="Book Antiqua"/>
        </w:rPr>
        <w:t xml:space="preserve">Bluntly stated, the HCP would not result in </w:t>
      </w:r>
      <w:r w:rsidR="00D70B9A">
        <w:rPr>
          <w:rFonts w:ascii="Book Antiqua" w:hAnsi="Book Antiqua"/>
        </w:rPr>
        <w:t xml:space="preserve">emissions reductions consistent with </w:t>
      </w:r>
      <w:r w:rsidRPr="00467505">
        <w:rPr>
          <w:rFonts w:ascii="Book Antiqua" w:hAnsi="Book Antiqua"/>
        </w:rPr>
        <w:t xml:space="preserve">the electricity sector GHG goals established by this Commission. </w:t>
      </w:r>
      <w:r w:rsidR="00C961F7" w:rsidRPr="00467505">
        <w:rPr>
          <w:rFonts w:ascii="Book Antiqua" w:hAnsi="Book Antiqua"/>
        </w:rPr>
        <w:t xml:space="preserve"> </w:t>
      </w:r>
      <w:r w:rsidR="00295BAC" w:rsidRPr="00467505">
        <w:rPr>
          <w:rFonts w:ascii="Book Antiqua" w:hAnsi="Book Antiqua"/>
        </w:rPr>
        <w:t xml:space="preserve">Given that all of our planning efforts in this proceeding have been focused around achieving this </w:t>
      </w:r>
      <w:r w:rsidR="00621AED" w:rsidRPr="00467505">
        <w:rPr>
          <w:rFonts w:ascii="Book Antiqua" w:hAnsi="Book Antiqua"/>
        </w:rPr>
        <w:t>GHG goal, reliably and at least cost</w:t>
      </w:r>
      <w:r w:rsidR="00B51E52" w:rsidRPr="00467505">
        <w:rPr>
          <w:rFonts w:ascii="Book Antiqua" w:hAnsi="Book Antiqua"/>
        </w:rPr>
        <w:t>,</w:t>
      </w:r>
      <w:r w:rsidR="00621AED" w:rsidRPr="00467505">
        <w:rPr>
          <w:rFonts w:ascii="Book Antiqua" w:hAnsi="Book Antiqua"/>
        </w:rPr>
        <w:t xml:space="preserve"> </w:t>
      </w:r>
      <w:r w:rsidR="00B51E52" w:rsidRPr="00467505">
        <w:rPr>
          <w:rFonts w:ascii="Book Antiqua" w:hAnsi="Book Antiqua"/>
        </w:rPr>
        <w:t>t</w:t>
      </w:r>
      <w:r w:rsidR="00621AED" w:rsidRPr="00467505">
        <w:rPr>
          <w:rFonts w:ascii="Book Antiqua" w:hAnsi="Book Antiqua"/>
        </w:rPr>
        <w:t xml:space="preserve">he HCP would appear not to achieve those objectives. </w:t>
      </w:r>
    </w:p>
    <w:p w14:paraId="756E61DC" w14:textId="420EDB57" w:rsidR="008A61E4" w:rsidRDefault="00621AED" w:rsidP="00152A24">
      <w:pPr>
        <w:pStyle w:val="sub2"/>
        <w:rPr>
          <w:rFonts w:ascii="Book Antiqua" w:hAnsi="Book Antiqua"/>
        </w:rPr>
      </w:pPr>
      <w:r w:rsidRPr="00467505">
        <w:rPr>
          <w:rFonts w:ascii="Book Antiqua" w:hAnsi="Book Antiqua"/>
        </w:rPr>
        <w:t xml:space="preserve">Also important is the fact that although the HCP appears to be reliable in all analyses except the CAISO’s, it is still </w:t>
      </w:r>
      <w:r w:rsidR="008A61E4">
        <w:rPr>
          <w:rFonts w:ascii="Book Antiqua" w:hAnsi="Book Antiqua"/>
        </w:rPr>
        <w:t>likely</w:t>
      </w:r>
      <w:r w:rsidR="008A61E4" w:rsidRPr="00467505">
        <w:rPr>
          <w:rFonts w:ascii="Book Antiqua" w:hAnsi="Book Antiqua"/>
        </w:rPr>
        <w:t xml:space="preserve"> </w:t>
      </w:r>
      <w:r w:rsidRPr="00467505">
        <w:rPr>
          <w:rFonts w:ascii="Book Antiqua" w:hAnsi="Book Antiqua"/>
        </w:rPr>
        <w:t xml:space="preserve">less reliable than the RSP with 2017 IEPR adjustments. </w:t>
      </w:r>
      <w:r w:rsidR="00C961F7" w:rsidRPr="00467505">
        <w:rPr>
          <w:rFonts w:ascii="Book Antiqua" w:hAnsi="Book Antiqua"/>
        </w:rPr>
        <w:t xml:space="preserve"> </w:t>
      </w:r>
      <w:r w:rsidR="008A61E4">
        <w:rPr>
          <w:rFonts w:ascii="Book Antiqua" w:hAnsi="Book Antiqua"/>
        </w:rPr>
        <w:t xml:space="preserve">The HCP includes elements that tend to decrease reliability, relative to the resource mix in the RSP with 2017 IEPR adjustments. </w:t>
      </w:r>
      <w:r w:rsidR="00A52514">
        <w:rPr>
          <w:rFonts w:ascii="Book Antiqua" w:hAnsi="Book Antiqua"/>
        </w:rPr>
        <w:t xml:space="preserve"> </w:t>
      </w:r>
      <w:r w:rsidR="008A61E4">
        <w:rPr>
          <w:rFonts w:ascii="Book Antiqua" w:hAnsi="Book Antiqua"/>
        </w:rPr>
        <w:t xml:space="preserve">The HCP has longer duration batteries, but less capacity than the RSP with 2017 IEPR assumptions. </w:t>
      </w:r>
      <w:r w:rsidR="00B5384C">
        <w:rPr>
          <w:rFonts w:ascii="Book Antiqua" w:hAnsi="Book Antiqua"/>
        </w:rPr>
        <w:t xml:space="preserve"> </w:t>
      </w:r>
      <w:r w:rsidR="008A61E4">
        <w:rPr>
          <w:rFonts w:ascii="Book Antiqua" w:hAnsi="Book Antiqua"/>
        </w:rPr>
        <w:t xml:space="preserve">Higher capacity is more valuable to providing reliability during the highest peak hours. </w:t>
      </w:r>
      <w:r w:rsidR="00B5384C">
        <w:rPr>
          <w:rFonts w:ascii="Book Antiqua" w:hAnsi="Book Antiqua"/>
        </w:rPr>
        <w:t xml:space="preserve"> </w:t>
      </w:r>
      <w:r w:rsidR="008A61E4">
        <w:rPr>
          <w:rFonts w:ascii="Book Antiqua" w:hAnsi="Book Antiqua"/>
        </w:rPr>
        <w:t>The HCP also has less geothermal (firm, high</w:t>
      </w:r>
      <w:r w:rsidR="00B5384C">
        <w:rPr>
          <w:rFonts w:ascii="Book Antiqua" w:hAnsi="Book Antiqua"/>
        </w:rPr>
        <w:noBreakHyphen/>
      </w:r>
      <w:r w:rsidR="008A61E4">
        <w:rPr>
          <w:rFonts w:ascii="Book Antiqua" w:hAnsi="Book Antiqua"/>
        </w:rPr>
        <w:t xml:space="preserve">capacity-factor, low-carbon energy) than the RSP with 2017 IEPR assumptions. </w:t>
      </w:r>
      <w:r w:rsidR="00B5384C">
        <w:rPr>
          <w:rFonts w:ascii="Book Antiqua" w:hAnsi="Book Antiqua"/>
        </w:rPr>
        <w:t xml:space="preserve"> </w:t>
      </w:r>
      <w:r w:rsidR="008A61E4">
        <w:rPr>
          <w:rFonts w:ascii="Book Antiqua" w:hAnsi="Book Antiqua"/>
        </w:rPr>
        <w:t xml:space="preserve">Resources like geothermal are more valuable for providing reliability over most hours of the year, given that a low-carbon portfolio necessarily includes intermittent resources like wind and solar. </w:t>
      </w:r>
    </w:p>
    <w:p w14:paraId="26AD3CD8" w14:textId="77777777" w:rsidR="008107D5" w:rsidRPr="00467505" w:rsidRDefault="001B3617" w:rsidP="00152A24">
      <w:pPr>
        <w:pStyle w:val="sub2"/>
        <w:rPr>
          <w:rFonts w:ascii="Book Antiqua" w:hAnsi="Book Antiqua"/>
        </w:rPr>
      </w:pPr>
      <w:r w:rsidRPr="00467505">
        <w:rPr>
          <w:rFonts w:ascii="Book Antiqua" w:hAnsi="Book Antiqua"/>
        </w:rPr>
        <w:t>T</w:t>
      </w:r>
      <w:r w:rsidR="00621AED" w:rsidRPr="00467505">
        <w:rPr>
          <w:rFonts w:ascii="Book Antiqua" w:hAnsi="Book Antiqua"/>
        </w:rPr>
        <w:t xml:space="preserve">he HCP </w:t>
      </w:r>
      <w:r w:rsidRPr="00467505">
        <w:rPr>
          <w:rFonts w:ascii="Book Antiqua" w:hAnsi="Book Antiqua"/>
        </w:rPr>
        <w:t xml:space="preserve">also </w:t>
      </w:r>
      <w:r w:rsidR="00621AED" w:rsidRPr="00467505">
        <w:rPr>
          <w:rFonts w:ascii="Book Antiqua" w:hAnsi="Book Antiqua"/>
        </w:rPr>
        <w:t>does not appear to come close to achieving the 60</w:t>
      </w:r>
      <w:r w:rsidR="00D0161E" w:rsidRPr="00467505">
        <w:rPr>
          <w:rFonts w:ascii="Book Antiqua" w:hAnsi="Book Antiqua"/>
        </w:rPr>
        <w:t>%</w:t>
      </w:r>
      <w:r w:rsidR="00621AED" w:rsidRPr="00467505">
        <w:rPr>
          <w:rFonts w:ascii="Book Antiqua" w:hAnsi="Book Antiqua"/>
        </w:rPr>
        <w:t xml:space="preserve"> RPS requirements in 2030.</w:t>
      </w:r>
      <w:r w:rsidR="00D70B9A">
        <w:rPr>
          <w:rStyle w:val="FootnoteReference"/>
          <w:rFonts w:ascii="Book Antiqua" w:hAnsi="Book Antiqua"/>
        </w:rPr>
        <w:footnoteReference w:id="11"/>
      </w:r>
      <w:r w:rsidR="00621AED" w:rsidRPr="00467505">
        <w:rPr>
          <w:rFonts w:ascii="Book Antiqua" w:hAnsi="Book Antiqua"/>
        </w:rPr>
        <w:t xml:space="preserve"> </w:t>
      </w:r>
      <w:r w:rsidR="00793B50" w:rsidRPr="00467505">
        <w:rPr>
          <w:rFonts w:ascii="Book Antiqua" w:hAnsi="Book Antiqua"/>
        </w:rPr>
        <w:t xml:space="preserve"> </w:t>
      </w:r>
      <w:r w:rsidR="00ED6B0D" w:rsidRPr="00467505">
        <w:rPr>
          <w:rFonts w:ascii="Book Antiqua" w:hAnsi="Book Antiqua"/>
        </w:rPr>
        <w:t xml:space="preserve">For all of these reasons, we </w:t>
      </w:r>
      <w:r w:rsidR="008107D5" w:rsidRPr="00467505">
        <w:rPr>
          <w:rFonts w:ascii="Book Antiqua" w:hAnsi="Book Antiqua"/>
        </w:rPr>
        <w:t xml:space="preserve">conclude that the HCP should in no way be our “preferred” system portfolio for </w:t>
      </w:r>
      <w:r w:rsidR="002B53B5">
        <w:rPr>
          <w:rFonts w:ascii="Book Antiqua" w:hAnsi="Book Antiqua"/>
        </w:rPr>
        <w:t xml:space="preserve">future </w:t>
      </w:r>
      <w:r w:rsidR="008107D5" w:rsidRPr="00467505">
        <w:rPr>
          <w:rFonts w:ascii="Book Antiqua" w:hAnsi="Book Antiqua"/>
        </w:rPr>
        <w:t>planning.</w:t>
      </w:r>
      <w:r w:rsidR="00ED6B0D" w:rsidRPr="00467505">
        <w:rPr>
          <w:rFonts w:ascii="Book Antiqua" w:hAnsi="Book Antiqua"/>
        </w:rPr>
        <w:t xml:space="preserve"> </w:t>
      </w:r>
      <w:r w:rsidR="00C961F7" w:rsidRPr="00467505">
        <w:rPr>
          <w:rFonts w:ascii="Book Antiqua" w:hAnsi="Book Antiqua"/>
        </w:rPr>
        <w:t xml:space="preserve"> </w:t>
      </w:r>
      <w:r w:rsidR="00793B50" w:rsidRPr="00467505">
        <w:rPr>
          <w:rFonts w:ascii="Book Antiqua" w:hAnsi="Book Antiqua"/>
        </w:rPr>
        <w:t>Thus, we will not adopt the HCP as the PSP.</w:t>
      </w:r>
    </w:p>
    <w:p w14:paraId="5F03F120" w14:textId="77777777" w:rsidR="00C60600" w:rsidRPr="00467505" w:rsidRDefault="00793B50" w:rsidP="00152A24">
      <w:pPr>
        <w:pStyle w:val="sub2"/>
        <w:rPr>
          <w:rFonts w:ascii="Book Antiqua" w:hAnsi="Book Antiqua"/>
        </w:rPr>
      </w:pPr>
      <w:r w:rsidRPr="00467505">
        <w:rPr>
          <w:rFonts w:ascii="Book Antiqua" w:hAnsi="Book Antiqua"/>
        </w:rPr>
        <w:t xml:space="preserve">This leaves us with the question of which portfolio we should </w:t>
      </w:r>
      <w:r w:rsidR="001340D0" w:rsidRPr="00467505">
        <w:rPr>
          <w:rFonts w:ascii="Book Antiqua" w:hAnsi="Book Antiqua"/>
        </w:rPr>
        <w:t>adopt instead</w:t>
      </w:r>
      <w:r w:rsidRPr="00467505">
        <w:rPr>
          <w:rFonts w:ascii="Book Antiqua" w:hAnsi="Book Antiqua"/>
        </w:rPr>
        <w:t xml:space="preserve"> as the PSP. </w:t>
      </w:r>
      <w:r w:rsidR="00C961F7" w:rsidRPr="00467505">
        <w:rPr>
          <w:rFonts w:ascii="Book Antiqua" w:hAnsi="Book Antiqua"/>
        </w:rPr>
        <w:t xml:space="preserve"> </w:t>
      </w:r>
      <w:r w:rsidR="00D643C6" w:rsidRPr="00467505">
        <w:rPr>
          <w:rFonts w:ascii="Book Antiqua" w:hAnsi="Book Antiqua"/>
        </w:rPr>
        <w:t>The first obvious option is to revert back to the RSP adopted in D.18</w:t>
      </w:r>
      <w:r w:rsidR="00D84A09" w:rsidRPr="00467505">
        <w:rPr>
          <w:rFonts w:ascii="Book Antiqua" w:hAnsi="Book Antiqua"/>
        </w:rPr>
        <w:noBreakHyphen/>
      </w:r>
      <w:r w:rsidR="00D643C6" w:rsidRPr="00467505">
        <w:rPr>
          <w:rFonts w:ascii="Book Antiqua" w:hAnsi="Book Antiqua"/>
        </w:rPr>
        <w:t>02</w:t>
      </w:r>
      <w:r w:rsidR="00D84A09" w:rsidRPr="00467505">
        <w:rPr>
          <w:rFonts w:ascii="Book Antiqua" w:hAnsi="Book Antiqua"/>
        </w:rPr>
        <w:noBreakHyphen/>
      </w:r>
      <w:r w:rsidR="00D643C6" w:rsidRPr="00467505">
        <w:rPr>
          <w:rFonts w:ascii="Book Antiqua" w:hAnsi="Book Antiqua"/>
        </w:rPr>
        <w:t xml:space="preserve">018, as adjusted with 2017 IEPR assumptions (the most recent </w:t>
      </w:r>
      <w:r w:rsidR="00B51E52" w:rsidRPr="00467505">
        <w:rPr>
          <w:rFonts w:ascii="Book Antiqua" w:hAnsi="Book Antiqua"/>
        </w:rPr>
        <w:t xml:space="preserve">assumptions </w:t>
      </w:r>
      <w:r w:rsidR="00D643C6" w:rsidRPr="00467505">
        <w:rPr>
          <w:rFonts w:ascii="Book Antiqua" w:hAnsi="Book Antiqua"/>
        </w:rPr>
        <w:t xml:space="preserve">available). </w:t>
      </w:r>
      <w:r w:rsidR="00C961F7" w:rsidRPr="00467505">
        <w:rPr>
          <w:rFonts w:ascii="Book Antiqua" w:hAnsi="Book Antiqua"/>
        </w:rPr>
        <w:t xml:space="preserve"> </w:t>
      </w:r>
      <w:r w:rsidR="001340D0" w:rsidRPr="00467505">
        <w:rPr>
          <w:rFonts w:ascii="Book Antiqua" w:hAnsi="Book Antiqua"/>
        </w:rPr>
        <w:t>However, the major shortcoming with the RSP was its treatment of existing natural gas</w:t>
      </w:r>
      <w:r w:rsidR="0033659F">
        <w:rPr>
          <w:rFonts w:ascii="Book Antiqua" w:hAnsi="Book Antiqua"/>
        </w:rPr>
        <w:t>-fired</w:t>
      </w:r>
      <w:r w:rsidR="001340D0" w:rsidRPr="00467505">
        <w:rPr>
          <w:rFonts w:ascii="Book Antiqua" w:hAnsi="Book Antiqua"/>
        </w:rPr>
        <w:t xml:space="preserve"> resources, since it assumed that all of those resources would be available in perpetuity.</w:t>
      </w:r>
      <w:r w:rsidR="00C961F7" w:rsidRPr="00467505">
        <w:rPr>
          <w:rFonts w:ascii="Book Antiqua" w:hAnsi="Book Antiqua"/>
        </w:rPr>
        <w:t xml:space="preserve"> </w:t>
      </w:r>
      <w:r w:rsidR="001340D0" w:rsidRPr="00467505">
        <w:rPr>
          <w:rFonts w:ascii="Book Antiqua" w:hAnsi="Book Antiqua"/>
        </w:rPr>
        <w:t xml:space="preserve"> </w:t>
      </w:r>
      <w:r w:rsidR="001F6621" w:rsidRPr="00467505">
        <w:rPr>
          <w:rFonts w:ascii="Book Antiqua" w:hAnsi="Book Antiqua"/>
        </w:rPr>
        <w:t xml:space="preserve">Many parties objected to this assumption as unreasonable </w:t>
      </w:r>
      <w:r w:rsidR="00C54C3E" w:rsidRPr="00467505">
        <w:rPr>
          <w:rFonts w:ascii="Book Antiqua" w:hAnsi="Book Antiqua"/>
        </w:rPr>
        <w:t>and unrealistic; we agree</w:t>
      </w:r>
      <w:r w:rsidR="001F6621" w:rsidRPr="00467505">
        <w:rPr>
          <w:rFonts w:ascii="Book Antiqua" w:hAnsi="Book Antiqua"/>
        </w:rPr>
        <w:t xml:space="preserve">. </w:t>
      </w:r>
    </w:p>
    <w:p w14:paraId="35463D7B" w14:textId="77777777" w:rsidR="00793B50" w:rsidRPr="00467505" w:rsidRDefault="00C54C3E" w:rsidP="00152A24">
      <w:pPr>
        <w:pStyle w:val="sub2"/>
        <w:rPr>
          <w:rFonts w:ascii="Book Antiqua" w:hAnsi="Book Antiqua"/>
        </w:rPr>
      </w:pPr>
      <w:r w:rsidRPr="00467505">
        <w:rPr>
          <w:rFonts w:ascii="Book Antiqua" w:hAnsi="Book Antiqua"/>
        </w:rPr>
        <w:t>Commission staff have proposed more in</w:t>
      </w:r>
      <w:r w:rsidR="00D84A09" w:rsidRPr="00467505">
        <w:rPr>
          <w:rFonts w:ascii="Book Antiqua" w:hAnsi="Book Antiqua"/>
        </w:rPr>
        <w:noBreakHyphen/>
      </w:r>
      <w:r w:rsidRPr="00467505">
        <w:rPr>
          <w:rFonts w:ascii="Book Antiqua" w:hAnsi="Book Antiqua"/>
        </w:rPr>
        <w:t xml:space="preserve">depth analysis of the existing natural gas fleet in an ALJ ruling issued February 11, 2019 in this proceeding, for the next cycle of IRP. </w:t>
      </w:r>
      <w:r w:rsidR="00C961F7" w:rsidRPr="00467505">
        <w:rPr>
          <w:rFonts w:ascii="Book Antiqua" w:hAnsi="Book Antiqua"/>
        </w:rPr>
        <w:t xml:space="preserve"> </w:t>
      </w:r>
      <w:r w:rsidRPr="00467505">
        <w:rPr>
          <w:rFonts w:ascii="Book Antiqua" w:hAnsi="Book Antiqua"/>
        </w:rPr>
        <w:t xml:space="preserve">But in the meantime, SCE’s modeling </w:t>
      </w:r>
      <w:r w:rsidR="000F47A3" w:rsidRPr="00467505">
        <w:rPr>
          <w:rFonts w:ascii="Book Antiqua" w:hAnsi="Book Antiqua"/>
        </w:rPr>
        <w:t xml:space="preserve">presented in their January 31, 2019 comments </w:t>
      </w:r>
      <w:r w:rsidR="00ED6041" w:rsidRPr="00467505">
        <w:rPr>
          <w:rFonts w:ascii="Book Antiqua" w:hAnsi="Book Antiqua"/>
        </w:rPr>
        <w:t>tested a portfolio similar to the RSP</w:t>
      </w:r>
      <w:r w:rsidR="0033659F">
        <w:rPr>
          <w:rFonts w:ascii="Book Antiqua" w:hAnsi="Book Antiqua"/>
        </w:rPr>
        <w:t xml:space="preserve"> with 2017 IEPR assumptions</w:t>
      </w:r>
      <w:r w:rsidR="00ED6041" w:rsidRPr="00467505">
        <w:rPr>
          <w:rFonts w:ascii="Book Antiqua" w:hAnsi="Book Antiqua"/>
        </w:rPr>
        <w:t>, but including the assumption that fossil</w:t>
      </w:r>
      <w:r w:rsidR="00D84A09" w:rsidRPr="00467505">
        <w:rPr>
          <w:rFonts w:ascii="Book Antiqua" w:hAnsi="Book Antiqua"/>
        </w:rPr>
        <w:noBreakHyphen/>
      </w:r>
      <w:r w:rsidR="00ED6041" w:rsidRPr="00467505">
        <w:rPr>
          <w:rFonts w:ascii="Book Antiqua" w:hAnsi="Book Antiqua"/>
        </w:rPr>
        <w:t>fueled units retire after a 40</w:t>
      </w:r>
      <w:r w:rsidR="00D84A09" w:rsidRPr="00467505">
        <w:rPr>
          <w:rFonts w:ascii="Book Antiqua" w:hAnsi="Book Antiqua"/>
        </w:rPr>
        <w:noBreakHyphen/>
      </w:r>
      <w:r w:rsidR="00ED6041" w:rsidRPr="00467505">
        <w:rPr>
          <w:rFonts w:ascii="Book Antiqua" w:hAnsi="Book Antiqua"/>
        </w:rPr>
        <w:t>year</w:t>
      </w:r>
      <w:r w:rsidR="00D84A09" w:rsidRPr="00467505">
        <w:rPr>
          <w:rFonts w:ascii="Book Antiqua" w:hAnsi="Book Antiqua"/>
        </w:rPr>
        <w:noBreakHyphen/>
      </w:r>
      <w:r w:rsidR="00ED6041" w:rsidRPr="00467505">
        <w:rPr>
          <w:rFonts w:ascii="Book Antiqua" w:hAnsi="Book Antiqua"/>
        </w:rPr>
        <w:t xml:space="preserve">life. </w:t>
      </w:r>
    </w:p>
    <w:p w14:paraId="62B15DE4" w14:textId="77777777" w:rsidR="007A6DED" w:rsidRPr="00467505" w:rsidRDefault="007A6DED" w:rsidP="00152A24">
      <w:pPr>
        <w:pStyle w:val="sub2"/>
        <w:rPr>
          <w:rFonts w:ascii="Book Antiqua" w:hAnsi="Book Antiqua"/>
        </w:rPr>
      </w:pPr>
      <w:r w:rsidRPr="00467505">
        <w:rPr>
          <w:rFonts w:ascii="Book Antiqua" w:hAnsi="Book Antiqua"/>
        </w:rPr>
        <w:t>A combination of SCE modeling and Commission staff analysis demonstrate that the RSP with 2017 IEPR assumptions and a 40</w:t>
      </w:r>
      <w:r w:rsidR="00D84A09" w:rsidRPr="00467505">
        <w:rPr>
          <w:rFonts w:ascii="Book Antiqua" w:hAnsi="Book Antiqua"/>
        </w:rPr>
        <w:noBreakHyphen/>
      </w:r>
      <w:r w:rsidRPr="00467505">
        <w:rPr>
          <w:rFonts w:ascii="Book Antiqua" w:hAnsi="Book Antiqua"/>
        </w:rPr>
        <w:t>year fossil</w:t>
      </w:r>
      <w:r w:rsidR="00D84A09" w:rsidRPr="00467505">
        <w:rPr>
          <w:rFonts w:ascii="Book Antiqua" w:hAnsi="Book Antiqua"/>
        </w:rPr>
        <w:noBreakHyphen/>
      </w:r>
      <w:r w:rsidRPr="00467505">
        <w:rPr>
          <w:rFonts w:ascii="Book Antiqua" w:hAnsi="Book Antiqua"/>
        </w:rPr>
        <w:t xml:space="preserve">fueled resource retirement assumption is a viable option for adoption as the PSP. </w:t>
      </w:r>
      <w:r w:rsidR="00C961F7" w:rsidRPr="00467505">
        <w:rPr>
          <w:rFonts w:ascii="Book Antiqua" w:hAnsi="Book Antiqua"/>
        </w:rPr>
        <w:t xml:space="preserve"> </w:t>
      </w:r>
      <w:r w:rsidRPr="00467505">
        <w:rPr>
          <w:rFonts w:ascii="Book Antiqua" w:hAnsi="Book Antiqua"/>
        </w:rPr>
        <w:t xml:space="preserve">Such a portfolio is likely reliable and will result in lower GHG emissions than the HCP. </w:t>
      </w:r>
    </w:p>
    <w:p w14:paraId="496BD53C" w14:textId="77777777" w:rsidR="007A6DED" w:rsidRPr="00467505" w:rsidRDefault="007A6DED" w:rsidP="00152A24">
      <w:pPr>
        <w:pStyle w:val="sub2"/>
        <w:rPr>
          <w:rFonts w:ascii="Book Antiqua" w:hAnsi="Book Antiqua"/>
        </w:rPr>
      </w:pPr>
      <w:r w:rsidRPr="00467505">
        <w:rPr>
          <w:rFonts w:ascii="Book Antiqua" w:hAnsi="Book Antiqua"/>
        </w:rPr>
        <w:t xml:space="preserve">On the issue of reliability, </w:t>
      </w:r>
      <w:r w:rsidR="00B51E52" w:rsidRPr="00467505">
        <w:rPr>
          <w:rFonts w:ascii="Book Antiqua" w:hAnsi="Book Antiqua"/>
        </w:rPr>
        <w:t>though such a portfolio was not</w:t>
      </w:r>
      <w:r w:rsidR="00D70B9A">
        <w:rPr>
          <w:rFonts w:ascii="Book Antiqua" w:hAnsi="Book Antiqua"/>
        </w:rPr>
        <w:t xml:space="preserve"> run through a production cost</w:t>
      </w:r>
      <w:r w:rsidR="00B51E52" w:rsidRPr="00467505">
        <w:rPr>
          <w:rFonts w:ascii="Book Antiqua" w:hAnsi="Book Antiqua"/>
        </w:rPr>
        <w:t xml:space="preserve"> model by Commission staff, </w:t>
      </w:r>
      <w:r w:rsidRPr="00467505">
        <w:rPr>
          <w:rFonts w:ascii="Book Antiqua" w:hAnsi="Book Antiqua"/>
        </w:rPr>
        <w:t xml:space="preserve">the portfolio can be inferred to be reliable based on the following </w:t>
      </w:r>
      <w:r w:rsidR="006B70F2" w:rsidRPr="00467505">
        <w:rPr>
          <w:rFonts w:ascii="Book Antiqua" w:hAnsi="Book Antiqua"/>
        </w:rPr>
        <w:t xml:space="preserve">modeling results. </w:t>
      </w:r>
      <w:r w:rsidR="00C961F7" w:rsidRPr="00467505">
        <w:rPr>
          <w:rFonts w:ascii="Book Antiqua" w:hAnsi="Book Antiqua"/>
        </w:rPr>
        <w:t xml:space="preserve"> </w:t>
      </w:r>
      <w:r w:rsidR="006B70F2" w:rsidRPr="00467505">
        <w:rPr>
          <w:rFonts w:ascii="Book Antiqua" w:hAnsi="Book Antiqua"/>
        </w:rPr>
        <w:t>First, in the September 24, 2018 ALJ ruling, Commission staff presented operational results from SERVM for the RSP with the 2017 IEPR assumptions (though not including the 40</w:t>
      </w:r>
      <w:r w:rsidR="00D84A09" w:rsidRPr="00467505">
        <w:rPr>
          <w:rFonts w:ascii="Book Antiqua" w:hAnsi="Book Antiqua"/>
        </w:rPr>
        <w:noBreakHyphen/>
      </w:r>
      <w:r w:rsidR="006B70F2" w:rsidRPr="00467505">
        <w:rPr>
          <w:rFonts w:ascii="Book Antiqua" w:hAnsi="Book Antiqua"/>
        </w:rPr>
        <w:t>year retirement assumption), as well as additional reliability results also including fossil retirement well in excess of just a 40</w:t>
      </w:r>
      <w:r w:rsidR="00D84A09" w:rsidRPr="00467505">
        <w:rPr>
          <w:rFonts w:ascii="Book Antiqua" w:hAnsi="Book Antiqua"/>
        </w:rPr>
        <w:noBreakHyphen/>
      </w:r>
      <w:r w:rsidR="006B70F2" w:rsidRPr="00467505">
        <w:rPr>
          <w:rFonts w:ascii="Book Antiqua" w:hAnsi="Book Antiqua"/>
        </w:rPr>
        <w:t>year age</w:t>
      </w:r>
      <w:r w:rsidR="00D84A09" w:rsidRPr="00467505">
        <w:rPr>
          <w:rFonts w:ascii="Book Antiqua" w:hAnsi="Book Antiqua"/>
        </w:rPr>
        <w:noBreakHyphen/>
      </w:r>
      <w:r w:rsidR="006B70F2" w:rsidRPr="00467505">
        <w:rPr>
          <w:rFonts w:ascii="Book Antiqua" w:hAnsi="Book Antiqua"/>
        </w:rPr>
        <w:t xml:space="preserve">based retirement assumption (this was the “calibrated LOLE study” in that ruling). </w:t>
      </w:r>
      <w:r w:rsidR="00C961F7" w:rsidRPr="00467505">
        <w:rPr>
          <w:rFonts w:ascii="Book Antiqua" w:hAnsi="Book Antiqua"/>
        </w:rPr>
        <w:t xml:space="preserve"> </w:t>
      </w:r>
      <w:r w:rsidR="006B70F2" w:rsidRPr="00467505">
        <w:rPr>
          <w:rFonts w:ascii="Book Antiqua" w:hAnsi="Book Antiqua"/>
        </w:rPr>
        <w:t>Given that these two scenarios resulted in acceptable reliability, it can be inferred that a study of the RSP, with 2017 IEPR assumptions and the 40</w:t>
      </w:r>
      <w:r w:rsidR="00D84A09" w:rsidRPr="00467505">
        <w:rPr>
          <w:rFonts w:ascii="Book Antiqua" w:hAnsi="Book Antiqua"/>
        </w:rPr>
        <w:noBreakHyphen/>
      </w:r>
      <w:r w:rsidR="006B70F2" w:rsidRPr="00467505">
        <w:rPr>
          <w:rFonts w:ascii="Book Antiqua" w:hAnsi="Book Antiqua"/>
        </w:rPr>
        <w:t>year age</w:t>
      </w:r>
      <w:r w:rsidR="00D84A09" w:rsidRPr="00467505">
        <w:rPr>
          <w:rFonts w:ascii="Book Antiqua" w:hAnsi="Book Antiqua"/>
        </w:rPr>
        <w:noBreakHyphen/>
      </w:r>
      <w:r w:rsidR="006B70F2" w:rsidRPr="00467505">
        <w:rPr>
          <w:rFonts w:ascii="Book Antiqua" w:hAnsi="Book Antiqua"/>
        </w:rPr>
        <w:t>based retirement assumption</w:t>
      </w:r>
      <w:r w:rsidR="00B80D45" w:rsidRPr="00467505">
        <w:rPr>
          <w:rFonts w:ascii="Book Antiqua" w:hAnsi="Book Antiqua"/>
        </w:rPr>
        <w:t>,</w:t>
      </w:r>
      <w:r w:rsidR="006B70F2" w:rsidRPr="00467505">
        <w:rPr>
          <w:rFonts w:ascii="Book Antiqua" w:hAnsi="Book Antiqua"/>
        </w:rPr>
        <w:t xml:space="preserve"> would yield acceptable system reliability results. </w:t>
      </w:r>
    </w:p>
    <w:p w14:paraId="48E03DBB" w14:textId="77777777" w:rsidR="005D7C1C" w:rsidRDefault="00395EF1" w:rsidP="005D7C1C">
      <w:pPr>
        <w:pStyle w:val="sub2"/>
        <w:rPr>
          <w:rFonts w:ascii="Book Antiqua" w:hAnsi="Book Antiqua"/>
        </w:rPr>
      </w:pPr>
      <w:r w:rsidRPr="00467505">
        <w:rPr>
          <w:rFonts w:ascii="Book Antiqua" w:hAnsi="Book Antiqua"/>
        </w:rPr>
        <w:t xml:space="preserve">In addition, in the workshop on January 7, 2019 and subsequent comments on January 31, 2019, SCE presented a </w:t>
      </w:r>
      <w:r w:rsidRPr="00D07949">
        <w:rPr>
          <w:rFonts w:ascii="Book Antiqua" w:hAnsi="Book Antiqua"/>
        </w:rPr>
        <w:t>PLEXOS</w:t>
      </w:r>
      <w:r w:rsidR="007B4AA3">
        <w:rPr>
          <w:rFonts w:ascii="Book Antiqua" w:hAnsi="Book Antiqua"/>
        </w:rPr>
        <w:t xml:space="preserve"> </w:t>
      </w:r>
      <w:r w:rsidRPr="00467505">
        <w:rPr>
          <w:rFonts w:ascii="Book Antiqua" w:hAnsi="Book Antiqua"/>
        </w:rPr>
        <w:t>model assessment of operational and system reliability of the RSP with 2017 IEPR assumptions and a 40</w:t>
      </w:r>
      <w:r w:rsidR="00D84A09" w:rsidRPr="00467505">
        <w:rPr>
          <w:rFonts w:ascii="Book Antiqua" w:hAnsi="Book Antiqua"/>
        </w:rPr>
        <w:noBreakHyphen/>
      </w:r>
      <w:r w:rsidRPr="00467505">
        <w:rPr>
          <w:rFonts w:ascii="Book Antiqua" w:hAnsi="Book Antiqua"/>
        </w:rPr>
        <w:t xml:space="preserve">year retirement assumption, demonstrating that this system would be operable and reliable at the system level. </w:t>
      </w:r>
    </w:p>
    <w:p w14:paraId="53027C6B" w14:textId="77777777" w:rsidR="000F3E07" w:rsidRPr="00467505" w:rsidRDefault="00EB0F67" w:rsidP="00152A24">
      <w:pPr>
        <w:pStyle w:val="sub2"/>
        <w:rPr>
          <w:rFonts w:ascii="Book Antiqua" w:hAnsi="Book Antiqua"/>
        </w:rPr>
      </w:pPr>
      <w:r w:rsidRPr="00467505">
        <w:rPr>
          <w:rFonts w:ascii="Book Antiqua" w:hAnsi="Book Antiqua"/>
        </w:rPr>
        <w:t xml:space="preserve">Turning to </w:t>
      </w:r>
      <w:r w:rsidR="00B52130" w:rsidRPr="00467505">
        <w:rPr>
          <w:rFonts w:ascii="Book Antiqua" w:hAnsi="Book Antiqua"/>
        </w:rPr>
        <w:t xml:space="preserve">the differences between the portfolios in terms of </w:t>
      </w:r>
      <w:r w:rsidRPr="00467505">
        <w:rPr>
          <w:rFonts w:ascii="Book Antiqua" w:hAnsi="Book Antiqua"/>
        </w:rPr>
        <w:t xml:space="preserve">resource selection, </w:t>
      </w:r>
      <w:r w:rsidR="000F3E07" w:rsidRPr="00467505">
        <w:rPr>
          <w:rFonts w:ascii="Book Antiqua" w:hAnsi="Book Antiqua"/>
        </w:rPr>
        <w:t>there are several significant differences between the HCP and a portfolio based on the RSP, with 2017 IEPR assumptions and a 40</w:t>
      </w:r>
      <w:r w:rsidR="00D84A09" w:rsidRPr="00467505">
        <w:rPr>
          <w:rFonts w:ascii="Book Antiqua" w:hAnsi="Book Antiqua"/>
        </w:rPr>
        <w:noBreakHyphen/>
      </w:r>
      <w:r w:rsidR="000F3E07" w:rsidRPr="00467505">
        <w:rPr>
          <w:rFonts w:ascii="Book Antiqua" w:hAnsi="Book Antiqua"/>
        </w:rPr>
        <w:t>year fossil</w:t>
      </w:r>
      <w:r w:rsidR="00D84A09" w:rsidRPr="00467505">
        <w:rPr>
          <w:rFonts w:ascii="Book Antiqua" w:hAnsi="Book Antiqua"/>
        </w:rPr>
        <w:noBreakHyphen/>
      </w:r>
      <w:r w:rsidR="000F3E07" w:rsidRPr="00467505">
        <w:rPr>
          <w:rFonts w:ascii="Book Antiqua" w:hAnsi="Book Antiqua"/>
        </w:rPr>
        <w:t xml:space="preserve">fueled </w:t>
      </w:r>
      <w:r w:rsidR="0033659F">
        <w:rPr>
          <w:rFonts w:ascii="Book Antiqua" w:hAnsi="Book Antiqua"/>
        </w:rPr>
        <w:t xml:space="preserve">resource </w:t>
      </w:r>
      <w:r w:rsidR="000F3E07" w:rsidRPr="00467505">
        <w:rPr>
          <w:rFonts w:ascii="Book Antiqua" w:hAnsi="Book Antiqua"/>
        </w:rPr>
        <w:t>retirement assumption.</w:t>
      </w:r>
      <w:r w:rsidR="00C961F7" w:rsidRPr="00467505">
        <w:rPr>
          <w:rFonts w:ascii="Book Antiqua" w:hAnsi="Book Antiqua"/>
        </w:rPr>
        <w:t xml:space="preserve"> </w:t>
      </w:r>
      <w:r w:rsidR="000F3E07" w:rsidRPr="00467505">
        <w:rPr>
          <w:rFonts w:ascii="Book Antiqua" w:hAnsi="Book Antiqua"/>
        </w:rPr>
        <w:t xml:space="preserve"> </w:t>
      </w:r>
      <w:r w:rsidR="009F3FBF" w:rsidRPr="00467505">
        <w:rPr>
          <w:rFonts w:ascii="Book Antiqua" w:hAnsi="Book Antiqua"/>
        </w:rPr>
        <w:t xml:space="preserve">Some of the notable </w:t>
      </w:r>
      <w:r w:rsidR="00B52130" w:rsidRPr="00467505">
        <w:rPr>
          <w:rFonts w:ascii="Book Antiqua" w:hAnsi="Book Antiqua"/>
        </w:rPr>
        <w:t>differences in terms of new resources selected</w:t>
      </w:r>
      <w:r w:rsidR="009F3FBF" w:rsidRPr="00467505">
        <w:rPr>
          <w:rFonts w:ascii="Book Antiqua" w:hAnsi="Book Antiqua"/>
        </w:rPr>
        <w:t xml:space="preserve"> are the following:</w:t>
      </w:r>
    </w:p>
    <w:p w14:paraId="216BFC93" w14:textId="77777777" w:rsidR="009F3FBF" w:rsidRPr="00467505" w:rsidRDefault="009F3FBF" w:rsidP="00C8182B">
      <w:pPr>
        <w:pStyle w:val="sub2"/>
        <w:numPr>
          <w:ilvl w:val="0"/>
          <w:numId w:val="12"/>
        </w:numPr>
        <w:spacing w:after="160" w:line="240" w:lineRule="auto"/>
        <w:ind w:right="720"/>
        <w:rPr>
          <w:rFonts w:ascii="Book Antiqua" w:hAnsi="Book Antiqua"/>
        </w:rPr>
      </w:pPr>
      <w:r w:rsidRPr="00467505">
        <w:rPr>
          <w:rFonts w:ascii="Book Antiqua" w:hAnsi="Book Antiqua"/>
        </w:rPr>
        <w:t>The HCP has less geothermal energy than the RSP</w:t>
      </w:r>
      <w:r w:rsidR="0033659F">
        <w:rPr>
          <w:rFonts w:ascii="Book Antiqua" w:hAnsi="Book Antiqua"/>
        </w:rPr>
        <w:t xml:space="preserve"> with 2017 IEPR assumptions</w:t>
      </w:r>
      <w:r w:rsidRPr="00467505">
        <w:rPr>
          <w:rFonts w:ascii="Book Antiqua" w:hAnsi="Book Antiqua"/>
        </w:rPr>
        <w:t>, resulting in less high capacity factor renewable energy</w:t>
      </w:r>
      <w:r w:rsidR="00103323" w:rsidRPr="00467505">
        <w:rPr>
          <w:rFonts w:ascii="Book Antiqua" w:hAnsi="Book Antiqua"/>
        </w:rPr>
        <w:t>.</w:t>
      </w:r>
    </w:p>
    <w:p w14:paraId="46C555DD" w14:textId="77777777" w:rsidR="009F3FBF" w:rsidRPr="00467505" w:rsidRDefault="009F3FBF" w:rsidP="00C8182B">
      <w:pPr>
        <w:pStyle w:val="sub2"/>
        <w:numPr>
          <w:ilvl w:val="0"/>
          <w:numId w:val="12"/>
        </w:numPr>
        <w:spacing w:after="160" w:line="240" w:lineRule="auto"/>
        <w:ind w:right="720"/>
        <w:rPr>
          <w:rFonts w:ascii="Book Antiqua" w:hAnsi="Book Antiqua"/>
        </w:rPr>
      </w:pPr>
      <w:r w:rsidRPr="00467505">
        <w:rPr>
          <w:rFonts w:ascii="Book Antiqua" w:hAnsi="Book Antiqua"/>
        </w:rPr>
        <w:t>The HCP has more renewable capacity but produces less renewable energy than the RSP</w:t>
      </w:r>
      <w:r w:rsidR="0033659F">
        <w:rPr>
          <w:rFonts w:ascii="Book Antiqua" w:hAnsi="Book Antiqua"/>
        </w:rPr>
        <w:t xml:space="preserve"> with 2017 IEPR assumptions</w:t>
      </w:r>
      <w:r w:rsidR="00103323" w:rsidRPr="00467505">
        <w:rPr>
          <w:rFonts w:ascii="Book Antiqua" w:hAnsi="Book Antiqua"/>
        </w:rPr>
        <w:t xml:space="preserve">, </w:t>
      </w:r>
      <w:r w:rsidR="001A0F7D">
        <w:rPr>
          <w:rFonts w:ascii="Book Antiqua" w:hAnsi="Book Antiqua"/>
        </w:rPr>
        <w:t xml:space="preserve">due to the particular resource selection by LSEs, </w:t>
      </w:r>
      <w:r w:rsidR="00103323" w:rsidRPr="00467505">
        <w:rPr>
          <w:rFonts w:ascii="Book Antiqua" w:hAnsi="Book Antiqua"/>
        </w:rPr>
        <w:t>which is contrary to environmental goals.</w:t>
      </w:r>
    </w:p>
    <w:p w14:paraId="1B7BDD8C" w14:textId="77777777" w:rsidR="009905DF" w:rsidRPr="00467505" w:rsidRDefault="009F3FBF" w:rsidP="00C8182B">
      <w:pPr>
        <w:pStyle w:val="sub2"/>
        <w:numPr>
          <w:ilvl w:val="0"/>
          <w:numId w:val="12"/>
        </w:numPr>
        <w:spacing w:after="160" w:line="240" w:lineRule="auto"/>
        <w:ind w:right="720"/>
        <w:rPr>
          <w:rFonts w:ascii="Book Antiqua" w:hAnsi="Book Antiqua"/>
        </w:rPr>
      </w:pPr>
      <w:r w:rsidRPr="00467505">
        <w:rPr>
          <w:rFonts w:ascii="Book Antiqua" w:hAnsi="Book Antiqua"/>
        </w:rPr>
        <w:t>The HCP contains longer duration batteries but less capacity overall than the RSP</w:t>
      </w:r>
      <w:r w:rsidR="0033659F">
        <w:rPr>
          <w:rFonts w:ascii="Book Antiqua" w:hAnsi="Book Antiqua"/>
        </w:rPr>
        <w:t xml:space="preserve"> with 2017 IEPR assumptions</w:t>
      </w:r>
      <w:r w:rsidRPr="00467505">
        <w:rPr>
          <w:rFonts w:ascii="Book Antiqua" w:hAnsi="Book Antiqua"/>
        </w:rPr>
        <w:t xml:space="preserve">. </w:t>
      </w:r>
    </w:p>
    <w:p w14:paraId="79EF0AAA" w14:textId="77777777" w:rsidR="0053720B" w:rsidRPr="00467505" w:rsidRDefault="0053720B" w:rsidP="0053720B">
      <w:pPr>
        <w:pStyle w:val="sub2"/>
        <w:rPr>
          <w:rFonts w:ascii="Book Antiqua" w:hAnsi="Book Antiqua"/>
        </w:rPr>
      </w:pPr>
      <w:r w:rsidRPr="00467505">
        <w:rPr>
          <w:rFonts w:ascii="Book Antiqua" w:hAnsi="Book Antiqua"/>
        </w:rPr>
        <w:t xml:space="preserve">Although these differences in the HCP seem largely to emanate from specific resource preferences of the LSEs, </w:t>
      </w:r>
      <w:r w:rsidR="00D70B9A">
        <w:rPr>
          <w:rFonts w:ascii="Book Antiqua" w:hAnsi="Book Antiqua"/>
        </w:rPr>
        <w:t xml:space="preserve">as indicated in their conforming portfolios, </w:t>
      </w:r>
      <w:r w:rsidRPr="00467505">
        <w:rPr>
          <w:rFonts w:ascii="Book Antiqua" w:hAnsi="Book Antiqua"/>
        </w:rPr>
        <w:t xml:space="preserve">they are not necessarily the appropriate choices </w:t>
      </w:r>
      <w:r w:rsidR="00AC3FE6" w:rsidRPr="00467505">
        <w:rPr>
          <w:rFonts w:ascii="Book Antiqua" w:hAnsi="Book Antiqua"/>
        </w:rPr>
        <w:t>to serve the overall electricity system</w:t>
      </w:r>
      <w:r w:rsidRPr="00467505">
        <w:rPr>
          <w:rFonts w:ascii="Book Antiqua" w:hAnsi="Book Antiqua"/>
        </w:rPr>
        <w:t>, from a reliability</w:t>
      </w:r>
      <w:r w:rsidR="00A94B60" w:rsidRPr="00467505">
        <w:rPr>
          <w:rFonts w:ascii="Book Antiqua" w:hAnsi="Book Antiqua"/>
        </w:rPr>
        <w:t>,</w:t>
      </w:r>
      <w:r w:rsidRPr="00467505">
        <w:rPr>
          <w:rFonts w:ascii="Book Antiqua" w:hAnsi="Book Antiqua"/>
        </w:rPr>
        <w:t xml:space="preserve"> environmental</w:t>
      </w:r>
      <w:r w:rsidR="00A94B60" w:rsidRPr="00467505">
        <w:rPr>
          <w:rFonts w:ascii="Book Antiqua" w:hAnsi="Book Antiqua"/>
        </w:rPr>
        <w:t>, or cost</w:t>
      </w:r>
      <w:r w:rsidRPr="00467505">
        <w:rPr>
          <w:rFonts w:ascii="Book Antiqua" w:hAnsi="Book Antiqua"/>
        </w:rPr>
        <w:t xml:space="preserve"> perspective. </w:t>
      </w:r>
      <w:r w:rsidR="00C8182B" w:rsidRPr="00467505">
        <w:rPr>
          <w:rFonts w:ascii="Book Antiqua" w:hAnsi="Book Antiqua"/>
        </w:rPr>
        <w:t xml:space="preserve"> </w:t>
      </w:r>
      <w:r w:rsidR="00302C0A" w:rsidRPr="00467505">
        <w:rPr>
          <w:rFonts w:ascii="Book Antiqua" w:hAnsi="Book Antiqua"/>
        </w:rPr>
        <w:t>Thus, we still prefer the resource mix associated with the RSP adopted in D.18</w:t>
      </w:r>
      <w:r w:rsidR="00D84A09" w:rsidRPr="00467505">
        <w:rPr>
          <w:rFonts w:ascii="Book Antiqua" w:hAnsi="Book Antiqua"/>
        </w:rPr>
        <w:noBreakHyphen/>
      </w:r>
      <w:r w:rsidR="00302C0A" w:rsidRPr="00467505">
        <w:rPr>
          <w:rFonts w:ascii="Book Antiqua" w:hAnsi="Book Antiqua"/>
        </w:rPr>
        <w:t>02</w:t>
      </w:r>
      <w:r w:rsidR="00D84A09" w:rsidRPr="00467505">
        <w:rPr>
          <w:rFonts w:ascii="Book Antiqua" w:hAnsi="Book Antiqua"/>
        </w:rPr>
        <w:noBreakHyphen/>
      </w:r>
      <w:r w:rsidR="00302C0A" w:rsidRPr="00467505">
        <w:rPr>
          <w:rFonts w:ascii="Book Antiqua" w:hAnsi="Book Antiqua"/>
        </w:rPr>
        <w:t>018, as adjusted with the 2017 IEPR assumptions</w:t>
      </w:r>
      <w:r w:rsidR="001A0F7D">
        <w:rPr>
          <w:rFonts w:ascii="Book Antiqua" w:hAnsi="Book Antiqua"/>
        </w:rPr>
        <w:t xml:space="preserve"> and the 40-year life assumption for fossil-fueled resources</w:t>
      </w:r>
      <w:r w:rsidR="00302C0A" w:rsidRPr="00467505">
        <w:rPr>
          <w:rFonts w:ascii="Book Antiqua" w:hAnsi="Book Antiqua"/>
        </w:rPr>
        <w:t xml:space="preserve">. </w:t>
      </w:r>
    </w:p>
    <w:p w14:paraId="592FF530" w14:textId="7E720402" w:rsidR="00DC162D" w:rsidRDefault="00302C0A" w:rsidP="00DC162D">
      <w:pPr>
        <w:pStyle w:val="sub2"/>
        <w:rPr>
          <w:rFonts w:ascii="Book Antiqua" w:hAnsi="Book Antiqua"/>
        </w:rPr>
      </w:pPr>
      <w:r w:rsidRPr="00467505">
        <w:rPr>
          <w:rFonts w:ascii="Book Antiqua" w:hAnsi="Book Antiqua"/>
        </w:rPr>
        <w:t>One other adjustment that Commission staff have made to all of the portfolios being discussed in this decision, subsequent to the analysis released in the January 11, 2019 ALJ ruling with PSP recommendations</w:t>
      </w:r>
      <w:r w:rsidR="00F406A7" w:rsidRPr="00467505">
        <w:rPr>
          <w:rFonts w:ascii="Book Antiqua" w:hAnsi="Book Antiqua"/>
        </w:rPr>
        <w:t>,</w:t>
      </w:r>
      <w:r w:rsidRPr="00467505">
        <w:rPr>
          <w:rFonts w:ascii="Book Antiqua" w:hAnsi="Book Antiqua"/>
        </w:rPr>
        <w:t xml:space="preserve"> is </w:t>
      </w:r>
      <w:r w:rsidR="00460FCC">
        <w:rPr>
          <w:rFonts w:ascii="Book Antiqua" w:hAnsi="Book Antiqua"/>
        </w:rPr>
        <w:t xml:space="preserve">to incorporate updated information </w:t>
      </w:r>
      <w:r w:rsidRPr="00467505">
        <w:rPr>
          <w:rFonts w:ascii="Book Antiqua" w:hAnsi="Book Antiqua"/>
        </w:rPr>
        <w:t>from the CAISO</w:t>
      </w:r>
      <w:r w:rsidR="00460FCC">
        <w:rPr>
          <w:rFonts w:ascii="Book Antiqua" w:hAnsi="Book Antiqua"/>
        </w:rPr>
        <w:t xml:space="preserve"> about transmission capability available to interconnect new resources</w:t>
      </w:r>
      <w:r w:rsidRPr="00467505">
        <w:rPr>
          <w:rFonts w:ascii="Book Antiqua" w:hAnsi="Book Antiqua"/>
        </w:rPr>
        <w:t>.</w:t>
      </w:r>
      <w:r w:rsidR="00460FCC">
        <w:rPr>
          <w:rFonts w:ascii="Book Antiqua" w:hAnsi="Book Antiqua"/>
        </w:rPr>
        <w:t xml:space="preserve">  The CAISO provided this updated information informally to Commission staff in January 2019. </w:t>
      </w:r>
      <w:r w:rsidR="00A52514">
        <w:rPr>
          <w:rFonts w:ascii="Book Antiqua" w:hAnsi="Book Antiqua"/>
        </w:rPr>
        <w:t xml:space="preserve"> </w:t>
      </w:r>
      <w:r w:rsidR="00460FCC">
        <w:rPr>
          <w:rFonts w:ascii="Book Antiqua" w:hAnsi="Book Antiqua"/>
        </w:rPr>
        <w:t>Commission staff used it to inform the final portfolios to be adopted for the PSP and recommended for study in the CAISO’s 2019-20 TPP.  Specifically, the updated information was used during the allocation of IRP portfolios to transmission substations (to facilitate power-flow analysis) and to re-optimize portfolio selection in the RESOLVE model (for the policy-driven sensitivity cases for analysis in the TPP only, discussed later in this decision).</w:t>
      </w:r>
    </w:p>
    <w:p w14:paraId="1FDE1499" w14:textId="7DC2E327" w:rsidR="00DC162D" w:rsidRDefault="00DC162D" w:rsidP="00DC162D">
      <w:pPr>
        <w:pStyle w:val="sub2"/>
        <w:rPr>
          <w:rFonts w:ascii="Book Antiqua" w:hAnsi="Book Antiqua"/>
        </w:rPr>
      </w:pPr>
      <w:r>
        <w:rPr>
          <w:rFonts w:ascii="Book Antiqua" w:hAnsi="Book Antiqua"/>
        </w:rPr>
        <w:t xml:space="preserve">The updated transmission capability information was based on results from the CAISO’s Generation Interconnection Deliverability Allocation Procedures (GIDAP) studies and the CAISO’s 2018-19 TPP studies. </w:t>
      </w:r>
      <w:r w:rsidR="0066676F">
        <w:rPr>
          <w:rFonts w:ascii="Book Antiqua" w:hAnsi="Book Antiqua"/>
        </w:rPr>
        <w:t xml:space="preserve"> </w:t>
      </w:r>
      <w:r>
        <w:rPr>
          <w:rFonts w:ascii="Book Antiqua" w:hAnsi="Book Antiqua"/>
        </w:rPr>
        <w:t xml:space="preserve">As part of the GIDAP studies, the CAISO conducts a detailed deliverability assessment of active generation in the CAISO’s interconnection queue clusters. </w:t>
      </w:r>
      <w:r w:rsidR="0066676F">
        <w:rPr>
          <w:rFonts w:ascii="Book Antiqua" w:hAnsi="Book Antiqua"/>
        </w:rPr>
        <w:t xml:space="preserve"> </w:t>
      </w:r>
      <w:r>
        <w:rPr>
          <w:rFonts w:ascii="Book Antiqua" w:hAnsi="Book Antiqua"/>
        </w:rPr>
        <w:t xml:space="preserve">In each TPP study cycle, the CAISO conducts studies that assess whether transmission upgrades or other measures are needed to meet reliability standards, </w:t>
      </w:r>
      <w:r w:rsidR="00AB6341">
        <w:rPr>
          <w:rFonts w:ascii="Book Antiqua" w:hAnsi="Book Antiqua"/>
        </w:rPr>
        <w:t xml:space="preserve">as well as address </w:t>
      </w:r>
      <w:r>
        <w:rPr>
          <w:rFonts w:ascii="Book Antiqua" w:hAnsi="Book Antiqua"/>
        </w:rPr>
        <w:t xml:space="preserve">policy and economic considerations. </w:t>
      </w:r>
      <w:r w:rsidR="0066676F">
        <w:rPr>
          <w:rFonts w:ascii="Book Antiqua" w:hAnsi="Book Antiqua"/>
        </w:rPr>
        <w:t xml:space="preserve"> </w:t>
      </w:r>
      <w:r w:rsidR="00AB6341">
        <w:rPr>
          <w:rFonts w:ascii="Book Antiqua" w:hAnsi="Book Antiqua"/>
        </w:rPr>
        <w:t xml:space="preserve">Together, these studies provide estimates of the transmission capability </w:t>
      </w:r>
      <w:r w:rsidR="00D5275A">
        <w:rPr>
          <w:rFonts w:ascii="Book Antiqua" w:hAnsi="Book Antiqua"/>
        </w:rPr>
        <w:t>available to interconnect new resources with full capacity deliverability status or energy-only deliverability status in various transmission-constrained areas in the CAISO-controlled grid, as well as the scope and cost estimates for conceptual upgrades to increase the estimated transmission capability in these areas.</w:t>
      </w:r>
    </w:p>
    <w:p w14:paraId="25C8E31D" w14:textId="164B89CC" w:rsidR="00302C0A" w:rsidRDefault="00D5275A" w:rsidP="00D5275A">
      <w:pPr>
        <w:pStyle w:val="sub2"/>
        <w:rPr>
          <w:rFonts w:ascii="Book Antiqua" w:hAnsi="Book Antiqua"/>
        </w:rPr>
      </w:pPr>
      <w:r>
        <w:rPr>
          <w:rFonts w:ascii="Book Antiqua" w:hAnsi="Book Antiqua"/>
        </w:rPr>
        <w:t>GIDAP studies are the primary source for the estimation of transmission capability because the capacity amounts in the interconnection queue in most study areas tend to be higher than the amounts in the corresponding renewable zones in TPP portfolios.</w:t>
      </w:r>
      <w:r w:rsidR="0066676F">
        <w:rPr>
          <w:rFonts w:ascii="Book Antiqua" w:hAnsi="Book Antiqua"/>
        </w:rPr>
        <w:t xml:space="preserve"> </w:t>
      </w:r>
      <w:r>
        <w:rPr>
          <w:rFonts w:ascii="Book Antiqua" w:hAnsi="Book Antiqua"/>
        </w:rPr>
        <w:t xml:space="preserve"> In addition, certain 2018-19 TPP study results were not available in time to be incorporated in the Commission’s analysis to meet the schedule for portfolio transmittal to the CAISO. </w:t>
      </w:r>
      <w:r w:rsidR="0066676F">
        <w:rPr>
          <w:rFonts w:ascii="Book Antiqua" w:hAnsi="Book Antiqua"/>
        </w:rPr>
        <w:t xml:space="preserve"> </w:t>
      </w:r>
      <w:r>
        <w:rPr>
          <w:rFonts w:ascii="Book Antiqua" w:hAnsi="Book Antiqua"/>
        </w:rPr>
        <w:t xml:space="preserve">Therefore, the CAISO relied predominantly on Queue Cluster 11 Phase I studies for most renewable zones. </w:t>
      </w:r>
      <w:r w:rsidR="0066676F">
        <w:rPr>
          <w:rFonts w:ascii="Book Antiqua" w:hAnsi="Book Antiqua"/>
        </w:rPr>
        <w:t xml:space="preserve"> </w:t>
      </w:r>
      <w:r>
        <w:rPr>
          <w:rFonts w:ascii="Book Antiqua" w:hAnsi="Book Antiqua"/>
        </w:rPr>
        <w:t>Prior queue cluster studies were utilized in a few renewable zones because the amount of capacity studied in each cluster varies and sometimes earlier clusters with larger amounts of capacity can expose constraints that may not show up in the later clusters.</w:t>
      </w:r>
    </w:p>
    <w:p w14:paraId="26BD857C" w14:textId="48E310CD" w:rsidR="00D5275A" w:rsidRPr="00467505" w:rsidRDefault="00D5275A" w:rsidP="00D5275A">
      <w:pPr>
        <w:pStyle w:val="sub2"/>
        <w:rPr>
          <w:rFonts w:ascii="Book Antiqua" w:hAnsi="Book Antiqua"/>
        </w:rPr>
      </w:pPr>
      <w:r>
        <w:rPr>
          <w:rFonts w:ascii="Book Antiqua" w:hAnsi="Book Antiqua"/>
        </w:rPr>
        <w:t xml:space="preserve">We recognize that this new information came late in the process and was not included in the earlier analysis available for stakeholder vetting and commenting. </w:t>
      </w:r>
      <w:r w:rsidR="0066676F">
        <w:rPr>
          <w:rFonts w:ascii="Book Antiqua" w:hAnsi="Book Antiqua"/>
        </w:rPr>
        <w:t xml:space="preserve"> </w:t>
      </w:r>
      <w:r>
        <w:rPr>
          <w:rFonts w:ascii="Book Antiqua" w:hAnsi="Book Antiqua"/>
        </w:rPr>
        <w:t xml:space="preserve">This new transmission availability information could also have a material effect on the portfolio results in particular locations. </w:t>
      </w:r>
      <w:r w:rsidR="0066676F">
        <w:rPr>
          <w:rFonts w:ascii="Book Antiqua" w:hAnsi="Book Antiqua"/>
        </w:rPr>
        <w:t xml:space="preserve"> </w:t>
      </w:r>
      <w:r>
        <w:rPr>
          <w:rFonts w:ascii="Book Antiqua" w:hAnsi="Book Antiqua"/>
        </w:rPr>
        <w:t xml:space="preserve">This is an example of ongoing tension we face in this IRP process between the desire to utilize the most up-to-date technical information and the desire to have complete transparency in the process. </w:t>
      </w:r>
      <w:r w:rsidR="0066676F">
        <w:rPr>
          <w:rFonts w:ascii="Book Antiqua" w:hAnsi="Book Antiqua"/>
        </w:rPr>
        <w:t xml:space="preserve"> </w:t>
      </w:r>
      <w:r>
        <w:rPr>
          <w:rFonts w:ascii="Book Antiqua" w:hAnsi="Book Antiqua"/>
        </w:rPr>
        <w:t xml:space="preserve">While we are confident that the information provided by the CAISO is the most accurate and up-to-date technical information for this IRP round, we will endeavor in the future to minimize such late-stage updates to the analysis. </w:t>
      </w:r>
      <w:r w:rsidR="0066676F">
        <w:rPr>
          <w:rFonts w:ascii="Book Antiqua" w:hAnsi="Book Antiqua"/>
        </w:rPr>
        <w:t xml:space="preserve"> </w:t>
      </w:r>
      <w:r>
        <w:rPr>
          <w:rFonts w:ascii="Book Antiqua" w:hAnsi="Book Antiqua"/>
        </w:rPr>
        <w:t xml:space="preserve">In particular, we continue to work on aligning multi-agency processes so that we can minimize the need to introduce updates midstream, and instead utilize one vintage of data all the way through the analysis and conclusion of each planning cycle. </w:t>
      </w:r>
    </w:p>
    <w:p w14:paraId="4FB6B77E" w14:textId="4A085294" w:rsidR="003D5BAE" w:rsidRPr="00467505" w:rsidRDefault="003D5BAE" w:rsidP="00302C0A">
      <w:pPr>
        <w:pStyle w:val="sub2"/>
        <w:rPr>
          <w:rFonts w:ascii="Book Antiqua" w:hAnsi="Book Antiqua"/>
        </w:rPr>
      </w:pPr>
      <w:r w:rsidRPr="00467505">
        <w:rPr>
          <w:rFonts w:ascii="Book Antiqua" w:hAnsi="Book Antiqua"/>
        </w:rPr>
        <w:t xml:space="preserve">After incorporating the new transmission availability information from the CAISO, and considering the options available to use as the PSP, we elect to adopt a modified version of the Reference System </w:t>
      </w:r>
      <w:r w:rsidR="0046562E">
        <w:rPr>
          <w:rFonts w:ascii="Book Antiqua" w:hAnsi="Book Antiqua"/>
        </w:rPr>
        <w:t>Portfolio</w:t>
      </w:r>
      <w:r w:rsidRPr="00467505">
        <w:rPr>
          <w:rFonts w:ascii="Book Antiqua" w:hAnsi="Book Antiqua"/>
        </w:rPr>
        <w:t>, utilizing the 2017 IEPR assumptions and a 40</w:t>
      </w:r>
      <w:r w:rsidR="00D84A09" w:rsidRPr="00467505">
        <w:rPr>
          <w:rFonts w:ascii="Book Antiqua" w:hAnsi="Book Antiqua"/>
        </w:rPr>
        <w:noBreakHyphen/>
      </w:r>
      <w:r w:rsidRPr="00467505">
        <w:rPr>
          <w:rFonts w:ascii="Book Antiqua" w:hAnsi="Book Antiqua"/>
        </w:rPr>
        <w:t>year life for fossil</w:t>
      </w:r>
      <w:r w:rsidR="00D84A09" w:rsidRPr="00467505">
        <w:rPr>
          <w:rFonts w:ascii="Book Antiqua" w:hAnsi="Book Antiqua"/>
        </w:rPr>
        <w:noBreakHyphen/>
      </w:r>
      <w:r w:rsidRPr="00467505">
        <w:rPr>
          <w:rFonts w:ascii="Book Antiqua" w:hAnsi="Book Antiqua"/>
        </w:rPr>
        <w:t>fueled resources, as a proxy for potential retirements, until better information become</w:t>
      </w:r>
      <w:r w:rsidR="0033659F">
        <w:rPr>
          <w:rFonts w:ascii="Book Antiqua" w:hAnsi="Book Antiqua"/>
        </w:rPr>
        <w:t>s</w:t>
      </w:r>
      <w:r w:rsidRPr="00467505">
        <w:rPr>
          <w:rFonts w:ascii="Book Antiqua" w:hAnsi="Book Antiqua"/>
        </w:rPr>
        <w:t xml:space="preserve"> available in the next cycle of the IRP</w:t>
      </w:r>
      <w:r w:rsidR="0033659F">
        <w:rPr>
          <w:rFonts w:ascii="Book Antiqua" w:hAnsi="Book Antiqua"/>
        </w:rPr>
        <w:t xml:space="preserve"> process</w:t>
      </w:r>
      <w:r w:rsidRPr="00467505">
        <w:rPr>
          <w:rFonts w:ascii="Book Antiqua" w:hAnsi="Book Antiqua"/>
        </w:rPr>
        <w:t>.</w:t>
      </w:r>
      <w:r w:rsidR="007F2F58">
        <w:rPr>
          <w:rFonts w:ascii="Book Antiqua" w:hAnsi="Book Antiqua"/>
        </w:rPr>
        <w:t xml:space="preserve"> </w:t>
      </w:r>
      <w:r w:rsidR="0066676F">
        <w:rPr>
          <w:rFonts w:ascii="Book Antiqua" w:hAnsi="Book Antiqua"/>
        </w:rPr>
        <w:t xml:space="preserve"> </w:t>
      </w:r>
      <w:r w:rsidR="007F2F58">
        <w:rPr>
          <w:rFonts w:ascii="Book Antiqua" w:hAnsi="Book Antiqua"/>
        </w:rPr>
        <w:t>As stated above, our two main reasons are the uncertainty associated with the resource choices included in individual LSE IRPs, which may or may not be reflective of reality, and the need for the Commission to adopt an optimized portfolio that balances the environmental, reliability, and cost characteristics across the entire electric system – something that no individual LSE can achieve on its own.</w:t>
      </w:r>
    </w:p>
    <w:p w14:paraId="2FAA479F" w14:textId="77777777" w:rsidR="00B52130" w:rsidRDefault="00DD0C24" w:rsidP="000905E3">
      <w:pPr>
        <w:pStyle w:val="sub2"/>
        <w:rPr>
          <w:rFonts w:ascii="Book Antiqua" w:hAnsi="Book Antiqua"/>
        </w:rPr>
      </w:pPr>
      <w:r w:rsidRPr="00467505">
        <w:rPr>
          <w:rFonts w:ascii="Book Antiqua" w:hAnsi="Book Antiqua"/>
        </w:rPr>
        <w:t xml:space="preserve">Table </w:t>
      </w:r>
      <w:r w:rsidR="00072CB7" w:rsidRPr="00467505">
        <w:rPr>
          <w:rFonts w:ascii="Book Antiqua" w:hAnsi="Book Antiqua"/>
        </w:rPr>
        <w:t>3</w:t>
      </w:r>
      <w:r w:rsidRPr="00467505">
        <w:rPr>
          <w:rFonts w:ascii="Book Antiqua" w:hAnsi="Book Antiqua"/>
        </w:rPr>
        <w:t xml:space="preserve"> below details the different </w:t>
      </w:r>
      <w:r w:rsidR="00B52130" w:rsidRPr="00467505">
        <w:rPr>
          <w:rFonts w:ascii="Book Antiqua" w:hAnsi="Book Antiqua"/>
        </w:rPr>
        <w:t xml:space="preserve">new buildout results for </w:t>
      </w:r>
      <w:r w:rsidRPr="00467505">
        <w:rPr>
          <w:rFonts w:ascii="Book Antiqua" w:hAnsi="Book Antiqua"/>
        </w:rPr>
        <w:t>renewable</w:t>
      </w:r>
      <w:r w:rsidR="00B52130" w:rsidRPr="00467505">
        <w:rPr>
          <w:rFonts w:ascii="Book Antiqua" w:hAnsi="Book Antiqua"/>
        </w:rPr>
        <w:t>s</w:t>
      </w:r>
      <w:r w:rsidRPr="00467505">
        <w:rPr>
          <w:rFonts w:ascii="Book Antiqua" w:hAnsi="Book Antiqua"/>
        </w:rPr>
        <w:t xml:space="preserve"> and storage </w:t>
      </w:r>
      <w:r w:rsidR="00B52130" w:rsidRPr="00467505">
        <w:rPr>
          <w:rFonts w:ascii="Book Antiqua" w:hAnsi="Book Antiqua"/>
        </w:rPr>
        <w:t>of</w:t>
      </w:r>
      <w:r w:rsidRPr="00467505">
        <w:rPr>
          <w:rFonts w:ascii="Book Antiqua" w:hAnsi="Book Antiqua"/>
        </w:rPr>
        <w:t xml:space="preserve"> the various portfolios </w:t>
      </w:r>
      <w:r w:rsidR="00B52130" w:rsidRPr="00467505">
        <w:rPr>
          <w:rFonts w:ascii="Book Antiqua" w:hAnsi="Book Antiqua"/>
        </w:rPr>
        <w:t xml:space="preserve">analyzed. </w:t>
      </w:r>
      <w:r w:rsidR="00C961F7" w:rsidRPr="00467505">
        <w:rPr>
          <w:rFonts w:ascii="Book Antiqua" w:hAnsi="Book Antiqua"/>
        </w:rPr>
        <w:t xml:space="preserve"> </w:t>
      </w:r>
      <w:r w:rsidR="00B52130" w:rsidRPr="00467505">
        <w:rPr>
          <w:rFonts w:ascii="Book Antiqua" w:hAnsi="Book Antiqua"/>
        </w:rPr>
        <w:t xml:space="preserve">In addition to new resource buildout, the table also shows the </w:t>
      </w:r>
      <w:r w:rsidR="0033659F">
        <w:rPr>
          <w:rFonts w:ascii="Book Antiqua" w:hAnsi="Book Antiqua"/>
        </w:rPr>
        <w:t xml:space="preserve">breakout of </w:t>
      </w:r>
      <w:r w:rsidR="00B52130" w:rsidRPr="00467505">
        <w:rPr>
          <w:rFonts w:ascii="Book Antiqua" w:hAnsi="Book Antiqua"/>
        </w:rPr>
        <w:t xml:space="preserve">deliverability status </w:t>
      </w:r>
      <w:r w:rsidR="0033659F">
        <w:rPr>
          <w:rFonts w:ascii="Book Antiqua" w:hAnsi="Book Antiqua"/>
        </w:rPr>
        <w:t xml:space="preserve">(FCDS vs. EO) </w:t>
      </w:r>
      <w:r w:rsidR="00B52130" w:rsidRPr="00467505">
        <w:rPr>
          <w:rFonts w:ascii="Book Antiqua" w:hAnsi="Book Antiqua"/>
        </w:rPr>
        <w:t>for the resources</w:t>
      </w:r>
      <w:r w:rsidR="0033659F">
        <w:rPr>
          <w:rFonts w:ascii="Book Antiqua" w:hAnsi="Book Antiqua"/>
        </w:rPr>
        <w:t xml:space="preserve"> in order to highlight the differences between portfolios.  The last three columns illustrate the staff adjustments to the relative mix of FCDS vs. EO for the RSP with 2017 IEPR assumptions, to accommodate the new transmission availability information provided by the CAISO in January 2019.</w:t>
      </w:r>
    </w:p>
    <w:p w14:paraId="328A795A" w14:textId="77777777" w:rsidR="0033659F" w:rsidRPr="00467505" w:rsidRDefault="0033659F" w:rsidP="000905E3">
      <w:pPr>
        <w:pStyle w:val="sub2"/>
        <w:rPr>
          <w:rFonts w:ascii="Book Antiqua" w:hAnsi="Book Antiqua"/>
        </w:rPr>
      </w:pPr>
    </w:p>
    <w:p w14:paraId="055E3C54" w14:textId="77777777" w:rsidR="00CF6AE8" w:rsidRPr="007B4AA3" w:rsidRDefault="00CF6AE8" w:rsidP="00CF6AE8">
      <w:pPr>
        <w:pStyle w:val="Caption"/>
        <w:keepNext/>
        <w:rPr>
          <w:rFonts w:ascii="Book Antiqua" w:hAnsi="Book Antiqua"/>
          <w:color w:val="auto"/>
          <w:sz w:val="26"/>
          <w:szCs w:val="24"/>
        </w:rPr>
      </w:pPr>
      <w:r w:rsidRPr="007B4AA3">
        <w:rPr>
          <w:rFonts w:ascii="Book Antiqua" w:hAnsi="Book Antiqua"/>
          <w:color w:val="auto"/>
          <w:sz w:val="26"/>
          <w:szCs w:val="24"/>
        </w:rPr>
        <w:t xml:space="preserve">Table </w:t>
      </w:r>
      <w:r w:rsidR="00072CB7" w:rsidRPr="007B4AA3">
        <w:rPr>
          <w:rFonts w:ascii="Book Antiqua" w:hAnsi="Book Antiqua"/>
          <w:color w:val="auto"/>
          <w:sz w:val="26"/>
          <w:szCs w:val="24"/>
        </w:rPr>
        <w:t>3.</w:t>
      </w:r>
      <w:r w:rsidR="007B4AA3">
        <w:rPr>
          <w:rFonts w:ascii="Book Antiqua" w:hAnsi="Book Antiqua"/>
          <w:color w:val="auto"/>
          <w:sz w:val="26"/>
          <w:szCs w:val="24"/>
        </w:rPr>
        <w:t xml:space="preserve"> </w:t>
      </w:r>
      <w:r w:rsidR="00070E68" w:rsidRPr="007B4AA3">
        <w:rPr>
          <w:rFonts w:ascii="Book Antiqua" w:hAnsi="Book Antiqua"/>
          <w:color w:val="auto"/>
          <w:sz w:val="26"/>
          <w:szCs w:val="24"/>
        </w:rPr>
        <w:t>Comparison of New Renewable and Storage Buildout in 2030 with Different PSP Options</w:t>
      </w:r>
    </w:p>
    <w:tbl>
      <w:tblPr>
        <w:tblW w:w="0" w:type="auto"/>
        <w:jc w:val="center"/>
        <w:tblLayout w:type="fixed"/>
        <w:tblCellMar>
          <w:left w:w="0" w:type="dxa"/>
          <w:right w:w="0" w:type="dxa"/>
        </w:tblCellMar>
        <w:tblLook w:val="0600" w:firstRow="0" w:lastRow="0" w:firstColumn="0" w:lastColumn="0" w:noHBand="1" w:noVBand="1"/>
      </w:tblPr>
      <w:tblGrid>
        <w:gridCol w:w="1611"/>
        <w:gridCol w:w="810"/>
        <w:gridCol w:w="720"/>
        <w:gridCol w:w="720"/>
        <w:gridCol w:w="810"/>
        <w:gridCol w:w="900"/>
        <w:gridCol w:w="720"/>
        <w:gridCol w:w="810"/>
        <w:gridCol w:w="801"/>
        <w:gridCol w:w="900"/>
      </w:tblGrid>
      <w:tr w:rsidR="000E5097" w:rsidRPr="002727A0" w14:paraId="20205946" w14:textId="77777777" w:rsidTr="000670A3">
        <w:trPr>
          <w:trHeight w:val="722"/>
          <w:tblHeader/>
          <w:jc w:val="center"/>
        </w:trPr>
        <w:tc>
          <w:tcPr>
            <w:tcW w:w="16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B3D12B3" w14:textId="77777777" w:rsidR="009905DF" w:rsidRPr="002727A0" w:rsidRDefault="009905DF" w:rsidP="007B4AA3">
            <w:pPr>
              <w:pStyle w:val="sub2"/>
              <w:spacing w:before="60" w:after="60" w:line="240" w:lineRule="auto"/>
              <w:ind w:firstLine="0"/>
              <w:rPr>
                <w:rFonts w:ascii="Book Antiqua" w:hAnsi="Book Antiqua"/>
                <w:b/>
                <w:bCs/>
                <w:sz w:val="24"/>
                <w:szCs w:val="24"/>
              </w:rPr>
            </w:pPr>
          </w:p>
          <w:p w14:paraId="410308A3" w14:textId="77777777" w:rsidR="00CC0215" w:rsidRPr="002727A0" w:rsidRDefault="009905DF" w:rsidP="007B4AA3">
            <w:pPr>
              <w:pStyle w:val="sub2"/>
              <w:spacing w:before="60" w:after="60" w:line="240" w:lineRule="auto"/>
              <w:ind w:firstLine="0"/>
              <w:rPr>
                <w:rFonts w:ascii="Book Antiqua" w:hAnsi="Book Antiqua"/>
                <w:sz w:val="24"/>
                <w:szCs w:val="24"/>
              </w:rPr>
            </w:pPr>
            <w:r w:rsidRPr="002727A0">
              <w:rPr>
                <w:rFonts w:ascii="Book Antiqua" w:hAnsi="Book Antiqua"/>
                <w:b/>
                <w:bCs/>
                <w:sz w:val="24"/>
                <w:szCs w:val="24"/>
              </w:rPr>
              <w:t xml:space="preserve">Resource </w:t>
            </w:r>
            <w:r w:rsidR="00CC0215" w:rsidRPr="002727A0">
              <w:rPr>
                <w:rFonts w:ascii="Book Antiqua" w:hAnsi="Book Antiqua"/>
                <w:b/>
                <w:bCs/>
                <w:sz w:val="24"/>
                <w:szCs w:val="24"/>
              </w:rPr>
              <w:t xml:space="preserve">Type </w:t>
            </w:r>
          </w:p>
        </w:tc>
        <w:tc>
          <w:tcPr>
            <w:tcW w:w="22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C6F241E" w14:textId="77777777" w:rsidR="00CC0215" w:rsidRPr="002727A0" w:rsidRDefault="00CC0215" w:rsidP="007B4AA3">
            <w:pPr>
              <w:pStyle w:val="sub2"/>
              <w:spacing w:before="60" w:after="60" w:line="240" w:lineRule="auto"/>
              <w:ind w:firstLine="0"/>
              <w:rPr>
                <w:rFonts w:ascii="Book Antiqua" w:hAnsi="Book Antiqua"/>
                <w:sz w:val="24"/>
                <w:szCs w:val="24"/>
              </w:rPr>
            </w:pPr>
            <w:r w:rsidRPr="002727A0">
              <w:rPr>
                <w:rFonts w:ascii="Book Antiqua" w:hAnsi="Book Antiqua"/>
                <w:b/>
                <w:bCs/>
                <w:sz w:val="24"/>
                <w:szCs w:val="24"/>
              </w:rPr>
              <w:t>Hybrid Conforming Portfolio</w:t>
            </w:r>
            <w:r w:rsidR="00DD0C24" w:rsidRPr="002727A0">
              <w:rPr>
                <w:rFonts w:ascii="Book Antiqua" w:hAnsi="Book Antiqua"/>
                <w:b/>
                <w:bCs/>
                <w:sz w:val="24"/>
                <w:szCs w:val="24"/>
              </w:rPr>
              <w:t xml:space="preserve"> (MW)</w:t>
            </w:r>
          </w:p>
        </w:tc>
        <w:tc>
          <w:tcPr>
            <w:tcW w:w="24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EC950A4" w14:textId="77777777" w:rsidR="00CC0215" w:rsidRPr="002727A0" w:rsidRDefault="00CC0215" w:rsidP="007B4AA3">
            <w:pPr>
              <w:pStyle w:val="sub2"/>
              <w:spacing w:before="60" w:after="60" w:line="240" w:lineRule="auto"/>
              <w:ind w:firstLine="0"/>
              <w:rPr>
                <w:rFonts w:ascii="Book Antiqua" w:hAnsi="Book Antiqua"/>
                <w:sz w:val="24"/>
                <w:szCs w:val="24"/>
              </w:rPr>
            </w:pPr>
            <w:r w:rsidRPr="002727A0">
              <w:rPr>
                <w:rFonts w:ascii="Book Antiqua" w:hAnsi="Book Antiqua"/>
                <w:b/>
                <w:bCs/>
                <w:sz w:val="24"/>
                <w:szCs w:val="24"/>
              </w:rPr>
              <w:t>RSP with 2017 IEPR</w:t>
            </w:r>
            <w:r w:rsidR="00DD0C24" w:rsidRPr="002727A0">
              <w:rPr>
                <w:rFonts w:ascii="Book Antiqua" w:hAnsi="Book Antiqua"/>
                <w:b/>
                <w:bCs/>
                <w:sz w:val="24"/>
                <w:szCs w:val="24"/>
              </w:rPr>
              <w:t xml:space="preserve"> (MW)</w:t>
            </w:r>
          </w:p>
        </w:tc>
        <w:tc>
          <w:tcPr>
            <w:tcW w:w="25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C2770D4" w14:textId="77777777" w:rsidR="00CC0215" w:rsidRPr="002727A0" w:rsidRDefault="00CC0215" w:rsidP="007B4AA3">
            <w:pPr>
              <w:pStyle w:val="sub2"/>
              <w:spacing w:before="60" w:after="60" w:line="240" w:lineRule="auto"/>
              <w:ind w:firstLine="0"/>
              <w:rPr>
                <w:rFonts w:ascii="Book Antiqua" w:hAnsi="Book Antiqua"/>
                <w:sz w:val="24"/>
                <w:szCs w:val="24"/>
              </w:rPr>
            </w:pPr>
            <w:r w:rsidRPr="002727A0">
              <w:rPr>
                <w:rFonts w:ascii="Book Antiqua" w:hAnsi="Book Antiqua"/>
                <w:b/>
                <w:bCs/>
                <w:sz w:val="24"/>
                <w:szCs w:val="24"/>
              </w:rPr>
              <w:t xml:space="preserve">RSP with 2017 IEPR </w:t>
            </w:r>
            <w:r w:rsidR="00E16090" w:rsidRPr="002727A0">
              <w:rPr>
                <w:rFonts w:ascii="Book Antiqua" w:hAnsi="Book Antiqua"/>
                <w:b/>
                <w:bCs/>
                <w:sz w:val="24"/>
                <w:szCs w:val="24"/>
              </w:rPr>
              <w:t xml:space="preserve">and </w:t>
            </w:r>
            <w:r w:rsidR="00256983">
              <w:rPr>
                <w:rFonts w:ascii="Book Antiqua" w:hAnsi="Book Antiqua"/>
                <w:b/>
                <w:bCs/>
                <w:sz w:val="24"/>
                <w:szCs w:val="24"/>
              </w:rPr>
              <w:t xml:space="preserve">transmission availability updates (MW) </w:t>
            </w:r>
          </w:p>
        </w:tc>
      </w:tr>
      <w:tr w:rsidR="000E5097" w:rsidRPr="002727A0" w14:paraId="07A6B11B" w14:textId="77777777" w:rsidTr="000670A3">
        <w:trPr>
          <w:trHeight w:val="460"/>
          <w:tblHeader/>
          <w:jc w:val="center"/>
        </w:trPr>
        <w:tc>
          <w:tcPr>
            <w:tcW w:w="1611" w:type="dxa"/>
            <w:vMerge/>
            <w:tcBorders>
              <w:top w:val="single" w:sz="8" w:space="0" w:color="000000"/>
              <w:left w:val="single" w:sz="8" w:space="0" w:color="000000"/>
              <w:bottom w:val="single" w:sz="8" w:space="0" w:color="000000"/>
              <w:right w:val="single" w:sz="8" w:space="0" w:color="000000"/>
            </w:tcBorders>
            <w:vAlign w:val="center"/>
            <w:hideMark/>
          </w:tcPr>
          <w:p w14:paraId="140D8742" w14:textId="77777777" w:rsidR="00CC0215" w:rsidRPr="002727A0" w:rsidRDefault="00CC0215" w:rsidP="007B4AA3">
            <w:pPr>
              <w:pStyle w:val="sub2"/>
              <w:spacing w:before="60" w:after="60" w:line="240" w:lineRule="auto"/>
              <w:jc w:val="both"/>
              <w:rPr>
                <w:rFonts w:ascii="Book Antiqua" w:hAnsi="Book Antiqua"/>
                <w:sz w:val="24"/>
                <w:szCs w:val="24"/>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60AA4A0" w14:textId="77777777" w:rsidR="00CC0215" w:rsidRPr="002727A0" w:rsidRDefault="00CC0215" w:rsidP="007B4AA3">
            <w:pPr>
              <w:pStyle w:val="sub2"/>
              <w:spacing w:before="60" w:after="60" w:line="240" w:lineRule="auto"/>
              <w:ind w:firstLine="0"/>
              <w:rPr>
                <w:rFonts w:ascii="Book Antiqua" w:hAnsi="Book Antiqua"/>
                <w:sz w:val="24"/>
                <w:szCs w:val="24"/>
              </w:rPr>
            </w:pPr>
            <w:r w:rsidRPr="002727A0">
              <w:rPr>
                <w:rFonts w:ascii="Book Antiqua" w:hAnsi="Book Antiqua"/>
                <w:b/>
                <w:bCs/>
                <w:sz w:val="24"/>
                <w:szCs w:val="24"/>
              </w:rPr>
              <w:t>FCDS+EO</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15A6A10" w14:textId="77777777" w:rsidR="00CC0215" w:rsidRPr="002727A0" w:rsidRDefault="00CC0215" w:rsidP="007B4AA3">
            <w:pPr>
              <w:pStyle w:val="sub2"/>
              <w:spacing w:before="60" w:after="60" w:line="240" w:lineRule="auto"/>
              <w:ind w:firstLine="0"/>
              <w:rPr>
                <w:rFonts w:ascii="Book Antiqua" w:hAnsi="Book Antiqua"/>
                <w:sz w:val="24"/>
                <w:szCs w:val="24"/>
              </w:rPr>
            </w:pPr>
            <w:r w:rsidRPr="002727A0">
              <w:rPr>
                <w:rFonts w:ascii="Book Antiqua" w:hAnsi="Book Antiqua"/>
                <w:b/>
                <w:bCs/>
                <w:sz w:val="24"/>
                <w:szCs w:val="24"/>
              </w:rPr>
              <w:t>FCDS</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4A3BCC8" w14:textId="77777777" w:rsidR="00CC0215" w:rsidRPr="002727A0" w:rsidRDefault="00CC0215" w:rsidP="007B4AA3">
            <w:pPr>
              <w:pStyle w:val="sub2"/>
              <w:spacing w:before="60" w:after="60" w:line="240" w:lineRule="auto"/>
              <w:ind w:firstLine="0"/>
              <w:rPr>
                <w:rFonts w:ascii="Book Antiqua" w:hAnsi="Book Antiqua"/>
                <w:sz w:val="24"/>
                <w:szCs w:val="24"/>
              </w:rPr>
            </w:pPr>
            <w:r w:rsidRPr="002727A0">
              <w:rPr>
                <w:rFonts w:ascii="Book Antiqua" w:hAnsi="Book Antiqua"/>
                <w:b/>
                <w:bCs/>
                <w:sz w:val="24"/>
                <w:szCs w:val="24"/>
              </w:rPr>
              <w:t>EO</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88E1DBF" w14:textId="77777777" w:rsidR="00CC0215" w:rsidRPr="002727A0" w:rsidRDefault="00CC0215" w:rsidP="007B4AA3">
            <w:pPr>
              <w:pStyle w:val="sub2"/>
              <w:spacing w:before="60" w:after="60" w:line="240" w:lineRule="auto"/>
              <w:ind w:firstLine="0"/>
              <w:rPr>
                <w:rFonts w:ascii="Book Antiqua" w:hAnsi="Book Antiqua"/>
                <w:sz w:val="24"/>
                <w:szCs w:val="24"/>
              </w:rPr>
            </w:pPr>
            <w:r w:rsidRPr="002727A0">
              <w:rPr>
                <w:rFonts w:ascii="Book Antiqua" w:hAnsi="Book Antiqua"/>
                <w:b/>
                <w:bCs/>
                <w:sz w:val="24"/>
                <w:szCs w:val="24"/>
              </w:rPr>
              <w:t>FCDS+EO</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F18011A" w14:textId="77777777" w:rsidR="00CC0215" w:rsidRPr="002727A0" w:rsidRDefault="00CC0215" w:rsidP="007B4AA3">
            <w:pPr>
              <w:pStyle w:val="sub2"/>
              <w:spacing w:before="60" w:after="60" w:line="240" w:lineRule="auto"/>
              <w:ind w:firstLine="0"/>
              <w:rPr>
                <w:rFonts w:ascii="Book Antiqua" w:hAnsi="Book Antiqua"/>
                <w:sz w:val="24"/>
                <w:szCs w:val="24"/>
              </w:rPr>
            </w:pPr>
            <w:r w:rsidRPr="002727A0">
              <w:rPr>
                <w:rFonts w:ascii="Book Antiqua" w:hAnsi="Book Antiqua"/>
                <w:b/>
                <w:bCs/>
                <w:sz w:val="24"/>
                <w:szCs w:val="24"/>
              </w:rPr>
              <w:t>FCDS</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6EF1EAF" w14:textId="77777777" w:rsidR="00CC0215" w:rsidRPr="002727A0" w:rsidRDefault="00CC0215" w:rsidP="007B4AA3">
            <w:pPr>
              <w:pStyle w:val="sub2"/>
              <w:spacing w:before="60" w:after="60" w:line="240" w:lineRule="auto"/>
              <w:ind w:firstLine="0"/>
              <w:rPr>
                <w:rFonts w:ascii="Book Antiqua" w:hAnsi="Book Antiqua"/>
                <w:sz w:val="24"/>
                <w:szCs w:val="24"/>
              </w:rPr>
            </w:pPr>
            <w:r w:rsidRPr="002727A0">
              <w:rPr>
                <w:rFonts w:ascii="Book Antiqua" w:hAnsi="Book Antiqua"/>
                <w:b/>
                <w:bCs/>
                <w:sz w:val="24"/>
                <w:szCs w:val="24"/>
              </w:rPr>
              <w:t>EO</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E78EA0E" w14:textId="77777777" w:rsidR="00CC0215" w:rsidRPr="002727A0" w:rsidRDefault="00CC0215" w:rsidP="007B4AA3">
            <w:pPr>
              <w:pStyle w:val="sub2"/>
              <w:spacing w:before="60" w:after="60" w:line="240" w:lineRule="auto"/>
              <w:ind w:firstLine="0"/>
              <w:rPr>
                <w:rFonts w:ascii="Book Antiqua" w:hAnsi="Book Antiqua"/>
                <w:sz w:val="24"/>
                <w:szCs w:val="24"/>
              </w:rPr>
            </w:pPr>
            <w:r w:rsidRPr="002727A0">
              <w:rPr>
                <w:rFonts w:ascii="Book Antiqua" w:hAnsi="Book Antiqua"/>
                <w:b/>
                <w:bCs/>
                <w:sz w:val="24"/>
                <w:szCs w:val="24"/>
              </w:rPr>
              <w:t xml:space="preserve">FCDS+EO </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FB7E3B1" w14:textId="77777777" w:rsidR="00CC0215" w:rsidRPr="002727A0" w:rsidRDefault="00CC0215" w:rsidP="007B4AA3">
            <w:pPr>
              <w:pStyle w:val="sub2"/>
              <w:spacing w:before="60" w:after="60" w:line="240" w:lineRule="auto"/>
              <w:ind w:firstLine="0"/>
              <w:rPr>
                <w:rFonts w:ascii="Book Antiqua" w:hAnsi="Book Antiqua"/>
                <w:sz w:val="24"/>
                <w:szCs w:val="24"/>
              </w:rPr>
            </w:pPr>
            <w:r w:rsidRPr="002727A0">
              <w:rPr>
                <w:rFonts w:ascii="Book Antiqua" w:hAnsi="Book Antiqua"/>
                <w:b/>
                <w:bCs/>
                <w:sz w:val="24"/>
                <w:szCs w:val="24"/>
              </w:rPr>
              <w:t>FCDS</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CA6D783" w14:textId="77777777" w:rsidR="00CC0215" w:rsidRPr="002727A0" w:rsidRDefault="00CC0215" w:rsidP="007B4AA3">
            <w:pPr>
              <w:pStyle w:val="sub2"/>
              <w:spacing w:before="60" w:after="60" w:line="240" w:lineRule="auto"/>
              <w:ind w:firstLine="0"/>
              <w:rPr>
                <w:rFonts w:ascii="Book Antiqua" w:hAnsi="Book Antiqua"/>
                <w:sz w:val="24"/>
                <w:szCs w:val="24"/>
              </w:rPr>
            </w:pPr>
            <w:r w:rsidRPr="002727A0">
              <w:rPr>
                <w:rFonts w:ascii="Book Antiqua" w:hAnsi="Book Antiqua"/>
                <w:b/>
                <w:bCs/>
                <w:sz w:val="24"/>
                <w:szCs w:val="24"/>
              </w:rPr>
              <w:t>EO</w:t>
            </w:r>
          </w:p>
        </w:tc>
      </w:tr>
      <w:tr w:rsidR="000E5097" w:rsidRPr="002727A0" w14:paraId="2FB87616" w14:textId="77777777" w:rsidTr="00C37977">
        <w:trPr>
          <w:trHeight w:val="802"/>
          <w:jc w:val="center"/>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0E51D98" w14:textId="77777777" w:rsidR="000E5097" w:rsidRPr="002727A0" w:rsidRDefault="00CC0215" w:rsidP="00C37977">
            <w:pPr>
              <w:pStyle w:val="sub2"/>
              <w:spacing w:before="60" w:after="60" w:line="240" w:lineRule="auto"/>
              <w:ind w:firstLine="0"/>
              <w:jc w:val="both"/>
              <w:rPr>
                <w:rFonts w:ascii="Book Antiqua" w:hAnsi="Book Antiqua"/>
                <w:sz w:val="24"/>
                <w:szCs w:val="24"/>
              </w:rPr>
            </w:pPr>
            <w:r w:rsidRPr="002727A0">
              <w:rPr>
                <w:rFonts w:ascii="Book Antiqua" w:hAnsi="Book Antiqua"/>
                <w:sz w:val="24"/>
                <w:szCs w:val="24"/>
              </w:rPr>
              <w:t>Li</w:t>
            </w:r>
            <w:r w:rsidR="00E16090" w:rsidRPr="002727A0">
              <w:rPr>
                <w:rFonts w:ascii="Book Antiqua" w:hAnsi="Book Antiqua"/>
                <w:sz w:val="24"/>
                <w:szCs w:val="24"/>
              </w:rPr>
              <w:t>thium</w:t>
            </w:r>
            <w:r w:rsidRPr="002727A0">
              <w:rPr>
                <w:rFonts w:ascii="Book Antiqua" w:hAnsi="Book Antiqua"/>
                <w:sz w:val="24"/>
                <w:szCs w:val="24"/>
              </w:rPr>
              <w:t xml:space="preserve"> Battery, </w:t>
            </w:r>
            <w:r w:rsidR="007B4AA3" w:rsidRPr="002727A0">
              <w:rPr>
                <w:rFonts w:ascii="Book Antiqua" w:hAnsi="Book Antiqua"/>
                <w:sz w:val="24"/>
                <w:szCs w:val="24"/>
              </w:rPr>
              <w:t xml:space="preserve">about </w:t>
            </w:r>
            <w:r w:rsidRPr="002727A0">
              <w:rPr>
                <w:rFonts w:ascii="Book Antiqua" w:hAnsi="Book Antiqua"/>
                <w:sz w:val="24"/>
                <w:szCs w:val="24"/>
              </w:rPr>
              <w:t>1 hour</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0AD2052"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90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CBDA3EF" w14:textId="77777777" w:rsidR="00CC0215" w:rsidRPr="002727A0" w:rsidRDefault="00CC0215" w:rsidP="00C37977">
            <w:pPr>
              <w:pStyle w:val="sub2"/>
              <w:spacing w:before="60" w:after="60" w:line="240" w:lineRule="auto"/>
              <w:jc w:val="right"/>
              <w:rPr>
                <w:rFonts w:ascii="Book Antiqua" w:hAnsi="Book Antiqua"/>
                <w:sz w:val="24"/>
                <w:szCs w:val="24"/>
              </w:rPr>
            </w:pPr>
            <w:r w:rsidRPr="002727A0">
              <w:rPr>
                <w:rFonts w:ascii="Book Antiqua" w:hAnsi="Book Antiqua"/>
                <w:sz w:val="24"/>
                <w:szCs w:val="24"/>
              </w:rPr>
              <w:t xml:space="preserve">                   90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246DFDD"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 </w:t>
            </w:r>
            <w:r w:rsidR="00D84A09" w:rsidRPr="002727A0">
              <w:rPr>
                <w:rFonts w:ascii="Book Antiqua" w:hAnsi="Book Antiqua"/>
                <w:sz w:val="24"/>
                <w:szCs w:val="24"/>
              </w:rPr>
              <w:noBreakHyphen/>
            </w:r>
            <w:r w:rsidRPr="002727A0">
              <w:rPr>
                <w:rFonts w:ascii="Book Antiqua" w:hAnsi="Book Antiqua"/>
                <w:sz w:val="24"/>
                <w:szCs w:val="24"/>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4070B89" w14:textId="77777777" w:rsidR="00CC0215" w:rsidRPr="002727A0" w:rsidRDefault="00CC0215" w:rsidP="00C37977">
            <w:pPr>
              <w:pStyle w:val="sub2"/>
              <w:spacing w:before="60" w:after="60" w:line="240" w:lineRule="auto"/>
              <w:jc w:val="right"/>
              <w:rPr>
                <w:rFonts w:ascii="Book Antiqua" w:hAnsi="Book Antiqua"/>
                <w:sz w:val="24"/>
                <w:szCs w:val="24"/>
              </w:rPr>
            </w:pPr>
            <w:r w:rsidRPr="002727A0">
              <w:rPr>
                <w:rFonts w:ascii="Book Antiqua" w:hAnsi="Book Antiqua"/>
                <w:sz w:val="24"/>
                <w:szCs w:val="24"/>
              </w:rPr>
              <w:t xml:space="preserve">            2,104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D525020" w14:textId="77777777" w:rsidR="00CC0215" w:rsidRPr="002727A0" w:rsidRDefault="00CC0215" w:rsidP="00C37977">
            <w:pPr>
              <w:pStyle w:val="sub2"/>
              <w:spacing w:before="60" w:after="60" w:line="240" w:lineRule="auto"/>
              <w:jc w:val="right"/>
              <w:rPr>
                <w:rFonts w:ascii="Book Antiqua" w:hAnsi="Book Antiqua"/>
                <w:sz w:val="24"/>
                <w:szCs w:val="24"/>
              </w:rPr>
            </w:pPr>
            <w:r w:rsidRPr="002727A0">
              <w:rPr>
                <w:rFonts w:ascii="Book Antiqua" w:hAnsi="Book Antiqua"/>
                <w:sz w:val="24"/>
                <w:szCs w:val="24"/>
              </w:rPr>
              <w:t xml:space="preserve">            2,104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9D8AECC" w14:textId="77777777" w:rsidR="00CC0215" w:rsidRPr="002727A0" w:rsidRDefault="00CC0215" w:rsidP="00C37977">
            <w:pPr>
              <w:pStyle w:val="sub2"/>
              <w:spacing w:before="60" w:after="60" w:line="240" w:lineRule="auto"/>
              <w:jc w:val="right"/>
              <w:rPr>
                <w:rFonts w:ascii="Book Antiqua" w:hAnsi="Book Antiqua"/>
                <w:sz w:val="24"/>
                <w:szCs w:val="24"/>
              </w:rPr>
            </w:pPr>
            <w:r w:rsidRPr="002727A0">
              <w:rPr>
                <w:rFonts w:ascii="Book Antiqua" w:hAnsi="Book Antiqua"/>
                <w:sz w:val="24"/>
                <w:szCs w:val="24"/>
              </w:rPr>
              <w:t xml:space="preserve"> </w:t>
            </w:r>
            <w:r w:rsidR="00D84A09" w:rsidRPr="002727A0">
              <w:rPr>
                <w:rFonts w:ascii="Book Antiqua" w:hAnsi="Book Antiqua"/>
                <w:sz w:val="24"/>
                <w:szCs w:val="24"/>
              </w:rPr>
              <w:noBreakHyphen/>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8B6936A" w14:textId="77777777" w:rsidR="00CC0215" w:rsidRPr="002727A0" w:rsidRDefault="00CC0215" w:rsidP="00C37977">
            <w:pPr>
              <w:pStyle w:val="sub2"/>
              <w:spacing w:before="60" w:after="60" w:line="240" w:lineRule="auto"/>
              <w:jc w:val="right"/>
              <w:rPr>
                <w:rFonts w:ascii="Book Antiqua" w:hAnsi="Book Antiqua"/>
                <w:sz w:val="24"/>
                <w:szCs w:val="24"/>
              </w:rPr>
            </w:pPr>
            <w:r w:rsidRPr="002727A0">
              <w:rPr>
                <w:rFonts w:ascii="Book Antiqua" w:hAnsi="Book Antiqua"/>
                <w:sz w:val="24"/>
                <w:szCs w:val="24"/>
              </w:rPr>
              <w:t xml:space="preserve">          2,104 </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F421209"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             2,104</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4BADCE1" w14:textId="77777777" w:rsidR="00CC0215" w:rsidRPr="002727A0" w:rsidRDefault="0040369A" w:rsidP="00C37977">
            <w:pPr>
              <w:pStyle w:val="sub2"/>
              <w:spacing w:before="60" w:after="60" w:line="240" w:lineRule="auto"/>
              <w:jc w:val="right"/>
              <w:rPr>
                <w:rFonts w:ascii="Book Antiqua" w:hAnsi="Book Antiqua"/>
                <w:sz w:val="24"/>
                <w:szCs w:val="24"/>
              </w:rPr>
            </w:pPr>
            <w:r>
              <w:rPr>
                <w:rFonts w:ascii="Book Antiqua" w:hAnsi="Book Antiqua"/>
                <w:sz w:val="24"/>
                <w:szCs w:val="24"/>
              </w:rPr>
              <w:t xml:space="preserve">  </w:t>
            </w:r>
            <w:r w:rsidR="00D84A09" w:rsidRPr="002727A0">
              <w:rPr>
                <w:rFonts w:ascii="Book Antiqua" w:hAnsi="Book Antiqua"/>
                <w:sz w:val="24"/>
                <w:szCs w:val="24"/>
              </w:rPr>
              <w:noBreakHyphen/>
            </w:r>
          </w:p>
        </w:tc>
      </w:tr>
      <w:tr w:rsidR="000E5097" w:rsidRPr="002727A0" w14:paraId="10F8F205" w14:textId="77777777" w:rsidTr="00C37977">
        <w:trPr>
          <w:trHeight w:val="20"/>
          <w:jc w:val="center"/>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296F55F" w14:textId="77777777" w:rsidR="00CC0215" w:rsidRPr="002727A0" w:rsidRDefault="00CC0215" w:rsidP="00C37977">
            <w:pPr>
              <w:pStyle w:val="sub2"/>
              <w:spacing w:before="60" w:after="60" w:line="240" w:lineRule="auto"/>
              <w:ind w:firstLine="0"/>
              <w:rPr>
                <w:rFonts w:ascii="Book Antiqua" w:hAnsi="Book Antiqua"/>
                <w:sz w:val="24"/>
                <w:szCs w:val="24"/>
              </w:rPr>
            </w:pPr>
            <w:r w:rsidRPr="002727A0">
              <w:rPr>
                <w:rFonts w:ascii="Book Antiqua" w:hAnsi="Book Antiqua"/>
                <w:sz w:val="24"/>
                <w:szCs w:val="24"/>
              </w:rPr>
              <w:t>Li</w:t>
            </w:r>
            <w:r w:rsidR="00E16090" w:rsidRPr="002727A0">
              <w:rPr>
                <w:rFonts w:ascii="Book Antiqua" w:hAnsi="Book Antiqua"/>
                <w:sz w:val="24"/>
                <w:szCs w:val="24"/>
              </w:rPr>
              <w:t>thium</w:t>
            </w:r>
            <w:r w:rsidRPr="002727A0">
              <w:rPr>
                <w:rFonts w:ascii="Book Antiqua" w:hAnsi="Book Antiqua"/>
                <w:sz w:val="24"/>
                <w:szCs w:val="24"/>
              </w:rPr>
              <w:t xml:space="preserve"> Battery, about 4 hour</w:t>
            </w:r>
            <w:r w:rsidR="002727A0">
              <w:rPr>
                <w:rFonts w:ascii="Book Antiqua" w:hAnsi="Book Antiqua"/>
                <w:sz w:val="24"/>
                <w:szCs w:val="24"/>
              </w:rPr>
              <w:t>s</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4500D04"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1,065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E0FFB38" w14:textId="77777777" w:rsidR="00CC0215" w:rsidRPr="002727A0" w:rsidRDefault="00C37977" w:rsidP="00C37977">
            <w:pPr>
              <w:pStyle w:val="sub2"/>
              <w:spacing w:before="60" w:after="60" w:line="240" w:lineRule="auto"/>
              <w:ind w:firstLine="0"/>
              <w:jc w:val="right"/>
              <w:rPr>
                <w:rFonts w:ascii="Book Antiqua" w:hAnsi="Book Antiqua"/>
                <w:sz w:val="24"/>
                <w:szCs w:val="24"/>
              </w:rPr>
            </w:pPr>
            <w:r>
              <w:rPr>
                <w:rFonts w:ascii="Book Antiqua" w:hAnsi="Book Antiqua"/>
                <w:sz w:val="24"/>
                <w:szCs w:val="24"/>
              </w:rPr>
              <w:t>1</w:t>
            </w:r>
            <w:r w:rsidR="00CC0215" w:rsidRPr="002727A0">
              <w:rPr>
                <w:rFonts w:ascii="Book Antiqua" w:hAnsi="Book Antiqua"/>
                <w:sz w:val="24"/>
                <w:szCs w:val="24"/>
              </w:rPr>
              <w:t>,065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6253FA1" w14:textId="77777777" w:rsidR="00CC0215" w:rsidRPr="002727A0" w:rsidRDefault="00D84A09"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noBreakHyphen/>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E06C461" w14:textId="77777777" w:rsidR="00CC0215" w:rsidRPr="002727A0" w:rsidRDefault="00D84A09"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noBreakHyphen/>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4A87C41" w14:textId="77777777" w:rsidR="00CC0215" w:rsidRPr="002727A0" w:rsidRDefault="00D84A09"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noBreakHyphen/>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EB39A3C" w14:textId="77777777" w:rsidR="00CC0215" w:rsidRPr="002727A0" w:rsidRDefault="00D84A09"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noBreakHyphen/>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B30DAB9" w14:textId="77777777" w:rsidR="00CC0215" w:rsidRPr="002727A0" w:rsidRDefault="00D84A09" w:rsidP="00C37977">
            <w:pPr>
              <w:pStyle w:val="sub2"/>
              <w:spacing w:before="60" w:after="60" w:line="240" w:lineRule="auto"/>
              <w:jc w:val="right"/>
              <w:rPr>
                <w:rFonts w:ascii="Book Antiqua" w:hAnsi="Book Antiqua"/>
                <w:sz w:val="24"/>
                <w:szCs w:val="24"/>
              </w:rPr>
            </w:pPr>
            <w:r w:rsidRPr="002727A0">
              <w:rPr>
                <w:rFonts w:ascii="Book Antiqua" w:hAnsi="Book Antiqua"/>
                <w:sz w:val="24"/>
                <w:szCs w:val="24"/>
              </w:rPr>
              <w:noBreakHyphen/>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C43A667" w14:textId="77777777" w:rsidR="00CC0215" w:rsidRPr="002727A0" w:rsidRDefault="00D84A09"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noBreakHyphen/>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A5383EE" w14:textId="77777777" w:rsidR="00CC0215" w:rsidRPr="002727A0" w:rsidRDefault="00D84A09"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noBreakHyphen/>
            </w:r>
          </w:p>
        </w:tc>
      </w:tr>
      <w:tr w:rsidR="000E5097" w:rsidRPr="002727A0" w14:paraId="2773E6D1" w14:textId="77777777" w:rsidTr="00C37977">
        <w:trPr>
          <w:trHeight w:val="20"/>
          <w:jc w:val="center"/>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96951E7" w14:textId="77777777" w:rsidR="00CC0215" w:rsidRPr="002727A0" w:rsidRDefault="00CC0215" w:rsidP="00C37977">
            <w:pPr>
              <w:pStyle w:val="sub2"/>
              <w:spacing w:before="60" w:after="60" w:line="240" w:lineRule="auto"/>
              <w:ind w:firstLine="0"/>
              <w:rPr>
                <w:rFonts w:ascii="Book Antiqua" w:hAnsi="Book Antiqua"/>
                <w:sz w:val="24"/>
                <w:szCs w:val="24"/>
              </w:rPr>
            </w:pPr>
            <w:r w:rsidRPr="002727A0">
              <w:rPr>
                <w:rFonts w:ascii="Book Antiqua" w:hAnsi="Book Antiqua"/>
                <w:sz w:val="24"/>
                <w:szCs w:val="24"/>
              </w:rPr>
              <w:t>Solar</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877EB94"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6,807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B954C61" w14:textId="77777777" w:rsidR="00CC0215" w:rsidRPr="002727A0" w:rsidRDefault="002727A0" w:rsidP="00C37977">
            <w:pPr>
              <w:pStyle w:val="sub2"/>
              <w:spacing w:before="60" w:after="60" w:line="240" w:lineRule="auto"/>
              <w:ind w:firstLine="0"/>
              <w:jc w:val="right"/>
              <w:rPr>
                <w:rFonts w:ascii="Book Antiqua" w:hAnsi="Book Antiqua"/>
                <w:sz w:val="24"/>
                <w:szCs w:val="24"/>
              </w:rPr>
            </w:pPr>
            <w:r>
              <w:rPr>
                <w:rFonts w:ascii="Book Antiqua" w:hAnsi="Book Antiqua"/>
                <w:sz w:val="24"/>
                <w:szCs w:val="24"/>
              </w:rPr>
              <w:t xml:space="preserve"> </w:t>
            </w:r>
            <w:r w:rsidR="00CC0215" w:rsidRPr="002727A0">
              <w:rPr>
                <w:rFonts w:ascii="Book Antiqua" w:hAnsi="Book Antiqua"/>
                <w:sz w:val="24"/>
                <w:szCs w:val="24"/>
              </w:rPr>
              <w:t xml:space="preserve">4,412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9A0073F"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 2,396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B42C5D7" w14:textId="77777777" w:rsidR="00CC0215" w:rsidRPr="002727A0" w:rsidRDefault="002727A0" w:rsidP="00C37977">
            <w:pPr>
              <w:pStyle w:val="sub2"/>
              <w:spacing w:before="60" w:after="60" w:line="240" w:lineRule="auto"/>
              <w:ind w:firstLine="0"/>
              <w:jc w:val="right"/>
              <w:rPr>
                <w:rFonts w:ascii="Book Antiqua" w:hAnsi="Book Antiqua"/>
                <w:sz w:val="24"/>
                <w:szCs w:val="24"/>
              </w:rPr>
            </w:pPr>
            <w:r>
              <w:rPr>
                <w:rFonts w:ascii="Book Antiqua" w:hAnsi="Book Antiqua"/>
                <w:sz w:val="24"/>
                <w:szCs w:val="24"/>
              </w:rPr>
              <w:t xml:space="preserve"> 5,916</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BACADA8" w14:textId="77777777" w:rsidR="00CC0215" w:rsidRPr="002727A0" w:rsidRDefault="002727A0" w:rsidP="00C37977">
            <w:pPr>
              <w:pStyle w:val="sub2"/>
              <w:spacing w:before="60" w:after="60" w:line="240" w:lineRule="auto"/>
              <w:ind w:firstLine="0"/>
              <w:jc w:val="right"/>
              <w:rPr>
                <w:rFonts w:ascii="Book Antiqua" w:hAnsi="Book Antiqua"/>
                <w:sz w:val="24"/>
                <w:szCs w:val="24"/>
              </w:rPr>
            </w:pPr>
            <w:r>
              <w:rPr>
                <w:rFonts w:ascii="Book Antiqua" w:hAnsi="Book Antiqua"/>
                <w:sz w:val="24"/>
                <w:szCs w:val="24"/>
              </w:rPr>
              <w:t xml:space="preserve">   3,712</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A8EFD19"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 2,204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A904D40"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  5,916</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CF04752"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  2,709</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8ED0209"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 3,207 </w:t>
            </w:r>
          </w:p>
        </w:tc>
      </w:tr>
      <w:tr w:rsidR="000E5097" w:rsidRPr="002727A0" w14:paraId="1BC7BDC0" w14:textId="77777777" w:rsidTr="00C37977">
        <w:trPr>
          <w:trHeight w:val="20"/>
          <w:jc w:val="center"/>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46AA7B6" w14:textId="77777777" w:rsidR="00CC0215" w:rsidRPr="002727A0" w:rsidRDefault="00CC0215" w:rsidP="00C37977">
            <w:pPr>
              <w:pStyle w:val="sub2"/>
              <w:spacing w:before="60" w:after="60" w:line="240" w:lineRule="auto"/>
              <w:ind w:firstLine="0"/>
              <w:jc w:val="center"/>
              <w:rPr>
                <w:rFonts w:ascii="Book Antiqua" w:hAnsi="Book Antiqua"/>
                <w:sz w:val="24"/>
                <w:szCs w:val="24"/>
              </w:rPr>
            </w:pPr>
            <w:r w:rsidRPr="002727A0">
              <w:rPr>
                <w:rFonts w:ascii="Book Antiqua" w:hAnsi="Book Antiqua"/>
                <w:sz w:val="24"/>
                <w:szCs w:val="24"/>
              </w:rPr>
              <w:t>In</w:t>
            </w:r>
            <w:r w:rsidR="00D84A09" w:rsidRPr="002727A0">
              <w:rPr>
                <w:rFonts w:ascii="Book Antiqua" w:hAnsi="Book Antiqua"/>
                <w:sz w:val="24"/>
                <w:szCs w:val="24"/>
              </w:rPr>
              <w:noBreakHyphen/>
            </w:r>
            <w:r w:rsidRPr="002727A0">
              <w:rPr>
                <w:rFonts w:ascii="Book Antiqua" w:hAnsi="Book Antiqua"/>
                <w:sz w:val="24"/>
                <w:szCs w:val="24"/>
              </w:rPr>
              <w:t>State Wind</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AB0A50B"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1,329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5B86C1D"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917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F187B90" w14:textId="77777777" w:rsidR="00CC0215" w:rsidRPr="002727A0" w:rsidRDefault="002727A0" w:rsidP="00C37977">
            <w:pPr>
              <w:pStyle w:val="sub2"/>
              <w:spacing w:before="60" w:after="60" w:line="240" w:lineRule="auto"/>
              <w:ind w:firstLine="0"/>
              <w:jc w:val="right"/>
              <w:rPr>
                <w:rFonts w:ascii="Book Antiqua" w:hAnsi="Book Antiqua"/>
                <w:sz w:val="24"/>
                <w:szCs w:val="24"/>
              </w:rPr>
            </w:pPr>
            <w:r>
              <w:rPr>
                <w:rFonts w:ascii="Book Antiqua" w:hAnsi="Book Antiqua"/>
                <w:sz w:val="24"/>
                <w:szCs w:val="24"/>
              </w:rPr>
              <w:t>4</w:t>
            </w:r>
            <w:r w:rsidR="00CC0215" w:rsidRPr="002727A0">
              <w:rPr>
                <w:rFonts w:ascii="Book Antiqua" w:hAnsi="Book Antiqua"/>
                <w:sz w:val="24"/>
                <w:szCs w:val="24"/>
              </w:rPr>
              <w:t xml:space="preserve">12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94913CA"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1,145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388E301"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341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5798729"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803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2431C04"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1,145 </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396A36A"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341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507EACF"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803 </w:t>
            </w:r>
          </w:p>
        </w:tc>
      </w:tr>
      <w:tr w:rsidR="000E5097" w:rsidRPr="002727A0" w14:paraId="3F5EC849" w14:textId="77777777" w:rsidTr="00C37977">
        <w:trPr>
          <w:trHeight w:val="20"/>
          <w:jc w:val="center"/>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8C72B37" w14:textId="77777777" w:rsidR="00CC0215" w:rsidRPr="002727A0" w:rsidRDefault="00E16090" w:rsidP="00C37977">
            <w:pPr>
              <w:pStyle w:val="sub2"/>
              <w:spacing w:before="60" w:after="60" w:line="240" w:lineRule="auto"/>
              <w:ind w:firstLine="0"/>
              <w:jc w:val="both"/>
              <w:rPr>
                <w:rFonts w:ascii="Book Antiqua" w:hAnsi="Book Antiqua"/>
                <w:sz w:val="24"/>
                <w:szCs w:val="24"/>
              </w:rPr>
            </w:pPr>
            <w:r w:rsidRPr="002727A0">
              <w:rPr>
                <w:rFonts w:ascii="Book Antiqua" w:hAnsi="Book Antiqua"/>
                <w:sz w:val="24"/>
                <w:szCs w:val="24"/>
              </w:rPr>
              <w:t>Out</w:t>
            </w:r>
            <w:r w:rsidR="00D84A09" w:rsidRPr="002727A0">
              <w:rPr>
                <w:rFonts w:ascii="Book Antiqua" w:hAnsi="Book Antiqua"/>
                <w:sz w:val="24"/>
                <w:szCs w:val="24"/>
              </w:rPr>
              <w:noBreakHyphen/>
            </w:r>
            <w:r w:rsidRPr="002727A0">
              <w:rPr>
                <w:rFonts w:ascii="Book Antiqua" w:hAnsi="Book Antiqua"/>
                <w:sz w:val="24"/>
                <w:szCs w:val="24"/>
              </w:rPr>
              <w:t>of</w:t>
            </w:r>
            <w:r w:rsidR="00D84A09" w:rsidRPr="002727A0">
              <w:rPr>
                <w:rFonts w:ascii="Book Antiqua" w:hAnsi="Book Antiqua"/>
                <w:sz w:val="24"/>
                <w:szCs w:val="24"/>
              </w:rPr>
              <w:noBreakHyphen/>
            </w:r>
            <w:r w:rsidRPr="002727A0">
              <w:rPr>
                <w:rFonts w:ascii="Book Antiqua" w:hAnsi="Book Antiqua"/>
                <w:sz w:val="24"/>
                <w:szCs w:val="24"/>
              </w:rPr>
              <w:t>State</w:t>
            </w:r>
            <w:r w:rsidR="00CC0215" w:rsidRPr="002727A0">
              <w:rPr>
                <w:rFonts w:ascii="Book Antiqua" w:hAnsi="Book Antiqua"/>
                <w:sz w:val="24"/>
                <w:szCs w:val="24"/>
              </w:rPr>
              <w:t xml:space="preserve"> Wind</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BD1CD38"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1,773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ABAE14A"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1,399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E61CF24"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375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9546A34"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1,101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67B035E"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821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83CE2A5"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281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2CFC84E"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1,101 </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844358B"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1,101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BC71434" w14:textId="77777777" w:rsidR="00CC0215" w:rsidRPr="002727A0" w:rsidRDefault="00CC0215" w:rsidP="00C37977">
            <w:pPr>
              <w:pStyle w:val="sub2"/>
              <w:spacing w:before="60" w:after="60" w:line="240" w:lineRule="auto"/>
              <w:jc w:val="right"/>
              <w:rPr>
                <w:rFonts w:ascii="Book Antiqua" w:hAnsi="Book Antiqua"/>
                <w:sz w:val="24"/>
                <w:szCs w:val="24"/>
              </w:rPr>
            </w:pPr>
            <w:r w:rsidRPr="002727A0">
              <w:rPr>
                <w:rFonts w:ascii="Book Antiqua" w:hAnsi="Book Antiqua"/>
                <w:sz w:val="24"/>
                <w:szCs w:val="24"/>
              </w:rPr>
              <w:t xml:space="preserve">                       </w:t>
            </w:r>
          </w:p>
        </w:tc>
      </w:tr>
      <w:tr w:rsidR="000E5097" w:rsidRPr="002727A0" w14:paraId="57E0614B" w14:textId="77777777" w:rsidTr="00C37977">
        <w:trPr>
          <w:trHeight w:val="20"/>
          <w:jc w:val="center"/>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236779B" w14:textId="77777777" w:rsidR="00CC0215" w:rsidRPr="002727A0" w:rsidRDefault="00CC0215" w:rsidP="00C37977">
            <w:pPr>
              <w:pStyle w:val="sub2"/>
              <w:spacing w:before="60" w:after="60" w:line="240" w:lineRule="auto"/>
              <w:ind w:firstLine="0"/>
              <w:jc w:val="both"/>
              <w:rPr>
                <w:rFonts w:ascii="Book Antiqua" w:hAnsi="Book Antiqua"/>
                <w:sz w:val="24"/>
                <w:szCs w:val="24"/>
              </w:rPr>
            </w:pPr>
            <w:r w:rsidRPr="002727A0">
              <w:rPr>
                <w:rFonts w:ascii="Book Antiqua" w:hAnsi="Book Antiqua"/>
                <w:sz w:val="24"/>
                <w:szCs w:val="24"/>
              </w:rPr>
              <w:t>Total Wind</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E973C0A"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3,102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AE73775"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2,316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34745AA"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787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0487381"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2,246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6841985"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1,162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4D3CE52"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1,084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C9EF2CF"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2,246 </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8D5D2EE"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1,443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E09C53B"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803 </w:t>
            </w:r>
          </w:p>
        </w:tc>
      </w:tr>
      <w:tr w:rsidR="000E5097" w:rsidRPr="002727A0" w14:paraId="001A5D68" w14:textId="77777777" w:rsidTr="00C37977">
        <w:trPr>
          <w:trHeight w:val="20"/>
          <w:jc w:val="center"/>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60153A2" w14:textId="77777777" w:rsidR="00CC0215" w:rsidRPr="002727A0" w:rsidRDefault="00CC0215" w:rsidP="00C37977">
            <w:pPr>
              <w:pStyle w:val="sub2"/>
              <w:spacing w:before="60" w:after="60" w:line="240" w:lineRule="auto"/>
              <w:ind w:firstLine="0"/>
              <w:jc w:val="both"/>
              <w:rPr>
                <w:rFonts w:ascii="Book Antiqua" w:hAnsi="Book Antiqua"/>
                <w:sz w:val="24"/>
                <w:szCs w:val="24"/>
              </w:rPr>
            </w:pPr>
            <w:r w:rsidRPr="002727A0">
              <w:rPr>
                <w:rFonts w:ascii="Book Antiqua" w:hAnsi="Book Antiqua"/>
                <w:sz w:val="24"/>
                <w:szCs w:val="24"/>
              </w:rPr>
              <w:t>Geothermal</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BF26272"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310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CB754CD"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310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03D2ED0" w14:textId="77777777" w:rsidR="00CC0215" w:rsidRPr="002727A0" w:rsidRDefault="00D84A09"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noBreakHyphen/>
            </w:r>
            <w:r w:rsidR="00CC0215" w:rsidRPr="002727A0">
              <w:rPr>
                <w:rFonts w:ascii="Book Antiqua" w:hAnsi="Book Antiqua"/>
                <w:sz w:val="24"/>
                <w:szCs w:val="24"/>
              </w:rPr>
              <w:t xml:space="preserve">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639C298"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1,700</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0EB23AE"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1,132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7C4713F"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568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6397015"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1,700 </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48D8DAE"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1,048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580FA97"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652 </w:t>
            </w:r>
          </w:p>
        </w:tc>
      </w:tr>
      <w:tr w:rsidR="000E5097" w:rsidRPr="002727A0" w14:paraId="154DE4C1" w14:textId="77777777" w:rsidTr="00C37977">
        <w:trPr>
          <w:trHeight w:val="478"/>
          <w:jc w:val="center"/>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E7E1D80" w14:textId="77777777" w:rsidR="000E5097" w:rsidRPr="002727A0" w:rsidRDefault="00CC0215" w:rsidP="00C37977">
            <w:pPr>
              <w:pStyle w:val="sub2"/>
              <w:keepNext/>
              <w:keepLines/>
              <w:spacing w:before="60" w:after="60" w:line="240" w:lineRule="auto"/>
              <w:ind w:firstLine="0"/>
              <w:jc w:val="both"/>
              <w:rPr>
                <w:rFonts w:ascii="Book Antiqua" w:hAnsi="Book Antiqua"/>
                <w:sz w:val="24"/>
                <w:szCs w:val="24"/>
              </w:rPr>
            </w:pPr>
            <w:r w:rsidRPr="002727A0">
              <w:rPr>
                <w:rFonts w:ascii="Book Antiqua" w:hAnsi="Book Antiqua"/>
                <w:sz w:val="24"/>
                <w:szCs w:val="24"/>
              </w:rPr>
              <w:t>Biomass</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73E6C41" w14:textId="77777777" w:rsidR="00CC0215" w:rsidRPr="002727A0" w:rsidRDefault="00CC0215"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163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0CBB6A9" w14:textId="77777777" w:rsidR="00CC0215" w:rsidRPr="002727A0" w:rsidRDefault="00CC0215"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sz w:val="24"/>
                <w:szCs w:val="24"/>
              </w:rPr>
              <w:t>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22B5482" w14:textId="77777777" w:rsidR="00CC0215" w:rsidRPr="002727A0" w:rsidRDefault="00CC0215"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sz w:val="24"/>
                <w:szCs w:val="24"/>
              </w:rPr>
              <w:t xml:space="preserve">156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355C67C" w14:textId="77777777" w:rsidR="00CC0215" w:rsidRPr="002727A0" w:rsidRDefault="00D84A09"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sz w:val="24"/>
                <w:szCs w:val="24"/>
              </w:rPr>
              <w:noBreakHyphen/>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CAC52EC" w14:textId="77777777" w:rsidR="00CC0215" w:rsidRPr="002727A0" w:rsidRDefault="00CC0215" w:rsidP="00C37977">
            <w:pPr>
              <w:pStyle w:val="sub2"/>
              <w:keepNext/>
              <w:keepLines/>
              <w:spacing w:before="60" w:after="60" w:line="240" w:lineRule="auto"/>
              <w:jc w:val="right"/>
              <w:rPr>
                <w:rFonts w:ascii="Book Antiqua" w:hAnsi="Book Antiqua"/>
                <w:sz w:val="24"/>
                <w:szCs w:val="24"/>
              </w:rPr>
            </w:pPr>
            <w:r w:rsidRPr="002727A0">
              <w:rPr>
                <w:rFonts w:ascii="Book Antiqua" w:hAnsi="Book Antiqua"/>
                <w:sz w:val="24"/>
                <w:szCs w:val="24"/>
              </w:rPr>
              <w:t xml:space="preserve"> </w:t>
            </w:r>
            <w:r w:rsidR="00D84A09" w:rsidRPr="002727A0">
              <w:rPr>
                <w:rFonts w:ascii="Book Antiqua" w:hAnsi="Book Antiqua"/>
                <w:sz w:val="24"/>
                <w:szCs w:val="24"/>
              </w:rPr>
              <w:noBreakHyphen/>
            </w:r>
            <w:r w:rsidRPr="002727A0">
              <w:rPr>
                <w:rFonts w:ascii="Book Antiqua" w:hAnsi="Book Antiqua"/>
                <w:sz w:val="24"/>
                <w:szCs w:val="24"/>
              </w:rPr>
              <w:t xml:space="preserve">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9F5F357" w14:textId="77777777" w:rsidR="00CC0215" w:rsidRPr="002727A0" w:rsidRDefault="00D84A09"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sz w:val="24"/>
                <w:szCs w:val="24"/>
              </w:rPr>
              <w:noBreakHyphen/>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B850EA6" w14:textId="77777777" w:rsidR="00CC0215" w:rsidRPr="002727A0" w:rsidRDefault="00D84A09"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sz w:val="24"/>
                <w:szCs w:val="24"/>
              </w:rPr>
              <w:noBreakHyphen/>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A8FB910" w14:textId="77777777" w:rsidR="00CC0215" w:rsidRPr="002727A0" w:rsidRDefault="00D84A09"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sz w:val="24"/>
                <w:szCs w:val="24"/>
              </w:rPr>
              <w:noBreakHyphen/>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6BB94F1" w14:textId="77777777" w:rsidR="00CC0215" w:rsidRPr="002727A0" w:rsidRDefault="00D84A09" w:rsidP="00C37977">
            <w:pPr>
              <w:pStyle w:val="sub2"/>
              <w:keepNext/>
              <w:keepLines/>
              <w:spacing w:before="60" w:after="60" w:line="240" w:lineRule="auto"/>
              <w:jc w:val="right"/>
              <w:rPr>
                <w:rFonts w:ascii="Book Antiqua" w:hAnsi="Book Antiqua"/>
                <w:sz w:val="24"/>
                <w:szCs w:val="24"/>
              </w:rPr>
            </w:pPr>
            <w:r w:rsidRPr="002727A0">
              <w:rPr>
                <w:rFonts w:ascii="Book Antiqua" w:hAnsi="Book Antiqua"/>
                <w:sz w:val="24"/>
                <w:szCs w:val="24"/>
              </w:rPr>
              <w:noBreakHyphen/>
            </w:r>
            <w:r w:rsidR="00CC0215" w:rsidRPr="002727A0">
              <w:rPr>
                <w:rFonts w:ascii="Book Antiqua" w:hAnsi="Book Antiqua"/>
                <w:sz w:val="24"/>
                <w:szCs w:val="24"/>
              </w:rPr>
              <w:t xml:space="preserve">   </w:t>
            </w:r>
          </w:p>
        </w:tc>
      </w:tr>
      <w:tr w:rsidR="000E5097" w:rsidRPr="002727A0" w14:paraId="507571DD" w14:textId="77777777" w:rsidTr="00C37977">
        <w:trPr>
          <w:trHeight w:val="20"/>
          <w:jc w:val="center"/>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84D75AF" w14:textId="77777777" w:rsidR="00CC0215" w:rsidRPr="002727A0" w:rsidRDefault="00CC0215" w:rsidP="00C37977">
            <w:pPr>
              <w:pStyle w:val="sub2"/>
              <w:spacing w:before="60" w:after="60" w:line="240" w:lineRule="auto"/>
              <w:ind w:firstLine="0"/>
              <w:rPr>
                <w:rFonts w:ascii="Book Antiqua" w:hAnsi="Book Antiqua"/>
                <w:sz w:val="24"/>
                <w:szCs w:val="24"/>
              </w:rPr>
            </w:pPr>
            <w:r w:rsidRPr="002727A0">
              <w:rPr>
                <w:rFonts w:ascii="Book Antiqua" w:hAnsi="Book Antiqua"/>
                <w:b/>
                <w:bCs/>
                <w:sz w:val="24"/>
                <w:szCs w:val="24"/>
              </w:rPr>
              <w:t>Total New Renewables</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EA8B5E7"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10,382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9575E5F"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7,044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7CC3B4E"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3,338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10BDC2E"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9,862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F0A9712"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6,005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4525685"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3,856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5CE0303"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9,862 </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B5643A2"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5,200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76D8ADF" w14:textId="77777777" w:rsidR="00CC0215" w:rsidRPr="002727A0" w:rsidRDefault="00CC0215" w:rsidP="00C37977">
            <w:pPr>
              <w:pStyle w:val="sub2"/>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4,662 </w:t>
            </w:r>
          </w:p>
        </w:tc>
      </w:tr>
      <w:tr w:rsidR="000E5097" w:rsidRPr="002727A0" w14:paraId="115346CF" w14:textId="77777777" w:rsidTr="00C37977">
        <w:trPr>
          <w:trHeight w:val="20"/>
          <w:jc w:val="center"/>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49E17DB" w14:textId="77777777" w:rsidR="00CC0215" w:rsidRPr="002727A0" w:rsidRDefault="00CC0215" w:rsidP="00C37977">
            <w:pPr>
              <w:pStyle w:val="sub2"/>
              <w:keepNext/>
              <w:keepLines/>
              <w:spacing w:before="60" w:after="60" w:line="240" w:lineRule="auto"/>
              <w:ind w:firstLine="0"/>
              <w:rPr>
                <w:rFonts w:ascii="Book Antiqua" w:hAnsi="Book Antiqua"/>
                <w:sz w:val="24"/>
                <w:szCs w:val="24"/>
              </w:rPr>
            </w:pPr>
            <w:r w:rsidRPr="002727A0">
              <w:rPr>
                <w:rFonts w:ascii="Book Antiqua" w:hAnsi="Book Antiqua"/>
                <w:b/>
                <w:bCs/>
                <w:sz w:val="24"/>
                <w:szCs w:val="24"/>
              </w:rPr>
              <w:t>Total New Renewables and Storage</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0060DF8" w14:textId="77777777" w:rsidR="00CC0215" w:rsidRPr="002727A0" w:rsidRDefault="00CC0215"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11,537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3529BAB" w14:textId="77777777" w:rsidR="00CC0215" w:rsidRPr="002727A0" w:rsidRDefault="00CC0215"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8,199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32AA7EC" w14:textId="77777777" w:rsidR="00CC0215" w:rsidRPr="002727A0" w:rsidRDefault="00CC0215"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3,338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678BDBA" w14:textId="77777777" w:rsidR="00CC0215" w:rsidRPr="002727A0" w:rsidRDefault="00CC0215"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11,966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1136AAC" w14:textId="77777777" w:rsidR="00CC0215" w:rsidRPr="002727A0" w:rsidRDefault="00CC0215"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8,110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0F0118B" w14:textId="77777777" w:rsidR="00CC0215" w:rsidRPr="002727A0" w:rsidRDefault="00CC0215"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3,856 </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4DDB8CB" w14:textId="77777777" w:rsidR="00CC0215" w:rsidRPr="002727A0" w:rsidRDefault="00CC0215"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11,966 </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9071F89" w14:textId="77777777" w:rsidR="00CC0215" w:rsidRPr="002727A0" w:rsidRDefault="00CC0215"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7,304 </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15191CD" w14:textId="77777777" w:rsidR="00CC0215" w:rsidRPr="002727A0" w:rsidRDefault="00CC0215" w:rsidP="00C37977">
            <w:pPr>
              <w:pStyle w:val="sub2"/>
              <w:keepNext/>
              <w:keepLines/>
              <w:spacing w:before="60" w:after="60" w:line="240" w:lineRule="auto"/>
              <w:ind w:firstLine="0"/>
              <w:jc w:val="right"/>
              <w:rPr>
                <w:rFonts w:ascii="Book Antiqua" w:hAnsi="Book Antiqua"/>
                <w:sz w:val="24"/>
                <w:szCs w:val="24"/>
              </w:rPr>
            </w:pPr>
            <w:r w:rsidRPr="002727A0">
              <w:rPr>
                <w:rFonts w:ascii="Book Antiqua" w:hAnsi="Book Antiqua"/>
                <w:b/>
                <w:bCs/>
                <w:sz w:val="24"/>
                <w:szCs w:val="24"/>
              </w:rPr>
              <w:t xml:space="preserve">4,662 </w:t>
            </w:r>
          </w:p>
        </w:tc>
      </w:tr>
    </w:tbl>
    <w:p w14:paraId="42D024CD" w14:textId="77777777" w:rsidR="00CC0215" w:rsidRPr="00467505" w:rsidRDefault="00CC0215" w:rsidP="00CC0215">
      <w:pPr>
        <w:pStyle w:val="sub2"/>
        <w:ind w:firstLine="0"/>
        <w:rPr>
          <w:rFonts w:ascii="Book Antiqua" w:hAnsi="Book Antiqua"/>
        </w:rPr>
      </w:pPr>
    </w:p>
    <w:p w14:paraId="4620AFC1" w14:textId="77777777" w:rsidR="00F4263D" w:rsidRDefault="00F4263D" w:rsidP="00F4263D">
      <w:pPr>
        <w:pStyle w:val="sub2"/>
        <w:rPr>
          <w:rFonts w:ascii="Book Antiqua" w:hAnsi="Book Antiqua"/>
        </w:rPr>
      </w:pPr>
      <w:r>
        <w:rPr>
          <w:rFonts w:ascii="Book Antiqua" w:hAnsi="Book Antiqua"/>
        </w:rPr>
        <w:t xml:space="preserve">Figure 2 below shows a more simplified graphical representation of the new resources required to </w:t>
      </w:r>
      <w:r w:rsidR="00404B4B">
        <w:rPr>
          <w:rFonts w:ascii="Book Antiqua" w:hAnsi="Book Antiqua"/>
        </w:rPr>
        <w:t xml:space="preserve">be built to </w:t>
      </w:r>
      <w:r>
        <w:rPr>
          <w:rFonts w:ascii="Book Antiqua" w:hAnsi="Book Antiqua"/>
        </w:rPr>
        <w:t xml:space="preserve">achieve the </w:t>
      </w:r>
      <w:r w:rsidR="00404B4B">
        <w:rPr>
          <w:rFonts w:ascii="Book Antiqua" w:hAnsi="Book Antiqua"/>
        </w:rPr>
        <w:t xml:space="preserve">PSP we are adopting herein. </w:t>
      </w:r>
    </w:p>
    <w:p w14:paraId="6F034C70" w14:textId="77777777" w:rsidR="00404B4B" w:rsidRDefault="00404B4B">
      <w:pPr>
        <w:rPr>
          <w:rFonts w:ascii="Book Antiqua" w:hAnsi="Book Antiqua"/>
        </w:rPr>
      </w:pPr>
      <w:r>
        <w:rPr>
          <w:rFonts w:ascii="Book Antiqua" w:hAnsi="Book Antiqua"/>
        </w:rPr>
        <w:br w:type="page"/>
      </w:r>
    </w:p>
    <w:p w14:paraId="6C984FE8" w14:textId="77777777" w:rsidR="00404B4B" w:rsidRPr="007B4AA3" w:rsidRDefault="00404B4B" w:rsidP="00404B4B">
      <w:pPr>
        <w:pStyle w:val="Caption"/>
        <w:keepNext/>
        <w:rPr>
          <w:rFonts w:ascii="Book Antiqua" w:hAnsi="Book Antiqua"/>
          <w:color w:val="auto"/>
          <w:sz w:val="26"/>
          <w:szCs w:val="24"/>
        </w:rPr>
      </w:pPr>
      <w:r>
        <w:rPr>
          <w:rFonts w:ascii="Book Antiqua" w:hAnsi="Book Antiqua"/>
          <w:color w:val="auto"/>
          <w:sz w:val="26"/>
          <w:szCs w:val="24"/>
        </w:rPr>
        <w:t>Figure 2</w:t>
      </w:r>
      <w:r w:rsidRPr="007B4AA3">
        <w:rPr>
          <w:rFonts w:ascii="Book Antiqua" w:hAnsi="Book Antiqua"/>
          <w:color w:val="auto"/>
          <w:sz w:val="26"/>
          <w:szCs w:val="24"/>
        </w:rPr>
        <w:t>.</w:t>
      </w:r>
      <w:r>
        <w:rPr>
          <w:rFonts w:ascii="Book Antiqua" w:hAnsi="Book Antiqua"/>
          <w:color w:val="auto"/>
          <w:sz w:val="26"/>
          <w:szCs w:val="24"/>
        </w:rPr>
        <w:t xml:space="preserve"> New Resource Buildout </w:t>
      </w:r>
      <w:r w:rsidR="001C143D">
        <w:rPr>
          <w:rFonts w:ascii="Book Antiqua" w:hAnsi="Book Antiqua"/>
          <w:color w:val="auto"/>
          <w:sz w:val="26"/>
          <w:szCs w:val="24"/>
        </w:rPr>
        <w:t xml:space="preserve">Requirements </w:t>
      </w:r>
      <w:r>
        <w:rPr>
          <w:rFonts w:ascii="Book Antiqua" w:hAnsi="Book Antiqua"/>
          <w:color w:val="auto"/>
          <w:sz w:val="26"/>
          <w:szCs w:val="24"/>
        </w:rPr>
        <w:t>for Preferred System Portfolio</w:t>
      </w:r>
    </w:p>
    <w:p w14:paraId="2A3E74CA" w14:textId="77777777" w:rsidR="00404B4B" w:rsidRDefault="00404B4B" w:rsidP="00D07949">
      <w:pPr>
        <w:pStyle w:val="Caption"/>
        <w:keepNext/>
      </w:pPr>
    </w:p>
    <w:p w14:paraId="39132673" w14:textId="77777777" w:rsidR="00404B4B" w:rsidRDefault="00404B4B" w:rsidP="00D07949">
      <w:pPr>
        <w:pStyle w:val="sub2"/>
        <w:ind w:firstLine="0"/>
        <w:rPr>
          <w:rFonts w:ascii="Book Antiqua" w:hAnsi="Book Antiqua"/>
        </w:rPr>
      </w:pPr>
      <w:r>
        <w:rPr>
          <w:rFonts w:ascii="Book Antiqua" w:hAnsi="Book Antiqua"/>
          <w:noProof/>
        </w:rPr>
        <w:drawing>
          <wp:inline distT="0" distB="0" distL="0" distR="0" wp14:anchorId="013C443F" wp14:editId="0012CABB">
            <wp:extent cx="5924550" cy="305808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52972" cy="3072760"/>
                    </a:xfrm>
                    <a:prstGeom prst="rect">
                      <a:avLst/>
                    </a:prstGeom>
                    <a:noFill/>
                  </pic:spPr>
                </pic:pic>
              </a:graphicData>
            </a:graphic>
          </wp:inline>
        </w:drawing>
      </w:r>
    </w:p>
    <w:p w14:paraId="2EB6E50B" w14:textId="77777777" w:rsidR="00404B4B" w:rsidRDefault="00404B4B" w:rsidP="00D07949">
      <w:pPr>
        <w:pStyle w:val="sub2"/>
        <w:rPr>
          <w:rFonts w:ascii="Book Antiqua" w:hAnsi="Book Antiqua"/>
        </w:rPr>
      </w:pPr>
    </w:p>
    <w:p w14:paraId="397D939D" w14:textId="4275D9EF" w:rsidR="003D5BAE" w:rsidRPr="00467505" w:rsidRDefault="003D5BAE" w:rsidP="00D07949">
      <w:pPr>
        <w:pStyle w:val="sub2"/>
        <w:rPr>
          <w:rFonts w:ascii="Book Antiqua" w:hAnsi="Book Antiqua"/>
        </w:rPr>
      </w:pPr>
      <w:r w:rsidRPr="00467505">
        <w:rPr>
          <w:rFonts w:ascii="Book Antiqua" w:hAnsi="Book Antiqua"/>
        </w:rPr>
        <w:t xml:space="preserve">Table </w:t>
      </w:r>
      <w:r w:rsidR="00072CB7" w:rsidRPr="00467505">
        <w:rPr>
          <w:rFonts w:ascii="Book Antiqua" w:hAnsi="Book Antiqua"/>
        </w:rPr>
        <w:t>4</w:t>
      </w:r>
      <w:r w:rsidRPr="00467505">
        <w:rPr>
          <w:rFonts w:ascii="Book Antiqua" w:hAnsi="Book Antiqua"/>
        </w:rPr>
        <w:t xml:space="preserve"> below </w:t>
      </w:r>
      <w:r w:rsidR="00256983">
        <w:rPr>
          <w:rFonts w:ascii="Book Antiqua" w:hAnsi="Book Antiqua"/>
        </w:rPr>
        <w:t>is an illustrative comparison of</w:t>
      </w:r>
      <w:r w:rsidRPr="00467505">
        <w:rPr>
          <w:rFonts w:ascii="Book Antiqua" w:hAnsi="Book Antiqua"/>
        </w:rPr>
        <w:t xml:space="preserve"> the total resource portfolio</w:t>
      </w:r>
      <w:r w:rsidR="00256983">
        <w:rPr>
          <w:rFonts w:ascii="Book Antiqua" w:hAnsi="Book Antiqua"/>
        </w:rPr>
        <w:t>s that we considered</w:t>
      </w:r>
      <w:r w:rsidRPr="00467505">
        <w:rPr>
          <w:rFonts w:ascii="Book Antiqua" w:hAnsi="Book Antiqua"/>
        </w:rPr>
        <w:t xml:space="preserve">, including new and existing resources, that would be required in 2030. </w:t>
      </w:r>
      <w:r w:rsidR="00C961F7" w:rsidRPr="00467505">
        <w:rPr>
          <w:rFonts w:ascii="Book Antiqua" w:hAnsi="Book Antiqua"/>
        </w:rPr>
        <w:t xml:space="preserve"> </w:t>
      </w:r>
      <w:r w:rsidRPr="00467505">
        <w:rPr>
          <w:rFonts w:ascii="Book Antiqua" w:hAnsi="Book Antiqua"/>
        </w:rPr>
        <w:t xml:space="preserve">In order to produce this </w:t>
      </w:r>
      <w:r w:rsidR="00256983">
        <w:rPr>
          <w:rFonts w:ascii="Book Antiqua" w:hAnsi="Book Antiqua"/>
        </w:rPr>
        <w:t>comparison</w:t>
      </w:r>
      <w:r w:rsidRPr="00467505">
        <w:rPr>
          <w:rFonts w:ascii="Book Antiqua" w:hAnsi="Book Antiqua"/>
        </w:rPr>
        <w:t xml:space="preserve">, Commission staff </w:t>
      </w:r>
      <w:r w:rsidR="00256983">
        <w:rPr>
          <w:rFonts w:ascii="Book Antiqua" w:hAnsi="Book Antiqua"/>
        </w:rPr>
        <w:t>implemented an approximation</w:t>
      </w:r>
      <w:r w:rsidR="00256983">
        <w:rPr>
          <w:rStyle w:val="FootnoteReference"/>
          <w:rFonts w:ascii="Book Antiqua" w:hAnsi="Book Antiqua"/>
        </w:rPr>
        <w:footnoteReference w:id="12"/>
      </w:r>
      <w:r w:rsidR="00256983">
        <w:rPr>
          <w:rFonts w:ascii="Book Antiqua" w:hAnsi="Book Antiqua"/>
        </w:rPr>
        <w:t xml:space="preserve"> of</w:t>
      </w:r>
      <w:r w:rsidRPr="00467505">
        <w:rPr>
          <w:rFonts w:ascii="Book Antiqua" w:hAnsi="Book Antiqua"/>
        </w:rPr>
        <w:t xml:space="preserve"> the 40</w:t>
      </w:r>
      <w:r w:rsidR="00D84A09" w:rsidRPr="00467505">
        <w:rPr>
          <w:rFonts w:ascii="Book Antiqua" w:hAnsi="Book Antiqua"/>
        </w:rPr>
        <w:noBreakHyphen/>
      </w:r>
      <w:r w:rsidRPr="00467505">
        <w:rPr>
          <w:rFonts w:ascii="Book Antiqua" w:hAnsi="Book Antiqua"/>
        </w:rPr>
        <w:t xml:space="preserve">year retirement assumption in RESOLVE (not SERVM) </w:t>
      </w:r>
      <w:r w:rsidR="00256983">
        <w:rPr>
          <w:rFonts w:ascii="Book Antiqua" w:hAnsi="Book Antiqua"/>
        </w:rPr>
        <w:t>and reoptimized</w:t>
      </w:r>
      <w:r w:rsidR="00256983">
        <w:rPr>
          <w:rStyle w:val="FootnoteReference"/>
          <w:rFonts w:ascii="Book Antiqua" w:hAnsi="Book Antiqua"/>
        </w:rPr>
        <w:footnoteReference w:id="13"/>
      </w:r>
      <w:r w:rsidR="00256983">
        <w:rPr>
          <w:rFonts w:ascii="Book Antiqua" w:hAnsi="Book Antiqua"/>
        </w:rPr>
        <w:t xml:space="preserve"> the RSP with 2017 IEPR assumptions.</w:t>
      </w:r>
      <w:r w:rsidRPr="00467505">
        <w:rPr>
          <w:rFonts w:ascii="Book Antiqua" w:hAnsi="Book Antiqua"/>
        </w:rPr>
        <w:t xml:space="preserve"> </w:t>
      </w:r>
      <w:r w:rsidR="00A52514">
        <w:rPr>
          <w:rFonts w:ascii="Book Antiqua" w:hAnsi="Book Antiqua"/>
        </w:rPr>
        <w:t xml:space="preserve"> </w:t>
      </w:r>
      <w:r w:rsidR="00256983">
        <w:rPr>
          <w:rFonts w:ascii="Book Antiqua" w:hAnsi="Book Antiqua"/>
        </w:rPr>
        <w:t>This provided an apples-to-apples basis for comparing total existing plus new resource portfolios and their corresponding operational metrics within the same model.  As reported by RESOLVE, the RSP with 2017 IEPR assumptions and a 40-year life for fossil-fueled resources assumption had 2030 CAISO area emissions of 34 MMT while the HCP had emissions of almost 38 MMT, a definitive increase.  T</w:t>
      </w:r>
      <w:r w:rsidRPr="00467505">
        <w:rPr>
          <w:rFonts w:ascii="Book Antiqua" w:hAnsi="Book Antiqua"/>
        </w:rPr>
        <w:t>he table below is indicative of the reasons why we choose the adopt the RSP, with 2017 IEPR assumptions and 40</w:t>
      </w:r>
      <w:r w:rsidR="00D84A09" w:rsidRPr="00467505">
        <w:rPr>
          <w:rFonts w:ascii="Book Antiqua" w:hAnsi="Book Antiqua"/>
        </w:rPr>
        <w:noBreakHyphen/>
      </w:r>
      <w:r w:rsidRPr="00467505">
        <w:rPr>
          <w:rFonts w:ascii="Book Antiqua" w:hAnsi="Book Antiqua"/>
        </w:rPr>
        <w:t xml:space="preserve">year </w:t>
      </w:r>
      <w:r w:rsidR="00256983">
        <w:rPr>
          <w:rFonts w:ascii="Book Antiqua" w:hAnsi="Book Antiqua"/>
        </w:rPr>
        <w:t>lifetime</w:t>
      </w:r>
      <w:r w:rsidR="00256983" w:rsidRPr="00467505">
        <w:rPr>
          <w:rFonts w:ascii="Book Antiqua" w:hAnsi="Book Antiqua"/>
        </w:rPr>
        <w:t xml:space="preserve"> </w:t>
      </w:r>
      <w:r w:rsidRPr="00467505">
        <w:rPr>
          <w:rFonts w:ascii="Book Antiqua" w:hAnsi="Book Antiqua"/>
        </w:rPr>
        <w:t xml:space="preserve">assumption, as the PSP. </w:t>
      </w:r>
    </w:p>
    <w:p w14:paraId="2194C5DA" w14:textId="77777777" w:rsidR="003D5BAE" w:rsidRPr="007F1725" w:rsidRDefault="003D5BAE" w:rsidP="005E1093">
      <w:pPr>
        <w:pStyle w:val="Caption"/>
        <w:keepNext/>
        <w:spacing w:before="240" w:after="120"/>
        <w:rPr>
          <w:rFonts w:ascii="Book Antiqua" w:hAnsi="Book Antiqua"/>
          <w:color w:val="auto"/>
          <w:sz w:val="26"/>
          <w:szCs w:val="24"/>
        </w:rPr>
      </w:pPr>
      <w:r w:rsidRPr="007F1725">
        <w:rPr>
          <w:rFonts w:ascii="Book Antiqua" w:hAnsi="Book Antiqua"/>
          <w:color w:val="auto"/>
          <w:sz w:val="26"/>
          <w:szCs w:val="24"/>
        </w:rPr>
        <w:t xml:space="preserve">Table </w:t>
      </w:r>
      <w:r w:rsidR="00072CB7" w:rsidRPr="007F1725">
        <w:rPr>
          <w:rFonts w:ascii="Book Antiqua" w:hAnsi="Book Antiqua"/>
          <w:color w:val="auto"/>
          <w:sz w:val="26"/>
          <w:szCs w:val="24"/>
        </w:rPr>
        <w:t>4</w:t>
      </w:r>
      <w:r w:rsidRPr="007F1725">
        <w:rPr>
          <w:rFonts w:ascii="Book Antiqua" w:hAnsi="Book Antiqua"/>
          <w:color w:val="auto"/>
          <w:sz w:val="26"/>
          <w:szCs w:val="24"/>
        </w:rPr>
        <w:t xml:space="preserve">. Total </w:t>
      </w:r>
      <w:r w:rsidR="00355B68">
        <w:rPr>
          <w:rFonts w:ascii="Book Antiqua" w:hAnsi="Book Antiqua"/>
          <w:color w:val="auto"/>
          <w:sz w:val="26"/>
          <w:szCs w:val="24"/>
        </w:rPr>
        <w:t xml:space="preserve">CAISO </w:t>
      </w:r>
      <w:r w:rsidRPr="007F1725">
        <w:rPr>
          <w:rFonts w:ascii="Book Antiqua" w:hAnsi="Book Antiqua"/>
          <w:color w:val="auto"/>
          <w:sz w:val="26"/>
          <w:szCs w:val="24"/>
        </w:rPr>
        <w:t xml:space="preserve">Resource </w:t>
      </w:r>
      <w:r w:rsidR="00973BC9" w:rsidRPr="007F1725">
        <w:rPr>
          <w:rFonts w:ascii="Book Antiqua" w:hAnsi="Book Antiqua"/>
          <w:color w:val="auto"/>
          <w:sz w:val="26"/>
          <w:szCs w:val="24"/>
        </w:rPr>
        <w:t xml:space="preserve">Capacity </w:t>
      </w:r>
      <w:r w:rsidRPr="007F1725">
        <w:rPr>
          <w:rFonts w:ascii="Book Antiqua" w:hAnsi="Book Antiqua"/>
          <w:color w:val="auto"/>
          <w:sz w:val="26"/>
          <w:szCs w:val="24"/>
        </w:rPr>
        <w:t>Summary, including Baseline and New Resources, in 2030</w:t>
      </w:r>
      <w:r w:rsidR="00973BC9" w:rsidRPr="007F1725">
        <w:rPr>
          <w:rFonts w:ascii="Book Antiqua" w:hAnsi="Book Antiqua"/>
          <w:color w:val="auto"/>
          <w:sz w:val="26"/>
          <w:szCs w:val="24"/>
        </w:rPr>
        <w:t>, in MW</w:t>
      </w:r>
      <w:r w:rsidR="00256983">
        <w:rPr>
          <w:rFonts w:ascii="Book Antiqua" w:hAnsi="Book Antiqua"/>
          <w:color w:val="auto"/>
          <w:sz w:val="26"/>
          <w:szCs w:val="24"/>
        </w:rPr>
        <w:t>, using RESOLVE model</w:t>
      </w:r>
    </w:p>
    <w:tbl>
      <w:tblPr>
        <w:tblStyle w:val="TableGrid"/>
        <w:tblW w:w="0" w:type="auto"/>
        <w:tblLook w:val="04A0" w:firstRow="1" w:lastRow="0" w:firstColumn="1" w:lastColumn="0" w:noHBand="0" w:noVBand="1"/>
      </w:tblPr>
      <w:tblGrid>
        <w:gridCol w:w="3235"/>
        <w:gridCol w:w="1103"/>
        <w:gridCol w:w="2250"/>
        <w:gridCol w:w="2762"/>
      </w:tblGrid>
      <w:tr w:rsidR="003D5BAE" w:rsidRPr="00467505" w14:paraId="4E5870E8" w14:textId="77777777" w:rsidTr="007F1725">
        <w:tc>
          <w:tcPr>
            <w:tcW w:w="3235" w:type="dxa"/>
          </w:tcPr>
          <w:p w14:paraId="63771189" w14:textId="77777777" w:rsidR="003D5BAE" w:rsidRPr="00467505" w:rsidRDefault="003D5BAE" w:rsidP="007F1725">
            <w:pPr>
              <w:pStyle w:val="sub2"/>
              <w:spacing w:before="60" w:after="60" w:line="240" w:lineRule="auto"/>
              <w:ind w:firstLine="0"/>
              <w:rPr>
                <w:rFonts w:ascii="Book Antiqua" w:hAnsi="Book Antiqua"/>
                <w:b/>
                <w:sz w:val="24"/>
                <w:szCs w:val="24"/>
              </w:rPr>
            </w:pPr>
            <w:r w:rsidRPr="00467505">
              <w:rPr>
                <w:rFonts w:ascii="Book Antiqua" w:hAnsi="Book Antiqua"/>
                <w:b/>
                <w:sz w:val="24"/>
                <w:szCs w:val="24"/>
              </w:rPr>
              <w:t>Total Resource Summary (New and Existing)</w:t>
            </w:r>
          </w:p>
        </w:tc>
        <w:tc>
          <w:tcPr>
            <w:tcW w:w="1103" w:type="dxa"/>
          </w:tcPr>
          <w:p w14:paraId="69E8B0B3" w14:textId="77777777" w:rsidR="003D5BAE" w:rsidRPr="00467505" w:rsidRDefault="00973BC9" w:rsidP="007F1725">
            <w:pPr>
              <w:pStyle w:val="sub2"/>
              <w:spacing w:before="60" w:after="60" w:line="240" w:lineRule="auto"/>
              <w:ind w:firstLine="0"/>
              <w:jc w:val="center"/>
              <w:rPr>
                <w:rFonts w:ascii="Book Antiqua" w:hAnsi="Book Antiqua"/>
                <w:b/>
                <w:sz w:val="24"/>
                <w:szCs w:val="24"/>
              </w:rPr>
            </w:pPr>
            <w:r w:rsidRPr="00467505">
              <w:rPr>
                <w:rFonts w:ascii="Book Antiqua" w:hAnsi="Book Antiqua"/>
                <w:b/>
                <w:sz w:val="24"/>
                <w:szCs w:val="24"/>
              </w:rPr>
              <w:t>HCP</w:t>
            </w:r>
          </w:p>
        </w:tc>
        <w:tc>
          <w:tcPr>
            <w:tcW w:w="2250" w:type="dxa"/>
          </w:tcPr>
          <w:p w14:paraId="1ECFAD81" w14:textId="77777777" w:rsidR="003D5BAE" w:rsidRPr="00467505" w:rsidRDefault="00973BC9" w:rsidP="007F1725">
            <w:pPr>
              <w:pStyle w:val="sub2"/>
              <w:spacing w:before="60" w:after="60" w:line="240" w:lineRule="auto"/>
              <w:ind w:firstLine="0"/>
              <w:jc w:val="center"/>
              <w:rPr>
                <w:rFonts w:ascii="Book Antiqua" w:hAnsi="Book Antiqua"/>
                <w:b/>
                <w:sz w:val="24"/>
                <w:szCs w:val="24"/>
              </w:rPr>
            </w:pPr>
            <w:r w:rsidRPr="00467505">
              <w:rPr>
                <w:rFonts w:ascii="Book Antiqua" w:hAnsi="Book Antiqua"/>
                <w:b/>
                <w:sz w:val="24"/>
                <w:szCs w:val="24"/>
              </w:rPr>
              <w:t>RSP with 2017 IEPR assumptions</w:t>
            </w:r>
          </w:p>
        </w:tc>
        <w:tc>
          <w:tcPr>
            <w:tcW w:w="2762" w:type="dxa"/>
          </w:tcPr>
          <w:p w14:paraId="203FE59D" w14:textId="77777777" w:rsidR="003D5BAE" w:rsidRPr="00467505" w:rsidRDefault="00973BC9" w:rsidP="007F1725">
            <w:pPr>
              <w:pStyle w:val="sub2"/>
              <w:spacing w:before="60" w:after="60" w:line="240" w:lineRule="auto"/>
              <w:ind w:firstLine="0"/>
              <w:jc w:val="center"/>
              <w:rPr>
                <w:rFonts w:ascii="Book Antiqua" w:hAnsi="Book Antiqua"/>
                <w:b/>
                <w:sz w:val="24"/>
                <w:szCs w:val="24"/>
              </w:rPr>
            </w:pPr>
            <w:r w:rsidRPr="00467505">
              <w:rPr>
                <w:rFonts w:ascii="Book Antiqua" w:hAnsi="Book Antiqua"/>
                <w:b/>
                <w:sz w:val="24"/>
                <w:szCs w:val="24"/>
              </w:rPr>
              <w:t>RSP with 2017 IEPR and 40</w:t>
            </w:r>
            <w:r w:rsidR="00D84A09" w:rsidRPr="00467505">
              <w:rPr>
                <w:rFonts w:ascii="Book Antiqua" w:hAnsi="Book Antiqua"/>
                <w:b/>
                <w:sz w:val="24"/>
                <w:szCs w:val="24"/>
              </w:rPr>
              <w:noBreakHyphen/>
            </w:r>
            <w:r w:rsidRPr="00467505">
              <w:rPr>
                <w:rFonts w:ascii="Book Antiqua" w:hAnsi="Book Antiqua"/>
                <w:b/>
                <w:sz w:val="24"/>
                <w:szCs w:val="24"/>
              </w:rPr>
              <w:t>year fossil life</w:t>
            </w:r>
          </w:p>
        </w:tc>
      </w:tr>
      <w:tr w:rsidR="003D5BAE" w:rsidRPr="00467505" w14:paraId="06F8828D" w14:textId="77777777" w:rsidTr="007F1725">
        <w:tc>
          <w:tcPr>
            <w:tcW w:w="3235" w:type="dxa"/>
          </w:tcPr>
          <w:p w14:paraId="31F048F4" w14:textId="77777777" w:rsidR="003D5BAE" w:rsidRPr="00467505" w:rsidRDefault="00973BC9" w:rsidP="007F1725">
            <w:pPr>
              <w:pStyle w:val="sub2"/>
              <w:spacing w:before="60" w:after="60" w:line="240" w:lineRule="auto"/>
              <w:ind w:firstLine="0"/>
              <w:rPr>
                <w:rFonts w:ascii="Book Antiqua" w:hAnsi="Book Antiqua"/>
                <w:sz w:val="24"/>
                <w:szCs w:val="24"/>
              </w:rPr>
            </w:pPr>
            <w:r w:rsidRPr="00467505">
              <w:rPr>
                <w:rFonts w:ascii="Book Antiqua" w:hAnsi="Book Antiqua"/>
                <w:sz w:val="24"/>
                <w:szCs w:val="24"/>
              </w:rPr>
              <w:t>Nuclear</w:t>
            </w:r>
          </w:p>
        </w:tc>
        <w:tc>
          <w:tcPr>
            <w:tcW w:w="1103" w:type="dxa"/>
          </w:tcPr>
          <w:p w14:paraId="6A2B75DB" w14:textId="77777777" w:rsidR="003D5BAE"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622</w:t>
            </w:r>
          </w:p>
        </w:tc>
        <w:tc>
          <w:tcPr>
            <w:tcW w:w="2250" w:type="dxa"/>
          </w:tcPr>
          <w:p w14:paraId="20553BC3" w14:textId="77777777" w:rsidR="003D5BAE"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622</w:t>
            </w:r>
          </w:p>
        </w:tc>
        <w:tc>
          <w:tcPr>
            <w:tcW w:w="2762" w:type="dxa"/>
          </w:tcPr>
          <w:p w14:paraId="00E25C38" w14:textId="77777777" w:rsidR="003D5BAE"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622</w:t>
            </w:r>
          </w:p>
        </w:tc>
      </w:tr>
      <w:tr w:rsidR="003D5BAE" w:rsidRPr="00467505" w14:paraId="28714C12" w14:textId="77777777" w:rsidTr="007F1725">
        <w:tc>
          <w:tcPr>
            <w:tcW w:w="3235" w:type="dxa"/>
          </w:tcPr>
          <w:p w14:paraId="06B5032A" w14:textId="77777777" w:rsidR="003D5BAE" w:rsidRPr="00467505" w:rsidRDefault="00973BC9" w:rsidP="007F1725">
            <w:pPr>
              <w:pStyle w:val="sub2"/>
              <w:spacing w:before="60" w:after="60" w:line="240" w:lineRule="auto"/>
              <w:ind w:firstLine="0"/>
              <w:rPr>
                <w:rFonts w:ascii="Book Antiqua" w:hAnsi="Book Antiqua"/>
                <w:sz w:val="24"/>
                <w:szCs w:val="24"/>
              </w:rPr>
            </w:pPr>
            <w:r w:rsidRPr="00467505">
              <w:rPr>
                <w:rFonts w:ascii="Book Antiqua" w:hAnsi="Book Antiqua"/>
                <w:sz w:val="24"/>
                <w:szCs w:val="24"/>
              </w:rPr>
              <w:t>Combined Heat and Power</w:t>
            </w:r>
          </w:p>
        </w:tc>
        <w:tc>
          <w:tcPr>
            <w:tcW w:w="1103" w:type="dxa"/>
          </w:tcPr>
          <w:p w14:paraId="69471A1D" w14:textId="77777777" w:rsidR="003D5BAE" w:rsidRPr="00467505" w:rsidRDefault="006E110C" w:rsidP="007F1725">
            <w:pPr>
              <w:pStyle w:val="sub2"/>
              <w:spacing w:before="60" w:after="60" w:line="240" w:lineRule="auto"/>
              <w:ind w:firstLine="0"/>
              <w:jc w:val="right"/>
              <w:rPr>
                <w:rFonts w:ascii="Book Antiqua" w:hAnsi="Book Antiqua"/>
                <w:sz w:val="24"/>
                <w:szCs w:val="24"/>
              </w:rPr>
            </w:pPr>
            <w:r>
              <w:rPr>
                <w:rFonts w:ascii="Book Antiqua" w:hAnsi="Book Antiqua"/>
                <w:sz w:val="24"/>
                <w:szCs w:val="24"/>
              </w:rPr>
              <w:t>446</w:t>
            </w:r>
          </w:p>
        </w:tc>
        <w:tc>
          <w:tcPr>
            <w:tcW w:w="2250" w:type="dxa"/>
          </w:tcPr>
          <w:p w14:paraId="67C1C767" w14:textId="77777777" w:rsidR="003D5BAE"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1,685</w:t>
            </w:r>
          </w:p>
        </w:tc>
        <w:tc>
          <w:tcPr>
            <w:tcW w:w="2762" w:type="dxa"/>
          </w:tcPr>
          <w:p w14:paraId="100B9C21" w14:textId="77777777" w:rsidR="003D5BAE"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446</w:t>
            </w:r>
          </w:p>
        </w:tc>
      </w:tr>
      <w:tr w:rsidR="003D5BAE" w:rsidRPr="00467505" w14:paraId="3F36F2FC" w14:textId="77777777" w:rsidTr="007F1725">
        <w:tc>
          <w:tcPr>
            <w:tcW w:w="3235" w:type="dxa"/>
          </w:tcPr>
          <w:p w14:paraId="1D801D37" w14:textId="77777777" w:rsidR="003D5BAE" w:rsidRPr="00467505" w:rsidRDefault="00973BC9" w:rsidP="007F1725">
            <w:pPr>
              <w:pStyle w:val="sub2"/>
              <w:spacing w:before="60" w:after="60" w:line="240" w:lineRule="auto"/>
              <w:ind w:firstLine="0"/>
              <w:rPr>
                <w:rFonts w:ascii="Book Antiqua" w:hAnsi="Book Antiqua"/>
                <w:sz w:val="24"/>
                <w:szCs w:val="24"/>
              </w:rPr>
            </w:pPr>
            <w:r w:rsidRPr="00467505">
              <w:rPr>
                <w:rFonts w:ascii="Book Antiqua" w:hAnsi="Book Antiqua"/>
                <w:sz w:val="24"/>
                <w:szCs w:val="24"/>
              </w:rPr>
              <w:t>Natural Gas</w:t>
            </w:r>
          </w:p>
        </w:tc>
        <w:tc>
          <w:tcPr>
            <w:tcW w:w="1103" w:type="dxa"/>
          </w:tcPr>
          <w:p w14:paraId="56ED962E" w14:textId="77777777" w:rsidR="003D5BAE"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2</w:t>
            </w:r>
            <w:r w:rsidR="006E110C">
              <w:rPr>
                <w:rFonts w:ascii="Book Antiqua" w:hAnsi="Book Antiqua"/>
                <w:sz w:val="24"/>
                <w:szCs w:val="24"/>
              </w:rPr>
              <w:t>3</w:t>
            </w:r>
            <w:r w:rsidRPr="00467505">
              <w:rPr>
                <w:rFonts w:ascii="Book Antiqua" w:hAnsi="Book Antiqua"/>
                <w:sz w:val="24"/>
                <w:szCs w:val="24"/>
              </w:rPr>
              <w:t>,</w:t>
            </w:r>
            <w:r w:rsidR="006E110C">
              <w:rPr>
                <w:rFonts w:ascii="Book Antiqua" w:hAnsi="Book Antiqua"/>
                <w:sz w:val="24"/>
                <w:szCs w:val="24"/>
              </w:rPr>
              <w:t>536</w:t>
            </w:r>
          </w:p>
        </w:tc>
        <w:tc>
          <w:tcPr>
            <w:tcW w:w="2250" w:type="dxa"/>
          </w:tcPr>
          <w:p w14:paraId="73A73C53" w14:textId="77777777" w:rsidR="003D5BAE"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25,877</w:t>
            </w:r>
          </w:p>
        </w:tc>
        <w:tc>
          <w:tcPr>
            <w:tcW w:w="2762" w:type="dxa"/>
          </w:tcPr>
          <w:p w14:paraId="71C21F48" w14:textId="77777777" w:rsidR="003D5BAE"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2</w:t>
            </w:r>
            <w:r w:rsidR="00084704">
              <w:rPr>
                <w:rFonts w:ascii="Book Antiqua" w:hAnsi="Book Antiqua"/>
                <w:sz w:val="24"/>
                <w:szCs w:val="24"/>
              </w:rPr>
              <w:t>3</w:t>
            </w:r>
            <w:r w:rsidRPr="00467505">
              <w:rPr>
                <w:rFonts w:ascii="Book Antiqua" w:hAnsi="Book Antiqua"/>
                <w:sz w:val="24"/>
                <w:szCs w:val="24"/>
              </w:rPr>
              <w:t>,536</w:t>
            </w:r>
          </w:p>
        </w:tc>
      </w:tr>
      <w:tr w:rsidR="003D5BAE" w:rsidRPr="00467505" w14:paraId="3BAFBB7B" w14:textId="77777777" w:rsidTr="007F1725">
        <w:tc>
          <w:tcPr>
            <w:tcW w:w="3235" w:type="dxa"/>
          </w:tcPr>
          <w:p w14:paraId="3A1481B1" w14:textId="77777777" w:rsidR="003D5BAE" w:rsidRPr="00467505" w:rsidRDefault="00973BC9" w:rsidP="007F1725">
            <w:pPr>
              <w:pStyle w:val="sub2"/>
              <w:spacing w:before="60" w:after="60" w:line="240" w:lineRule="auto"/>
              <w:ind w:firstLine="0"/>
              <w:rPr>
                <w:rFonts w:ascii="Book Antiqua" w:hAnsi="Book Antiqua"/>
                <w:sz w:val="24"/>
                <w:szCs w:val="24"/>
              </w:rPr>
            </w:pPr>
            <w:r w:rsidRPr="00467505">
              <w:rPr>
                <w:rFonts w:ascii="Book Antiqua" w:hAnsi="Book Antiqua"/>
                <w:sz w:val="24"/>
                <w:szCs w:val="24"/>
              </w:rPr>
              <w:t>Hydro (large)</w:t>
            </w:r>
          </w:p>
        </w:tc>
        <w:tc>
          <w:tcPr>
            <w:tcW w:w="1103" w:type="dxa"/>
          </w:tcPr>
          <w:p w14:paraId="3FC03C77" w14:textId="77777777" w:rsidR="003D5BAE"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7,844</w:t>
            </w:r>
          </w:p>
        </w:tc>
        <w:tc>
          <w:tcPr>
            <w:tcW w:w="2250" w:type="dxa"/>
          </w:tcPr>
          <w:p w14:paraId="4CDC80EA" w14:textId="77777777" w:rsidR="003D5BAE"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7,844</w:t>
            </w:r>
          </w:p>
        </w:tc>
        <w:tc>
          <w:tcPr>
            <w:tcW w:w="2762" w:type="dxa"/>
          </w:tcPr>
          <w:p w14:paraId="424A6920" w14:textId="77777777" w:rsidR="003D5BAE"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7,844</w:t>
            </w:r>
          </w:p>
        </w:tc>
      </w:tr>
      <w:tr w:rsidR="003D5BAE" w:rsidRPr="00467505" w14:paraId="7BC783E2" w14:textId="77777777" w:rsidTr="007F1725">
        <w:tc>
          <w:tcPr>
            <w:tcW w:w="3235" w:type="dxa"/>
          </w:tcPr>
          <w:p w14:paraId="5FB822C4" w14:textId="77777777" w:rsidR="003D5BAE" w:rsidRPr="00467505" w:rsidRDefault="00973BC9" w:rsidP="007F1725">
            <w:pPr>
              <w:pStyle w:val="sub2"/>
              <w:spacing w:before="60" w:after="60" w:line="240" w:lineRule="auto"/>
              <w:ind w:firstLine="0"/>
              <w:rPr>
                <w:rFonts w:ascii="Book Antiqua" w:hAnsi="Book Antiqua"/>
                <w:sz w:val="24"/>
                <w:szCs w:val="24"/>
              </w:rPr>
            </w:pPr>
            <w:r w:rsidRPr="00467505">
              <w:rPr>
                <w:rFonts w:ascii="Book Antiqua" w:hAnsi="Book Antiqua"/>
                <w:sz w:val="24"/>
                <w:szCs w:val="24"/>
              </w:rPr>
              <w:t>Biomass</w:t>
            </w:r>
          </w:p>
        </w:tc>
        <w:tc>
          <w:tcPr>
            <w:tcW w:w="1103" w:type="dxa"/>
          </w:tcPr>
          <w:p w14:paraId="361AA52D" w14:textId="77777777" w:rsidR="003D5BAE"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916</w:t>
            </w:r>
          </w:p>
        </w:tc>
        <w:tc>
          <w:tcPr>
            <w:tcW w:w="2250" w:type="dxa"/>
          </w:tcPr>
          <w:p w14:paraId="373F7F5F" w14:textId="77777777" w:rsidR="003D5BAE"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725</w:t>
            </w:r>
          </w:p>
        </w:tc>
        <w:tc>
          <w:tcPr>
            <w:tcW w:w="2762" w:type="dxa"/>
          </w:tcPr>
          <w:p w14:paraId="1A06390E" w14:textId="77777777" w:rsidR="003D5BAE"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725</w:t>
            </w:r>
          </w:p>
        </w:tc>
      </w:tr>
      <w:tr w:rsidR="00973BC9" w:rsidRPr="00467505" w14:paraId="5FC3119E" w14:textId="77777777" w:rsidTr="007F1725">
        <w:tc>
          <w:tcPr>
            <w:tcW w:w="3235" w:type="dxa"/>
          </w:tcPr>
          <w:p w14:paraId="301B5EFA" w14:textId="77777777" w:rsidR="00973BC9" w:rsidRPr="00467505" w:rsidRDefault="00973BC9" w:rsidP="007F1725">
            <w:pPr>
              <w:pStyle w:val="sub2"/>
              <w:spacing w:before="60" w:after="60" w:line="240" w:lineRule="auto"/>
              <w:ind w:firstLine="0"/>
              <w:rPr>
                <w:rFonts w:ascii="Book Antiqua" w:hAnsi="Book Antiqua"/>
                <w:sz w:val="24"/>
                <w:szCs w:val="24"/>
              </w:rPr>
            </w:pPr>
            <w:r w:rsidRPr="00467505">
              <w:rPr>
                <w:rFonts w:ascii="Book Antiqua" w:hAnsi="Book Antiqua"/>
                <w:sz w:val="24"/>
                <w:szCs w:val="24"/>
              </w:rPr>
              <w:t>Geothermal</w:t>
            </w:r>
          </w:p>
        </w:tc>
        <w:tc>
          <w:tcPr>
            <w:tcW w:w="1103" w:type="dxa"/>
          </w:tcPr>
          <w:p w14:paraId="251769A0"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1,577</w:t>
            </w:r>
          </w:p>
        </w:tc>
        <w:tc>
          <w:tcPr>
            <w:tcW w:w="2250" w:type="dxa"/>
          </w:tcPr>
          <w:p w14:paraId="0E3BD993"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2,920</w:t>
            </w:r>
          </w:p>
        </w:tc>
        <w:tc>
          <w:tcPr>
            <w:tcW w:w="2762" w:type="dxa"/>
          </w:tcPr>
          <w:p w14:paraId="29168397"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2,894</w:t>
            </w:r>
          </w:p>
        </w:tc>
      </w:tr>
      <w:tr w:rsidR="00973BC9" w:rsidRPr="00467505" w14:paraId="3687CBE3" w14:textId="77777777" w:rsidTr="007F1725">
        <w:tc>
          <w:tcPr>
            <w:tcW w:w="3235" w:type="dxa"/>
          </w:tcPr>
          <w:p w14:paraId="5987CB77" w14:textId="77777777" w:rsidR="00973BC9" w:rsidRPr="00467505" w:rsidRDefault="00973BC9" w:rsidP="007F1725">
            <w:pPr>
              <w:pStyle w:val="sub2"/>
              <w:spacing w:before="60" w:after="60" w:line="240" w:lineRule="auto"/>
              <w:ind w:firstLine="0"/>
              <w:rPr>
                <w:rFonts w:ascii="Book Antiqua" w:hAnsi="Book Antiqua"/>
                <w:sz w:val="24"/>
                <w:szCs w:val="24"/>
              </w:rPr>
            </w:pPr>
            <w:r w:rsidRPr="00467505">
              <w:rPr>
                <w:rFonts w:ascii="Book Antiqua" w:hAnsi="Book Antiqua"/>
                <w:sz w:val="24"/>
                <w:szCs w:val="24"/>
              </w:rPr>
              <w:t>Hydro (small)</w:t>
            </w:r>
          </w:p>
        </w:tc>
        <w:tc>
          <w:tcPr>
            <w:tcW w:w="1103" w:type="dxa"/>
          </w:tcPr>
          <w:p w14:paraId="499571BE"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466</w:t>
            </w:r>
          </w:p>
        </w:tc>
        <w:tc>
          <w:tcPr>
            <w:tcW w:w="2250" w:type="dxa"/>
          </w:tcPr>
          <w:p w14:paraId="053953E1"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466</w:t>
            </w:r>
          </w:p>
        </w:tc>
        <w:tc>
          <w:tcPr>
            <w:tcW w:w="2762" w:type="dxa"/>
          </w:tcPr>
          <w:p w14:paraId="035387A7"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466</w:t>
            </w:r>
          </w:p>
        </w:tc>
      </w:tr>
      <w:tr w:rsidR="00973BC9" w:rsidRPr="00467505" w14:paraId="5A7537F5" w14:textId="77777777" w:rsidTr="007F1725">
        <w:tc>
          <w:tcPr>
            <w:tcW w:w="3235" w:type="dxa"/>
          </w:tcPr>
          <w:p w14:paraId="12A5A27B" w14:textId="77777777" w:rsidR="00973BC9" w:rsidRPr="00467505" w:rsidRDefault="00973BC9" w:rsidP="007F1725">
            <w:pPr>
              <w:pStyle w:val="sub2"/>
              <w:spacing w:before="60" w:after="60" w:line="240" w:lineRule="auto"/>
              <w:ind w:firstLine="0"/>
              <w:rPr>
                <w:rFonts w:ascii="Book Antiqua" w:hAnsi="Book Antiqua"/>
                <w:sz w:val="24"/>
                <w:szCs w:val="24"/>
              </w:rPr>
            </w:pPr>
            <w:r w:rsidRPr="00467505">
              <w:rPr>
                <w:rFonts w:ascii="Book Antiqua" w:hAnsi="Book Antiqua"/>
                <w:sz w:val="24"/>
                <w:szCs w:val="24"/>
              </w:rPr>
              <w:t>Wind</w:t>
            </w:r>
          </w:p>
        </w:tc>
        <w:tc>
          <w:tcPr>
            <w:tcW w:w="1103" w:type="dxa"/>
          </w:tcPr>
          <w:p w14:paraId="7756F916"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11,292</w:t>
            </w:r>
          </w:p>
        </w:tc>
        <w:tc>
          <w:tcPr>
            <w:tcW w:w="2250" w:type="dxa"/>
          </w:tcPr>
          <w:p w14:paraId="5E9EA7DE"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10,439</w:t>
            </w:r>
          </w:p>
        </w:tc>
        <w:tc>
          <w:tcPr>
            <w:tcW w:w="2762" w:type="dxa"/>
          </w:tcPr>
          <w:p w14:paraId="079AD8A0"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9,482</w:t>
            </w:r>
          </w:p>
        </w:tc>
      </w:tr>
      <w:tr w:rsidR="00973BC9" w:rsidRPr="00467505" w14:paraId="15F9C49A" w14:textId="77777777" w:rsidTr="007F1725">
        <w:tc>
          <w:tcPr>
            <w:tcW w:w="3235" w:type="dxa"/>
          </w:tcPr>
          <w:p w14:paraId="5DF096EE" w14:textId="77777777" w:rsidR="00973BC9" w:rsidRPr="00467505" w:rsidRDefault="00973BC9" w:rsidP="007F1725">
            <w:pPr>
              <w:pStyle w:val="sub2"/>
              <w:spacing w:before="60" w:after="60" w:line="240" w:lineRule="auto"/>
              <w:ind w:firstLine="0"/>
              <w:rPr>
                <w:rFonts w:ascii="Book Antiqua" w:hAnsi="Book Antiqua"/>
                <w:sz w:val="24"/>
                <w:szCs w:val="24"/>
              </w:rPr>
            </w:pPr>
            <w:r w:rsidRPr="00467505">
              <w:rPr>
                <w:rFonts w:ascii="Book Antiqua" w:hAnsi="Book Antiqua"/>
                <w:sz w:val="24"/>
                <w:szCs w:val="24"/>
              </w:rPr>
              <w:t>Solar</w:t>
            </w:r>
          </w:p>
        </w:tc>
        <w:tc>
          <w:tcPr>
            <w:tcW w:w="1103" w:type="dxa"/>
          </w:tcPr>
          <w:p w14:paraId="71DB1BFF"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19,662</w:t>
            </w:r>
          </w:p>
        </w:tc>
        <w:tc>
          <w:tcPr>
            <w:tcW w:w="2250" w:type="dxa"/>
          </w:tcPr>
          <w:p w14:paraId="7DCE0948"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18,766</w:t>
            </w:r>
          </w:p>
        </w:tc>
        <w:tc>
          <w:tcPr>
            <w:tcW w:w="2762" w:type="dxa"/>
          </w:tcPr>
          <w:p w14:paraId="644714E7"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19,030</w:t>
            </w:r>
          </w:p>
        </w:tc>
      </w:tr>
      <w:tr w:rsidR="00973BC9" w:rsidRPr="00467505" w14:paraId="5A701691" w14:textId="77777777" w:rsidTr="007F1725">
        <w:tc>
          <w:tcPr>
            <w:tcW w:w="3235" w:type="dxa"/>
          </w:tcPr>
          <w:p w14:paraId="29F803E4" w14:textId="77777777" w:rsidR="00973BC9" w:rsidRPr="00467505" w:rsidRDefault="00973BC9" w:rsidP="007F1725">
            <w:pPr>
              <w:pStyle w:val="sub2"/>
              <w:spacing w:before="60" w:after="60" w:line="240" w:lineRule="auto"/>
              <w:ind w:firstLine="0"/>
              <w:rPr>
                <w:rFonts w:ascii="Book Antiqua" w:hAnsi="Book Antiqua"/>
                <w:sz w:val="24"/>
                <w:szCs w:val="24"/>
              </w:rPr>
            </w:pPr>
            <w:r w:rsidRPr="00467505">
              <w:rPr>
                <w:rFonts w:ascii="Book Antiqua" w:hAnsi="Book Antiqua"/>
                <w:sz w:val="24"/>
                <w:szCs w:val="24"/>
              </w:rPr>
              <w:t>Customer Solar</w:t>
            </w:r>
          </w:p>
        </w:tc>
        <w:tc>
          <w:tcPr>
            <w:tcW w:w="1103" w:type="dxa"/>
          </w:tcPr>
          <w:p w14:paraId="2ABA014B"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19,992</w:t>
            </w:r>
          </w:p>
        </w:tc>
        <w:tc>
          <w:tcPr>
            <w:tcW w:w="2250" w:type="dxa"/>
          </w:tcPr>
          <w:p w14:paraId="3CD06E51"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19,992</w:t>
            </w:r>
          </w:p>
        </w:tc>
        <w:tc>
          <w:tcPr>
            <w:tcW w:w="2762" w:type="dxa"/>
          </w:tcPr>
          <w:p w14:paraId="2324EBA0"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19,992</w:t>
            </w:r>
          </w:p>
        </w:tc>
      </w:tr>
      <w:tr w:rsidR="00973BC9" w:rsidRPr="00467505" w14:paraId="28257A22" w14:textId="77777777" w:rsidTr="007F1725">
        <w:tc>
          <w:tcPr>
            <w:tcW w:w="3235" w:type="dxa"/>
          </w:tcPr>
          <w:p w14:paraId="191E906B" w14:textId="77777777" w:rsidR="00973BC9" w:rsidRPr="00467505" w:rsidRDefault="00973BC9" w:rsidP="007F1725">
            <w:pPr>
              <w:pStyle w:val="sub2"/>
              <w:spacing w:before="60" w:after="60" w:line="240" w:lineRule="auto"/>
              <w:ind w:firstLine="0"/>
              <w:rPr>
                <w:rFonts w:ascii="Book Antiqua" w:hAnsi="Book Antiqua"/>
                <w:sz w:val="24"/>
                <w:szCs w:val="24"/>
              </w:rPr>
            </w:pPr>
            <w:r w:rsidRPr="00467505">
              <w:rPr>
                <w:rFonts w:ascii="Book Antiqua" w:hAnsi="Book Antiqua"/>
                <w:sz w:val="24"/>
                <w:szCs w:val="24"/>
              </w:rPr>
              <w:t>Battery Storage</w:t>
            </w:r>
          </w:p>
        </w:tc>
        <w:tc>
          <w:tcPr>
            <w:tcW w:w="1103" w:type="dxa"/>
          </w:tcPr>
          <w:p w14:paraId="4497273F"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2,729</w:t>
            </w:r>
          </w:p>
        </w:tc>
        <w:tc>
          <w:tcPr>
            <w:tcW w:w="2250" w:type="dxa"/>
          </w:tcPr>
          <w:p w14:paraId="75C97593"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3,429</w:t>
            </w:r>
          </w:p>
        </w:tc>
        <w:tc>
          <w:tcPr>
            <w:tcW w:w="2762" w:type="dxa"/>
          </w:tcPr>
          <w:p w14:paraId="4CB07280"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3,235</w:t>
            </w:r>
          </w:p>
        </w:tc>
      </w:tr>
      <w:tr w:rsidR="00973BC9" w:rsidRPr="00467505" w14:paraId="3FABE1D1" w14:textId="77777777" w:rsidTr="007F1725">
        <w:tc>
          <w:tcPr>
            <w:tcW w:w="3235" w:type="dxa"/>
          </w:tcPr>
          <w:p w14:paraId="40CB37D4" w14:textId="77777777" w:rsidR="00973BC9" w:rsidRPr="00467505" w:rsidRDefault="00973BC9" w:rsidP="007F1725">
            <w:pPr>
              <w:pStyle w:val="sub2"/>
              <w:spacing w:before="60" w:after="60" w:line="240" w:lineRule="auto"/>
              <w:ind w:firstLine="0"/>
              <w:rPr>
                <w:rFonts w:ascii="Book Antiqua" w:hAnsi="Book Antiqua"/>
                <w:sz w:val="24"/>
                <w:szCs w:val="24"/>
              </w:rPr>
            </w:pPr>
            <w:r w:rsidRPr="00467505">
              <w:rPr>
                <w:rFonts w:ascii="Book Antiqua" w:hAnsi="Book Antiqua"/>
                <w:sz w:val="24"/>
                <w:szCs w:val="24"/>
              </w:rPr>
              <w:t>Pumped Storage</w:t>
            </w:r>
          </w:p>
        </w:tc>
        <w:tc>
          <w:tcPr>
            <w:tcW w:w="1103" w:type="dxa"/>
          </w:tcPr>
          <w:p w14:paraId="4F2992D0"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1,832</w:t>
            </w:r>
          </w:p>
        </w:tc>
        <w:tc>
          <w:tcPr>
            <w:tcW w:w="2250" w:type="dxa"/>
          </w:tcPr>
          <w:p w14:paraId="08F20464"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1,832</w:t>
            </w:r>
          </w:p>
        </w:tc>
        <w:tc>
          <w:tcPr>
            <w:tcW w:w="2762" w:type="dxa"/>
          </w:tcPr>
          <w:p w14:paraId="479F271A"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1,832</w:t>
            </w:r>
          </w:p>
        </w:tc>
      </w:tr>
      <w:tr w:rsidR="00973BC9" w:rsidRPr="00467505" w14:paraId="610BEE4F" w14:textId="77777777" w:rsidTr="007F1725">
        <w:tc>
          <w:tcPr>
            <w:tcW w:w="3235" w:type="dxa"/>
          </w:tcPr>
          <w:p w14:paraId="4002F2CE" w14:textId="77777777" w:rsidR="00973BC9" w:rsidRPr="00467505" w:rsidRDefault="00973BC9" w:rsidP="007F1725">
            <w:pPr>
              <w:pStyle w:val="sub2"/>
              <w:spacing w:before="60" w:after="60" w:line="240" w:lineRule="auto"/>
              <w:ind w:firstLine="0"/>
              <w:rPr>
                <w:rFonts w:ascii="Book Antiqua" w:hAnsi="Book Antiqua"/>
                <w:sz w:val="24"/>
                <w:szCs w:val="24"/>
              </w:rPr>
            </w:pPr>
            <w:r w:rsidRPr="00467505">
              <w:rPr>
                <w:rFonts w:ascii="Book Antiqua" w:hAnsi="Book Antiqua"/>
                <w:sz w:val="24"/>
                <w:szCs w:val="24"/>
              </w:rPr>
              <w:t>Shed Demand Response</w:t>
            </w:r>
          </w:p>
        </w:tc>
        <w:tc>
          <w:tcPr>
            <w:tcW w:w="1103" w:type="dxa"/>
          </w:tcPr>
          <w:p w14:paraId="4C29A78B"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1,752</w:t>
            </w:r>
          </w:p>
        </w:tc>
        <w:tc>
          <w:tcPr>
            <w:tcW w:w="2250" w:type="dxa"/>
          </w:tcPr>
          <w:p w14:paraId="750D701C"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1,752</w:t>
            </w:r>
          </w:p>
        </w:tc>
        <w:tc>
          <w:tcPr>
            <w:tcW w:w="2762" w:type="dxa"/>
          </w:tcPr>
          <w:p w14:paraId="1F92E29A" w14:textId="77777777" w:rsidR="00973BC9" w:rsidRPr="00467505" w:rsidRDefault="00973BC9" w:rsidP="007F1725">
            <w:pPr>
              <w:pStyle w:val="sub2"/>
              <w:spacing w:before="60" w:after="60" w:line="240" w:lineRule="auto"/>
              <w:ind w:firstLine="0"/>
              <w:jc w:val="right"/>
              <w:rPr>
                <w:rFonts w:ascii="Book Antiqua" w:hAnsi="Book Antiqua"/>
                <w:sz w:val="24"/>
                <w:szCs w:val="24"/>
              </w:rPr>
            </w:pPr>
            <w:r w:rsidRPr="00467505">
              <w:rPr>
                <w:rFonts w:ascii="Book Antiqua" w:hAnsi="Book Antiqua"/>
                <w:sz w:val="24"/>
                <w:szCs w:val="24"/>
              </w:rPr>
              <w:t>1,752</w:t>
            </w:r>
          </w:p>
        </w:tc>
      </w:tr>
    </w:tbl>
    <w:p w14:paraId="21C227AA" w14:textId="77777777" w:rsidR="003D5BAE" w:rsidRPr="00467505" w:rsidRDefault="003D5BAE" w:rsidP="00CC0215">
      <w:pPr>
        <w:pStyle w:val="sub2"/>
        <w:ind w:firstLine="0"/>
        <w:rPr>
          <w:rFonts w:ascii="Book Antiqua" w:hAnsi="Book Antiqua"/>
        </w:rPr>
      </w:pPr>
    </w:p>
    <w:p w14:paraId="30786BDE" w14:textId="77777777" w:rsidR="00973BC9" w:rsidRPr="00467505" w:rsidRDefault="00973BC9" w:rsidP="00973BC9">
      <w:pPr>
        <w:pStyle w:val="sub2"/>
        <w:rPr>
          <w:rFonts w:ascii="Book Antiqua" w:hAnsi="Book Antiqua"/>
        </w:rPr>
      </w:pPr>
      <w:r w:rsidRPr="00467505">
        <w:rPr>
          <w:rFonts w:ascii="Book Antiqua" w:hAnsi="Book Antiqua"/>
        </w:rPr>
        <w:t>As the table above shows, the main differences between the HCP and the portfolio we are adopting as the PSP (the RSP, with 2017 IEPR assumptions and a 40</w:t>
      </w:r>
      <w:r w:rsidR="00D84A09" w:rsidRPr="00467505">
        <w:rPr>
          <w:rFonts w:ascii="Book Antiqua" w:hAnsi="Book Antiqua"/>
        </w:rPr>
        <w:noBreakHyphen/>
      </w:r>
      <w:r w:rsidRPr="00467505">
        <w:rPr>
          <w:rFonts w:ascii="Book Antiqua" w:hAnsi="Book Antiqua"/>
        </w:rPr>
        <w:t>year fossil</w:t>
      </w:r>
      <w:r w:rsidR="00D84A09" w:rsidRPr="00467505">
        <w:rPr>
          <w:rFonts w:ascii="Book Antiqua" w:hAnsi="Book Antiqua"/>
        </w:rPr>
        <w:noBreakHyphen/>
      </w:r>
      <w:r w:rsidRPr="00467505">
        <w:rPr>
          <w:rFonts w:ascii="Book Antiqua" w:hAnsi="Book Antiqua"/>
        </w:rPr>
        <w:t xml:space="preserve">fueled </w:t>
      </w:r>
      <w:r w:rsidR="00256983">
        <w:rPr>
          <w:rFonts w:ascii="Book Antiqua" w:hAnsi="Book Antiqua"/>
        </w:rPr>
        <w:t xml:space="preserve">resource </w:t>
      </w:r>
      <w:r w:rsidRPr="00467505">
        <w:rPr>
          <w:rFonts w:ascii="Book Antiqua" w:hAnsi="Book Antiqua"/>
        </w:rPr>
        <w:t xml:space="preserve">age limit) are in the amounts of wind, </w:t>
      </w:r>
      <w:r w:rsidR="006F2B4E" w:rsidRPr="00467505">
        <w:rPr>
          <w:rFonts w:ascii="Book Antiqua" w:hAnsi="Book Antiqua"/>
        </w:rPr>
        <w:t xml:space="preserve">solar, </w:t>
      </w:r>
      <w:r w:rsidRPr="00467505">
        <w:rPr>
          <w:rFonts w:ascii="Book Antiqua" w:hAnsi="Book Antiqua"/>
        </w:rPr>
        <w:t xml:space="preserve">and geothermal generation, as well as battery storage. </w:t>
      </w:r>
    </w:p>
    <w:p w14:paraId="16CEE597" w14:textId="77777777" w:rsidR="000B0D6F" w:rsidRPr="00467505" w:rsidRDefault="006F2B4E" w:rsidP="00152A24">
      <w:pPr>
        <w:pStyle w:val="sub2"/>
        <w:rPr>
          <w:rFonts w:ascii="Book Antiqua" w:hAnsi="Book Antiqua"/>
        </w:rPr>
      </w:pPr>
      <w:r w:rsidRPr="00467505">
        <w:rPr>
          <w:rFonts w:ascii="Book Antiqua" w:hAnsi="Book Antiqua"/>
        </w:rPr>
        <w:t xml:space="preserve">As stated above, but worth reiterating, </w:t>
      </w:r>
      <w:r w:rsidR="00256983">
        <w:rPr>
          <w:rFonts w:ascii="Book Antiqua" w:hAnsi="Book Antiqua"/>
        </w:rPr>
        <w:t xml:space="preserve">considering the totality of modeling results presented thus far, </w:t>
      </w:r>
      <w:r w:rsidRPr="00467505">
        <w:rPr>
          <w:rFonts w:ascii="Book Antiqua" w:hAnsi="Book Antiqua"/>
        </w:rPr>
        <w:t>the RSP with the 2017 IEPR assumptions and 40</w:t>
      </w:r>
      <w:r w:rsidR="00D84A09" w:rsidRPr="00467505">
        <w:rPr>
          <w:rFonts w:ascii="Book Antiqua" w:hAnsi="Book Antiqua"/>
        </w:rPr>
        <w:noBreakHyphen/>
      </w:r>
      <w:r w:rsidRPr="00467505">
        <w:rPr>
          <w:rFonts w:ascii="Book Antiqua" w:hAnsi="Book Antiqua"/>
        </w:rPr>
        <w:t xml:space="preserve">year </w:t>
      </w:r>
      <w:r w:rsidR="00256983">
        <w:rPr>
          <w:rFonts w:ascii="Book Antiqua" w:hAnsi="Book Antiqua"/>
        </w:rPr>
        <w:t>lifetime</w:t>
      </w:r>
      <w:r w:rsidR="00256983" w:rsidRPr="00467505">
        <w:rPr>
          <w:rFonts w:ascii="Book Antiqua" w:hAnsi="Book Antiqua"/>
        </w:rPr>
        <w:t xml:space="preserve"> </w:t>
      </w:r>
      <w:r w:rsidRPr="00467505">
        <w:rPr>
          <w:rFonts w:ascii="Book Antiqua" w:hAnsi="Book Antiqua"/>
        </w:rPr>
        <w:t>assumption for fossil resources achieves a more reliable and lower GHG emissions system than the HCP representing the aggregation of individual LSE IRPs.</w:t>
      </w:r>
    </w:p>
    <w:p w14:paraId="1A4A7F57" w14:textId="77777777" w:rsidR="00152A24" w:rsidRDefault="00152A24" w:rsidP="00152A24">
      <w:pPr>
        <w:pStyle w:val="Heading1"/>
      </w:pPr>
      <w:bookmarkStart w:id="136" w:name="_Toc3803850"/>
      <w:r>
        <w:t>Portfolios for Use in CAISO TPP</w:t>
      </w:r>
      <w:bookmarkEnd w:id="136"/>
    </w:p>
    <w:p w14:paraId="3703E9E6" w14:textId="77777777" w:rsidR="00152A24" w:rsidRDefault="002312C8" w:rsidP="004C75AB">
      <w:pPr>
        <w:pStyle w:val="Heading2"/>
      </w:pPr>
      <w:bookmarkStart w:id="137" w:name="_Toc3803851"/>
      <w:r>
        <w:t>Staff Proposal</w:t>
      </w:r>
      <w:bookmarkEnd w:id="137"/>
    </w:p>
    <w:p w14:paraId="2C30E65C" w14:textId="77777777" w:rsidR="00444621" w:rsidRPr="00467505" w:rsidRDefault="00DB3D89" w:rsidP="0028499F">
      <w:pPr>
        <w:pStyle w:val="sub2"/>
        <w:rPr>
          <w:rFonts w:ascii="Book Antiqua" w:hAnsi="Book Antiqua"/>
        </w:rPr>
      </w:pPr>
      <w:r w:rsidRPr="00467505">
        <w:rPr>
          <w:rFonts w:ascii="Book Antiqua" w:hAnsi="Book Antiqua"/>
        </w:rPr>
        <w:t xml:space="preserve">Included in the January 11, 2019 ALJ ruling was a staff recommendation </w:t>
      </w:r>
      <w:r w:rsidR="00444621" w:rsidRPr="00467505">
        <w:rPr>
          <w:rFonts w:ascii="Book Antiqua" w:hAnsi="Book Antiqua"/>
        </w:rPr>
        <w:t>for the portfolios to be used by the CAISO in its 2019</w:t>
      </w:r>
      <w:r w:rsidR="00D84A09" w:rsidRPr="00467505">
        <w:rPr>
          <w:rFonts w:ascii="Book Antiqua" w:hAnsi="Book Antiqua"/>
        </w:rPr>
        <w:noBreakHyphen/>
      </w:r>
      <w:r w:rsidR="00444621" w:rsidRPr="00467505">
        <w:rPr>
          <w:rFonts w:ascii="Book Antiqua" w:hAnsi="Book Antiqua"/>
        </w:rPr>
        <w:t>20 TPP.</w:t>
      </w:r>
      <w:r w:rsidR="00C961F7" w:rsidRPr="00467505">
        <w:rPr>
          <w:rFonts w:ascii="Book Antiqua" w:hAnsi="Book Antiqua"/>
        </w:rPr>
        <w:t xml:space="preserve"> </w:t>
      </w:r>
      <w:r w:rsidR="00444621" w:rsidRPr="00467505">
        <w:rPr>
          <w:rFonts w:ascii="Book Antiqua" w:hAnsi="Book Antiqua"/>
        </w:rPr>
        <w:t xml:space="preserve"> In accordance with a May 2010 m</w:t>
      </w:r>
      <w:r w:rsidR="004779DC">
        <w:rPr>
          <w:rFonts w:ascii="Book Antiqua" w:hAnsi="Book Antiqua"/>
        </w:rPr>
        <w:t xml:space="preserve">emorandum of understanding </w:t>
      </w:r>
      <w:r w:rsidR="00444621" w:rsidRPr="00467505">
        <w:rPr>
          <w:rFonts w:ascii="Book Antiqua" w:hAnsi="Book Antiqua"/>
        </w:rPr>
        <w:t>between the CAISO and the Commission, and in coordination with the CEC, the Commission develops the resource portfolios to be used by the CAISO in its annual TPP.</w:t>
      </w:r>
      <w:r w:rsidR="00C961F7" w:rsidRPr="00467505">
        <w:rPr>
          <w:rFonts w:ascii="Book Antiqua" w:hAnsi="Book Antiqua"/>
        </w:rPr>
        <w:t xml:space="preserve"> </w:t>
      </w:r>
      <w:r w:rsidR="00444621" w:rsidRPr="00467505">
        <w:rPr>
          <w:rFonts w:ascii="Book Antiqua" w:hAnsi="Book Antiqua"/>
        </w:rPr>
        <w:t xml:space="preserve"> The Commission typically transmits to the CAISO multiple distinct portfolios developed through its IRP (or previously, its LTPP) process. </w:t>
      </w:r>
      <w:r w:rsidR="00C961F7" w:rsidRPr="00467505">
        <w:rPr>
          <w:rFonts w:ascii="Book Antiqua" w:hAnsi="Book Antiqua"/>
        </w:rPr>
        <w:t xml:space="preserve"> </w:t>
      </w:r>
      <w:r w:rsidR="00444621" w:rsidRPr="00467505">
        <w:rPr>
          <w:rFonts w:ascii="Book Antiqua" w:hAnsi="Book Antiqua"/>
        </w:rPr>
        <w:t xml:space="preserve">Portfolios include: </w:t>
      </w:r>
    </w:p>
    <w:p w14:paraId="6B022E09" w14:textId="77777777" w:rsidR="00444621" w:rsidRPr="00467505" w:rsidRDefault="00444621" w:rsidP="00C8182B">
      <w:pPr>
        <w:pStyle w:val="sub2"/>
        <w:numPr>
          <w:ilvl w:val="0"/>
          <w:numId w:val="13"/>
        </w:numPr>
        <w:spacing w:after="160" w:line="240" w:lineRule="auto"/>
        <w:ind w:left="1080" w:right="720"/>
        <w:rPr>
          <w:rFonts w:ascii="Book Antiqua" w:hAnsi="Book Antiqua"/>
        </w:rPr>
      </w:pPr>
      <w:r w:rsidRPr="00467505">
        <w:rPr>
          <w:rFonts w:ascii="Book Antiqua" w:hAnsi="Book Antiqua"/>
        </w:rPr>
        <w:t>A “reliability base case” portfolio (transmission solutions identified are considered Category 1 under the CAISO tariff and go to the CAISO Board of Governors for approval)</w:t>
      </w:r>
    </w:p>
    <w:p w14:paraId="4DAD0E92" w14:textId="77777777" w:rsidR="00F43613" w:rsidRPr="00467505" w:rsidRDefault="00444621" w:rsidP="00C8182B">
      <w:pPr>
        <w:pStyle w:val="sub2"/>
        <w:numPr>
          <w:ilvl w:val="0"/>
          <w:numId w:val="13"/>
        </w:numPr>
        <w:spacing w:after="160" w:line="240" w:lineRule="auto"/>
        <w:ind w:left="1080" w:right="720"/>
        <w:rPr>
          <w:rFonts w:ascii="Book Antiqua" w:hAnsi="Book Antiqua"/>
        </w:rPr>
      </w:pPr>
      <w:r w:rsidRPr="00467505">
        <w:rPr>
          <w:rFonts w:ascii="Book Antiqua" w:hAnsi="Book Antiqua"/>
        </w:rPr>
        <w:t>A “policy</w:t>
      </w:r>
      <w:r w:rsidR="00D84A09" w:rsidRPr="00467505">
        <w:rPr>
          <w:rFonts w:ascii="Book Antiqua" w:hAnsi="Book Antiqua"/>
        </w:rPr>
        <w:noBreakHyphen/>
      </w:r>
      <w:r w:rsidRPr="00467505">
        <w:rPr>
          <w:rFonts w:ascii="Book Antiqua" w:hAnsi="Book Antiqua"/>
        </w:rPr>
        <w:t xml:space="preserve">driven base case” portfolio </w:t>
      </w:r>
      <w:r w:rsidR="00F43613" w:rsidRPr="00467505">
        <w:rPr>
          <w:rFonts w:ascii="Book Antiqua" w:hAnsi="Book Antiqua"/>
        </w:rPr>
        <w:t>(transmission solutions identified are also considered Category 1 under the CAISO tariff and go to the CAISO Board of Governors for approval)</w:t>
      </w:r>
    </w:p>
    <w:p w14:paraId="0314E842" w14:textId="77777777" w:rsidR="00444621" w:rsidRPr="00467505" w:rsidRDefault="00F43613" w:rsidP="00C8182B">
      <w:pPr>
        <w:pStyle w:val="sub2"/>
        <w:numPr>
          <w:ilvl w:val="0"/>
          <w:numId w:val="13"/>
        </w:numPr>
        <w:spacing w:after="160" w:line="240" w:lineRule="auto"/>
        <w:ind w:left="1080" w:right="720"/>
        <w:rPr>
          <w:rFonts w:ascii="Book Antiqua" w:hAnsi="Book Antiqua"/>
        </w:rPr>
      </w:pPr>
      <w:r w:rsidRPr="00467505">
        <w:rPr>
          <w:rFonts w:ascii="Book Antiqua" w:hAnsi="Book Antiqua"/>
        </w:rPr>
        <w:t>“Policy</w:t>
      </w:r>
      <w:r w:rsidR="00D84A09" w:rsidRPr="00467505">
        <w:rPr>
          <w:rFonts w:ascii="Book Antiqua" w:hAnsi="Book Antiqua"/>
        </w:rPr>
        <w:noBreakHyphen/>
      </w:r>
      <w:r w:rsidRPr="00467505">
        <w:rPr>
          <w:rFonts w:ascii="Book Antiqua" w:hAnsi="Book Antiqua"/>
        </w:rPr>
        <w:t>driven sensitivity case” portfolio(s) (transmission solutions identified are generally considered Category 2 under the CAISO tariff and generally do not go to the CAISO Board of Governors for approval, except under special circumstances).</w:t>
      </w:r>
    </w:p>
    <w:p w14:paraId="541EF10F" w14:textId="77777777" w:rsidR="0028499F" w:rsidRPr="00467505" w:rsidRDefault="00F43613" w:rsidP="00444621">
      <w:pPr>
        <w:pStyle w:val="sub2"/>
        <w:rPr>
          <w:rFonts w:ascii="Book Antiqua" w:hAnsi="Book Antiqua"/>
        </w:rPr>
      </w:pPr>
      <w:r w:rsidRPr="00467505">
        <w:rPr>
          <w:rFonts w:ascii="Book Antiqua" w:hAnsi="Book Antiqua"/>
        </w:rPr>
        <w:t xml:space="preserve">The January 11, 2019 ALJ ruling included the staff recommendation </w:t>
      </w:r>
      <w:r w:rsidR="00DB3D89" w:rsidRPr="00467505">
        <w:rPr>
          <w:rFonts w:ascii="Book Antiqua" w:hAnsi="Book Antiqua"/>
        </w:rPr>
        <w:t>that the HCP be used as both the “reliability base case” and the “policy</w:t>
      </w:r>
      <w:r w:rsidR="00D84A09" w:rsidRPr="00467505">
        <w:rPr>
          <w:rFonts w:ascii="Book Antiqua" w:hAnsi="Book Antiqua"/>
        </w:rPr>
        <w:noBreakHyphen/>
      </w:r>
      <w:r w:rsidR="00DB3D89" w:rsidRPr="00467505">
        <w:rPr>
          <w:rFonts w:ascii="Book Antiqua" w:hAnsi="Book Antiqua"/>
        </w:rPr>
        <w:t>driven base case” for purposes of the CAISO’s 2019</w:t>
      </w:r>
      <w:r w:rsidR="00D84A09" w:rsidRPr="00467505">
        <w:rPr>
          <w:rFonts w:ascii="Book Antiqua" w:hAnsi="Book Antiqua"/>
        </w:rPr>
        <w:noBreakHyphen/>
      </w:r>
      <w:r w:rsidR="00DB3D89" w:rsidRPr="00467505">
        <w:rPr>
          <w:rFonts w:ascii="Book Antiqua" w:hAnsi="Book Antiqua"/>
        </w:rPr>
        <w:t xml:space="preserve">2020 TPP. </w:t>
      </w:r>
    </w:p>
    <w:p w14:paraId="4212B86C" w14:textId="4DCED6B7" w:rsidR="00F43613" w:rsidRPr="00467505" w:rsidRDefault="00F43613" w:rsidP="00F43613">
      <w:pPr>
        <w:pStyle w:val="sub2"/>
        <w:rPr>
          <w:rFonts w:ascii="Book Antiqua" w:hAnsi="Book Antiqua"/>
        </w:rPr>
      </w:pPr>
      <w:r w:rsidRPr="00467505">
        <w:rPr>
          <w:rFonts w:ascii="Book Antiqua" w:hAnsi="Book Antiqua"/>
        </w:rPr>
        <w:t>For the “policy</w:t>
      </w:r>
      <w:r w:rsidR="00D84A09" w:rsidRPr="00467505">
        <w:rPr>
          <w:rFonts w:ascii="Book Antiqua" w:hAnsi="Book Antiqua"/>
        </w:rPr>
        <w:noBreakHyphen/>
      </w:r>
      <w:r w:rsidRPr="00467505">
        <w:rPr>
          <w:rFonts w:ascii="Book Antiqua" w:hAnsi="Book Antiqua"/>
        </w:rPr>
        <w:t>driven sensitivity” portfolios, the January 11, 2019 ruling included two recommended portfolios to be stud</w:t>
      </w:r>
      <w:r w:rsidR="0066676F">
        <w:rPr>
          <w:rFonts w:ascii="Book Antiqua" w:hAnsi="Book Antiqua"/>
        </w:rPr>
        <w:t>ied, both constrained at the 32 </w:t>
      </w:r>
      <w:r w:rsidRPr="00467505">
        <w:rPr>
          <w:rFonts w:ascii="Book Antiqua" w:hAnsi="Book Antiqua"/>
        </w:rPr>
        <w:t>MMT of GHG emissions level statewide, in order to test the transmission implications of these more aggressive GHG</w:t>
      </w:r>
      <w:r w:rsidR="00D84A09" w:rsidRPr="00467505">
        <w:rPr>
          <w:rFonts w:ascii="Book Antiqua" w:hAnsi="Book Antiqua"/>
        </w:rPr>
        <w:noBreakHyphen/>
      </w:r>
      <w:r w:rsidRPr="00467505">
        <w:rPr>
          <w:rFonts w:ascii="Book Antiqua" w:hAnsi="Book Antiqua"/>
        </w:rPr>
        <w:t xml:space="preserve">reducing portfolios. </w:t>
      </w:r>
      <w:r w:rsidR="00C961F7" w:rsidRPr="00467505">
        <w:rPr>
          <w:rFonts w:ascii="Book Antiqua" w:hAnsi="Book Antiqua"/>
        </w:rPr>
        <w:t xml:space="preserve"> </w:t>
      </w:r>
      <w:r w:rsidRPr="00467505">
        <w:rPr>
          <w:rFonts w:ascii="Book Antiqua" w:hAnsi="Book Antiqua"/>
        </w:rPr>
        <w:t>One of the portfolios assumes a large amount of in</w:t>
      </w:r>
      <w:r w:rsidR="00D84A09" w:rsidRPr="00467505">
        <w:rPr>
          <w:rFonts w:ascii="Book Antiqua" w:hAnsi="Book Antiqua"/>
        </w:rPr>
        <w:noBreakHyphen/>
      </w:r>
      <w:r w:rsidRPr="00467505">
        <w:rPr>
          <w:rFonts w:ascii="Book Antiqua" w:hAnsi="Book Antiqua"/>
        </w:rPr>
        <w:t>state development of renewable resources, while the other portfolio assumes more imported renewables</w:t>
      </w:r>
      <w:r w:rsidR="00354553" w:rsidRPr="00467505">
        <w:rPr>
          <w:rFonts w:ascii="Book Antiqua" w:hAnsi="Book Antiqua"/>
        </w:rPr>
        <w:t>, primarily from Wyoming and New Mexico wind resources</w:t>
      </w:r>
      <w:r w:rsidRPr="00467505">
        <w:rPr>
          <w:rFonts w:ascii="Book Antiqua" w:hAnsi="Book Antiqua"/>
        </w:rPr>
        <w:t xml:space="preserve">. </w:t>
      </w:r>
      <w:r w:rsidR="00C961F7" w:rsidRPr="00467505">
        <w:rPr>
          <w:rFonts w:ascii="Book Antiqua" w:hAnsi="Book Antiqua"/>
        </w:rPr>
        <w:t xml:space="preserve"> </w:t>
      </w:r>
      <w:r w:rsidRPr="00467505">
        <w:rPr>
          <w:rFonts w:ascii="Book Antiqua" w:hAnsi="Book Antiqua"/>
        </w:rPr>
        <w:t xml:space="preserve">These two portfolios, designed using the RESOLVE model, would allow the CAISO to test the distinct transmission needs of the two portfolios. </w:t>
      </w:r>
      <w:r w:rsidR="00C961F7" w:rsidRPr="00467505">
        <w:rPr>
          <w:rFonts w:ascii="Book Antiqua" w:hAnsi="Book Antiqua"/>
        </w:rPr>
        <w:t xml:space="preserve"> </w:t>
      </w:r>
      <w:r w:rsidR="00354553" w:rsidRPr="00467505">
        <w:rPr>
          <w:rFonts w:ascii="Book Antiqua" w:hAnsi="Book Antiqua"/>
        </w:rPr>
        <w:t>Another portfolio was studied that included unconstrained out</w:t>
      </w:r>
      <w:r w:rsidR="00D84A09" w:rsidRPr="00467505">
        <w:rPr>
          <w:rFonts w:ascii="Book Antiqua" w:hAnsi="Book Antiqua"/>
        </w:rPr>
        <w:noBreakHyphen/>
      </w:r>
      <w:r w:rsidR="00354553" w:rsidRPr="00467505">
        <w:rPr>
          <w:rFonts w:ascii="Book Antiqua" w:hAnsi="Book Antiqua"/>
        </w:rPr>
        <w:t>of</w:t>
      </w:r>
      <w:r w:rsidR="00D84A09" w:rsidRPr="00467505">
        <w:rPr>
          <w:rFonts w:ascii="Book Antiqua" w:hAnsi="Book Antiqua"/>
        </w:rPr>
        <w:noBreakHyphen/>
      </w:r>
      <w:r w:rsidR="00354553" w:rsidRPr="00467505">
        <w:rPr>
          <w:rFonts w:ascii="Book Antiqua" w:hAnsi="Book Antiqua"/>
        </w:rPr>
        <w:t xml:space="preserve">state renewables, but was not recommended by staff </w:t>
      </w:r>
      <w:r w:rsidR="006E3998">
        <w:rPr>
          <w:rFonts w:ascii="Book Antiqua" w:hAnsi="Book Antiqua"/>
        </w:rPr>
        <w:t>because it would not be able to leverage the geographical locations of interregional transmission projects that have already been proposed</w:t>
      </w:r>
      <w:r w:rsidR="00256983">
        <w:rPr>
          <w:rFonts w:ascii="Book Antiqua" w:hAnsi="Book Antiqua"/>
        </w:rPr>
        <w:t>, as well as due to the significantly higher cost and resource potential uncertainties for very large amounts of out-of-state renewables</w:t>
      </w:r>
      <w:r w:rsidR="00354553" w:rsidRPr="00467505">
        <w:rPr>
          <w:rFonts w:ascii="Book Antiqua" w:hAnsi="Book Antiqua"/>
        </w:rPr>
        <w:t>.</w:t>
      </w:r>
      <w:r w:rsidR="00256983">
        <w:rPr>
          <w:rFonts w:ascii="Book Antiqua" w:hAnsi="Book Antiqua"/>
        </w:rPr>
        <w:t xml:space="preserve"> </w:t>
      </w:r>
      <w:r w:rsidR="006E3998">
        <w:rPr>
          <w:rFonts w:ascii="Book Antiqua" w:hAnsi="Book Antiqua"/>
        </w:rPr>
        <w:t xml:space="preserve"> The case recommended for study reflects transmission commercial interest delivering wind resources from Wyoming and Mexico to California. </w:t>
      </w:r>
    </w:p>
    <w:p w14:paraId="6339EE42" w14:textId="77777777" w:rsidR="002A0087" w:rsidRPr="00467505" w:rsidRDefault="002A0087" w:rsidP="00F43613">
      <w:pPr>
        <w:pStyle w:val="sub2"/>
        <w:rPr>
          <w:rFonts w:ascii="Book Antiqua" w:hAnsi="Book Antiqua"/>
        </w:rPr>
      </w:pPr>
      <w:r w:rsidRPr="00467505">
        <w:rPr>
          <w:rFonts w:ascii="Book Antiqua" w:hAnsi="Book Antiqua"/>
        </w:rPr>
        <w:t>As mentioned in Section 3 above, the CAISO recently provided updated data on transmission availability by transmission area to Commission staff, gleaned from their 2018</w:t>
      </w:r>
      <w:r w:rsidR="00D84A09" w:rsidRPr="00467505">
        <w:rPr>
          <w:rFonts w:ascii="Book Antiqua" w:hAnsi="Book Antiqua"/>
        </w:rPr>
        <w:noBreakHyphen/>
      </w:r>
      <w:r w:rsidRPr="00467505">
        <w:rPr>
          <w:rFonts w:ascii="Book Antiqua" w:hAnsi="Book Antiqua"/>
        </w:rPr>
        <w:t>19 TPP process</w:t>
      </w:r>
      <w:r w:rsidR="00AA492F" w:rsidRPr="00467505">
        <w:rPr>
          <w:rFonts w:ascii="Book Antiqua" w:hAnsi="Book Antiqua"/>
        </w:rPr>
        <w:t xml:space="preserve">. </w:t>
      </w:r>
      <w:r w:rsidR="00C961F7" w:rsidRPr="00467505">
        <w:rPr>
          <w:rFonts w:ascii="Book Antiqua" w:hAnsi="Book Antiqua"/>
        </w:rPr>
        <w:t xml:space="preserve"> </w:t>
      </w:r>
      <w:r w:rsidR="00AA492F" w:rsidRPr="00467505">
        <w:rPr>
          <w:rFonts w:ascii="Book Antiqua" w:hAnsi="Book Antiqua"/>
        </w:rPr>
        <w:t xml:space="preserve">This data also includes transmission upgrade size and cost assumptions to increase capacity in certain areas. </w:t>
      </w:r>
    </w:p>
    <w:p w14:paraId="407650D0" w14:textId="77777777" w:rsidR="0028499F" w:rsidRDefault="002312C8" w:rsidP="004C75AB">
      <w:pPr>
        <w:pStyle w:val="Heading2"/>
      </w:pPr>
      <w:bookmarkStart w:id="138" w:name="_Toc3803852"/>
      <w:bookmarkStart w:id="139" w:name="_Toc474157899"/>
      <w:r>
        <w:t>Comments of Parties</w:t>
      </w:r>
      <w:bookmarkEnd w:id="138"/>
    </w:p>
    <w:p w14:paraId="1607188D" w14:textId="77777777" w:rsidR="009F1BE6" w:rsidRPr="00467505" w:rsidRDefault="009F1BE6" w:rsidP="009F1BE6">
      <w:pPr>
        <w:pStyle w:val="sub1"/>
        <w:rPr>
          <w:rFonts w:ascii="Book Antiqua" w:hAnsi="Book Antiqua"/>
        </w:rPr>
      </w:pPr>
      <w:r w:rsidRPr="00467505">
        <w:rPr>
          <w:rFonts w:ascii="Book Antiqua" w:hAnsi="Book Antiqua"/>
        </w:rPr>
        <w:t xml:space="preserve">Similar to comments on the appropriateness of the HCP to form the basis of the PSP, parties were split on whether the HCP should be used as the reliability and policy base cases. </w:t>
      </w:r>
      <w:r w:rsidR="00C961F7" w:rsidRPr="00467505">
        <w:rPr>
          <w:rFonts w:ascii="Book Antiqua" w:hAnsi="Book Antiqua"/>
        </w:rPr>
        <w:t xml:space="preserve"> </w:t>
      </w:r>
      <w:r w:rsidRPr="00467505">
        <w:rPr>
          <w:rFonts w:ascii="Book Antiqua" w:hAnsi="Book Antiqua"/>
        </w:rPr>
        <w:t xml:space="preserve">Parties supporting the use of the HCP as the base cases included CAISO, Calpine, PG&amp;E, SDG&amp;E, GridLiance, the Joint CCAs, POC, SDCWA, and TransWest. </w:t>
      </w:r>
      <w:r w:rsidR="00C961F7" w:rsidRPr="00467505">
        <w:rPr>
          <w:rFonts w:ascii="Book Antiqua" w:hAnsi="Book Antiqua"/>
        </w:rPr>
        <w:t xml:space="preserve"> </w:t>
      </w:r>
      <w:r w:rsidRPr="00467505">
        <w:rPr>
          <w:rFonts w:ascii="Book Antiqua" w:hAnsi="Book Antiqua"/>
        </w:rPr>
        <w:t xml:space="preserve">Although the CAISO recommended using the HCP, they noted that if transmission needs are identified, stakeholder feedback could be used to identify resource retention or replacement options to avoid transmission improvements. </w:t>
      </w:r>
    </w:p>
    <w:p w14:paraId="29459CA9" w14:textId="77777777" w:rsidR="009F1BE6" w:rsidRPr="00467505" w:rsidRDefault="003E7D01" w:rsidP="009F1BE6">
      <w:pPr>
        <w:pStyle w:val="sub1"/>
        <w:rPr>
          <w:rFonts w:ascii="Book Antiqua" w:hAnsi="Book Antiqua"/>
        </w:rPr>
      </w:pPr>
      <w:r w:rsidRPr="00467505">
        <w:rPr>
          <w:rFonts w:ascii="Book Antiqua" w:hAnsi="Book Antiqua"/>
        </w:rPr>
        <w:t xml:space="preserve">Parties </w:t>
      </w:r>
      <w:r w:rsidR="00C91F77">
        <w:rPr>
          <w:rFonts w:ascii="Book Antiqua" w:hAnsi="Book Antiqua"/>
        </w:rPr>
        <w:t xml:space="preserve">recommending </w:t>
      </w:r>
      <w:r w:rsidRPr="00467505">
        <w:rPr>
          <w:rFonts w:ascii="Book Antiqua" w:hAnsi="Book Antiqua"/>
        </w:rPr>
        <w:t>against the use of the HCP as a reliability base case included AWEA, CEERT, SCE, Reid, Cal Advocates, Hell’s Kitche</w:t>
      </w:r>
      <w:r w:rsidR="00115A63" w:rsidRPr="00467505">
        <w:rPr>
          <w:rFonts w:ascii="Book Antiqua" w:hAnsi="Book Antiqua"/>
        </w:rPr>
        <w:t>n</w:t>
      </w:r>
      <w:r w:rsidRPr="00467505">
        <w:rPr>
          <w:rFonts w:ascii="Book Antiqua" w:hAnsi="Book Antiqua"/>
        </w:rPr>
        <w:t>, CEJA</w:t>
      </w:r>
      <w:r w:rsidR="00115A63" w:rsidRPr="00467505">
        <w:rPr>
          <w:rFonts w:ascii="Book Antiqua" w:hAnsi="Book Antiqua"/>
        </w:rPr>
        <w:t xml:space="preserve"> and Sierra Club. </w:t>
      </w:r>
      <w:r w:rsidR="00C961F7" w:rsidRPr="00467505">
        <w:rPr>
          <w:rFonts w:ascii="Book Antiqua" w:hAnsi="Book Antiqua"/>
        </w:rPr>
        <w:t xml:space="preserve"> </w:t>
      </w:r>
      <w:r w:rsidR="00115A63" w:rsidRPr="00467505">
        <w:rPr>
          <w:rFonts w:ascii="Book Antiqua" w:hAnsi="Book Antiqua"/>
        </w:rPr>
        <w:t xml:space="preserve">AWEA argued that the HCP is unlikely to lead to new transmission, and high capacity factor resources will not be able to move forward without new transmission. </w:t>
      </w:r>
      <w:r w:rsidR="00C961F7" w:rsidRPr="00467505">
        <w:rPr>
          <w:rFonts w:ascii="Book Antiqua" w:hAnsi="Book Antiqua"/>
        </w:rPr>
        <w:t xml:space="preserve"> </w:t>
      </w:r>
      <w:r w:rsidR="00115A63" w:rsidRPr="00467505">
        <w:rPr>
          <w:rFonts w:ascii="Book Antiqua" w:hAnsi="Book Antiqua"/>
        </w:rPr>
        <w:t xml:space="preserve">CEERT, ED, </w:t>
      </w:r>
      <w:r w:rsidR="00287C46">
        <w:rPr>
          <w:rFonts w:ascii="Book Antiqua" w:hAnsi="Book Antiqua"/>
        </w:rPr>
        <w:t xml:space="preserve">and </w:t>
      </w:r>
      <w:r w:rsidR="00115A63" w:rsidRPr="00467505">
        <w:rPr>
          <w:rFonts w:ascii="Book Antiqua" w:hAnsi="Book Antiqua"/>
        </w:rPr>
        <w:t xml:space="preserve">NRG objected because the portfolio does not meet the GHG emissions target, hindering progress toward state goals. </w:t>
      </w:r>
      <w:r w:rsidR="00C961F7" w:rsidRPr="00467505">
        <w:rPr>
          <w:rFonts w:ascii="Book Antiqua" w:hAnsi="Book Antiqua"/>
        </w:rPr>
        <w:t xml:space="preserve"> </w:t>
      </w:r>
      <w:r w:rsidR="00115A63" w:rsidRPr="00467505">
        <w:rPr>
          <w:rFonts w:ascii="Book Antiqua" w:hAnsi="Book Antiqua"/>
        </w:rPr>
        <w:t xml:space="preserve">GPI, TURN, and Cal Advocates were concerned that LSE procurement will differ significantly from the HCP, leading to stranded transmission assets. </w:t>
      </w:r>
      <w:r w:rsidR="00C961F7" w:rsidRPr="00467505">
        <w:rPr>
          <w:rFonts w:ascii="Book Antiqua" w:hAnsi="Book Antiqua"/>
        </w:rPr>
        <w:t xml:space="preserve"> </w:t>
      </w:r>
      <w:r w:rsidR="00115A63" w:rsidRPr="00467505">
        <w:rPr>
          <w:rFonts w:ascii="Book Antiqua" w:hAnsi="Book Antiqua"/>
        </w:rPr>
        <w:t xml:space="preserve">Cal Advocates therefore argued that the Commission should not submit any base case, and TURN advocated that the HCP never be used to support transmission investments. </w:t>
      </w:r>
      <w:r w:rsidR="00C961F7" w:rsidRPr="00467505">
        <w:rPr>
          <w:rFonts w:ascii="Book Antiqua" w:hAnsi="Book Antiqua"/>
        </w:rPr>
        <w:t xml:space="preserve"> </w:t>
      </w:r>
      <w:r w:rsidR="00115A63" w:rsidRPr="00467505">
        <w:rPr>
          <w:rFonts w:ascii="Book Antiqua" w:hAnsi="Book Antiqua"/>
        </w:rPr>
        <w:t xml:space="preserve">SCE also pointed out that a number of LSEs cautioned the Commission again using their plans for planning such as the TPP. </w:t>
      </w:r>
    </w:p>
    <w:p w14:paraId="6E97C526" w14:textId="77777777" w:rsidR="00115A63" w:rsidRPr="00467505" w:rsidRDefault="00115A63" w:rsidP="009F1BE6">
      <w:pPr>
        <w:pStyle w:val="sub1"/>
        <w:rPr>
          <w:rFonts w:ascii="Book Antiqua" w:hAnsi="Book Antiqua"/>
        </w:rPr>
      </w:pPr>
      <w:r w:rsidRPr="00467505">
        <w:rPr>
          <w:rFonts w:ascii="Book Antiqua" w:hAnsi="Book Antiqua"/>
        </w:rPr>
        <w:t xml:space="preserve">CEERT, SCE, CEJA and Sierra Club, and Reid recommended that the RSP with the 2017 IEPR assumptions be used as the reliability base case. </w:t>
      </w:r>
    </w:p>
    <w:p w14:paraId="4F734721" w14:textId="77777777" w:rsidR="00115A63" w:rsidRPr="00467505" w:rsidRDefault="00115A63" w:rsidP="009F1BE6">
      <w:pPr>
        <w:pStyle w:val="sub1"/>
        <w:rPr>
          <w:rFonts w:ascii="Book Antiqua" w:hAnsi="Book Antiqua"/>
        </w:rPr>
      </w:pPr>
      <w:r w:rsidRPr="00467505">
        <w:rPr>
          <w:rFonts w:ascii="Book Antiqua" w:hAnsi="Book Antiqua"/>
        </w:rPr>
        <w:t xml:space="preserve">The majority of commenting parties also opposed using a different portfolio that the one adopted as the PSP for purposes of transmission planning, including PG&amp;E, CAISO, SCE, Calpine, CESA, GPI, GridLiance, and WPTF. </w:t>
      </w:r>
    </w:p>
    <w:p w14:paraId="147C8E70" w14:textId="77777777" w:rsidR="002C5C77" w:rsidRPr="00467505" w:rsidRDefault="002C5C77" w:rsidP="009F1BE6">
      <w:pPr>
        <w:pStyle w:val="sub1"/>
        <w:rPr>
          <w:rFonts w:ascii="Book Antiqua" w:hAnsi="Book Antiqua"/>
        </w:rPr>
      </w:pPr>
      <w:r w:rsidRPr="00467505">
        <w:rPr>
          <w:rFonts w:ascii="Book Antiqua" w:hAnsi="Book Antiqua"/>
        </w:rPr>
        <w:t>Turning to the policy</w:t>
      </w:r>
      <w:r w:rsidR="00D84A09" w:rsidRPr="00467505">
        <w:rPr>
          <w:rFonts w:ascii="Book Antiqua" w:hAnsi="Book Antiqua"/>
        </w:rPr>
        <w:noBreakHyphen/>
      </w:r>
      <w:r w:rsidRPr="00467505">
        <w:rPr>
          <w:rFonts w:ascii="Book Antiqua" w:hAnsi="Book Antiqua"/>
        </w:rPr>
        <w:t xml:space="preserve">driven sensitivity portfolios, a number of parties supported the staff recommendation to </w:t>
      </w:r>
      <w:r w:rsidR="00F93A31">
        <w:rPr>
          <w:rFonts w:ascii="Book Antiqua" w:hAnsi="Book Antiqua"/>
        </w:rPr>
        <w:t>examine</w:t>
      </w:r>
      <w:r w:rsidR="00F93A31" w:rsidRPr="00467505">
        <w:rPr>
          <w:rFonts w:ascii="Book Antiqua" w:hAnsi="Book Antiqua"/>
        </w:rPr>
        <w:t xml:space="preserve"> </w:t>
      </w:r>
      <w:r w:rsidRPr="00467505">
        <w:rPr>
          <w:rFonts w:ascii="Book Antiqua" w:hAnsi="Book Antiqua"/>
        </w:rPr>
        <w:t>two distinct portfolios testing the transmission needs of a portfolio with heavy in</w:t>
      </w:r>
      <w:r w:rsidR="00D84A09" w:rsidRPr="00467505">
        <w:rPr>
          <w:rFonts w:ascii="Book Antiqua" w:hAnsi="Book Antiqua"/>
        </w:rPr>
        <w:noBreakHyphen/>
      </w:r>
      <w:r w:rsidRPr="00467505">
        <w:rPr>
          <w:rFonts w:ascii="Book Antiqua" w:hAnsi="Book Antiqua"/>
        </w:rPr>
        <w:t>state renewables and one with more renewable development outside of California</w:t>
      </w:r>
      <w:r w:rsidR="00354553" w:rsidRPr="00467505">
        <w:rPr>
          <w:rFonts w:ascii="Book Antiqua" w:hAnsi="Book Antiqua"/>
        </w:rPr>
        <w:t>, especially New Mexico and Wyoming</w:t>
      </w:r>
      <w:r w:rsidRPr="00467505">
        <w:rPr>
          <w:rFonts w:ascii="Book Antiqua" w:hAnsi="Book Antiqua"/>
        </w:rPr>
        <w:t xml:space="preserve">. </w:t>
      </w:r>
      <w:r w:rsidR="00C961F7" w:rsidRPr="00467505">
        <w:rPr>
          <w:rFonts w:ascii="Book Antiqua" w:hAnsi="Book Antiqua"/>
        </w:rPr>
        <w:t xml:space="preserve"> </w:t>
      </w:r>
      <w:r w:rsidRPr="00467505">
        <w:rPr>
          <w:rFonts w:ascii="Book Antiqua" w:hAnsi="Book Antiqua"/>
        </w:rPr>
        <w:t xml:space="preserve">Parties supporting testing of both portfolios included CAISO, Calpine, CEJA and Sierra Club, GPI, Cal Advocates, SCE, TransWest, and NRG. </w:t>
      </w:r>
    </w:p>
    <w:p w14:paraId="0971232D" w14:textId="77777777" w:rsidR="002C5C77" w:rsidRPr="00467505" w:rsidRDefault="002C5C77" w:rsidP="009F1BE6">
      <w:pPr>
        <w:pStyle w:val="sub1"/>
        <w:rPr>
          <w:rFonts w:ascii="Book Antiqua" w:hAnsi="Book Antiqua"/>
        </w:rPr>
      </w:pPr>
      <w:r w:rsidRPr="00467505">
        <w:rPr>
          <w:rFonts w:ascii="Book Antiqua" w:hAnsi="Book Antiqua"/>
        </w:rPr>
        <w:t>Some parties preferred that the Commission only forward the in</w:t>
      </w:r>
      <w:r w:rsidR="00D84A09" w:rsidRPr="00467505">
        <w:rPr>
          <w:rFonts w:ascii="Book Antiqua" w:hAnsi="Book Antiqua"/>
        </w:rPr>
        <w:noBreakHyphen/>
      </w:r>
      <w:r w:rsidRPr="00467505">
        <w:rPr>
          <w:rFonts w:ascii="Book Antiqua" w:hAnsi="Book Antiqua"/>
        </w:rPr>
        <w:t xml:space="preserve">state renewable portfolio for sensitivity study, including POC and SWPG. </w:t>
      </w:r>
      <w:r w:rsidR="00C961F7" w:rsidRPr="00467505">
        <w:rPr>
          <w:rFonts w:ascii="Book Antiqua" w:hAnsi="Book Antiqua"/>
        </w:rPr>
        <w:t xml:space="preserve"> </w:t>
      </w:r>
      <w:r w:rsidR="00354553" w:rsidRPr="00467505">
        <w:rPr>
          <w:rFonts w:ascii="Book Antiqua" w:hAnsi="Book Antiqua"/>
        </w:rPr>
        <w:t>Some parties would have preferred that the CAISO study the more unconstrained out</w:t>
      </w:r>
      <w:r w:rsidR="00D84A09" w:rsidRPr="00467505">
        <w:rPr>
          <w:rFonts w:ascii="Book Antiqua" w:hAnsi="Book Antiqua"/>
        </w:rPr>
        <w:noBreakHyphen/>
      </w:r>
      <w:r w:rsidR="00354553" w:rsidRPr="00467505">
        <w:rPr>
          <w:rFonts w:ascii="Book Antiqua" w:hAnsi="Book Antiqua"/>
        </w:rPr>
        <w:t>of</w:t>
      </w:r>
      <w:r w:rsidR="00D84A09" w:rsidRPr="00467505">
        <w:rPr>
          <w:rFonts w:ascii="Book Antiqua" w:hAnsi="Book Antiqua"/>
        </w:rPr>
        <w:noBreakHyphen/>
      </w:r>
      <w:r w:rsidR="00354553" w:rsidRPr="00467505">
        <w:rPr>
          <w:rFonts w:ascii="Book Antiqua" w:hAnsi="Book Antiqua"/>
        </w:rPr>
        <w:t xml:space="preserve">state renewable development case not recommended by staff, including AWEA, Reid, and TransWest. </w:t>
      </w:r>
    </w:p>
    <w:p w14:paraId="545F2992" w14:textId="77777777" w:rsidR="00354553" w:rsidRPr="00467505" w:rsidRDefault="00354553" w:rsidP="009F1BE6">
      <w:pPr>
        <w:pStyle w:val="sub1"/>
        <w:rPr>
          <w:rFonts w:ascii="Book Antiqua" w:hAnsi="Book Antiqua"/>
        </w:rPr>
      </w:pPr>
      <w:r w:rsidRPr="00467505">
        <w:rPr>
          <w:rFonts w:ascii="Book Antiqua" w:hAnsi="Book Antiqua"/>
        </w:rPr>
        <w:t xml:space="preserve">Finally, GridLiance, Hell’s Kitchen, and LS Power expressed concerns with either of the cases being studied in the CAISO process, with GridLiance primarily objecting due to the limited opportunity to vet the cases with stakeholders. </w:t>
      </w:r>
    </w:p>
    <w:p w14:paraId="61CAB707" w14:textId="77777777" w:rsidR="0028499F" w:rsidRDefault="002312C8" w:rsidP="004C75AB">
      <w:pPr>
        <w:pStyle w:val="Heading2"/>
      </w:pPr>
      <w:bookmarkStart w:id="140" w:name="_Toc3803853"/>
      <w:r>
        <w:t>Discussion</w:t>
      </w:r>
      <w:bookmarkEnd w:id="140"/>
    </w:p>
    <w:p w14:paraId="38DC8473" w14:textId="77777777" w:rsidR="002312C8" w:rsidRPr="00467505" w:rsidRDefault="00AF0685" w:rsidP="002312C8">
      <w:pPr>
        <w:pStyle w:val="sub1"/>
        <w:rPr>
          <w:rFonts w:ascii="Book Antiqua" w:hAnsi="Book Antiqua"/>
        </w:rPr>
      </w:pPr>
      <w:r w:rsidRPr="00467505">
        <w:rPr>
          <w:rFonts w:ascii="Book Antiqua" w:hAnsi="Book Antiqua"/>
        </w:rPr>
        <w:t>We agree with the majority of parties who argued that the reliability base case and policy</w:t>
      </w:r>
      <w:r w:rsidR="00D84A09" w:rsidRPr="00467505">
        <w:rPr>
          <w:rFonts w:ascii="Book Antiqua" w:hAnsi="Book Antiqua"/>
        </w:rPr>
        <w:noBreakHyphen/>
      </w:r>
      <w:r w:rsidRPr="00467505">
        <w:rPr>
          <w:rFonts w:ascii="Book Antiqua" w:hAnsi="Book Antiqua"/>
        </w:rPr>
        <w:t xml:space="preserve">driven base case should be the same and should also reflect the Commission’s adoption of the PSP. </w:t>
      </w:r>
      <w:r w:rsidR="00C961F7" w:rsidRPr="00467505">
        <w:rPr>
          <w:rFonts w:ascii="Book Antiqua" w:hAnsi="Book Antiqua"/>
        </w:rPr>
        <w:t xml:space="preserve"> </w:t>
      </w:r>
      <w:r w:rsidRPr="00467505">
        <w:rPr>
          <w:rFonts w:ascii="Book Antiqua" w:hAnsi="Book Antiqua"/>
        </w:rPr>
        <w:t>Thus, we recommend that the CAISO utilize the PSP adopted in this decision as the reliability base case and the policy</w:t>
      </w:r>
      <w:r w:rsidR="00D84A09" w:rsidRPr="00467505">
        <w:rPr>
          <w:rFonts w:ascii="Book Antiqua" w:hAnsi="Book Antiqua"/>
        </w:rPr>
        <w:noBreakHyphen/>
      </w:r>
      <w:r w:rsidRPr="00467505">
        <w:rPr>
          <w:rFonts w:ascii="Book Antiqua" w:hAnsi="Book Antiqua"/>
        </w:rPr>
        <w:t>driven base case in its 2019</w:t>
      </w:r>
      <w:r w:rsidR="00D84A09" w:rsidRPr="00467505">
        <w:rPr>
          <w:rFonts w:ascii="Book Antiqua" w:hAnsi="Book Antiqua"/>
        </w:rPr>
        <w:noBreakHyphen/>
      </w:r>
      <w:r w:rsidRPr="00467505">
        <w:rPr>
          <w:rFonts w:ascii="Book Antiqua" w:hAnsi="Book Antiqua"/>
        </w:rPr>
        <w:t xml:space="preserve">20 TPP. </w:t>
      </w:r>
      <w:r w:rsidR="00C961F7" w:rsidRPr="00467505">
        <w:rPr>
          <w:rFonts w:ascii="Book Antiqua" w:hAnsi="Book Antiqua"/>
        </w:rPr>
        <w:t xml:space="preserve"> </w:t>
      </w:r>
      <w:r w:rsidRPr="00467505">
        <w:rPr>
          <w:rFonts w:ascii="Book Antiqua" w:hAnsi="Book Antiqua"/>
        </w:rPr>
        <w:t>This is the PSP that is based on our RSP from this cycle of IRP, but also including the updated 2017 IEPR assumptions and the 40</w:t>
      </w:r>
      <w:r w:rsidR="00D84A09" w:rsidRPr="00467505">
        <w:rPr>
          <w:rFonts w:ascii="Book Antiqua" w:hAnsi="Book Antiqua"/>
        </w:rPr>
        <w:noBreakHyphen/>
      </w:r>
      <w:r w:rsidRPr="00467505">
        <w:rPr>
          <w:rFonts w:ascii="Book Antiqua" w:hAnsi="Book Antiqua"/>
        </w:rPr>
        <w:t xml:space="preserve">year lifetime assumption for </w:t>
      </w:r>
      <w:r w:rsidR="00707CB3">
        <w:rPr>
          <w:rFonts w:ascii="Book Antiqua" w:hAnsi="Book Antiqua"/>
        </w:rPr>
        <w:t xml:space="preserve">fossil-fueled </w:t>
      </w:r>
      <w:r w:rsidRPr="00467505">
        <w:rPr>
          <w:rFonts w:ascii="Book Antiqua" w:hAnsi="Book Antiqua"/>
        </w:rPr>
        <w:t>thermal resources</w:t>
      </w:r>
      <w:r w:rsidR="00707CB3">
        <w:rPr>
          <w:rFonts w:ascii="Book Antiqua" w:hAnsi="Book Antiqua"/>
        </w:rPr>
        <w:t xml:space="preserve"> (where units with contracts still in place at age 40 defer retirement until the end of the contract)</w:t>
      </w:r>
      <w:r w:rsidRPr="00467505">
        <w:rPr>
          <w:rFonts w:ascii="Book Antiqua" w:hAnsi="Book Antiqua"/>
        </w:rPr>
        <w:t>, plus the transmission availability adjustments emanating from the CAISO’s preliminary analysis in its 2018</w:t>
      </w:r>
      <w:r w:rsidR="00D84A09" w:rsidRPr="00467505">
        <w:rPr>
          <w:rFonts w:ascii="Book Antiqua" w:hAnsi="Book Antiqua"/>
        </w:rPr>
        <w:noBreakHyphen/>
      </w:r>
      <w:r w:rsidRPr="00467505">
        <w:rPr>
          <w:rFonts w:ascii="Book Antiqua" w:hAnsi="Book Antiqua"/>
        </w:rPr>
        <w:t>19 TPP.</w:t>
      </w:r>
    </w:p>
    <w:p w14:paraId="7ED201BF" w14:textId="77777777" w:rsidR="00AA492F" w:rsidRPr="00467505" w:rsidRDefault="00AA492F" w:rsidP="002312C8">
      <w:pPr>
        <w:pStyle w:val="sub1"/>
        <w:rPr>
          <w:rFonts w:ascii="Book Antiqua" w:hAnsi="Book Antiqua"/>
        </w:rPr>
      </w:pPr>
      <w:r w:rsidRPr="00467505">
        <w:rPr>
          <w:rFonts w:ascii="Book Antiqua" w:hAnsi="Book Antiqua"/>
        </w:rPr>
        <w:t>In order to make the PSP usable for the CAISO as a reliability and policy</w:t>
      </w:r>
      <w:r w:rsidR="00D84A09" w:rsidRPr="00467505">
        <w:rPr>
          <w:rFonts w:ascii="Book Antiqua" w:hAnsi="Book Antiqua"/>
        </w:rPr>
        <w:noBreakHyphen/>
      </w:r>
      <w:r w:rsidRPr="00467505">
        <w:rPr>
          <w:rFonts w:ascii="Book Antiqua" w:hAnsi="Book Antiqua"/>
        </w:rPr>
        <w:t>driven base case, Commission staff have updated the portfolio based on recently available CAISO information from its 2018</w:t>
      </w:r>
      <w:r w:rsidR="00D84A09" w:rsidRPr="00467505">
        <w:rPr>
          <w:rFonts w:ascii="Book Antiqua" w:hAnsi="Book Antiqua"/>
        </w:rPr>
        <w:noBreakHyphen/>
      </w:r>
      <w:r w:rsidRPr="00467505">
        <w:rPr>
          <w:rFonts w:ascii="Book Antiqua" w:hAnsi="Book Antiqua"/>
        </w:rPr>
        <w:t>19 TPP on transmission availability, along with upgrade size and cost assumptions</w:t>
      </w:r>
      <w:r w:rsidR="00707CB3">
        <w:rPr>
          <w:rFonts w:ascii="Book Antiqua" w:hAnsi="Book Antiqua"/>
        </w:rPr>
        <w:t>, as mentioned above</w:t>
      </w:r>
      <w:r w:rsidRPr="00467505">
        <w:rPr>
          <w:rFonts w:ascii="Book Antiqua" w:hAnsi="Book Antiqua"/>
        </w:rPr>
        <w:t xml:space="preserve">. </w:t>
      </w:r>
      <w:r w:rsidR="00C961F7" w:rsidRPr="00467505">
        <w:rPr>
          <w:rFonts w:ascii="Book Antiqua" w:hAnsi="Book Antiqua"/>
        </w:rPr>
        <w:t xml:space="preserve"> </w:t>
      </w:r>
      <w:r w:rsidRPr="00467505">
        <w:rPr>
          <w:rFonts w:ascii="Book Antiqua" w:hAnsi="Book Antiqua"/>
        </w:rPr>
        <w:t>This new data was reconciled with the portfolio from the RSP with 2017 IEPR assumptions to ensure that the RESOLVE</w:t>
      </w:r>
      <w:r w:rsidR="00D84A09" w:rsidRPr="00467505">
        <w:rPr>
          <w:rFonts w:ascii="Book Antiqua" w:hAnsi="Book Antiqua"/>
        </w:rPr>
        <w:noBreakHyphen/>
      </w:r>
      <w:r w:rsidRPr="00467505">
        <w:rPr>
          <w:rFonts w:ascii="Book Antiqua" w:hAnsi="Book Antiqua"/>
        </w:rPr>
        <w:t>selected resources for each transmission planning area fit within the available space.</w:t>
      </w:r>
      <w:r w:rsidR="00C961F7" w:rsidRPr="00467505">
        <w:rPr>
          <w:rFonts w:ascii="Book Antiqua" w:hAnsi="Book Antiqua"/>
        </w:rPr>
        <w:t xml:space="preserve"> </w:t>
      </w:r>
      <w:r w:rsidRPr="00467505">
        <w:rPr>
          <w:rFonts w:ascii="Book Antiqua" w:hAnsi="Book Antiqua"/>
        </w:rPr>
        <w:t xml:space="preserve"> To the extent possible, new geothermal and wind resources were changed to be fully deliverable sin</w:t>
      </w:r>
      <w:r w:rsidR="00E31C6B">
        <w:rPr>
          <w:rFonts w:ascii="Book Antiqua" w:hAnsi="Book Antiqua"/>
        </w:rPr>
        <w:t>c</w:t>
      </w:r>
      <w:r w:rsidRPr="00467505">
        <w:rPr>
          <w:rFonts w:ascii="Book Antiqua" w:hAnsi="Book Antiqua"/>
        </w:rPr>
        <w:t>e these are higher capacity value resources that would typically bid into resource solicitations as providing resource adequacy.</w:t>
      </w:r>
      <w:r w:rsidR="00C961F7" w:rsidRPr="00467505">
        <w:rPr>
          <w:rFonts w:ascii="Book Antiqua" w:hAnsi="Book Antiqua"/>
        </w:rPr>
        <w:t xml:space="preserve"> </w:t>
      </w:r>
      <w:r w:rsidRPr="00467505">
        <w:rPr>
          <w:rFonts w:ascii="Book Antiqua" w:hAnsi="Book Antiqua"/>
        </w:rPr>
        <w:t xml:space="preserve"> RESOLVE under earlier assumptions did not find a need for new capacity and thus sometimes selected new geothermal and wind as energy</w:t>
      </w:r>
      <w:r w:rsidR="00707CB3">
        <w:rPr>
          <w:rFonts w:ascii="Book Antiqua" w:hAnsi="Book Antiqua"/>
        </w:rPr>
        <w:t>-</w:t>
      </w:r>
      <w:r w:rsidRPr="00467505">
        <w:rPr>
          <w:rFonts w:ascii="Book Antiqua" w:hAnsi="Book Antiqua"/>
        </w:rPr>
        <w:t>only resources.</w:t>
      </w:r>
    </w:p>
    <w:p w14:paraId="5999F1A6" w14:textId="77777777" w:rsidR="00AA492F" w:rsidRPr="00467505" w:rsidRDefault="00AA492F" w:rsidP="002312C8">
      <w:pPr>
        <w:pStyle w:val="sub1"/>
        <w:rPr>
          <w:rFonts w:ascii="Book Antiqua" w:hAnsi="Book Antiqua"/>
        </w:rPr>
      </w:pPr>
      <w:r w:rsidRPr="00467505">
        <w:rPr>
          <w:rFonts w:ascii="Book Antiqua" w:hAnsi="Book Antiqua"/>
        </w:rPr>
        <w:t xml:space="preserve">The final portfolio to be studied in the CAISO’s TPP also required allocating the resources to specific substations on the CAISO transmission grid to facilitate power flow analysis. </w:t>
      </w:r>
      <w:r w:rsidR="00C961F7" w:rsidRPr="00467505">
        <w:rPr>
          <w:rFonts w:ascii="Book Antiqua" w:hAnsi="Book Antiqua"/>
        </w:rPr>
        <w:t xml:space="preserve"> </w:t>
      </w:r>
      <w:r w:rsidRPr="00467505">
        <w:rPr>
          <w:rFonts w:ascii="Book Antiqua" w:hAnsi="Book Antiqua"/>
        </w:rPr>
        <w:t>The final portfolio is posted on the Commission’s web site at:</w:t>
      </w:r>
      <w:r w:rsidR="00707CB3">
        <w:rPr>
          <w:rFonts w:ascii="Book Antiqua" w:hAnsi="Book Antiqua"/>
        </w:rPr>
        <w:t xml:space="preserve"> </w:t>
      </w:r>
      <w:r>
        <w:t>http://www.cpuc.ca.gov/General.aspx?id=6442460548</w:t>
      </w:r>
      <w:r w:rsidR="00707CB3">
        <w:rPr>
          <w:rFonts w:ascii="Book Antiqua" w:hAnsi="Book Antiqua"/>
        </w:rPr>
        <w:t xml:space="preserve">. </w:t>
      </w:r>
    </w:p>
    <w:p w14:paraId="01D8517D" w14:textId="77777777" w:rsidR="00AA492F" w:rsidRPr="00467505" w:rsidRDefault="00AA492F" w:rsidP="002312C8">
      <w:pPr>
        <w:pStyle w:val="sub1"/>
        <w:rPr>
          <w:rFonts w:ascii="Book Antiqua" w:hAnsi="Book Antiqua"/>
        </w:rPr>
      </w:pPr>
      <w:r w:rsidRPr="00467505">
        <w:rPr>
          <w:rFonts w:ascii="Book Antiqua" w:hAnsi="Book Antiqua"/>
        </w:rPr>
        <w:t>The final allocation of the geographically</w:t>
      </w:r>
      <w:r w:rsidR="00D84A09" w:rsidRPr="00467505">
        <w:rPr>
          <w:rFonts w:ascii="Book Antiqua" w:hAnsi="Book Antiqua"/>
        </w:rPr>
        <w:noBreakHyphen/>
      </w:r>
      <w:r w:rsidRPr="00467505">
        <w:rPr>
          <w:rFonts w:ascii="Book Antiqua" w:hAnsi="Book Antiqua"/>
        </w:rPr>
        <w:t>coarse resources in the RSP with the 2017 IEPR assumptions to substations on the CAISO</w:t>
      </w:r>
      <w:r w:rsidR="00D84A09" w:rsidRPr="00467505">
        <w:rPr>
          <w:rFonts w:ascii="Book Antiqua" w:hAnsi="Book Antiqua"/>
        </w:rPr>
        <w:noBreakHyphen/>
      </w:r>
      <w:r w:rsidRPr="00467505">
        <w:rPr>
          <w:rFonts w:ascii="Book Antiqua" w:hAnsi="Book Antiqua"/>
        </w:rPr>
        <w:t>controlled transmission grid was conducted by land</w:t>
      </w:r>
      <w:r w:rsidR="00D84A09" w:rsidRPr="00467505">
        <w:rPr>
          <w:rFonts w:ascii="Book Antiqua" w:hAnsi="Book Antiqua"/>
        </w:rPr>
        <w:noBreakHyphen/>
      </w:r>
      <w:r w:rsidRPr="00467505">
        <w:rPr>
          <w:rFonts w:ascii="Book Antiqua" w:hAnsi="Book Antiqua"/>
        </w:rPr>
        <w:t xml:space="preserve">use experts at the CEC. </w:t>
      </w:r>
      <w:r w:rsidR="00C961F7" w:rsidRPr="00467505">
        <w:rPr>
          <w:rFonts w:ascii="Book Antiqua" w:hAnsi="Book Antiqua"/>
        </w:rPr>
        <w:t xml:space="preserve"> </w:t>
      </w:r>
      <w:r w:rsidRPr="00467505">
        <w:rPr>
          <w:rFonts w:ascii="Book Antiqua" w:hAnsi="Book Antiqua"/>
        </w:rPr>
        <w:t>This allocation also satisfies the recent updates to the available transmission capacity provided by the CAISO.</w:t>
      </w:r>
      <w:r w:rsidR="00707CB3">
        <w:rPr>
          <w:rFonts w:ascii="Book Antiqua" w:hAnsi="Book Antiqua"/>
        </w:rPr>
        <w:t xml:space="preserve">  The allocation is available on the CEC’s website at: </w:t>
      </w:r>
      <w:r>
        <w:t>https://efiling.energy.ca.gov/Lists/DocketLog.aspx?docketnumber=17-MISC-03</w:t>
      </w:r>
      <w:r w:rsidR="00707CB3">
        <w:rPr>
          <w:rFonts w:ascii="Book Antiqua" w:hAnsi="Book Antiqua"/>
        </w:rPr>
        <w:t xml:space="preserve">. </w:t>
      </w:r>
    </w:p>
    <w:p w14:paraId="62BAD644" w14:textId="77777777" w:rsidR="00AF0685" w:rsidRPr="00467505" w:rsidRDefault="00E36D4E" w:rsidP="002312C8">
      <w:pPr>
        <w:pStyle w:val="sub1"/>
        <w:rPr>
          <w:rFonts w:ascii="Book Antiqua" w:hAnsi="Book Antiqua"/>
        </w:rPr>
      </w:pPr>
      <w:r w:rsidRPr="00467505">
        <w:rPr>
          <w:rFonts w:ascii="Book Antiqua" w:hAnsi="Book Antiqua"/>
        </w:rPr>
        <w:t xml:space="preserve">For purposes of the </w:t>
      </w:r>
      <w:r w:rsidR="00F91AA2" w:rsidRPr="00467505">
        <w:rPr>
          <w:rFonts w:ascii="Book Antiqua" w:hAnsi="Book Antiqua"/>
        </w:rPr>
        <w:t>policy</w:t>
      </w:r>
      <w:r w:rsidR="00D84A09" w:rsidRPr="00467505">
        <w:rPr>
          <w:rFonts w:ascii="Book Antiqua" w:hAnsi="Book Antiqua"/>
        </w:rPr>
        <w:noBreakHyphen/>
      </w:r>
      <w:r w:rsidR="00F91AA2" w:rsidRPr="00467505">
        <w:rPr>
          <w:rFonts w:ascii="Book Antiqua" w:hAnsi="Book Antiqua"/>
        </w:rPr>
        <w:t>driven sensitivity cases, we agree with the staff recommendation that it will be wise to study a heavily in</w:t>
      </w:r>
      <w:r w:rsidR="00D84A09" w:rsidRPr="00467505">
        <w:rPr>
          <w:rFonts w:ascii="Book Antiqua" w:hAnsi="Book Antiqua"/>
        </w:rPr>
        <w:noBreakHyphen/>
      </w:r>
      <w:r w:rsidR="00F91AA2" w:rsidRPr="00467505">
        <w:rPr>
          <w:rFonts w:ascii="Book Antiqua" w:hAnsi="Book Antiqua"/>
        </w:rPr>
        <w:t>state renewable development future, as well as one based on reliance on out</w:t>
      </w:r>
      <w:r w:rsidR="00D84A09" w:rsidRPr="00467505">
        <w:rPr>
          <w:rFonts w:ascii="Book Antiqua" w:hAnsi="Book Antiqua"/>
        </w:rPr>
        <w:noBreakHyphen/>
      </w:r>
      <w:r w:rsidR="00F91AA2" w:rsidRPr="00467505">
        <w:rPr>
          <w:rFonts w:ascii="Book Antiqua" w:hAnsi="Book Antiqua"/>
        </w:rPr>
        <w:t>of</w:t>
      </w:r>
      <w:r w:rsidR="00D84A09" w:rsidRPr="00467505">
        <w:rPr>
          <w:rFonts w:ascii="Book Antiqua" w:hAnsi="Book Antiqua"/>
        </w:rPr>
        <w:noBreakHyphen/>
      </w:r>
      <w:r w:rsidR="00F91AA2" w:rsidRPr="00467505">
        <w:rPr>
          <w:rFonts w:ascii="Book Antiqua" w:hAnsi="Book Antiqua"/>
        </w:rPr>
        <w:t>state wind, primarily in Wyoming and New Mexico.</w:t>
      </w:r>
      <w:r w:rsidR="00C961F7" w:rsidRPr="00467505">
        <w:rPr>
          <w:rFonts w:ascii="Book Antiqua" w:hAnsi="Book Antiqua"/>
        </w:rPr>
        <w:t xml:space="preserve"> </w:t>
      </w:r>
      <w:r w:rsidR="00F91AA2" w:rsidRPr="00467505">
        <w:rPr>
          <w:rFonts w:ascii="Book Antiqua" w:hAnsi="Book Antiqua"/>
        </w:rPr>
        <w:t xml:space="preserve"> This should help us to understand the total cost tradeoffs inherent in these resource choices. </w:t>
      </w:r>
      <w:r w:rsidR="00C961F7" w:rsidRPr="00467505">
        <w:rPr>
          <w:rFonts w:ascii="Book Antiqua" w:hAnsi="Book Antiqua"/>
        </w:rPr>
        <w:t xml:space="preserve"> </w:t>
      </w:r>
      <w:r w:rsidR="00F91AA2" w:rsidRPr="00467505">
        <w:rPr>
          <w:rFonts w:ascii="Book Antiqua" w:hAnsi="Book Antiqua"/>
        </w:rPr>
        <w:t>Because these policy</w:t>
      </w:r>
      <w:r w:rsidR="00D84A09" w:rsidRPr="00467505">
        <w:rPr>
          <w:rFonts w:ascii="Book Antiqua" w:hAnsi="Book Antiqua"/>
        </w:rPr>
        <w:noBreakHyphen/>
      </w:r>
      <w:r w:rsidR="00F91AA2" w:rsidRPr="00467505">
        <w:rPr>
          <w:rFonts w:ascii="Book Antiqua" w:hAnsi="Book Antiqua"/>
        </w:rPr>
        <w:t>driven sensitivity cases are not likely to result in near</w:t>
      </w:r>
      <w:r w:rsidR="00D84A09" w:rsidRPr="00467505">
        <w:rPr>
          <w:rFonts w:ascii="Book Antiqua" w:hAnsi="Book Antiqua"/>
        </w:rPr>
        <w:noBreakHyphen/>
      </w:r>
      <w:r w:rsidR="00F91AA2" w:rsidRPr="00467505">
        <w:rPr>
          <w:rFonts w:ascii="Book Antiqua" w:hAnsi="Book Antiqua"/>
        </w:rPr>
        <w:t>term transmission investment, it is appropriate to study these now, to better inform future planning efforts without incurring significant investments now.</w:t>
      </w:r>
    </w:p>
    <w:p w14:paraId="34BACED7" w14:textId="77777777" w:rsidR="00330D24" w:rsidRPr="00467505" w:rsidRDefault="00330D24" w:rsidP="002312C8">
      <w:pPr>
        <w:pStyle w:val="sub1"/>
        <w:rPr>
          <w:rFonts w:ascii="Book Antiqua" w:hAnsi="Book Antiqua"/>
        </w:rPr>
      </w:pPr>
      <w:r w:rsidRPr="00467505">
        <w:rPr>
          <w:rFonts w:ascii="Book Antiqua" w:hAnsi="Book Antiqua"/>
        </w:rPr>
        <w:t xml:space="preserve">In order to </w:t>
      </w:r>
      <w:r w:rsidR="00260187" w:rsidRPr="00467505">
        <w:rPr>
          <w:rFonts w:ascii="Book Antiqua" w:hAnsi="Book Antiqua"/>
        </w:rPr>
        <w:t xml:space="preserve">facilitate CAISO review of these two recommended cases, Commission staff updated the portfolios to be studied utilizing the most recent TPP results from the CAISO on transmission availability, as well as upgrade size and cost assumptions. </w:t>
      </w:r>
      <w:r w:rsidR="00C961F7" w:rsidRPr="00467505">
        <w:rPr>
          <w:rFonts w:ascii="Book Antiqua" w:hAnsi="Book Antiqua"/>
        </w:rPr>
        <w:t xml:space="preserve"> </w:t>
      </w:r>
      <w:r w:rsidR="00260187" w:rsidRPr="00467505">
        <w:rPr>
          <w:rFonts w:ascii="Book Antiqua" w:hAnsi="Book Antiqua"/>
        </w:rPr>
        <w:t>Commission staff then reran the RESOLVE model utilizing this new version</w:t>
      </w:r>
      <w:r w:rsidR="001A0F7D">
        <w:rPr>
          <w:rFonts w:ascii="Book Antiqua" w:hAnsi="Book Antiqua"/>
        </w:rPr>
        <w:t>, and adding the 40-year life assumptions for fossil-fueled resources,</w:t>
      </w:r>
      <w:r w:rsidR="00260187" w:rsidRPr="00467505">
        <w:rPr>
          <w:rFonts w:ascii="Book Antiqua" w:hAnsi="Book Antiqua"/>
        </w:rPr>
        <w:t xml:space="preserve"> to produce updated portfolios. </w:t>
      </w:r>
      <w:r w:rsidR="00C961F7" w:rsidRPr="00467505">
        <w:rPr>
          <w:rFonts w:ascii="Book Antiqua" w:hAnsi="Book Antiqua"/>
        </w:rPr>
        <w:t xml:space="preserve"> </w:t>
      </w:r>
      <w:r w:rsidR="00260187" w:rsidRPr="00467505">
        <w:rPr>
          <w:rFonts w:ascii="Book Antiqua" w:hAnsi="Book Antiqua"/>
        </w:rPr>
        <w:t xml:space="preserve">Overall, the resource mix changed very little. </w:t>
      </w:r>
      <w:r w:rsidR="00C961F7" w:rsidRPr="00467505">
        <w:rPr>
          <w:rFonts w:ascii="Book Antiqua" w:hAnsi="Book Antiqua"/>
        </w:rPr>
        <w:t xml:space="preserve"> </w:t>
      </w:r>
      <w:r w:rsidR="00260187" w:rsidRPr="00467505">
        <w:rPr>
          <w:rFonts w:ascii="Book Antiqua" w:hAnsi="Book Antiqua"/>
        </w:rPr>
        <w:t>However, the mix of in</w:t>
      </w:r>
      <w:r w:rsidR="00D84A09" w:rsidRPr="00467505">
        <w:rPr>
          <w:rFonts w:ascii="Book Antiqua" w:hAnsi="Book Antiqua"/>
        </w:rPr>
        <w:noBreakHyphen/>
      </w:r>
      <w:r w:rsidR="00260187" w:rsidRPr="00467505">
        <w:rPr>
          <w:rFonts w:ascii="Book Antiqua" w:hAnsi="Book Antiqua"/>
        </w:rPr>
        <w:t xml:space="preserve">state new resources by transmission planning area changed moderately. </w:t>
      </w:r>
      <w:r w:rsidR="00C961F7" w:rsidRPr="00467505">
        <w:rPr>
          <w:rFonts w:ascii="Book Antiqua" w:hAnsi="Book Antiqua"/>
        </w:rPr>
        <w:t xml:space="preserve"> </w:t>
      </w:r>
      <w:r w:rsidR="00260187" w:rsidRPr="00467505">
        <w:rPr>
          <w:rFonts w:ascii="Book Antiqua" w:hAnsi="Book Antiqua"/>
        </w:rPr>
        <w:t xml:space="preserve">Some </w:t>
      </w:r>
      <w:r w:rsidR="00F93A31">
        <w:rPr>
          <w:rFonts w:ascii="Book Antiqua" w:hAnsi="Book Antiqua"/>
        </w:rPr>
        <w:t xml:space="preserve">geographic </w:t>
      </w:r>
      <w:r w:rsidR="00260187" w:rsidRPr="00467505">
        <w:rPr>
          <w:rFonts w:ascii="Book Antiqua" w:hAnsi="Book Antiqua"/>
        </w:rPr>
        <w:t xml:space="preserve">areas had increased space </w:t>
      </w:r>
      <w:r w:rsidR="00F93A31">
        <w:rPr>
          <w:rFonts w:ascii="Book Antiqua" w:hAnsi="Book Antiqua"/>
        </w:rPr>
        <w:t xml:space="preserve">available on the transmission system </w:t>
      </w:r>
      <w:r w:rsidR="00260187" w:rsidRPr="00467505">
        <w:rPr>
          <w:rFonts w:ascii="Book Antiqua" w:hAnsi="Book Antiqua"/>
        </w:rPr>
        <w:t>and some had decreased space</w:t>
      </w:r>
      <w:r w:rsidR="00F93A31">
        <w:rPr>
          <w:rFonts w:ascii="Book Antiqua" w:hAnsi="Book Antiqua"/>
        </w:rPr>
        <w:t xml:space="preserve"> available</w:t>
      </w:r>
      <w:r w:rsidR="00260187" w:rsidRPr="00467505">
        <w:rPr>
          <w:rFonts w:ascii="Book Antiqua" w:hAnsi="Book Antiqua"/>
        </w:rPr>
        <w:t>.</w:t>
      </w:r>
      <w:r w:rsidR="00C961F7" w:rsidRPr="00467505">
        <w:rPr>
          <w:rFonts w:ascii="Book Antiqua" w:hAnsi="Book Antiqua"/>
        </w:rPr>
        <w:t xml:space="preserve"> </w:t>
      </w:r>
      <w:r w:rsidR="00260187" w:rsidRPr="00467505">
        <w:rPr>
          <w:rFonts w:ascii="Book Antiqua" w:hAnsi="Book Antiqua"/>
        </w:rPr>
        <w:t xml:space="preserve"> Overall transmission availability encompassing two or more regions also constrained the amount of new resources that could be built within individual areas and groups of areas. </w:t>
      </w:r>
    </w:p>
    <w:p w14:paraId="7D9DDA4E" w14:textId="77777777" w:rsidR="00260187" w:rsidRPr="00467505" w:rsidRDefault="00260187" w:rsidP="002312C8">
      <w:pPr>
        <w:pStyle w:val="sub1"/>
        <w:rPr>
          <w:rFonts w:ascii="Book Antiqua" w:hAnsi="Book Antiqua"/>
        </w:rPr>
      </w:pPr>
      <w:r w:rsidRPr="00467505">
        <w:rPr>
          <w:rFonts w:ascii="Book Antiqua" w:hAnsi="Book Antiqua"/>
        </w:rPr>
        <w:t>Changes in upgrade size and costs also caused RESOLVE to shift its choices for in</w:t>
      </w:r>
      <w:r w:rsidR="00D84A09" w:rsidRPr="00467505">
        <w:rPr>
          <w:rFonts w:ascii="Book Antiqua" w:hAnsi="Book Antiqua"/>
        </w:rPr>
        <w:noBreakHyphen/>
      </w:r>
      <w:r w:rsidRPr="00467505">
        <w:rPr>
          <w:rFonts w:ascii="Book Antiqua" w:hAnsi="Book Antiqua"/>
        </w:rPr>
        <w:t xml:space="preserve">state build between transmission planning areas. </w:t>
      </w:r>
      <w:r w:rsidR="00C961F7" w:rsidRPr="00467505">
        <w:rPr>
          <w:rFonts w:ascii="Book Antiqua" w:hAnsi="Book Antiqua"/>
        </w:rPr>
        <w:t xml:space="preserve"> </w:t>
      </w:r>
      <w:r w:rsidRPr="00467505">
        <w:rPr>
          <w:rFonts w:ascii="Book Antiqua" w:hAnsi="Book Antiqua"/>
        </w:rPr>
        <w:t>Significantly lower cost upgrades in certain areas caused RESOLVE to trigger in</w:t>
      </w:r>
      <w:r w:rsidR="00D84A09" w:rsidRPr="00467505">
        <w:rPr>
          <w:rFonts w:ascii="Book Antiqua" w:hAnsi="Book Antiqua"/>
        </w:rPr>
        <w:noBreakHyphen/>
      </w:r>
      <w:r w:rsidRPr="00467505">
        <w:rPr>
          <w:rFonts w:ascii="Book Antiqua" w:hAnsi="Book Antiqua"/>
        </w:rPr>
        <w:t>state transmission upgrades to access higher</w:t>
      </w:r>
      <w:r w:rsidR="00D84A09" w:rsidRPr="00467505">
        <w:rPr>
          <w:rFonts w:ascii="Book Antiqua" w:hAnsi="Book Antiqua"/>
        </w:rPr>
        <w:noBreakHyphen/>
      </w:r>
      <w:r w:rsidRPr="00467505">
        <w:rPr>
          <w:rFonts w:ascii="Book Antiqua" w:hAnsi="Book Antiqua"/>
        </w:rPr>
        <w:t xml:space="preserve">value renewables within those areas (an additional 1,570 MW in Westlands in the </w:t>
      </w:r>
      <w:r w:rsidR="008A67C2">
        <w:rPr>
          <w:rFonts w:ascii="Book Antiqua" w:hAnsi="Book Antiqua"/>
        </w:rPr>
        <w:t>in-state-development-focused</w:t>
      </w:r>
      <w:r w:rsidR="008A67C2" w:rsidRPr="00467505">
        <w:rPr>
          <w:rFonts w:ascii="Book Antiqua" w:hAnsi="Book Antiqua"/>
        </w:rPr>
        <w:t xml:space="preserve"> </w:t>
      </w:r>
      <w:r w:rsidRPr="00467505">
        <w:rPr>
          <w:rFonts w:ascii="Book Antiqua" w:hAnsi="Book Antiqua"/>
        </w:rPr>
        <w:t>case, and an additional 654 MW in Greater Carrizo in both cases).</w:t>
      </w:r>
    </w:p>
    <w:p w14:paraId="2BCCD820" w14:textId="77777777" w:rsidR="00260187" w:rsidRPr="00467505" w:rsidRDefault="00260187" w:rsidP="002312C8">
      <w:pPr>
        <w:pStyle w:val="sub1"/>
        <w:rPr>
          <w:rFonts w:ascii="Book Antiqua" w:hAnsi="Book Antiqua"/>
        </w:rPr>
      </w:pPr>
      <w:r w:rsidRPr="00467505">
        <w:rPr>
          <w:rFonts w:ascii="Book Antiqua" w:hAnsi="Book Antiqua"/>
        </w:rPr>
        <w:t xml:space="preserve">To the extent possible, new geothermal and wind resources were changed to be fully deliverable since these are higher </w:t>
      </w:r>
      <w:r w:rsidR="00E31C6B">
        <w:rPr>
          <w:rFonts w:ascii="Book Antiqua" w:hAnsi="Book Antiqua"/>
        </w:rPr>
        <w:t>c</w:t>
      </w:r>
      <w:r w:rsidRPr="00467505">
        <w:rPr>
          <w:rFonts w:ascii="Book Antiqua" w:hAnsi="Book Antiqua"/>
        </w:rPr>
        <w:t xml:space="preserve">apacity value resources that would typically bid into resource solicitations as providing resource adequacy capacity. </w:t>
      </w:r>
    </w:p>
    <w:p w14:paraId="6C8C0BC7" w14:textId="77777777" w:rsidR="00260187" w:rsidRPr="00467505" w:rsidRDefault="00260187" w:rsidP="002312C8">
      <w:pPr>
        <w:pStyle w:val="sub1"/>
        <w:rPr>
          <w:rFonts w:ascii="Book Antiqua" w:hAnsi="Book Antiqua"/>
        </w:rPr>
      </w:pPr>
      <w:r w:rsidRPr="00467505">
        <w:rPr>
          <w:rFonts w:ascii="Book Antiqua" w:hAnsi="Book Antiqua"/>
        </w:rPr>
        <w:t xml:space="preserve">The final portfolios to be studied by the CAISO require allocation to specific substations. </w:t>
      </w:r>
      <w:r w:rsidR="00C961F7" w:rsidRPr="00467505">
        <w:rPr>
          <w:rFonts w:ascii="Book Antiqua" w:hAnsi="Book Antiqua"/>
        </w:rPr>
        <w:t xml:space="preserve"> </w:t>
      </w:r>
      <w:r w:rsidRPr="00467505">
        <w:rPr>
          <w:rFonts w:ascii="Book Antiqua" w:hAnsi="Book Antiqua"/>
        </w:rPr>
        <w:t>The CEC land</w:t>
      </w:r>
      <w:r w:rsidR="00D84A09" w:rsidRPr="00467505">
        <w:rPr>
          <w:rFonts w:ascii="Book Antiqua" w:hAnsi="Book Antiqua"/>
        </w:rPr>
        <w:noBreakHyphen/>
      </w:r>
      <w:r w:rsidRPr="00467505">
        <w:rPr>
          <w:rFonts w:ascii="Book Antiqua" w:hAnsi="Book Antiqua"/>
        </w:rPr>
        <w:t xml:space="preserve">use staff did this </w:t>
      </w:r>
      <w:r w:rsidR="00F93A31">
        <w:rPr>
          <w:rFonts w:ascii="Book Antiqua" w:hAnsi="Book Antiqua"/>
        </w:rPr>
        <w:t>mapping</w:t>
      </w:r>
      <w:r w:rsidR="00F93A31" w:rsidRPr="00467505">
        <w:rPr>
          <w:rFonts w:ascii="Book Antiqua" w:hAnsi="Book Antiqua"/>
        </w:rPr>
        <w:t xml:space="preserve"> </w:t>
      </w:r>
      <w:r w:rsidRPr="00467505">
        <w:rPr>
          <w:rFonts w:ascii="Book Antiqua" w:hAnsi="Book Antiqua"/>
        </w:rPr>
        <w:t>for the policy</w:t>
      </w:r>
      <w:r w:rsidR="00D84A09" w:rsidRPr="00467505">
        <w:rPr>
          <w:rFonts w:ascii="Book Antiqua" w:hAnsi="Book Antiqua"/>
        </w:rPr>
        <w:noBreakHyphen/>
      </w:r>
      <w:r w:rsidRPr="00467505">
        <w:rPr>
          <w:rFonts w:ascii="Book Antiqua" w:hAnsi="Book Antiqua"/>
        </w:rPr>
        <w:t xml:space="preserve">driven sensitivity cases, just like the base cases. </w:t>
      </w:r>
    </w:p>
    <w:p w14:paraId="53ACCE6C" w14:textId="77777777" w:rsidR="002938FF" w:rsidRPr="00467505" w:rsidRDefault="002938FF" w:rsidP="002312C8">
      <w:pPr>
        <w:pStyle w:val="sub1"/>
        <w:rPr>
          <w:rFonts w:ascii="Book Antiqua" w:hAnsi="Book Antiqua"/>
        </w:rPr>
      </w:pPr>
      <w:r w:rsidRPr="00467505">
        <w:rPr>
          <w:rFonts w:ascii="Book Antiqua" w:hAnsi="Book Antiqua"/>
        </w:rPr>
        <w:t>The portfolios for the policy</w:t>
      </w:r>
      <w:r w:rsidR="00D84A09" w:rsidRPr="00467505">
        <w:rPr>
          <w:rFonts w:ascii="Book Antiqua" w:hAnsi="Book Antiqua"/>
        </w:rPr>
        <w:noBreakHyphen/>
      </w:r>
      <w:r w:rsidRPr="00467505">
        <w:rPr>
          <w:rFonts w:ascii="Book Antiqua" w:hAnsi="Book Antiqua"/>
        </w:rPr>
        <w:t>driven sensitivity cases to be studied by the CAISO in the 2019</w:t>
      </w:r>
      <w:r w:rsidR="00D84A09" w:rsidRPr="00467505">
        <w:rPr>
          <w:rFonts w:ascii="Book Antiqua" w:hAnsi="Book Antiqua"/>
        </w:rPr>
        <w:noBreakHyphen/>
      </w:r>
      <w:r w:rsidRPr="00467505">
        <w:rPr>
          <w:rFonts w:ascii="Book Antiqua" w:hAnsi="Book Antiqua"/>
        </w:rPr>
        <w:t xml:space="preserve">20 TPP are summarized in Table </w:t>
      </w:r>
      <w:r w:rsidR="00072CB7" w:rsidRPr="00467505">
        <w:rPr>
          <w:rFonts w:ascii="Book Antiqua" w:hAnsi="Book Antiqua"/>
          <w:sz w:val="24"/>
          <w:szCs w:val="24"/>
        </w:rPr>
        <w:t>5</w:t>
      </w:r>
      <w:r w:rsidR="0029108F" w:rsidRPr="00467505">
        <w:rPr>
          <w:rFonts w:ascii="Book Antiqua" w:hAnsi="Book Antiqua"/>
          <w:sz w:val="24"/>
          <w:szCs w:val="24"/>
        </w:rPr>
        <w:t xml:space="preserve"> </w:t>
      </w:r>
      <w:r w:rsidRPr="00467505">
        <w:rPr>
          <w:rFonts w:ascii="Book Antiqua" w:hAnsi="Book Antiqua"/>
        </w:rPr>
        <w:t>below.</w:t>
      </w:r>
    </w:p>
    <w:p w14:paraId="2777EC43" w14:textId="77777777" w:rsidR="00267344" w:rsidRPr="005E1093" w:rsidRDefault="00267344" w:rsidP="005E1093">
      <w:pPr>
        <w:pStyle w:val="Caption"/>
        <w:keepNext/>
        <w:spacing w:before="240" w:after="120"/>
        <w:rPr>
          <w:rFonts w:ascii="Book Antiqua" w:hAnsi="Book Antiqua"/>
          <w:color w:val="auto"/>
          <w:sz w:val="26"/>
          <w:szCs w:val="24"/>
        </w:rPr>
      </w:pPr>
      <w:r w:rsidRPr="005E1093">
        <w:rPr>
          <w:rFonts w:ascii="Book Antiqua" w:hAnsi="Book Antiqua"/>
          <w:color w:val="auto"/>
          <w:sz w:val="26"/>
          <w:szCs w:val="24"/>
        </w:rPr>
        <w:t xml:space="preserve">Table </w:t>
      </w:r>
      <w:r w:rsidR="00072CB7" w:rsidRPr="005E1093">
        <w:rPr>
          <w:rFonts w:ascii="Book Antiqua" w:hAnsi="Book Antiqua"/>
          <w:color w:val="auto"/>
          <w:sz w:val="26"/>
          <w:szCs w:val="24"/>
        </w:rPr>
        <w:t>5</w:t>
      </w:r>
      <w:r w:rsidRPr="005E1093">
        <w:rPr>
          <w:rFonts w:ascii="Book Antiqua" w:hAnsi="Book Antiqua"/>
          <w:color w:val="auto"/>
          <w:sz w:val="26"/>
          <w:szCs w:val="24"/>
        </w:rPr>
        <w:t>. Deliverable and Energy</w:t>
      </w:r>
      <w:r w:rsidR="00D84A09" w:rsidRPr="005E1093">
        <w:rPr>
          <w:rFonts w:ascii="Book Antiqua" w:hAnsi="Book Antiqua"/>
          <w:color w:val="auto"/>
          <w:sz w:val="26"/>
          <w:szCs w:val="24"/>
        </w:rPr>
        <w:noBreakHyphen/>
      </w:r>
      <w:r w:rsidRPr="005E1093">
        <w:rPr>
          <w:rFonts w:ascii="Book Antiqua" w:hAnsi="Book Antiqua"/>
          <w:color w:val="auto"/>
          <w:sz w:val="26"/>
          <w:szCs w:val="24"/>
        </w:rPr>
        <w:t>Only Nameplate Capacity by Resource Type in 2030, in MW</w:t>
      </w:r>
    </w:p>
    <w:tbl>
      <w:tblPr>
        <w:tblStyle w:val="TableGrid"/>
        <w:tblW w:w="9265" w:type="dxa"/>
        <w:tblLook w:val="04A0" w:firstRow="1" w:lastRow="0" w:firstColumn="1" w:lastColumn="0" w:noHBand="0" w:noVBand="1"/>
      </w:tblPr>
      <w:tblGrid>
        <w:gridCol w:w="2500"/>
        <w:gridCol w:w="935"/>
        <w:gridCol w:w="1060"/>
        <w:gridCol w:w="990"/>
        <w:gridCol w:w="1170"/>
        <w:gridCol w:w="1170"/>
        <w:gridCol w:w="1440"/>
      </w:tblGrid>
      <w:tr w:rsidR="00E0183F" w:rsidRPr="00467505" w14:paraId="275F6D21" w14:textId="77777777" w:rsidTr="00E0183F">
        <w:tc>
          <w:tcPr>
            <w:tcW w:w="2500" w:type="dxa"/>
            <w:vMerge w:val="restart"/>
          </w:tcPr>
          <w:p w14:paraId="3EAF96D0" w14:textId="77777777" w:rsidR="00E0183F" w:rsidRPr="00467505" w:rsidRDefault="00E0183F" w:rsidP="00C37977">
            <w:pPr>
              <w:pStyle w:val="sub1"/>
              <w:keepNext/>
              <w:keepLines/>
              <w:spacing w:before="60" w:after="60" w:line="240" w:lineRule="auto"/>
              <w:ind w:firstLine="0"/>
              <w:rPr>
                <w:rFonts w:ascii="Book Antiqua" w:hAnsi="Book Antiqua"/>
                <w:b/>
                <w:sz w:val="24"/>
                <w:szCs w:val="24"/>
              </w:rPr>
            </w:pPr>
          </w:p>
          <w:p w14:paraId="7139868C" w14:textId="77777777" w:rsidR="00E0183F" w:rsidRPr="00467505" w:rsidRDefault="00E0183F" w:rsidP="00C37977">
            <w:pPr>
              <w:pStyle w:val="sub1"/>
              <w:keepNext/>
              <w:keepLines/>
              <w:spacing w:before="60" w:after="60" w:line="240" w:lineRule="auto"/>
              <w:ind w:firstLine="0"/>
              <w:rPr>
                <w:rFonts w:ascii="Book Antiqua" w:hAnsi="Book Antiqua"/>
                <w:b/>
                <w:sz w:val="24"/>
                <w:szCs w:val="24"/>
              </w:rPr>
            </w:pPr>
            <w:r w:rsidRPr="00467505">
              <w:rPr>
                <w:rFonts w:ascii="Book Antiqua" w:hAnsi="Book Antiqua"/>
                <w:b/>
                <w:sz w:val="24"/>
                <w:szCs w:val="24"/>
              </w:rPr>
              <w:t xml:space="preserve">Resource Type </w:t>
            </w:r>
          </w:p>
        </w:tc>
        <w:tc>
          <w:tcPr>
            <w:tcW w:w="2985" w:type="dxa"/>
            <w:gridSpan w:val="3"/>
          </w:tcPr>
          <w:p w14:paraId="46EB92A8" w14:textId="77777777" w:rsidR="00E0183F" w:rsidRPr="00467505" w:rsidRDefault="00E0183F" w:rsidP="00C37977">
            <w:pPr>
              <w:pStyle w:val="sub1"/>
              <w:keepNext/>
              <w:keepLines/>
              <w:spacing w:before="60" w:after="60" w:line="240" w:lineRule="auto"/>
              <w:ind w:firstLine="0"/>
              <w:jc w:val="center"/>
              <w:rPr>
                <w:rFonts w:ascii="Book Antiqua" w:hAnsi="Book Antiqua"/>
                <w:b/>
                <w:sz w:val="24"/>
                <w:szCs w:val="24"/>
              </w:rPr>
            </w:pPr>
            <w:r w:rsidRPr="00467505">
              <w:rPr>
                <w:rFonts w:ascii="Book Antiqua" w:hAnsi="Book Antiqua"/>
                <w:b/>
                <w:sz w:val="24"/>
                <w:szCs w:val="24"/>
              </w:rPr>
              <w:t xml:space="preserve">Policy Sensitivity #1 (allows </w:t>
            </w:r>
            <w:r w:rsidR="008A67C2">
              <w:rPr>
                <w:rFonts w:ascii="Book Antiqua" w:hAnsi="Book Antiqua"/>
                <w:b/>
                <w:sz w:val="24"/>
                <w:szCs w:val="24"/>
              </w:rPr>
              <w:t xml:space="preserve">out-of-state </w:t>
            </w:r>
            <w:r w:rsidRPr="00467505">
              <w:rPr>
                <w:rFonts w:ascii="Book Antiqua" w:hAnsi="Book Antiqua"/>
                <w:b/>
                <w:sz w:val="24"/>
                <w:szCs w:val="24"/>
              </w:rPr>
              <w:t>new build on existing transmission only)</w:t>
            </w:r>
          </w:p>
        </w:tc>
        <w:tc>
          <w:tcPr>
            <w:tcW w:w="3780" w:type="dxa"/>
            <w:gridSpan w:val="3"/>
          </w:tcPr>
          <w:p w14:paraId="56662327" w14:textId="77777777" w:rsidR="00E0183F" w:rsidRPr="00467505" w:rsidRDefault="00E0183F" w:rsidP="00C37977">
            <w:pPr>
              <w:pStyle w:val="sub1"/>
              <w:keepNext/>
              <w:keepLines/>
              <w:spacing w:before="60" w:after="60" w:line="240" w:lineRule="auto"/>
              <w:ind w:firstLine="0"/>
              <w:jc w:val="center"/>
              <w:rPr>
                <w:rFonts w:ascii="Book Antiqua" w:hAnsi="Book Antiqua"/>
                <w:b/>
                <w:sz w:val="24"/>
                <w:szCs w:val="24"/>
              </w:rPr>
            </w:pPr>
            <w:r w:rsidRPr="00467505">
              <w:rPr>
                <w:rFonts w:ascii="Book Antiqua" w:hAnsi="Book Antiqua"/>
                <w:b/>
                <w:sz w:val="24"/>
                <w:szCs w:val="24"/>
              </w:rPr>
              <w:t>Policy Sensitivity #2 (allows up to 4,250 MW of new out</w:t>
            </w:r>
            <w:r w:rsidR="00D84A09" w:rsidRPr="00467505">
              <w:rPr>
                <w:rFonts w:ascii="Book Antiqua" w:hAnsi="Book Antiqua"/>
                <w:b/>
                <w:sz w:val="24"/>
                <w:szCs w:val="24"/>
              </w:rPr>
              <w:noBreakHyphen/>
            </w:r>
            <w:r w:rsidRPr="00467505">
              <w:rPr>
                <w:rFonts w:ascii="Book Antiqua" w:hAnsi="Book Antiqua"/>
                <w:b/>
                <w:sz w:val="24"/>
                <w:szCs w:val="24"/>
              </w:rPr>
              <w:t>of</w:t>
            </w:r>
            <w:r w:rsidR="00D84A09" w:rsidRPr="00467505">
              <w:rPr>
                <w:rFonts w:ascii="Book Antiqua" w:hAnsi="Book Antiqua"/>
                <w:b/>
                <w:sz w:val="24"/>
                <w:szCs w:val="24"/>
              </w:rPr>
              <w:noBreakHyphen/>
            </w:r>
            <w:r w:rsidRPr="00467505">
              <w:rPr>
                <w:rFonts w:ascii="Book Antiqua" w:hAnsi="Book Antiqua"/>
                <w:b/>
                <w:sz w:val="24"/>
                <w:szCs w:val="24"/>
              </w:rPr>
              <w:t>state wind on new transmission)</w:t>
            </w:r>
          </w:p>
        </w:tc>
      </w:tr>
      <w:tr w:rsidR="00E0183F" w:rsidRPr="00467505" w14:paraId="33E57DF8" w14:textId="77777777" w:rsidTr="00E0183F">
        <w:tc>
          <w:tcPr>
            <w:tcW w:w="2500" w:type="dxa"/>
            <w:vMerge/>
          </w:tcPr>
          <w:p w14:paraId="12EA5C4A" w14:textId="77777777" w:rsidR="00E0183F" w:rsidRPr="00467505" w:rsidRDefault="00E0183F" w:rsidP="005E1093">
            <w:pPr>
              <w:pStyle w:val="sub1"/>
              <w:spacing w:before="60" w:after="60" w:line="240" w:lineRule="auto"/>
              <w:ind w:firstLine="0"/>
              <w:rPr>
                <w:rFonts w:ascii="Book Antiqua" w:hAnsi="Book Antiqua"/>
                <w:b/>
                <w:sz w:val="24"/>
                <w:szCs w:val="24"/>
              </w:rPr>
            </w:pPr>
          </w:p>
        </w:tc>
        <w:tc>
          <w:tcPr>
            <w:tcW w:w="935" w:type="dxa"/>
          </w:tcPr>
          <w:p w14:paraId="43E3396E" w14:textId="77777777" w:rsidR="00E0183F" w:rsidRPr="00467505" w:rsidRDefault="00E0183F" w:rsidP="005E1093">
            <w:pPr>
              <w:pStyle w:val="sub1"/>
              <w:spacing w:before="60" w:after="60" w:line="240" w:lineRule="auto"/>
              <w:ind w:firstLine="0"/>
              <w:jc w:val="center"/>
              <w:rPr>
                <w:rFonts w:ascii="Book Antiqua" w:hAnsi="Book Antiqua"/>
                <w:b/>
                <w:sz w:val="24"/>
                <w:szCs w:val="24"/>
              </w:rPr>
            </w:pPr>
            <w:r w:rsidRPr="00467505">
              <w:rPr>
                <w:rFonts w:ascii="Book Antiqua" w:hAnsi="Book Antiqua"/>
                <w:b/>
                <w:sz w:val="24"/>
                <w:szCs w:val="24"/>
              </w:rPr>
              <w:t>Total</w:t>
            </w:r>
          </w:p>
        </w:tc>
        <w:tc>
          <w:tcPr>
            <w:tcW w:w="1060" w:type="dxa"/>
          </w:tcPr>
          <w:p w14:paraId="7F1F13CA" w14:textId="77777777" w:rsidR="00E0183F" w:rsidRPr="00467505" w:rsidRDefault="00E0183F" w:rsidP="005E1093">
            <w:pPr>
              <w:pStyle w:val="sub1"/>
              <w:spacing w:before="60" w:after="60" w:line="240" w:lineRule="auto"/>
              <w:ind w:firstLine="0"/>
              <w:jc w:val="center"/>
              <w:rPr>
                <w:rFonts w:ascii="Book Antiqua" w:hAnsi="Book Antiqua"/>
                <w:b/>
                <w:sz w:val="24"/>
                <w:szCs w:val="24"/>
              </w:rPr>
            </w:pPr>
            <w:r w:rsidRPr="00467505">
              <w:rPr>
                <w:rFonts w:ascii="Book Antiqua" w:hAnsi="Book Antiqua"/>
                <w:b/>
                <w:sz w:val="24"/>
                <w:szCs w:val="24"/>
              </w:rPr>
              <w:t>FCDS</w:t>
            </w:r>
          </w:p>
        </w:tc>
        <w:tc>
          <w:tcPr>
            <w:tcW w:w="990" w:type="dxa"/>
          </w:tcPr>
          <w:p w14:paraId="66471CA0" w14:textId="77777777" w:rsidR="00E0183F" w:rsidRPr="00467505" w:rsidRDefault="00E0183F" w:rsidP="005E1093">
            <w:pPr>
              <w:pStyle w:val="sub1"/>
              <w:spacing w:before="60" w:after="60" w:line="240" w:lineRule="auto"/>
              <w:ind w:firstLine="0"/>
              <w:jc w:val="center"/>
              <w:rPr>
                <w:rFonts w:ascii="Book Antiqua" w:hAnsi="Book Antiqua"/>
                <w:b/>
                <w:sz w:val="24"/>
                <w:szCs w:val="24"/>
              </w:rPr>
            </w:pPr>
            <w:r w:rsidRPr="00467505">
              <w:rPr>
                <w:rFonts w:ascii="Book Antiqua" w:hAnsi="Book Antiqua"/>
                <w:b/>
                <w:sz w:val="24"/>
                <w:szCs w:val="24"/>
              </w:rPr>
              <w:t>EO</w:t>
            </w:r>
          </w:p>
        </w:tc>
        <w:tc>
          <w:tcPr>
            <w:tcW w:w="1170" w:type="dxa"/>
          </w:tcPr>
          <w:p w14:paraId="512203DC" w14:textId="77777777" w:rsidR="00E0183F" w:rsidRPr="00467505" w:rsidRDefault="00E0183F" w:rsidP="005E1093">
            <w:pPr>
              <w:pStyle w:val="sub1"/>
              <w:spacing w:before="60" w:after="60" w:line="240" w:lineRule="auto"/>
              <w:ind w:firstLine="0"/>
              <w:jc w:val="center"/>
              <w:rPr>
                <w:rFonts w:ascii="Book Antiqua" w:hAnsi="Book Antiqua"/>
                <w:b/>
                <w:sz w:val="24"/>
                <w:szCs w:val="24"/>
              </w:rPr>
            </w:pPr>
            <w:r w:rsidRPr="00467505">
              <w:rPr>
                <w:rFonts w:ascii="Book Antiqua" w:hAnsi="Book Antiqua"/>
                <w:b/>
                <w:sz w:val="24"/>
                <w:szCs w:val="24"/>
              </w:rPr>
              <w:t>Total</w:t>
            </w:r>
          </w:p>
        </w:tc>
        <w:tc>
          <w:tcPr>
            <w:tcW w:w="1170" w:type="dxa"/>
          </w:tcPr>
          <w:p w14:paraId="20FAF1AE" w14:textId="77777777" w:rsidR="00E0183F" w:rsidRPr="00467505" w:rsidRDefault="00E0183F" w:rsidP="005E1093">
            <w:pPr>
              <w:pStyle w:val="sub1"/>
              <w:spacing w:before="60" w:after="60" w:line="240" w:lineRule="auto"/>
              <w:ind w:firstLine="0"/>
              <w:jc w:val="center"/>
              <w:rPr>
                <w:rFonts w:ascii="Book Antiqua" w:hAnsi="Book Antiqua"/>
                <w:b/>
                <w:sz w:val="24"/>
                <w:szCs w:val="24"/>
              </w:rPr>
            </w:pPr>
            <w:r w:rsidRPr="00467505">
              <w:rPr>
                <w:rFonts w:ascii="Book Antiqua" w:hAnsi="Book Antiqua"/>
                <w:b/>
                <w:sz w:val="24"/>
                <w:szCs w:val="24"/>
              </w:rPr>
              <w:t>FCDS</w:t>
            </w:r>
          </w:p>
        </w:tc>
        <w:tc>
          <w:tcPr>
            <w:tcW w:w="1440" w:type="dxa"/>
          </w:tcPr>
          <w:p w14:paraId="5616631F" w14:textId="77777777" w:rsidR="00E0183F" w:rsidRPr="00467505" w:rsidRDefault="00E0183F" w:rsidP="005E1093">
            <w:pPr>
              <w:pStyle w:val="sub1"/>
              <w:spacing w:before="60" w:after="60" w:line="240" w:lineRule="auto"/>
              <w:ind w:firstLine="0"/>
              <w:jc w:val="center"/>
              <w:rPr>
                <w:rFonts w:ascii="Book Antiqua" w:hAnsi="Book Antiqua"/>
                <w:b/>
                <w:sz w:val="24"/>
                <w:szCs w:val="24"/>
              </w:rPr>
            </w:pPr>
            <w:r w:rsidRPr="00467505">
              <w:rPr>
                <w:rFonts w:ascii="Book Antiqua" w:hAnsi="Book Antiqua"/>
                <w:b/>
                <w:sz w:val="24"/>
                <w:szCs w:val="24"/>
              </w:rPr>
              <w:t>EO</w:t>
            </w:r>
          </w:p>
        </w:tc>
      </w:tr>
      <w:tr w:rsidR="00E0183F" w:rsidRPr="00467505" w14:paraId="6029FB4A" w14:textId="77777777" w:rsidTr="00C37977">
        <w:tc>
          <w:tcPr>
            <w:tcW w:w="2500" w:type="dxa"/>
          </w:tcPr>
          <w:p w14:paraId="061E678B" w14:textId="77777777" w:rsidR="00267344" w:rsidRPr="00467505" w:rsidRDefault="00E0183F"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Battery, about 2 hour</w:t>
            </w:r>
          </w:p>
        </w:tc>
        <w:tc>
          <w:tcPr>
            <w:tcW w:w="935" w:type="dxa"/>
            <w:vAlign w:val="bottom"/>
          </w:tcPr>
          <w:p w14:paraId="5776E7CE" w14:textId="77777777" w:rsidR="00267344" w:rsidRPr="00467505" w:rsidRDefault="00D84A09"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c>
          <w:tcPr>
            <w:tcW w:w="1060" w:type="dxa"/>
            <w:vAlign w:val="bottom"/>
          </w:tcPr>
          <w:p w14:paraId="07A7BF67" w14:textId="77777777" w:rsidR="00267344" w:rsidRPr="00467505" w:rsidRDefault="00D84A09"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c>
          <w:tcPr>
            <w:tcW w:w="990" w:type="dxa"/>
            <w:vAlign w:val="bottom"/>
          </w:tcPr>
          <w:p w14:paraId="496685AB" w14:textId="77777777" w:rsidR="00267344" w:rsidRPr="00467505" w:rsidRDefault="00D84A09"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c>
          <w:tcPr>
            <w:tcW w:w="1170" w:type="dxa"/>
            <w:vAlign w:val="bottom"/>
          </w:tcPr>
          <w:p w14:paraId="7D22D43F"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2,602</w:t>
            </w:r>
          </w:p>
        </w:tc>
        <w:tc>
          <w:tcPr>
            <w:tcW w:w="1170" w:type="dxa"/>
            <w:vAlign w:val="bottom"/>
          </w:tcPr>
          <w:p w14:paraId="3C358101"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2,602</w:t>
            </w:r>
          </w:p>
        </w:tc>
        <w:tc>
          <w:tcPr>
            <w:tcW w:w="1440" w:type="dxa"/>
            <w:vAlign w:val="bottom"/>
          </w:tcPr>
          <w:p w14:paraId="6BA2D09D" w14:textId="77777777" w:rsidR="00267344" w:rsidRPr="00467505" w:rsidRDefault="00D84A09"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r>
      <w:tr w:rsidR="00E0183F" w:rsidRPr="00467505" w14:paraId="7A18610A" w14:textId="77777777" w:rsidTr="00C37977">
        <w:tc>
          <w:tcPr>
            <w:tcW w:w="2500" w:type="dxa"/>
          </w:tcPr>
          <w:p w14:paraId="459A2138" w14:textId="77777777" w:rsidR="00267344" w:rsidRPr="00467505" w:rsidRDefault="00E0183F"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Battery, about 4 hour</w:t>
            </w:r>
          </w:p>
        </w:tc>
        <w:tc>
          <w:tcPr>
            <w:tcW w:w="935" w:type="dxa"/>
            <w:vAlign w:val="bottom"/>
          </w:tcPr>
          <w:p w14:paraId="44F94B4B"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4,347</w:t>
            </w:r>
          </w:p>
        </w:tc>
        <w:tc>
          <w:tcPr>
            <w:tcW w:w="1060" w:type="dxa"/>
            <w:vAlign w:val="bottom"/>
          </w:tcPr>
          <w:p w14:paraId="2ACA4FF1"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4,347</w:t>
            </w:r>
          </w:p>
        </w:tc>
        <w:tc>
          <w:tcPr>
            <w:tcW w:w="990" w:type="dxa"/>
            <w:vAlign w:val="bottom"/>
          </w:tcPr>
          <w:p w14:paraId="2E69A645" w14:textId="77777777" w:rsidR="00267344" w:rsidRPr="00467505" w:rsidRDefault="00D84A09"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c>
          <w:tcPr>
            <w:tcW w:w="1170" w:type="dxa"/>
            <w:vAlign w:val="bottom"/>
          </w:tcPr>
          <w:p w14:paraId="261C771D" w14:textId="77777777" w:rsidR="00267344" w:rsidRPr="00467505" w:rsidRDefault="00D84A09"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c>
          <w:tcPr>
            <w:tcW w:w="1170" w:type="dxa"/>
            <w:vAlign w:val="bottom"/>
          </w:tcPr>
          <w:p w14:paraId="2D126968" w14:textId="77777777" w:rsidR="00267344" w:rsidRPr="00467505" w:rsidRDefault="00D84A09"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c>
          <w:tcPr>
            <w:tcW w:w="1440" w:type="dxa"/>
            <w:vAlign w:val="bottom"/>
          </w:tcPr>
          <w:p w14:paraId="36627467" w14:textId="77777777" w:rsidR="00267344" w:rsidRPr="00467505" w:rsidRDefault="00D84A09"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r>
      <w:tr w:rsidR="00E0183F" w:rsidRPr="00467505" w14:paraId="45779A31" w14:textId="77777777" w:rsidTr="00C37977">
        <w:tc>
          <w:tcPr>
            <w:tcW w:w="2500" w:type="dxa"/>
          </w:tcPr>
          <w:p w14:paraId="144FC3BB" w14:textId="77777777" w:rsidR="00267344" w:rsidRPr="00467505" w:rsidRDefault="00E0183F"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Pumped Storage Hydro</w:t>
            </w:r>
          </w:p>
        </w:tc>
        <w:tc>
          <w:tcPr>
            <w:tcW w:w="935" w:type="dxa"/>
            <w:vAlign w:val="bottom"/>
          </w:tcPr>
          <w:p w14:paraId="5314A397"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1,342</w:t>
            </w:r>
          </w:p>
        </w:tc>
        <w:tc>
          <w:tcPr>
            <w:tcW w:w="1060" w:type="dxa"/>
            <w:vAlign w:val="bottom"/>
          </w:tcPr>
          <w:p w14:paraId="59D4BCB5"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1,342</w:t>
            </w:r>
          </w:p>
        </w:tc>
        <w:tc>
          <w:tcPr>
            <w:tcW w:w="990" w:type="dxa"/>
            <w:vAlign w:val="bottom"/>
          </w:tcPr>
          <w:p w14:paraId="51585853" w14:textId="77777777" w:rsidR="00267344" w:rsidRPr="00467505" w:rsidRDefault="00D84A09"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c>
          <w:tcPr>
            <w:tcW w:w="1170" w:type="dxa"/>
            <w:vAlign w:val="bottom"/>
          </w:tcPr>
          <w:p w14:paraId="4541498F" w14:textId="77777777" w:rsidR="00267344" w:rsidRPr="00467505" w:rsidRDefault="00D84A09"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c>
          <w:tcPr>
            <w:tcW w:w="1170" w:type="dxa"/>
            <w:vAlign w:val="bottom"/>
          </w:tcPr>
          <w:p w14:paraId="74AFD1E1" w14:textId="77777777" w:rsidR="00267344" w:rsidRPr="00467505" w:rsidRDefault="00D84A09"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c>
          <w:tcPr>
            <w:tcW w:w="1440" w:type="dxa"/>
            <w:vAlign w:val="bottom"/>
          </w:tcPr>
          <w:p w14:paraId="1813AA43" w14:textId="77777777" w:rsidR="00267344" w:rsidRPr="00467505" w:rsidRDefault="00D84A09"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r>
      <w:tr w:rsidR="00E0183F" w:rsidRPr="00467505" w14:paraId="33E1F000" w14:textId="77777777" w:rsidTr="00C37977">
        <w:tc>
          <w:tcPr>
            <w:tcW w:w="2500" w:type="dxa"/>
          </w:tcPr>
          <w:p w14:paraId="18631914" w14:textId="77777777" w:rsidR="00267344" w:rsidRPr="00467505" w:rsidRDefault="00E0183F"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Solar</w:t>
            </w:r>
          </w:p>
        </w:tc>
        <w:tc>
          <w:tcPr>
            <w:tcW w:w="935" w:type="dxa"/>
            <w:vAlign w:val="bottom"/>
          </w:tcPr>
          <w:p w14:paraId="2CC5CE7D"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11,588</w:t>
            </w:r>
          </w:p>
        </w:tc>
        <w:tc>
          <w:tcPr>
            <w:tcW w:w="1060" w:type="dxa"/>
            <w:vAlign w:val="bottom"/>
          </w:tcPr>
          <w:p w14:paraId="3B8F4A0E"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3,952</w:t>
            </w:r>
          </w:p>
        </w:tc>
        <w:tc>
          <w:tcPr>
            <w:tcW w:w="990" w:type="dxa"/>
            <w:vAlign w:val="bottom"/>
          </w:tcPr>
          <w:p w14:paraId="0318E138"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7,636</w:t>
            </w:r>
          </w:p>
        </w:tc>
        <w:tc>
          <w:tcPr>
            <w:tcW w:w="1170" w:type="dxa"/>
            <w:vAlign w:val="bottom"/>
          </w:tcPr>
          <w:p w14:paraId="6C84C48F"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6,220</w:t>
            </w:r>
          </w:p>
        </w:tc>
        <w:tc>
          <w:tcPr>
            <w:tcW w:w="1170" w:type="dxa"/>
            <w:vAlign w:val="bottom"/>
          </w:tcPr>
          <w:p w14:paraId="3C758A07"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2,004</w:t>
            </w:r>
          </w:p>
        </w:tc>
        <w:tc>
          <w:tcPr>
            <w:tcW w:w="1440" w:type="dxa"/>
            <w:vAlign w:val="bottom"/>
          </w:tcPr>
          <w:p w14:paraId="043D047D"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4,216</w:t>
            </w:r>
          </w:p>
        </w:tc>
      </w:tr>
      <w:tr w:rsidR="00E0183F" w:rsidRPr="00467505" w14:paraId="0F23BEF6" w14:textId="77777777" w:rsidTr="00C37977">
        <w:tc>
          <w:tcPr>
            <w:tcW w:w="2500" w:type="dxa"/>
          </w:tcPr>
          <w:p w14:paraId="7DC0F980" w14:textId="77777777" w:rsidR="00267344" w:rsidRPr="00467505" w:rsidRDefault="00E0183F"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In</w:t>
            </w:r>
            <w:r w:rsidR="00D84A09" w:rsidRPr="00467505">
              <w:rPr>
                <w:rFonts w:ascii="Book Antiqua" w:hAnsi="Book Antiqua"/>
                <w:sz w:val="24"/>
                <w:szCs w:val="24"/>
              </w:rPr>
              <w:noBreakHyphen/>
            </w:r>
            <w:r w:rsidRPr="00467505">
              <w:rPr>
                <w:rFonts w:ascii="Book Antiqua" w:hAnsi="Book Antiqua"/>
                <w:sz w:val="24"/>
                <w:szCs w:val="24"/>
              </w:rPr>
              <w:t>State Wind</w:t>
            </w:r>
          </w:p>
        </w:tc>
        <w:tc>
          <w:tcPr>
            <w:tcW w:w="935" w:type="dxa"/>
            <w:vAlign w:val="bottom"/>
          </w:tcPr>
          <w:p w14:paraId="6F30AAF8"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2,775</w:t>
            </w:r>
          </w:p>
        </w:tc>
        <w:tc>
          <w:tcPr>
            <w:tcW w:w="1060" w:type="dxa"/>
            <w:vAlign w:val="bottom"/>
          </w:tcPr>
          <w:p w14:paraId="391BD585"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2,512</w:t>
            </w:r>
          </w:p>
        </w:tc>
        <w:tc>
          <w:tcPr>
            <w:tcW w:w="990" w:type="dxa"/>
            <w:vAlign w:val="bottom"/>
          </w:tcPr>
          <w:p w14:paraId="7BDB18AB"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262</w:t>
            </w:r>
          </w:p>
        </w:tc>
        <w:tc>
          <w:tcPr>
            <w:tcW w:w="1170" w:type="dxa"/>
            <w:vAlign w:val="bottom"/>
          </w:tcPr>
          <w:p w14:paraId="1F4E51A8"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2,333</w:t>
            </w:r>
          </w:p>
        </w:tc>
        <w:tc>
          <w:tcPr>
            <w:tcW w:w="1170" w:type="dxa"/>
            <w:vAlign w:val="bottom"/>
          </w:tcPr>
          <w:p w14:paraId="1A9F657D"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2,070</w:t>
            </w:r>
          </w:p>
        </w:tc>
        <w:tc>
          <w:tcPr>
            <w:tcW w:w="1440" w:type="dxa"/>
            <w:vAlign w:val="bottom"/>
          </w:tcPr>
          <w:p w14:paraId="70051C83"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262</w:t>
            </w:r>
          </w:p>
        </w:tc>
      </w:tr>
      <w:tr w:rsidR="00E0183F" w:rsidRPr="00467505" w14:paraId="2B41D3F1" w14:textId="77777777" w:rsidTr="00C37977">
        <w:tc>
          <w:tcPr>
            <w:tcW w:w="2500" w:type="dxa"/>
          </w:tcPr>
          <w:p w14:paraId="69619019" w14:textId="77777777" w:rsidR="00E0183F" w:rsidRPr="00467505" w:rsidRDefault="00E0183F"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Out</w:t>
            </w:r>
            <w:r w:rsidR="00D84A09" w:rsidRPr="00467505">
              <w:rPr>
                <w:rFonts w:ascii="Book Antiqua" w:hAnsi="Book Antiqua"/>
                <w:sz w:val="24"/>
                <w:szCs w:val="24"/>
              </w:rPr>
              <w:noBreakHyphen/>
            </w:r>
            <w:r w:rsidRPr="00467505">
              <w:rPr>
                <w:rFonts w:ascii="Book Antiqua" w:hAnsi="Book Antiqua"/>
                <w:sz w:val="24"/>
                <w:szCs w:val="24"/>
              </w:rPr>
              <w:t>of</w:t>
            </w:r>
            <w:r w:rsidR="00D84A09" w:rsidRPr="00467505">
              <w:rPr>
                <w:rFonts w:ascii="Book Antiqua" w:hAnsi="Book Antiqua"/>
                <w:sz w:val="24"/>
                <w:szCs w:val="24"/>
              </w:rPr>
              <w:noBreakHyphen/>
            </w:r>
            <w:r w:rsidRPr="00467505">
              <w:rPr>
                <w:rFonts w:ascii="Book Antiqua" w:hAnsi="Book Antiqua"/>
                <w:sz w:val="24"/>
                <w:szCs w:val="24"/>
              </w:rPr>
              <w:t>state wind</w:t>
            </w:r>
          </w:p>
        </w:tc>
        <w:tc>
          <w:tcPr>
            <w:tcW w:w="935" w:type="dxa"/>
            <w:vAlign w:val="bottom"/>
          </w:tcPr>
          <w:p w14:paraId="5EE1F9C7"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2,000</w:t>
            </w:r>
          </w:p>
        </w:tc>
        <w:tc>
          <w:tcPr>
            <w:tcW w:w="1060" w:type="dxa"/>
            <w:vAlign w:val="bottom"/>
          </w:tcPr>
          <w:p w14:paraId="1E383A4F"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1,466</w:t>
            </w:r>
          </w:p>
        </w:tc>
        <w:tc>
          <w:tcPr>
            <w:tcW w:w="990" w:type="dxa"/>
            <w:vAlign w:val="bottom"/>
          </w:tcPr>
          <w:p w14:paraId="6E21BB91"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534</w:t>
            </w:r>
          </w:p>
        </w:tc>
        <w:tc>
          <w:tcPr>
            <w:tcW w:w="1170" w:type="dxa"/>
            <w:vAlign w:val="bottom"/>
          </w:tcPr>
          <w:p w14:paraId="1F25A5D6"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6,250</w:t>
            </w:r>
          </w:p>
        </w:tc>
        <w:tc>
          <w:tcPr>
            <w:tcW w:w="1170" w:type="dxa"/>
            <w:vAlign w:val="bottom"/>
          </w:tcPr>
          <w:p w14:paraId="0257B579"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2,273</w:t>
            </w:r>
          </w:p>
        </w:tc>
        <w:tc>
          <w:tcPr>
            <w:tcW w:w="1440" w:type="dxa"/>
            <w:vAlign w:val="bottom"/>
          </w:tcPr>
          <w:p w14:paraId="79D9954E" w14:textId="77777777" w:rsidR="00267344"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3,977</w:t>
            </w:r>
          </w:p>
        </w:tc>
      </w:tr>
      <w:tr w:rsidR="00E0183F" w:rsidRPr="00467505" w14:paraId="5037B58B" w14:textId="77777777" w:rsidTr="00C37977">
        <w:tc>
          <w:tcPr>
            <w:tcW w:w="2500" w:type="dxa"/>
          </w:tcPr>
          <w:p w14:paraId="176C7FAC" w14:textId="77777777" w:rsidR="00E0183F" w:rsidRPr="00467505" w:rsidRDefault="00E0183F"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Total Wind</w:t>
            </w:r>
          </w:p>
        </w:tc>
        <w:tc>
          <w:tcPr>
            <w:tcW w:w="935" w:type="dxa"/>
            <w:vAlign w:val="bottom"/>
          </w:tcPr>
          <w:p w14:paraId="386AA906"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4,775</w:t>
            </w:r>
          </w:p>
        </w:tc>
        <w:tc>
          <w:tcPr>
            <w:tcW w:w="1060" w:type="dxa"/>
            <w:vAlign w:val="bottom"/>
          </w:tcPr>
          <w:p w14:paraId="6EE32637"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3,978</w:t>
            </w:r>
          </w:p>
        </w:tc>
        <w:tc>
          <w:tcPr>
            <w:tcW w:w="990" w:type="dxa"/>
            <w:vAlign w:val="bottom"/>
          </w:tcPr>
          <w:p w14:paraId="1B3E006C"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797</w:t>
            </w:r>
          </w:p>
        </w:tc>
        <w:tc>
          <w:tcPr>
            <w:tcW w:w="1170" w:type="dxa"/>
            <w:vAlign w:val="bottom"/>
          </w:tcPr>
          <w:p w14:paraId="34A2ED33"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8,583</w:t>
            </w:r>
          </w:p>
        </w:tc>
        <w:tc>
          <w:tcPr>
            <w:tcW w:w="1170" w:type="dxa"/>
            <w:vAlign w:val="bottom"/>
          </w:tcPr>
          <w:p w14:paraId="69729FAE"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4,344</w:t>
            </w:r>
          </w:p>
        </w:tc>
        <w:tc>
          <w:tcPr>
            <w:tcW w:w="1440" w:type="dxa"/>
            <w:vAlign w:val="bottom"/>
          </w:tcPr>
          <w:p w14:paraId="6D64D476"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4,239</w:t>
            </w:r>
          </w:p>
        </w:tc>
      </w:tr>
      <w:tr w:rsidR="00E0183F" w:rsidRPr="00467505" w14:paraId="61AB9BF7" w14:textId="77777777" w:rsidTr="00C37977">
        <w:tc>
          <w:tcPr>
            <w:tcW w:w="2500" w:type="dxa"/>
          </w:tcPr>
          <w:p w14:paraId="043C66F2" w14:textId="77777777" w:rsidR="00E0183F" w:rsidRPr="00467505" w:rsidRDefault="00E0183F"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Geothermal</w:t>
            </w:r>
          </w:p>
        </w:tc>
        <w:tc>
          <w:tcPr>
            <w:tcW w:w="935" w:type="dxa"/>
            <w:vAlign w:val="bottom"/>
          </w:tcPr>
          <w:p w14:paraId="1C461667"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2,020</w:t>
            </w:r>
          </w:p>
        </w:tc>
        <w:tc>
          <w:tcPr>
            <w:tcW w:w="1060" w:type="dxa"/>
            <w:vAlign w:val="bottom"/>
          </w:tcPr>
          <w:p w14:paraId="47D621A5"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1,368</w:t>
            </w:r>
          </w:p>
        </w:tc>
        <w:tc>
          <w:tcPr>
            <w:tcW w:w="990" w:type="dxa"/>
            <w:vAlign w:val="bottom"/>
          </w:tcPr>
          <w:p w14:paraId="7CD58191"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652</w:t>
            </w:r>
          </w:p>
        </w:tc>
        <w:tc>
          <w:tcPr>
            <w:tcW w:w="1170" w:type="dxa"/>
            <w:vAlign w:val="bottom"/>
          </w:tcPr>
          <w:p w14:paraId="25D89495"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2,020</w:t>
            </w:r>
          </w:p>
        </w:tc>
        <w:tc>
          <w:tcPr>
            <w:tcW w:w="1170" w:type="dxa"/>
            <w:vAlign w:val="bottom"/>
          </w:tcPr>
          <w:p w14:paraId="00C8EA2E"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1,368</w:t>
            </w:r>
          </w:p>
        </w:tc>
        <w:tc>
          <w:tcPr>
            <w:tcW w:w="1440" w:type="dxa"/>
            <w:vAlign w:val="bottom"/>
          </w:tcPr>
          <w:p w14:paraId="36CC9637"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652</w:t>
            </w:r>
          </w:p>
        </w:tc>
      </w:tr>
      <w:tr w:rsidR="00E0183F" w:rsidRPr="00467505" w14:paraId="4F7F223A" w14:textId="77777777" w:rsidTr="00C37977">
        <w:tc>
          <w:tcPr>
            <w:tcW w:w="2500" w:type="dxa"/>
          </w:tcPr>
          <w:p w14:paraId="0F8B2BD3" w14:textId="77777777" w:rsidR="00E0183F" w:rsidRPr="00467505" w:rsidRDefault="00E0183F"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Total New Renewables</w:t>
            </w:r>
          </w:p>
        </w:tc>
        <w:tc>
          <w:tcPr>
            <w:tcW w:w="935" w:type="dxa"/>
            <w:vAlign w:val="bottom"/>
          </w:tcPr>
          <w:p w14:paraId="691CF001"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18,383</w:t>
            </w:r>
          </w:p>
        </w:tc>
        <w:tc>
          <w:tcPr>
            <w:tcW w:w="1060" w:type="dxa"/>
            <w:vAlign w:val="bottom"/>
          </w:tcPr>
          <w:p w14:paraId="1630329A"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9,298</w:t>
            </w:r>
          </w:p>
        </w:tc>
        <w:tc>
          <w:tcPr>
            <w:tcW w:w="990" w:type="dxa"/>
            <w:vAlign w:val="bottom"/>
          </w:tcPr>
          <w:p w14:paraId="5212086C"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9,085</w:t>
            </w:r>
          </w:p>
        </w:tc>
        <w:tc>
          <w:tcPr>
            <w:tcW w:w="1170" w:type="dxa"/>
            <w:vAlign w:val="bottom"/>
          </w:tcPr>
          <w:p w14:paraId="18DA0635"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16,823</w:t>
            </w:r>
          </w:p>
        </w:tc>
        <w:tc>
          <w:tcPr>
            <w:tcW w:w="1170" w:type="dxa"/>
            <w:vAlign w:val="bottom"/>
          </w:tcPr>
          <w:p w14:paraId="7F2CD31A"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7,716</w:t>
            </w:r>
          </w:p>
        </w:tc>
        <w:tc>
          <w:tcPr>
            <w:tcW w:w="1440" w:type="dxa"/>
            <w:vAlign w:val="bottom"/>
          </w:tcPr>
          <w:p w14:paraId="75AB80F5"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9,107</w:t>
            </w:r>
          </w:p>
        </w:tc>
      </w:tr>
      <w:tr w:rsidR="00E0183F" w:rsidRPr="00467505" w14:paraId="73C8F42D" w14:textId="77777777" w:rsidTr="00C37977">
        <w:tc>
          <w:tcPr>
            <w:tcW w:w="2500" w:type="dxa"/>
          </w:tcPr>
          <w:p w14:paraId="5B50E236" w14:textId="77777777" w:rsidR="00E0183F" w:rsidRPr="00467505" w:rsidRDefault="00E0183F"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Total New Renewables and Storage</w:t>
            </w:r>
          </w:p>
        </w:tc>
        <w:tc>
          <w:tcPr>
            <w:tcW w:w="935" w:type="dxa"/>
            <w:vAlign w:val="bottom"/>
          </w:tcPr>
          <w:p w14:paraId="490314F9"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24,071</w:t>
            </w:r>
          </w:p>
        </w:tc>
        <w:tc>
          <w:tcPr>
            <w:tcW w:w="1060" w:type="dxa"/>
            <w:vAlign w:val="bottom"/>
          </w:tcPr>
          <w:p w14:paraId="164868C1"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14,987</w:t>
            </w:r>
          </w:p>
        </w:tc>
        <w:tc>
          <w:tcPr>
            <w:tcW w:w="990" w:type="dxa"/>
            <w:vAlign w:val="bottom"/>
          </w:tcPr>
          <w:p w14:paraId="72E774D9"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9,085</w:t>
            </w:r>
          </w:p>
        </w:tc>
        <w:tc>
          <w:tcPr>
            <w:tcW w:w="1170" w:type="dxa"/>
            <w:vAlign w:val="bottom"/>
          </w:tcPr>
          <w:p w14:paraId="347AA6A3"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19,425</w:t>
            </w:r>
          </w:p>
        </w:tc>
        <w:tc>
          <w:tcPr>
            <w:tcW w:w="1170" w:type="dxa"/>
            <w:vAlign w:val="bottom"/>
          </w:tcPr>
          <w:p w14:paraId="60579427"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10,318</w:t>
            </w:r>
          </w:p>
        </w:tc>
        <w:tc>
          <w:tcPr>
            <w:tcW w:w="1440" w:type="dxa"/>
            <w:vAlign w:val="bottom"/>
          </w:tcPr>
          <w:p w14:paraId="1ADB8D50" w14:textId="77777777" w:rsidR="00E0183F" w:rsidRPr="00467505" w:rsidRDefault="00E0183F" w:rsidP="00C37977">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9,107</w:t>
            </w:r>
          </w:p>
        </w:tc>
      </w:tr>
    </w:tbl>
    <w:p w14:paraId="7F4C5270" w14:textId="77777777" w:rsidR="002938FF" w:rsidRPr="00467505" w:rsidRDefault="002938FF" w:rsidP="002312C8">
      <w:pPr>
        <w:pStyle w:val="sub1"/>
        <w:rPr>
          <w:rFonts w:ascii="Book Antiqua" w:hAnsi="Book Antiqua"/>
        </w:rPr>
      </w:pPr>
    </w:p>
    <w:p w14:paraId="2E0388B3" w14:textId="77777777" w:rsidR="00260187" w:rsidRPr="00467505" w:rsidRDefault="00F93A31" w:rsidP="002312C8">
      <w:pPr>
        <w:pStyle w:val="sub1"/>
        <w:rPr>
          <w:rFonts w:ascii="Book Antiqua" w:hAnsi="Book Antiqua"/>
        </w:rPr>
      </w:pPr>
      <w:r>
        <w:rPr>
          <w:rFonts w:ascii="Book Antiqua" w:hAnsi="Book Antiqua"/>
        </w:rPr>
        <w:t>T</w:t>
      </w:r>
      <w:r w:rsidR="00260187" w:rsidRPr="00467505">
        <w:rPr>
          <w:rFonts w:ascii="Book Antiqua" w:hAnsi="Book Antiqua"/>
        </w:rPr>
        <w:t>he recommended portfolio</w:t>
      </w:r>
      <w:r>
        <w:rPr>
          <w:rFonts w:ascii="Book Antiqua" w:hAnsi="Book Antiqua"/>
        </w:rPr>
        <w:t xml:space="preserve"> information</w:t>
      </w:r>
      <w:r w:rsidR="00260187" w:rsidRPr="00467505">
        <w:rPr>
          <w:rFonts w:ascii="Book Antiqua" w:hAnsi="Book Antiqua"/>
        </w:rPr>
        <w:t xml:space="preserve"> has already been transmitted by Commission staff to the CAISO because of the timing of the TPP process. </w:t>
      </w:r>
      <w:r w:rsidR="00C961F7" w:rsidRPr="00467505">
        <w:rPr>
          <w:rFonts w:ascii="Book Antiqua" w:hAnsi="Book Antiqua"/>
        </w:rPr>
        <w:t xml:space="preserve"> </w:t>
      </w:r>
      <w:r w:rsidR="00260187" w:rsidRPr="00467505">
        <w:rPr>
          <w:rFonts w:ascii="Book Antiqua" w:hAnsi="Book Antiqua"/>
        </w:rPr>
        <w:t xml:space="preserve">This decision serves as an affirmation of the recommendations already forwarded to the CAISO by Commission staff. </w:t>
      </w:r>
      <w:r w:rsidR="00C961F7" w:rsidRPr="00467505">
        <w:rPr>
          <w:rFonts w:ascii="Book Antiqua" w:hAnsi="Book Antiqua"/>
        </w:rPr>
        <w:t xml:space="preserve"> </w:t>
      </w:r>
      <w:r w:rsidR="00977E41" w:rsidRPr="00467505">
        <w:rPr>
          <w:rFonts w:ascii="Book Antiqua" w:hAnsi="Book Antiqua"/>
        </w:rPr>
        <w:t>In future IRP cycles, we intend to have this decision on the PSP rendered earlier, so that the full Commission has time to consider the TPP recommendations before the study cycle begins.</w:t>
      </w:r>
    </w:p>
    <w:p w14:paraId="58A01829" w14:textId="77777777" w:rsidR="000C0D8B" w:rsidRPr="00467505" w:rsidRDefault="000C0D8B" w:rsidP="002312C8">
      <w:pPr>
        <w:pStyle w:val="sub1"/>
        <w:rPr>
          <w:rFonts w:ascii="Book Antiqua" w:hAnsi="Book Antiqua"/>
        </w:rPr>
      </w:pPr>
      <w:r w:rsidRPr="00467505">
        <w:rPr>
          <w:rFonts w:ascii="Book Antiqua" w:hAnsi="Book Antiqua"/>
        </w:rPr>
        <w:t xml:space="preserve">Table </w:t>
      </w:r>
      <w:r w:rsidR="00072CB7" w:rsidRPr="00467505">
        <w:rPr>
          <w:rFonts w:ascii="Book Antiqua" w:hAnsi="Book Antiqua"/>
        </w:rPr>
        <w:t>6</w:t>
      </w:r>
      <w:r w:rsidRPr="00467505">
        <w:rPr>
          <w:rFonts w:ascii="Book Antiqua" w:hAnsi="Book Antiqua"/>
        </w:rPr>
        <w:t xml:space="preserve"> below contains a summary of the key new resource costs</w:t>
      </w:r>
      <w:r w:rsidR="008A67C2">
        <w:rPr>
          <w:rFonts w:ascii="Book Antiqua" w:hAnsi="Book Antiqua"/>
        </w:rPr>
        <w:t>, operational metrics,</w:t>
      </w:r>
      <w:r w:rsidRPr="00467505">
        <w:rPr>
          <w:rFonts w:ascii="Book Antiqua" w:hAnsi="Book Antiqua"/>
        </w:rPr>
        <w:t xml:space="preserve"> and components of the three portfolios recommended to be studied by the CAISO in the 2019</w:t>
      </w:r>
      <w:r w:rsidR="00D84A09" w:rsidRPr="00467505">
        <w:rPr>
          <w:rFonts w:ascii="Book Antiqua" w:hAnsi="Book Antiqua"/>
        </w:rPr>
        <w:noBreakHyphen/>
      </w:r>
      <w:r w:rsidRPr="00467505">
        <w:rPr>
          <w:rFonts w:ascii="Book Antiqua" w:hAnsi="Book Antiqua"/>
        </w:rPr>
        <w:t>20 TPP.</w:t>
      </w:r>
      <w:r w:rsidR="008A67C2">
        <w:rPr>
          <w:rFonts w:ascii="Book Antiqua" w:hAnsi="Book Antiqua"/>
        </w:rPr>
        <w:t xml:space="preserve">  These metrics were all produced by the RESOLVE model.</w:t>
      </w:r>
    </w:p>
    <w:p w14:paraId="10CBD4A2" w14:textId="77777777" w:rsidR="00E0572D" w:rsidRPr="005E1093" w:rsidRDefault="00E0572D" w:rsidP="005E1093">
      <w:pPr>
        <w:pStyle w:val="Caption"/>
        <w:keepNext/>
        <w:spacing w:before="240" w:after="120"/>
        <w:rPr>
          <w:rFonts w:ascii="Book Antiqua" w:hAnsi="Book Antiqua"/>
          <w:color w:val="auto"/>
          <w:sz w:val="26"/>
          <w:szCs w:val="24"/>
        </w:rPr>
      </w:pPr>
      <w:r w:rsidRPr="005E1093">
        <w:rPr>
          <w:rFonts w:ascii="Book Antiqua" w:hAnsi="Book Antiqua"/>
          <w:color w:val="auto"/>
          <w:sz w:val="26"/>
          <w:szCs w:val="24"/>
        </w:rPr>
        <w:t xml:space="preserve">Table </w:t>
      </w:r>
      <w:r w:rsidR="00072CB7" w:rsidRPr="005E1093">
        <w:rPr>
          <w:rFonts w:ascii="Book Antiqua" w:hAnsi="Book Antiqua"/>
          <w:color w:val="auto"/>
          <w:sz w:val="26"/>
          <w:szCs w:val="24"/>
        </w:rPr>
        <w:t>6</w:t>
      </w:r>
      <w:r w:rsidRPr="005E1093">
        <w:rPr>
          <w:rFonts w:ascii="Book Antiqua" w:hAnsi="Book Antiqua"/>
          <w:color w:val="auto"/>
          <w:sz w:val="26"/>
          <w:szCs w:val="24"/>
        </w:rPr>
        <w:t>. Portfolios Recommended to be Studied by the CAISO in the 2019</w:t>
      </w:r>
      <w:r w:rsidR="00D84A09" w:rsidRPr="005E1093">
        <w:rPr>
          <w:rFonts w:ascii="Book Antiqua" w:hAnsi="Book Antiqua"/>
          <w:color w:val="auto"/>
          <w:sz w:val="26"/>
          <w:szCs w:val="24"/>
        </w:rPr>
        <w:noBreakHyphen/>
      </w:r>
      <w:r w:rsidRPr="005E1093">
        <w:rPr>
          <w:rFonts w:ascii="Book Antiqua" w:hAnsi="Book Antiqua"/>
          <w:color w:val="auto"/>
          <w:sz w:val="26"/>
          <w:szCs w:val="24"/>
        </w:rPr>
        <w:t xml:space="preserve">20 TPP: </w:t>
      </w:r>
      <w:r w:rsidR="004731C2" w:rsidRPr="005E1093">
        <w:rPr>
          <w:rFonts w:ascii="Book Antiqua" w:hAnsi="Book Antiqua"/>
          <w:color w:val="auto"/>
          <w:sz w:val="26"/>
          <w:szCs w:val="24"/>
        </w:rPr>
        <w:t xml:space="preserve"> </w:t>
      </w:r>
      <w:r w:rsidRPr="005E1093">
        <w:rPr>
          <w:rFonts w:ascii="Book Antiqua" w:hAnsi="Book Antiqua"/>
          <w:color w:val="auto"/>
          <w:sz w:val="26"/>
          <w:szCs w:val="24"/>
        </w:rPr>
        <w:t>New Resource Mix and Cost Estimates, in 2030</w:t>
      </w:r>
    </w:p>
    <w:tbl>
      <w:tblPr>
        <w:tblStyle w:val="TableGrid"/>
        <w:tblW w:w="0" w:type="auto"/>
        <w:tblLook w:val="04A0" w:firstRow="1" w:lastRow="0" w:firstColumn="1" w:lastColumn="0" w:noHBand="0" w:noVBand="1"/>
      </w:tblPr>
      <w:tblGrid>
        <w:gridCol w:w="2785"/>
        <w:gridCol w:w="2273"/>
        <w:gridCol w:w="2137"/>
        <w:gridCol w:w="2155"/>
      </w:tblGrid>
      <w:tr w:rsidR="00E0572D" w:rsidRPr="00467505" w14:paraId="4B5078B9" w14:textId="77777777" w:rsidTr="000670A3">
        <w:trPr>
          <w:tblHeader/>
        </w:trPr>
        <w:tc>
          <w:tcPr>
            <w:tcW w:w="2785" w:type="dxa"/>
          </w:tcPr>
          <w:p w14:paraId="76A9085D" w14:textId="77777777" w:rsidR="00E0572D" w:rsidRPr="000670A3" w:rsidRDefault="00E0572D" w:rsidP="005E1093">
            <w:pPr>
              <w:pStyle w:val="sub1"/>
              <w:spacing w:before="60" w:after="60" w:line="240" w:lineRule="auto"/>
              <w:ind w:firstLine="0"/>
              <w:rPr>
                <w:rFonts w:ascii="Book Antiqua" w:hAnsi="Book Antiqua"/>
                <w:b/>
                <w:sz w:val="24"/>
                <w:szCs w:val="24"/>
              </w:rPr>
            </w:pPr>
            <w:r w:rsidRPr="000670A3">
              <w:rPr>
                <w:rFonts w:ascii="Book Antiqua" w:hAnsi="Book Antiqua"/>
                <w:b/>
                <w:sz w:val="24"/>
                <w:szCs w:val="24"/>
              </w:rPr>
              <w:t>Item</w:t>
            </w:r>
          </w:p>
        </w:tc>
        <w:tc>
          <w:tcPr>
            <w:tcW w:w="2273" w:type="dxa"/>
          </w:tcPr>
          <w:p w14:paraId="4DB2DCDB" w14:textId="77777777" w:rsidR="00E0572D" w:rsidRPr="000670A3" w:rsidRDefault="00E0572D" w:rsidP="005E1093">
            <w:pPr>
              <w:pStyle w:val="sub1"/>
              <w:spacing w:before="60" w:after="60" w:line="240" w:lineRule="auto"/>
              <w:ind w:firstLine="0"/>
              <w:rPr>
                <w:rFonts w:ascii="Book Antiqua" w:hAnsi="Book Antiqua"/>
                <w:b/>
                <w:sz w:val="24"/>
                <w:szCs w:val="24"/>
              </w:rPr>
            </w:pPr>
            <w:r w:rsidRPr="000670A3">
              <w:rPr>
                <w:rFonts w:ascii="Book Antiqua" w:hAnsi="Book Antiqua"/>
                <w:b/>
                <w:sz w:val="24"/>
                <w:szCs w:val="24"/>
              </w:rPr>
              <w:t>Re</w:t>
            </w:r>
            <w:r w:rsidR="00D84A09" w:rsidRPr="000670A3">
              <w:rPr>
                <w:rFonts w:ascii="Book Antiqua" w:hAnsi="Book Antiqua"/>
                <w:b/>
                <w:sz w:val="24"/>
                <w:szCs w:val="24"/>
              </w:rPr>
              <w:t>liability and Policy</w:t>
            </w:r>
            <w:r w:rsidR="00D84A09" w:rsidRPr="000670A3">
              <w:rPr>
                <w:rFonts w:ascii="Book Antiqua" w:hAnsi="Book Antiqua"/>
                <w:b/>
                <w:sz w:val="24"/>
                <w:szCs w:val="24"/>
              </w:rPr>
              <w:noBreakHyphen/>
              <w:t>Driven Base </w:t>
            </w:r>
            <w:r w:rsidRPr="000670A3">
              <w:rPr>
                <w:rFonts w:ascii="Book Antiqua" w:hAnsi="Book Antiqua"/>
                <w:b/>
                <w:sz w:val="24"/>
                <w:szCs w:val="24"/>
              </w:rPr>
              <w:t>Case</w:t>
            </w:r>
          </w:p>
        </w:tc>
        <w:tc>
          <w:tcPr>
            <w:tcW w:w="2137" w:type="dxa"/>
          </w:tcPr>
          <w:p w14:paraId="61CFAE2D" w14:textId="77777777" w:rsidR="00E0572D" w:rsidRPr="000670A3" w:rsidRDefault="00E0572D" w:rsidP="005E1093">
            <w:pPr>
              <w:pStyle w:val="sub1"/>
              <w:spacing w:before="60" w:after="60" w:line="240" w:lineRule="auto"/>
              <w:ind w:firstLine="0"/>
              <w:rPr>
                <w:rFonts w:ascii="Book Antiqua" w:hAnsi="Book Antiqua"/>
                <w:b/>
                <w:sz w:val="24"/>
                <w:szCs w:val="24"/>
              </w:rPr>
            </w:pPr>
            <w:r w:rsidRPr="000670A3">
              <w:rPr>
                <w:rFonts w:ascii="Book Antiqua" w:hAnsi="Book Antiqua"/>
                <w:b/>
                <w:sz w:val="24"/>
                <w:szCs w:val="24"/>
              </w:rPr>
              <w:t>Policy Sensitivity #1</w:t>
            </w:r>
          </w:p>
        </w:tc>
        <w:tc>
          <w:tcPr>
            <w:tcW w:w="2155" w:type="dxa"/>
          </w:tcPr>
          <w:p w14:paraId="7759CE69" w14:textId="77777777" w:rsidR="00E0572D" w:rsidRPr="000670A3" w:rsidRDefault="00E0572D" w:rsidP="005E1093">
            <w:pPr>
              <w:pStyle w:val="sub1"/>
              <w:spacing w:before="60" w:after="60" w:line="240" w:lineRule="auto"/>
              <w:ind w:firstLine="0"/>
              <w:rPr>
                <w:rFonts w:ascii="Book Antiqua" w:hAnsi="Book Antiqua"/>
                <w:b/>
                <w:sz w:val="24"/>
                <w:szCs w:val="24"/>
              </w:rPr>
            </w:pPr>
            <w:r w:rsidRPr="000670A3">
              <w:rPr>
                <w:rFonts w:ascii="Book Antiqua" w:hAnsi="Book Antiqua"/>
                <w:b/>
                <w:sz w:val="24"/>
                <w:szCs w:val="24"/>
              </w:rPr>
              <w:t>Policy Sensitivity #2</w:t>
            </w:r>
          </w:p>
        </w:tc>
      </w:tr>
      <w:tr w:rsidR="00E0572D" w:rsidRPr="00467505" w14:paraId="0F7B9305" w14:textId="77777777" w:rsidTr="00BE710C">
        <w:tc>
          <w:tcPr>
            <w:tcW w:w="9350" w:type="dxa"/>
            <w:gridSpan w:val="4"/>
          </w:tcPr>
          <w:p w14:paraId="69341E4E"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Portfolio Costs (inclusive of any selected transmission upgrades) in 2016 $MM</w:t>
            </w:r>
          </w:p>
        </w:tc>
      </w:tr>
      <w:tr w:rsidR="00E0572D" w:rsidRPr="00467505" w14:paraId="06596FCD" w14:textId="77777777" w:rsidTr="00A54A21">
        <w:tc>
          <w:tcPr>
            <w:tcW w:w="2785" w:type="dxa"/>
          </w:tcPr>
          <w:p w14:paraId="12C3E3E3"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New fixed costs</w:t>
            </w:r>
          </w:p>
        </w:tc>
        <w:tc>
          <w:tcPr>
            <w:tcW w:w="2273" w:type="dxa"/>
            <w:vAlign w:val="bottom"/>
          </w:tcPr>
          <w:p w14:paraId="000A305E"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2,584</w:t>
            </w:r>
          </w:p>
        </w:tc>
        <w:tc>
          <w:tcPr>
            <w:tcW w:w="2137" w:type="dxa"/>
            <w:vAlign w:val="bottom"/>
          </w:tcPr>
          <w:p w14:paraId="21EE42C5"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5,097</w:t>
            </w:r>
          </w:p>
        </w:tc>
        <w:tc>
          <w:tcPr>
            <w:tcW w:w="2155" w:type="dxa"/>
            <w:vAlign w:val="bottom"/>
          </w:tcPr>
          <w:p w14:paraId="4C843105"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4,808</w:t>
            </w:r>
          </w:p>
        </w:tc>
      </w:tr>
      <w:tr w:rsidR="00E0572D" w:rsidRPr="00467505" w14:paraId="546F411F" w14:textId="77777777" w:rsidTr="00A54A21">
        <w:tc>
          <w:tcPr>
            <w:tcW w:w="2785" w:type="dxa"/>
          </w:tcPr>
          <w:p w14:paraId="3022BCED"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Operating costs</w:t>
            </w:r>
          </w:p>
        </w:tc>
        <w:tc>
          <w:tcPr>
            <w:tcW w:w="2273" w:type="dxa"/>
            <w:vAlign w:val="bottom"/>
          </w:tcPr>
          <w:p w14:paraId="3FB6A571"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4,605</w:t>
            </w:r>
          </w:p>
        </w:tc>
        <w:tc>
          <w:tcPr>
            <w:tcW w:w="2137" w:type="dxa"/>
            <w:vAlign w:val="bottom"/>
          </w:tcPr>
          <w:p w14:paraId="5CF5B59E"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3,615</w:t>
            </w:r>
          </w:p>
        </w:tc>
        <w:tc>
          <w:tcPr>
            <w:tcW w:w="2155" w:type="dxa"/>
            <w:vAlign w:val="bottom"/>
          </w:tcPr>
          <w:p w14:paraId="594558DF"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3,589</w:t>
            </w:r>
          </w:p>
        </w:tc>
      </w:tr>
      <w:tr w:rsidR="00E0572D" w:rsidRPr="00467505" w14:paraId="0DFB2871" w14:textId="77777777" w:rsidTr="00A54A21">
        <w:tc>
          <w:tcPr>
            <w:tcW w:w="2785" w:type="dxa"/>
          </w:tcPr>
          <w:p w14:paraId="4B22217F"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Total Costs</w:t>
            </w:r>
            <w:r w:rsidR="008A67C2">
              <w:rPr>
                <w:rStyle w:val="FootnoteReference"/>
                <w:rFonts w:ascii="Book Antiqua" w:hAnsi="Book Antiqua"/>
                <w:szCs w:val="24"/>
              </w:rPr>
              <w:footnoteReference w:id="14"/>
            </w:r>
          </w:p>
        </w:tc>
        <w:tc>
          <w:tcPr>
            <w:tcW w:w="2273" w:type="dxa"/>
            <w:vAlign w:val="bottom"/>
          </w:tcPr>
          <w:p w14:paraId="776BD9CD"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7,189</w:t>
            </w:r>
          </w:p>
        </w:tc>
        <w:tc>
          <w:tcPr>
            <w:tcW w:w="2137" w:type="dxa"/>
            <w:vAlign w:val="bottom"/>
          </w:tcPr>
          <w:p w14:paraId="7F8F9769"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8,712</w:t>
            </w:r>
          </w:p>
        </w:tc>
        <w:tc>
          <w:tcPr>
            <w:tcW w:w="2155" w:type="dxa"/>
            <w:vAlign w:val="bottom"/>
          </w:tcPr>
          <w:p w14:paraId="42B0A6C8"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8,397</w:t>
            </w:r>
          </w:p>
        </w:tc>
      </w:tr>
      <w:tr w:rsidR="00E0572D" w:rsidRPr="00467505" w14:paraId="78A66C8D" w14:textId="77777777" w:rsidTr="00A54A21">
        <w:tc>
          <w:tcPr>
            <w:tcW w:w="2785" w:type="dxa"/>
          </w:tcPr>
          <w:p w14:paraId="774B2C19"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Actual RPS percent, including estimated REC bank usage</w:t>
            </w:r>
          </w:p>
        </w:tc>
        <w:tc>
          <w:tcPr>
            <w:tcW w:w="2273" w:type="dxa"/>
            <w:vAlign w:val="bottom"/>
          </w:tcPr>
          <w:p w14:paraId="19E7AC00"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60%</w:t>
            </w:r>
          </w:p>
        </w:tc>
        <w:tc>
          <w:tcPr>
            <w:tcW w:w="2137" w:type="dxa"/>
            <w:vAlign w:val="bottom"/>
          </w:tcPr>
          <w:p w14:paraId="67BE4BA6"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71%</w:t>
            </w:r>
          </w:p>
        </w:tc>
        <w:tc>
          <w:tcPr>
            <w:tcW w:w="2155" w:type="dxa"/>
            <w:vAlign w:val="bottom"/>
          </w:tcPr>
          <w:p w14:paraId="0A68FC5F"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71%</w:t>
            </w:r>
          </w:p>
        </w:tc>
      </w:tr>
      <w:tr w:rsidR="00E0572D" w:rsidRPr="00467505" w14:paraId="302F7A0B" w14:textId="77777777" w:rsidTr="00A54A21">
        <w:tc>
          <w:tcPr>
            <w:tcW w:w="9350" w:type="dxa"/>
            <w:gridSpan w:val="4"/>
            <w:vAlign w:val="bottom"/>
          </w:tcPr>
          <w:p w14:paraId="239F453A" w14:textId="77777777" w:rsidR="00E0572D" w:rsidRPr="00467505" w:rsidRDefault="00E0572D" w:rsidP="00A54A21">
            <w:pPr>
              <w:pStyle w:val="sub1"/>
              <w:spacing w:before="60" w:after="60" w:line="240" w:lineRule="auto"/>
              <w:ind w:firstLine="0"/>
              <w:rPr>
                <w:rFonts w:ascii="Book Antiqua" w:hAnsi="Book Antiqua"/>
                <w:sz w:val="24"/>
                <w:szCs w:val="24"/>
              </w:rPr>
            </w:pPr>
            <w:r w:rsidRPr="00467505">
              <w:rPr>
                <w:rFonts w:ascii="Book Antiqua" w:hAnsi="Book Antiqua"/>
                <w:sz w:val="24"/>
                <w:szCs w:val="24"/>
              </w:rPr>
              <w:t>Total Nameplate MW by resource type</w:t>
            </w:r>
          </w:p>
        </w:tc>
      </w:tr>
      <w:tr w:rsidR="00E0572D" w:rsidRPr="00467505" w14:paraId="3CBE4600" w14:textId="77777777" w:rsidTr="00A54A21">
        <w:tc>
          <w:tcPr>
            <w:tcW w:w="2785" w:type="dxa"/>
          </w:tcPr>
          <w:p w14:paraId="2869C5C6"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Li Battery, about 1 hour</w:t>
            </w:r>
          </w:p>
        </w:tc>
        <w:tc>
          <w:tcPr>
            <w:tcW w:w="2273" w:type="dxa"/>
            <w:vAlign w:val="bottom"/>
          </w:tcPr>
          <w:p w14:paraId="7CD5053B"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2,104</w:t>
            </w:r>
          </w:p>
        </w:tc>
        <w:tc>
          <w:tcPr>
            <w:tcW w:w="2137" w:type="dxa"/>
            <w:vAlign w:val="bottom"/>
          </w:tcPr>
          <w:p w14:paraId="1336B381" w14:textId="77777777" w:rsidR="00E0572D" w:rsidRPr="00467505" w:rsidRDefault="00D84A09"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c>
          <w:tcPr>
            <w:tcW w:w="2155" w:type="dxa"/>
            <w:vAlign w:val="bottom"/>
          </w:tcPr>
          <w:p w14:paraId="34911423" w14:textId="77777777" w:rsidR="00E0572D" w:rsidRPr="00467505" w:rsidRDefault="00D84A09"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r>
      <w:tr w:rsidR="00E0572D" w:rsidRPr="00467505" w14:paraId="3BD741A1" w14:textId="77777777" w:rsidTr="00A54A21">
        <w:tc>
          <w:tcPr>
            <w:tcW w:w="2785" w:type="dxa"/>
          </w:tcPr>
          <w:p w14:paraId="6A904C2F"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Li Battery, about 2 hour</w:t>
            </w:r>
          </w:p>
        </w:tc>
        <w:tc>
          <w:tcPr>
            <w:tcW w:w="2273" w:type="dxa"/>
            <w:vAlign w:val="bottom"/>
          </w:tcPr>
          <w:p w14:paraId="3CC78D47" w14:textId="77777777" w:rsidR="00E0572D" w:rsidRPr="00467505" w:rsidRDefault="00D84A09"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c>
          <w:tcPr>
            <w:tcW w:w="2137" w:type="dxa"/>
            <w:vAlign w:val="bottom"/>
          </w:tcPr>
          <w:p w14:paraId="4E83AD57" w14:textId="77777777" w:rsidR="00E0572D" w:rsidRPr="00467505" w:rsidRDefault="00D84A09"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c>
          <w:tcPr>
            <w:tcW w:w="2155" w:type="dxa"/>
            <w:vAlign w:val="bottom"/>
          </w:tcPr>
          <w:p w14:paraId="2C9DC690"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2,602</w:t>
            </w:r>
          </w:p>
        </w:tc>
      </w:tr>
      <w:tr w:rsidR="00E0572D" w:rsidRPr="00467505" w14:paraId="5782644E" w14:textId="77777777" w:rsidTr="00A54A21">
        <w:tc>
          <w:tcPr>
            <w:tcW w:w="2785" w:type="dxa"/>
          </w:tcPr>
          <w:p w14:paraId="4BFD839F"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 xml:space="preserve">Li Battery, about 4 hour </w:t>
            </w:r>
          </w:p>
        </w:tc>
        <w:tc>
          <w:tcPr>
            <w:tcW w:w="2273" w:type="dxa"/>
            <w:vAlign w:val="bottom"/>
          </w:tcPr>
          <w:p w14:paraId="57AF4533" w14:textId="77777777" w:rsidR="00E0572D" w:rsidRPr="00467505" w:rsidRDefault="00D84A09"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c>
          <w:tcPr>
            <w:tcW w:w="2137" w:type="dxa"/>
            <w:vAlign w:val="bottom"/>
          </w:tcPr>
          <w:p w14:paraId="79FE9894"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4,347</w:t>
            </w:r>
          </w:p>
        </w:tc>
        <w:tc>
          <w:tcPr>
            <w:tcW w:w="2155" w:type="dxa"/>
            <w:vAlign w:val="bottom"/>
          </w:tcPr>
          <w:p w14:paraId="37306AEA" w14:textId="77777777" w:rsidR="00E0572D" w:rsidRPr="00467505" w:rsidRDefault="00D84A09"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r>
      <w:tr w:rsidR="00E0572D" w:rsidRPr="00467505" w14:paraId="7FFE4A90" w14:textId="77777777" w:rsidTr="00A54A21">
        <w:tc>
          <w:tcPr>
            <w:tcW w:w="2785" w:type="dxa"/>
          </w:tcPr>
          <w:p w14:paraId="404EE13F"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Pumped Storage Hydro</w:t>
            </w:r>
          </w:p>
        </w:tc>
        <w:tc>
          <w:tcPr>
            <w:tcW w:w="2273" w:type="dxa"/>
            <w:vAlign w:val="bottom"/>
          </w:tcPr>
          <w:p w14:paraId="2D2410B8" w14:textId="77777777" w:rsidR="00E0572D" w:rsidRPr="00467505" w:rsidRDefault="00D84A09"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c>
          <w:tcPr>
            <w:tcW w:w="2137" w:type="dxa"/>
            <w:vAlign w:val="bottom"/>
          </w:tcPr>
          <w:p w14:paraId="5BA22CB9"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1,342</w:t>
            </w:r>
          </w:p>
        </w:tc>
        <w:tc>
          <w:tcPr>
            <w:tcW w:w="2155" w:type="dxa"/>
            <w:vAlign w:val="bottom"/>
          </w:tcPr>
          <w:p w14:paraId="779A92CA" w14:textId="77777777" w:rsidR="00E0572D" w:rsidRPr="00467505" w:rsidRDefault="00D84A09"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noBreakHyphen/>
            </w:r>
          </w:p>
        </w:tc>
      </w:tr>
      <w:tr w:rsidR="00E0572D" w:rsidRPr="00467505" w14:paraId="5CBA9857" w14:textId="77777777" w:rsidTr="00A54A21">
        <w:tc>
          <w:tcPr>
            <w:tcW w:w="2785" w:type="dxa"/>
          </w:tcPr>
          <w:p w14:paraId="597F67D4"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Solar</w:t>
            </w:r>
          </w:p>
        </w:tc>
        <w:tc>
          <w:tcPr>
            <w:tcW w:w="2273" w:type="dxa"/>
            <w:vAlign w:val="bottom"/>
          </w:tcPr>
          <w:p w14:paraId="07BF110D"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5,916</w:t>
            </w:r>
          </w:p>
        </w:tc>
        <w:tc>
          <w:tcPr>
            <w:tcW w:w="2137" w:type="dxa"/>
            <w:vAlign w:val="bottom"/>
          </w:tcPr>
          <w:p w14:paraId="47FDDBD1"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11,588</w:t>
            </w:r>
          </w:p>
        </w:tc>
        <w:tc>
          <w:tcPr>
            <w:tcW w:w="2155" w:type="dxa"/>
            <w:vAlign w:val="bottom"/>
          </w:tcPr>
          <w:p w14:paraId="70E6AE53"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6,220</w:t>
            </w:r>
          </w:p>
        </w:tc>
      </w:tr>
      <w:tr w:rsidR="00E0572D" w:rsidRPr="00467505" w14:paraId="6F06BFAD" w14:textId="77777777" w:rsidTr="00A54A21">
        <w:tc>
          <w:tcPr>
            <w:tcW w:w="2785" w:type="dxa"/>
          </w:tcPr>
          <w:p w14:paraId="7D733AE9"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In</w:t>
            </w:r>
            <w:r w:rsidR="00D84A09" w:rsidRPr="00467505">
              <w:rPr>
                <w:rFonts w:ascii="Book Antiqua" w:hAnsi="Book Antiqua"/>
                <w:sz w:val="24"/>
                <w:szCs w:val="24"/>
              </w:rPr>
              <w:noBreakHyphen/>
            </w:r>
            <w:r w:rsidRPr="00467505">
              <w:rPr>
                <w:rFonts w:ascii="Book Antiqua" w:hAnsi="Book Antiqua"/>
                <w:sz w:val="24"/>
                <w:szCs w:val="24"/>
              </w:rPr>
              <w:t>state Wind</w:t>
            </w:r>
          </w:p>
        </w:tc>
        <w:tc>
          <w:tcPr>
            <w:tcW w:w="2273" w:type="dxa"/>
            <w:vAlign w:val="bottom"/>
          </w:tcPr>
          <w:p w14:paraId="48A7FFC5"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1,145</w:t>
            </w:r>
          </w:p>
        </w:tc>
        <w:tc>
          <w:tcPr>
            <w:tcW w:w="2137" w:type="dxa"/>
            <w:vAlign w:val="bottom"/>
          </w:tcPr>
          <w:p w14:paraId="700BFD9B"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2,775</w:t>
            </w:r>
          </w:p>
        </w:tc>
        <w:tc>
          <w:tcPr>
            <w:tcW w:w="2155" w:type="dxa"/>
            <w:vAlign w:val="bottom"/>
          </w:tcPr>
          <w:p w14:paraId="170D29BC"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2,333</w:t>
            </w:r>
          </w:p>
        </w:tc>
      </w:tr>
      <w:tr w:rsidR="00E0572D" w:rsidRPr="00467505" w14:paraId="5D6ACCF7" w14:textId="77777777" w:rsidTr="00A54A21">
        <w:tc>
          <w:tcPr>
            <w:tcW w:w="2785" w:type="dxa"/>
          </w:tcPr>
          <w:p w14:paraId="70F43A65"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Out</w:t>
            </w:r>
            <w:r w:rsidR="00D84A09" w:rsidRPr="00467505">
              <w:rPr>
                <w:rFonts w:ascii="Book Antiqua" w:hAnsi="Book Antiqua"/>
                <w:sz w:val="24"/>
                <w:szCs w:val="24"/>
              </w:rPr>
              <w:noBreakHyphen/>
            </w:r>
            <w:r w:rsidRPr="00467505">
              <w:rPr>
                <w:rFonts w:ascii="Book Antiqua" w:hAnsi="Book Antiqua"/>
                <w:sz w:val="24"/>
                <w:szCs w:val="24"/>
              </w:rPr>
              <w:t>of</w:t>
            </w:r>
            <w:r w:rsidR="00D84A09" w:rsidRPr="00467505">
              <w:rPr>
                <w:rFonts w:ascii="Book Antiqua" w:hAnsi="Book Antiqua"/>
                <w:sz w:val="24"/>
                <w:szCs w:val="24"/>
              </w:rPr>
              <w:noBreakHyphen/>
            </w:r>
            <w:r w:rsidRPr="00467505">
              <w:rPr>
                <w:rFonts w:ascii="Book Antiqua" w:hAnsi="Book Antiqua"/>
                <w:sz w:val="24"/>
                <w:szCs w:val="24"/>
              </w:rPr>
              <w:t>state Wind</w:t>
            </w:r>
          </w:p>
        </w:tc>
        <w:tc>
          <w:tcPr>
            <w:tcW w:w="2273" w:type="dxa"/>
            <w:vAlign w:val="bottom"/>
          </w:tcPr>
          <w:p w14:paraId="647119EB"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1,101</w:t>
            </w:r>
          </w:p>
        </w:tc>
        <w:tc>
          <w:tcPr>
            <w:tcW w:w="2137" w:type="dxa"/>
            <w:vAlign w:val="bottom"/>
          </w:tcPr>
          <w:p w14:paraId="61FC357E"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2,000</w:t>
            </w:r>
          </w:p>
        </w:tc>
        <w:tc>
          <w:tcPr>
            <w:tcW w:w="2155" w:type="dxa"/>
            <w:vAlign w:val="bottom"/>
          </w:tcPr>
          <w:p w14:paraId="239D1CE9"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6,250</w:t>
            </w:r>
          </w:p>
        </w:tc>
      </w:tr>
      <w:tr w:rsidR="00E0572D" w:rsidRPr="00467505" w14:paraId="44E7C626" w14:textId="77777777" w:rsidTr="00A54A21">
        <w:tc>
          <w:tcPr>
            <w:tcW w:w="2785" w:type="dxa"/>
          </w:tcPr>
          <w:p w14:paraId="65461404"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Total Wind</w:t>
            </w:r>
          </w:p>
        </w:tc>
        <w:tc>
          <w:tcPr>
            <w:tcW w:w="2273" w:type="dxa"/>
            <w:vAlign w:val="bottom"/>
          </w:tcPr>
          <w:p w14:paraId="4C7ADA0F"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2,246</w:t>
            </w:r>
          </w:p>
        </w:tc>
        <w:tc>
          <w:tcPr>
            <w:tcW w:w="2137" w:type="dxa"/>
            <w:vAlign w:val="bottom"/>
          </w:tcPr>
          <w:p w14:paraId="200C4DEA"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4,775</w:t>
            </w:r>
          </w:p>
        </w:tc>
        <w:tc>
          <w:tcPr>
            <w:tcW w:w="2155" w:type="dxa"/>
            <w:vAlign w:val="bottom"/>
          </w:tcPr>
          <w:p w14:paraId="1315C308"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8,583</w:t>
            </w:r>
          </w:p>
        </w:tc>
      </w:tr>
      <w:tr w:rsidR="00E0572D" w:rsidRPr="00467505" w14:paraId="0852D4CA" w14:textId="77777777" w:rsidTr="00A54A21">
        <w:tc>
          <w:tcPr>
            <w:tcW w:w="2785" w:type="dxa"/>
          </w:tcPr>
          <w:p w14:paraId="0AA97B25"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Geothermal</w:t>
            </w:r>
          </w:p>
        </w:tc>
        <w:tc>
          <w:tcPr>
            <w:tcW w:w="2273" w:type="dxa"/>
            <w:vAlign w:val="bottom"/>
          </w:tcPr>
          <w:p w14:paraId="22E5FE07"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1,700</w:t>
            </w:r>
          </w:p>
        </w:tc>
        <w:tc>
          <w:tcPr>
            <w:tcW w:w="2137" w:type="dxa"/>
            <w:vAlign w:val="bottom"/>
          </w:tcPr>
          <w:p w14:paraId="6C4F263C"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2,020</w:t>
            </w:r>
          </w:p>
        </w:tc>
        <w:tc>
          <w:tcPr>
            <w:tcW w:w="2155" w:type="dxa"/>
            <w:vAlign w:val="bottom"/>
          </w:tcPr>
          <w:p w14:paraId="337AC7E1"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2,020</w:t>
            </w:r>
          </w:p>
        </w:tc>
      </w:tr>
      <w:tr w:rsidR="00E0572D" w:rsidRPr="00467505" w14:paraId="716215A3" w14:textId="77777777" w:rsidTr="00A54A21">
        <w:tc>
          <w:tcPr>
            <w:tcW w:w="2785" w:type="dxa"/>
          </w:tcPr>
          <w:p w14:paraId="6CB9F8E3"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Total New Renewables</w:t>
            </w:r>
          </w:p>
        </w:tc>
        <w:tc>
          <w:tcPr>
            <w:tcW w:w="2273" w:type="dxa"/>
            <w:vAlign w:val="bottom"/>
          </w:tcPr>
          <w:p w14:paraId="358DFC73"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9,862</w:t>
            </w:r>
          </w:p>
        </w:tc>
        <w:tc>
          <w:tcPr>
            <w:tcW w:w="2137" w:type="dxa"/>
            <w:vAlign w:val="bottom"/>
          </w:tcPr>
          <w:p w14:paraId="231A957B"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18,383</w:t>
            </w:r>
          </w:p>
        </w:tc>
        <w:tc>
          <w:tcPr>
            <w:tcW w:w="2155" w:type="dxa"/>
            <w:vAlign w:val="bottom"/>
          </w:tcPr>
          <w:p w14:paraId="4DE55105"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16,823</w:t>
            </w:r>
          </w:p>
        </w:tc>
      </w:tr>
      <w:tr w:rsidR="00E0572D" w:rsidRPr="00467505" w14:paraId="16AC643B" w14:textId="77777777" w:rsidTr="00A54A21">
        <w:tc>
          <w:tcPr>
            <w:tcW w:w="2785" w:type="dxa"/>
          </w:tcPr>
          <w:p w14:paraId="5AE512D6" w14:textId="77777777" w:rsidR="00E0572D" w:rsidRPr="00467505" w:rsidRDefault="00E0572D" w:rsidP="005E1093">
            <w:pPr>
              <w:pStyle w:val="sub1"/>
              <w:spacing w:before="60" w:after="60" w:line="240" w:lineRule="auto"/>
              <w:ind w:firstLine="0"/>
              <w:rPr>
                <w:rFonts w:ascii="Book Antiqua" w:hAnsi="Book Antiqua"/>
                <w:sz w:val="24"/>
                <w:szCs w:val="24"/>
              </w:rPr>
            </w:pPr>
            <w:r w:rsidRPr="00467505">
              <w:rPr>
                <w:rFonts w:ascii="Book Antiqua" w:hAnsi="Book Antiqua"/>
                <w:sz w:val="24"/>
                <w:szCs w:val="24"/>
              </w:rPr>
              <w:t>Total New Renewables and Storage</w:t>
            </w:r>
          </w:p>
        </w:tc>
        <w:tc>
          <w:tcPr>
            <w:tcW w:w="2273" w:type="dxa"/>
            <w:vAlign w:val="bottom"/>
          </w:tcPr>
          <w:p w14:paraId="21108911"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11,996</w:t>
            </w:r>
          </w:p>
        </w:tc>
        <w:tc>
          <w:tcPr>
            <w:tcW w:w="2137" w:type="dxa"/>
            <w:vAlign w:val="bottom"/>
          </w:tcPr>
          <w:p w14:paraId="1267052E"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24,071</w:t>
            </w:r>
          </w:p>
        </w:tc>
        <w:tc>
          <w:tcPr>
            <w:tcW w:w="2155" w:type="dxa"/>
            <w:vAlign w:val="bottom"/>
          </w:tcPr>
          <w:p w14:paraId="153E6B70" w14:textId="77777777" w:rsidR="00E0572D" w:rsidRPr="00467505" w:rsidRDefault="00E0572D" w:rsidP="00A54A21">
            <w:pPr>
              <w:pStyle w:val="sub1"/>
              <w:spacing w:before="60" w:after="60" w:line="240" w:lineRule="auto"/>
              <w:ind w:firstLine="0"/>
              <w:jc w:val="right"/>
              <w:rPr>
                <w:rFonts w:ascii="Book Antiqua" w:hAnsi="Book Antiqua"/>
                <w:sz w:val="24"/>
                <w:szCs w:val="24"/>
              </w:rPr>
            </w:pPr>
            <w:r w:rsidRPr="00467505">
              <w:rPr>
                <w:rFonts w:ascii="Book Antiqua" w:hAnsi="Book Antiqua"/>
                <w:sz w:val="24"/>
                <w:szCs w:val="24"/>
              </w:rPr>
              <w:t>19,425</w:t>
            </w:r>
          </w:p>
        </w:tc>
      </w:tr>
    </w:tbl>
    <w:p w14:paraId="6E8DFC47" w14:textId="77777777" w:rsidR="000C0D8B" w:rsidRPr="00467505" w:rsidRDefault="000C0D8B" w:rsidP="000C0D8B">
      <w:pPr>
        <w:pStyle w:val="sub1"/>
        <w:ind w:firstLine="0"/>
        <w:rPr>
          <w:rFonts w:ascii="Book Antiqua" w:hAnsi="Book Antiqua"/>
        </w:rPr>
      </w:pPr>
    </w:p>
    <w:p w14:paraId="58142F9F" w14:textId="77777777" w:rsidR="00313EFF" w:rsidRDefault="00DE2C4B" w:rsidP="00313EFF">
      <w:pPr>
        <w:pStyle w:val="Heading1"/>
      </w:pPr>
      <w:bookmarkStart w:id="141" w:name="_Toc3803854"/>
      <w:r>
        <w:t xml:space="preserve">Near-Term Actions to </w:t>
      </w:r>
      <w:r w:rsidR="0042483A">
        <w:t>Achieve the</w:t>
      </w:r>
      <w:r>
        <w:t xml:space="preserve"> Preferred System Portfolio</w:t>
      </w:r>
      <w:bookmarkEnd w:id="141"/>
      <w:r>
        <w:t xml:space="preserve"> </w:t>
      </w:r>
    </w:p>
    <w:p w14:paraId="1973BC1C" w14:textId="77777777" w:rsidR="00DE2C4B" w:rsidRPr="00DE2C4B" w:rsidRDefault="00DE2C4B" w:rsidP="00D07949">
      <w:pPr>
        <w:pStyle w:val="standard"/>
      </w:pPr>
      <w:r>
        <w:t>In response to the January 11, 2019 ALJ ruling containing recommendations about the PSP and portfolios to be used for CAISO TPP, parties were asked to respond to questions about any policy or procurement actions that the Commission should take</w:t>
      </w:r>
      <w:r w:rsidR="007466B8">
        <w:t>, or potentially require the LSEs to take,</w:t>
      </w:r>
      <w:r>
        <w:t xml:space="preserve"> in the short term</w:t>
      </w:r>
      <w:r w:rsidR="007466B8">
        <w:t>,</w:t>
      </w:r>
      <w:r>
        <w:t xml:space="preserve"> to achieve the preferred portfolio.</w:t>
      </w:r>
      <w:r w:rsidR="005E13A0">
        <w:t xml:space="preserve">  In D.18-02-018, this portion of the inquiry was referred to as the Preferred System Plan. This section addresses the “Plan” portion of this</w:t>
      </w:r>
      <w:r w:rsidR="00412A49">
        <w:t xml:space="preserve"> two-part structure</w:t>
      </w:r>
      <w:r w:rsidR="00624E8F">
        <w:t>, with the other part being the portfolio already discussed above in Section 3 of this decision</w:t>
      </w:r>
      <w:r w:rsidR="00412A49">
        <w:t xml:space="preserve">. </w:t>
      </w:r>
    </w:p>
    <w:p w14:paraId="08042D61" w14:textId="77777777" w:rsidR="00313EFF" w:rsidRPr="00467505" w:rsidRDefault="00DE2C4B" w:rsidP="00313EFF">
      <w:pPr>
        <w:pStyle w:val="standard"/>
        <w:rPr>
          <w:rFonts w:ascii="Book Antiqua" w:hAnsi="Book Antiqua"/>
        </w:rPr>
      </w:pPr>
      <w:r>
        <w:rPr>
          <w:rFonts w:ascii="Book Antiqua" w:hAnsi="Book Antiqua"/>
        </w:rPr>
        <w:t>In addition, a</w:t>
      </w:r>
      <w:r w:rsidR="00313EFF" w:rsidRPr="00467505">
        <w:rPr>
          <w:rFonts w:ascii="Book Antiqua" w:hAnsi="Book Antiqua"/>
        </w:rPr>
        <w:t xml:space="preserve">n Assigned Commissioner and ALJ </w:t>
      </w:r>
      <w:r w:rsidR="005E1093">
        <w:rPr>
          <w:rFonts w:ascii="Book Antiqua" w:hAnsi="Book Antiqua"/>
        </w:rPr>
        <w:t>R</w:t>
      </w:r>
      <w:r w:rsidR="00313EFF" w:rsidRPr="00467505">
        <w:rPr>
          <w:rFonts w:ascii="Book Antiqua" w:hAnsi="Book Antiqua"/>
        </w:rPr>
        <w:t>uling was issued on November 16, 2018 on the subject of near</w:t>
      </w:r>
      <w:r w:rsidR="00D84A09" w:rsidRPr="00467505">
        <w:rPr>
          <w:rFonts w:ascii="Book Antiqua" w:hAnsi="Book Antiqua"/>
        </w:rPr>
        <w:noBreakHyphen/>
      </w:r>
      <w:r w:rsidR="00313EFF" w:rsidRPr="00467505">
        <w:rPr>
          <w:rFonts w:ascii="Book Antiqua" w:hAnsi="Book Antiqua"/>
        </w:rPr>
        <w:t xml:space="preserve"> and medium</w:t>
      </w:r>
      <w:r w:rsidR="00D84A09" w:rsidRPr="00467505">
        <w:rPr>
          <w:rFonts w:ascii="Book Antiqua" w:hAnsi="Book Antiqua"/>
        </w:rPr>
        <w:noBreakHyphen/>
      </w:r>
      <w:r w:rsidR="00313EFF" w:rsidRPr="00467505">
        <w:rPr>
          <w:rFonts w:ascii="Book Antiqua" w:hAnsi="Book Antiqua"/>
        </w:rPr>
        <w:t xml:space="preserve">term reliability issues, </w:t>
      </w:r>
      <w:r w:rsidR="00C91F77">
        <w:rPr>
          <w:rFonts w:ascii="Book Antiqua" w:hAnsi="Book Antiqua"/>
        </w:rPr>
        <w:t>posing</w:t>
      </w:r>
      <w:r w:rsidR="00C91F77" w:rsidRPr="00467505">
        <w:rPr>
          <w:rFonts w:ascii="Book Antiqua" w:hAnsi="Book Antiqua"/>
        </w:rPr>
        <w:t xml:space="preserve"> </w:t>
      </w:r>
      <w:r w:rsidR="00313EFF" w:rsidRPr="00467505">
        <w:rPr>
          <w:rFonts w:ascii="Book Antiqua" w:hAnsi="Book Antiqua"/>
        </w:rPr>
        <w:t>questions about the adequacy of our mechanisms to deal with the reliability</w:t>
      </w:r>
      <w:r w:rsidR="00D84A09" w:rsidRPr="00467505">
        <w:rPr>
          <w:rFonts w:ascii="Book Antiqua" w:hAnsi="Book Antiqua"/>
        </w:rPr>
        <w:noBreakHyphen/>
      </w:r>
      <w:r w:rsidR="00313EFF" w:rsidRPr="00467505">
        <w:rPr>
          <w:rFonts w:ascii="Book Antiqua" w:hAnsi="Book Antiqua"/>
        </w:rPr>
        <w:t xml:space="preserve">related aspects of the IRP process, as distinct from the GHG emissions outcomes. </w:t>
      </w:r>
      <w:r w:rsidR="00C961F7" w:rsidRPr="00467505">
        <w:rPr>
          <w:rFonts w:ascii="Book Antiqua" w:hAnsi="Book Antiqua"/>
        </w:rPr>
        <w:t xml:space="preserve"> </w:t>
      </w:r>
      <w:r w:rsidR="00313EFF" w:rsidRPr="00467505">
        <w:rPr>
          <w:rFonts w:ascii="Book Antiqua" w:hAnsi="Book Antiqua"/>
        </w:rPr>
        <w:t xml:space="preserve">The </w:t>
      </w:r>
      <w:r w:rsidR="0001732F">
        <w:rPr>
          <w:rFonts w:ascii="Book Antiqua" w:hAnsi="Book Antiqua"/>
        </w:rPr>
        <w:t xml:space="preserve">November 16, 2018 </w:t>
      </w:r>
      <w:r w:rsidR="00313EFF" w:rsidRPr="00467505">
        <w:rPr>
          <w:rFonts w:ascii="Book Antiqua" w:hAnsi="Book Antiqua"/>
        </w:rPr>
        <w:t>ruling specifically referred to comments filed in September 2018 in response to the individual IRPs by SCE and CLECA.</w:t>
      </w:r>
      <w:r w:rsidR="00C961F7" w:rsidRPr="00467505">
        <w:rPr>
          <w:rFonts w:ascii="Book Antiqua" w:hAnsi="Book Antiqua"/>
        </w:rPr>
        <w:t xml:space="preserve"> </w:t>
      </w:r>
      <w:r w:rsidR="00313EFF" w:rsidRPr="00467505">
        <w:rPr>
          <w:rFonts w:ascii="Book Antiqua" w:hAnsi="Book Antiqua"/>
        </w:rPr>
        <w:t xml:space="preserve"> These comments raised ideas about what the Commission should do </w:t>
      </w:r>
      <w:r w:rsidR="00E31C6B">
        <w:rPr>
          <w:rFonts w:ascii="Book Antiqua" w:hAnsi="Book Antiqua"/>
        </w:rPr>
        <w:t>in the event of</w:t>
      </w:r>
      <w:r w:rsidR="00E31C6B" w:rsidRPr="00467505">
        <w:rPr>
          <w:rFonts w:ascii="Book Antiqua" w:hAnsi="Book Antiqua"/>
        </w:rPr>
        <w:t xml:space="preserve"> </w:t>
      </w:r>
      <w:r w:rsidR="00313EFF" w:rsidRPr="00467505">
        <w:rPr>
          <w:rFonts w:ascii="Book Antiqua" w:hAnsi="Book Antiqua"/>
        </w:rPr>
        <w:t>a reliability challenge.</w:t>
      </w:r>
      <w:r w:rsidR="00C961F7" w:rsidRPr="00467505">
        <w:rPr>
          <w:rFonts w:ascii="Book Antiqua" w:hAnsi="Book Antiqua"/>
        </w:rPr>
        <w:t xml:space="preserve">  </w:t>
      </w:r>
      <w:r w:rsidR="00313EFF" w:rsidRPr="00467505">
        <w:rPr>
          <w:rFonts w:ascii="Book Antiqua" w:hAnsi="Book Antiqua"/>
        </w:rPr>
        <w:t>SCE proposed a “trigger” mechanism that would authorize reliability</w:t>
      </w:r>
      <w:r w:rsidR="00D84A09" w:rsidRPr="00467505">
        <w:rPr>
          <w:rFonts w:ascii="Book Antiqua" w:hAnsi="Book Antiqua"/>
        </w:rPr>
        <w:noBreakHyphen/>
      </w:r>
      <w:r w:rsidR="00313EFF" w:rsidRPr="00467505">
        <w:rPr>
          <w:rFonts w:ascii="Book Antiqua" w:hAnsi="Book Antiqua"/>
        </w:rPr>
        <w:t xml:space="preserve">based procurement if certain conditions are met, with emphasis on acquisition of storage resources. </w:t>
      </w:r>
    </w:p>
    <w:p w14:paraId="234DA65A" w14:textId="77777777" w:rsidR="00313EFF" w:rsidRPr="00467505" w:rsidRDefault="00313EFF" w:rsidP="00313EFF">
      <w:pPr>
        <w:pStyle w:val="standard"/>
        <w:rPr>
          <w:rFonts w:ascii="Book Antiqua" w:hAnsi="Book Antiqua"/>
        </w:rPr>
      </w:pPr>
      <w:r w:rsidRPr="00467505">
        <w:rPr>
          <w:rFonts w:ascii="Book Antiqua" w:hAnsi="Book Antiqua"/>
        </w:rPr>
        <w:t xml:space="preserve">The </w:t>
      </w:r>
      <w:r w:rsidR="00DE2C4B">
        <w:rPr>
          <w:rFonts w:ascii="Book Antiqua" w:hAnsi="Book Antiqua"/>
        </w:rPr>
        <w:t xml:space="preserve">November 16, 2018 </w:t>
      </w:r>
      <w:r w:rsidRPr="00467505">
        <w:rPr>
          <w:rFonts w:ascii="Book Antiqua" w:hAnsi="Book Antiqua"/>
        </w:rPr>
        <w:t xml:space="preserve">ruling noted that reliability concerns have been emerging more frequently in various venues, including the Commission’s Customer Choice Project, as well as reports of the CAISO DMM. </w:t>
      </w:r>
      <w:r w:rsidR="00C961F7" w:rsidRPr="00467505">
        <w:rPr>
          <w:rFonts w:ascii="Book Antiqua" w:hAnsi="Book Antiqua"/>
        </w:rPr>
        <w:t xml:space="preserve"> </w:t>
      </w:r>
      <w:r w:rsidRPr="00467505">
        <w:rPr>
          <w:rFonts w:ascii="Book Antiqua" w:hAnsi="Book Antiqua"/>
        </w:rPr>
        <w:t xml:space="preserve">Finally, the ruling posed a series of questions to solicit input on potential ways to address the concerns. </w:t>
      </w:r>
      <w:r w:rsidR="00C961F7" w:rsidRPr="00467505">
        <w:rPr>
          <w:rFonts w:ascii="Book Antiqua" w:hAnsi="Book Antiqua"/>
        </w:rPr>
        <w:t xml:space="preserve"> </w:t>
      </w:r>
      <w:r w:rsidRPr="00467505">
        <w:rPr>
          <w:rFonts w:ascii="Book Antiqua" w:hAnsi="Book Antiqua"/>
        </w:rPr>
        <w:t xml:space="preserve">In particular, the ruling noted issues related to the difficulty of planning for reliability constraints when the proliferation of new LSEs with diffuse responsibility for maintaining grid reliability. </w:t>
      </w:r>
    </w:p>
    <w:p w14:paraId="74F38270" w14:textId="77777777" w:rsidR="00DE2C4B" w:rsidRDefault="00DE2C4B" w:rsidP="004C75AB">
      <w:pPr>
        <w:pStyle w:val="Heading2"/>
      </w:pPr>
      <w:bookmarkStart w:id="142" w:name="_Toc3803855"/>
      <w:r>
        <w:t xml:space="preserve">Comments of Parties on </w:t>
      </w:r>
      <w:r w:rsidR="0001732F">
        <w:t xml:space="preserve">Potential </w:t>
      </w:r>
      <w:r w:rsidR="0089569E">
        <w:t>Actions to Achieve the PSP</w:t>
      </w:r>
      <w:bookmarkEnd w:id="142"/>
    </w:p>
    <w:p w14:paraId="3CE00849" w14:textId="77777777" w:rsidR="0089569E" w:rsidRDefault="00665588" w:rsidP="0089569E">
      <w:pPr>
        <w:pStyle w:val="sub1"/>
      </w:pPr>
      <w:r>
        <w:t xml:space="preserve">In response to the January 11, 2019 ALJ ruling, the majority of parties commented that no specific procurement should be ordered as a result of the analysis of the individual LSE IRPs or the HCP. Those parties included AEE, AReM, Cal Advocates, Calpine Corporation, CAISO, the Joint CCAs, SCE, SDG&amp;E, PG&amp;E, TransWest, TURN, and WPTF. Most parties also commented that an increase in RPS compliance requirements also was not warranted. </w:t>
      </w:r>
    </w:p>
    <w:p w14:paraId="79AAAD43" w14:textId="77777777" w:rsidR="00665588" w:rsidRDefault="00665588" w:rsidP="0089569E">
      <w:pPr>
        <w:pStyle w:val="sub1"/>
      </w:pPr>
      <w:r>
        <w:t>A few parties felt that</w:t>
      </w:r>
      <w:r w:rsidR="00762478">
        <w:t xml:space="preserve"> specific</w:t>
      </w:r>
      <w:r>
        <w:t xml:space="preserve"> procurement should be ordered, including CESA, SDCWA, Wellhead, and GridLiance. </w:t>
      </w:r>
      <w:r w:rsidR="00762478">
        <w:t xml:space="preserve">Ormat suggested that the Commission order IOU procurement, and be advisory on CCA and ESP procurement. </w:t>
      </w:r>
    </w:p>
    <w:p w14:paraId="23C5CDE4" w14:textId="77777777" w:rsidR="00762478" w:rsidRDefault="00762478" w:rsidP="0089569E">
      <w:pPr>
        <w:pStyle w:val="sub1"/>
      </w:pPr>
      <w:r>
        <w:t xml:space="preserve">Cal Advocates suggested that the Commission begin considering additional procurement-related questions, such as who should procure, how much, the types of resources, and the allocation of benefits. GridLiance suggested that the Commission require LSEs to report procurement progress towards their plans. </w:t>
      </w:r>
    </w:p>
    <w:p w14:paraId="767862B1" w14:textId="77777777" w:rsidR="00762478" w:rsidRDefault="00185E1B" w:rsidP="0089569E">
      <w:pPr>
        <w:pStyle w:val="sub1"/>
      </w:pPr>
      <w:r>
        <w:t>Several parties also suggested modeling improvements as near-term actions. AReM would like more granularity and verification of Commission staff analyses. Calpine also wanted more analysis of discrepancies between results of various modeling parties. PG&amp;E, Cal Advocates, CESA, NRG, and WPTF suggested further alignment between the three models commonly utilized (RESOLVE, SERVM, and PLEXOS). PG&amp;E also suggested checking for resource adequacy compliance and optimization of distributed energy resources. LS Power and TransWest suggested improvements to the out-of-state wind and transmission assumptions and costs.</w:t>
      </w:r>
    </w:p>
    <w:p w14:paraId="036F095B" w14:textId="77777777" w:rsidR="00185E1B" w:rsidRPr="0089569E" w:rsidRDefault="00185E1B" w:rsidP="00D07949">
      <w:pPr>
        <w:pStyle w:val="sub1"/>
      </w:pPr>
      <w:r>
        <w:t xml:space="preserve">SCE and PG&amp;E focused attention on the need to study potential retirements of thermal generation resources. Finally, PG&amp;E also suggested increased attention to process alignment between the CAISO, CEC, and this Commission. </w:t>
      </w:r>
    </w:p>
    <w:p w14:paraId="55C68EA5" w14:textId="77777777" w:rsidR="00313EFF" w:rsidRDefault="00313EFF" w:rsidP="004C75AB">
      <w:pPr>
        <w:pStyle w:val="Heading2"/>
      </w:pPr>
      <w:bookmarkStart w:id="143" w:name="_Toc3803856"/>
      <w:r>
        <w:t>Comments of Parties</w:t>
      </w:r>
      <w:r w:rsidR="00DE2C4B">
        <w:t xml:space="preserve"> on Near- and Medium-Term Reliability Issues</w:t>
      </w:r>
      <w:bookmarkEnd w:id="143"/>
    </w:p>
    <w:p w14:paraId="3D5B3EB0" w14:textId="77777777" w:rsidR="00313EFF" w:rsidRPr="00467505" w:rsidRDefault="00313EFF" w:rsidP="00313EFF">
      <w:pPr>
        <w:pStyle w:val="sub1"/>
        <w:rPr>
          <w:rFonts w:ascii="Book Antiqua" w:hAnsi="Book Antiqua"/>
        </w:rPr>
      </w:pPr>
      <w:r w:rsidRPr="00467505">
        <w:rPr>
          <w:rFonts w:ascii="Book Antiqua" w:hAnsi="Book Antiqua"/>
        </w:rPr>
        <w:t xml:space="preserve">The majority of parties in this proceeding commented in response to the </w:t>
      </w:r>
      <w:r w:rsidR="00DE2C4B">
        <w:rPr>
          <w:rFonts w:ascii="Book Antiqua" w:hAnsi="Book Antiqua"/>
        </w:rPr>
        <w:t xml:space="preserve">November 16, 2018 </w:t>
      </w:r>
      <w:r w:rsidRPr="00467505">
        <w:rPr>
          <w:rFonts w:ascii="Book Antiqua" w:hAnsi="Book Antiqua"/>
        </w:rPr>
        <w:t xml:space="preserve">Joint Assigned Commissioner and </w:t>
      </w:r>
      <w:r w:rsidR="005E1093">
        <w:rPr>
          <w:rFonts w:ascii="Book Antiqua" w:hAnsi="Book Antiqua"/>
        </w:rPr>
        <w:t>ALJ R</w:t>
      </w:r>
      <w:r w:rsidRPr="00467505">
        <w:rPr>
          <w:rFonts w:ascii="Book Antiqua" w:hAnsi="Book Antiqua"/>
        </w:rPr>
        <w:t>uling on reliability issues.  The responses fell into several categories or themes as summarized below.</w:t>
      </w:r>
    </w:p>
    <w:p w14:paraId="7080AB3E" w14:textId="77777777" w:rsidR="00313EFF" w:rsidRPr="00467505" w:rsidRDefault="00313EFF" w:rsidP="00313EFF">
      <w:pPr>
        <w:pStyle w:val="sub1"/>
        <w:rPr>
          <w:rFonts w:ascii="Book Antiqua" w:hAnsi="Book Antiqua"/>
        </w:rPr>
      </w:pPr>
      <w:r w:rsidRPr="00467505">
        <w:rPr>
          <w:rFonts w:ascii="Book Antiqua" w:hAnsi="Book Antiqua"/>
        </w:rPr>
        <w:t xml:space="preserve">First, many parties felt that the resource adequacy requirements of the Commission and/or the resource adequacy proceeding are a better venue for addressing these types of reliability concerns than the IRP proceeding. </w:t>
      </w:r>
      <w:r w:rsidR="00C961F7" w:rsidRPr="00467505">
        <w:rPr>
          <w:rFonts w:ascii="Book Antiqua" w:hAnsi="Book Antiqua"/>
        </w:rPr>
        <w:t xml:space="preserve"> </w:t>
      </w:r>
      <w:r w:rsidRPr="00467505">
        <w:rPr>
          <w:rFonts w:ascii="Book Antiqua" w:hAnsi="Book Antiqua"/>
        </w:rPr>
        <w:t xml:space="preserve">Parties making comments along these lines included: </w:t>
      </w:r>
      <w:r w:rsidR="004731C2" w:rsidRPr="00467505">
        <w:rPr>
          <w:rFonts w:ascii="Book Antiqua" w:hAnsi="Book Antiqua"/>
        </w:rPr>
        <w:t xml:space="preserve"> </w:t>
      </w:r>
      <w:r w:rsidRPr="00467505">
        <w:rPr>
          <w:rFonts w:ascii="Book Antiqua" w:hAnsi="Book Antiqua"/>
        </w:rPr>
        <w:t xml:space="preserve">AReM, CalCCA, GPI, LS Power, and WPTF. </w:t>
      </w:r>
    </w:p>
    <w:p w14:paraId="13366A67" w14:textId="77777777" w:rsidR="00313EFF" w:rsidRPr="00467505" w:rsidRDefault="00313EFF" w:rsidP="00313EFF">
      <w:pPr>
        <w:pStyle w:val="sub1"/>
        <w:rPr>
          <w:rFonts w:ascii="Book Antiqua" w:hAnsi="Book Antiqua"/>
        </w:rPr>
      </w:pPr>
      <w:r w:rsidRPr="00467505">
        <w:rPr>
          <w:rFonts w:ascii="Book Antiqua" w:hAnsi="Book Antiqua"/>
        </w:rPr>
        <w:t xml:space="preserve">Other parties felt that both the RA and the IRP proceedings need to address different aspects of the issues. </w:t>
      </w:r>
      <w:r w:rsidR="00C961F7" w:rsidRPr="00467505">
        <w:rPr>
          <w:rFonts w:ascii="Book Antiqua" w:hAnsi="Book Antiqua"/>
        </w:rPr>
        <w:t xml:space="preserve"> </w:t>
      </w:r>
      <w:r w:rsidRPr="00467505">
        <w:rPr>
          <w:rFonts w:ascii="Book Antiqua" w:hAnsi="Book Antiqua"/>
        </w:rPr>
        <w:t xml:space="preserve">CESA, NRG, SDCWA, SDG&amp;E, SCE, and UCS were particularly in favor of shared responsibility between the proceedings, focusing on the different time horizons and different emphasis on existing vs. new resources. </w:t>
      </w:r>
      <w:r w:rsidR="00C961F7" w:rsidRPr="00467505">
        <w:rPr>
          <w:rFonts w:ascii="Book Antiqua" w:hAnsi="Book Antiqua"/>
        </w:rPr>
        <w:t xml:space="preserve"> </w:t>
      </w:r>
      <w:r w:rsidRPr="00467505">
        <w:rPr>
          <w:rFonts w:ascii="Book Antiqua" w:hAnsi="Book Antiqua"/>
        </w:rPr>
        <w:t>UCS argued that the resource adequacy proceeding should focus on retention of gas resources, while IRP should focus on the development of new non</w:t>
      </w:r>
      <w:r w:rsidR="00D84A09" w:rsidRPr="00467505">
        <w:rPr>
          <w:rFonts w:ascii="Book Antiqua" w:hAnsi="Book Antiqua"/>
        </w:rPr>
        <w:noBreakHyphen/>
      </w:r>
      <w:r w:rsidRPr="00467505">
        <w:rPr>
          <w:rFonts w:ascii="Book Antiqua" w:hAnsi="Book Antiqua"/>
        </w:rPr>
        <w:t>fossil</w:t>
      </w:r>
      <w:r w:rsidR="00D84A09" w:rsidRPr="00467505">
        <w:rPr>
          <w:rFonts w:ascii="Book Antiqua" w:hAnsi="Book Antiqua"/>
        </w:rPr>
        <w:noBreakHyphen/>
      </w:r>
      <w:r w:rsidRPr="00467505">
        <w:rPr>
          <w:rFonts w:ascii="Book Antiqua" w:hAnsi="Book Antiqua"/>
        </w:rPr>
        <w:t>fueled alternatives.</w:t>
      </w:r>
    </w:p>
    <w:p w14:paraId="299CB514" w14:textId="77777777" w:rsidR="00313EFF" w:rsidRPr="00467505" w:rsidRDefault="00313EFF" w:rsidP="00313EFF">
      <w:pPr>
        <w:pStyle w:val="sub1"/>
        <w:rPr>
          <w:rFonts w:ascii="Book Antiqua" w:hAnsi="Book Antiqua"/>
        </w:rPr>
      </w:pPr>
      <w:r w:rsidRPr="00467505">
        <w:rPr>
          <w:rFonts w:ascii="Book Antiqua" w:hAnsi="Book Antiqua"/>
        </w:rPr>
        <w:t>TURN, on the other hand, argued that the IRP proceeding is the only place that the Commission looks comprehensively at all of these issues, and that resource adequacy is narrowly focused on short</w:t>
      </w:r>
      <w:r w:rsidR="00D84A09" w:rsidRPr="00467505">
        <w:rPr>
          <w:rFonts w:ascii="Book Antiqua" w:hAnsi="Book Antiqua"/>
        </w:rPr>
        <w:noBreakHyphen/>
      </w:r>
      <w:r w:rsidRPr="00467505">
        <w:rPr>
          <w:rFonts w:ascii="Book Antiqua" w:hAnsi="Book Antiqua"/>
        </w:rPr>
        <w:t xml:space="preserve">term reliability. </w:t>
      </w:r>
      <w:r w:rsidR="00C961F7" w:rsidRPr="00467505">
        <w:rPr>
          <w:rFonts w:ascii="Book Antiqua" w:hAnsi="Book Antiqua"/>
        </w:rPr>
        <w:t xml:space="preserve"> </w:t>
      </w:r>
      <w:r w:rsidRPr="00467505">
        <w:rPr>
          <w:rFonts w:ascii="Book Antiqua" w:hAnsi="Book Antiqua"/>
        </w:rPr>
        <w:t xml:space="preserve">PG&amp;E and SCE also felt that the IRP needs to address reliability issues on the sooner end, and that the current focus on GHG emissions targets will miss the system reliability aspects unless it is augmented, in coordination with CAISO reliability studies. </w:t>
      </w:r>
      <w:r w:rsidR="00C961F7" w:rsidRPr="00467505">
        <w:rPr>
          <w:rFonts w:ascii="Book Antiqua" w:hAnsi="Book Antiqua"/>
        </w:rPr>
        <w:t xml:space="preserve"> </w:t>
      </w:r>
      <w:r w:rsidRPr="00467505">
        <w:rPr>
          <w:rFonts w:ascii="Book Antiqua" w:hAnsi="Book Antiqua"/>
        </w:rPr>
        <w:t>They argued that analysis done so far in IRP is inadequate to handle reliability issues.</w:t>
      </w:r>
      <w:r w:rsidR="00C961F7" w:rsidRPr="00467505">
        <w:rPr>
          <w:rFonts w:ascii="Book Antiqua" w:hAnsi="Book Antiqua"/>
        </w:rPr>
        <w:t xml:space="preserve"> </w:t>
      </w:r>
      <w:r w:rsidRPr="00467505">
        <w:rPr>
          <w:rFonts w:ascii="Book Antiqua" w:hAnsi="Book Antiqua"/>
        </w:rPr>
        <w:t xml:space="preserve"> PG&amp;E also pointed out that the reliability assessment available in SERVM can look at resource adequacy, but not operational reliability issues. </w:t>
      </w:r>
    </w:p>
    <w:p w14:paraId="7BDB9AED" w14:textId="77777777" w:rsidR="00313EFF" w:rsidRPr="00467505" w:rsidRDefault="00313EFF" w:rsidP="00313EFF">
      <w:pPr>
        <w:pStyle w:val="sub1"/>
        <w:rPr>
          <w:rFonts w:ascii="Book Antiqua" w:hAnsi="Book Antiqua"/>
        </w:rPr>
      </w:pPr>
      <w:r w:rsidRPr="00467505">
        <w:rPr>
          <w:rFonts w:ascii="Book Antiqua" w:hAnsi="Book Antiqua"/>
        </w:rPr>
        <w:t xml:space="preserve">Shell Energy was also in favor of the Commission addressing all of these reliability issues in the IRP proceeding, stating that an integrated look is the only way to solve these issues and that stakeholders should not have to participate in multiple venues in order to address one set of issues. </w:t>
      </w:r>
    </w:p>
    <w:p w14:paraId="32D36E0F" w14:textId="77777777" w:rsidR="00313EFF" w:rsidRPr="00467505" w:rsidRDefault="00313EFF" w:rsidP="00313EFF">
      <w:pPr>
        <w:pStyle w:val="sub1"/>
        <w:rPr>
          <w:rFonts w:ascii="Book Antiqua" w:hAnsi="Book Antiqua"/>
        </w:rPr>
      </w:pPr>
      <w:r w:rsidRPr="00467505">
        <w:rPr>
          <w:rFonts w:ascii="Book Antiqua" w:hAnsi="Book Antiqua"/>
        </w:rPr>
        <w:t xml:space="preserve">SCE also agreed that IRP is the venue for addressing these broad reliability issues. </w:t>
      </w:r>
      <w:r w:rsidR="00C961F7" w:rsidRPr="00467505">
        <w:rPr>
          <w:rFonts w:ascii="Book Antiqua" w:hAnsi="Book Antiqua"/>
        </w:rPr>
        <w:t xml:space="preserve"> </w:t>
      </w:r>
      <w:r w:rsidRPr="00467505">
        <w:rPr>
          <w:rFonts w:ascii="Book Antiqua" w:hAnsi="Book Antiqua"/>
        </w:rPr>
        <w:t xml:space="preserve">They made the general point that wholesale energy markets function best when there is excess capacity and/or free entry in the market, and argued that California’s market increasingly possesses neither of these attributes. </w:t>
      </w:r>
    </w:p>
    <w:p w14:paraId="743207F1" w14:textId="77777777" w:rsidR="00313EFF" w:rsidRPr="00467505" w:rsidRDefault="00313EFF" w:rsidP="00313EFF">
      <w:pPr>
        <w:pStyle w:val="sub1"/>
        <w:rPr>
          <w:rFonts w:ascii="Book Antiqua" w:hAnsi="Book Antiqua"/>
        </w:rPr>
      </w:pPr>
      <w:r w:rsidRPr="00467505">
        <w:rPr>
          <w:rFonts w:ascii="Book Antiqua" w:hAnsi="Book Antiqua"/>
        </w:rPr>
        <w:t>CESA was in favor of SCE’s proposed trigger mechanism, designed to initiate procurement, especially in key local areas, when certain reliability thresholds are met.</w:t>
      </w:r>
      <w:r w:rsidR="00C961F7" w:rsidRPr="00467505">
        <w:rPr>
          <w:rFonts w:ascii="Book Antiqua" w:hAnsi="Book Antiqua"/>
        </w:rPr>
        <w:t xml:space="preserve"> </w:t>
      </w:r>
      <w:r w:rsidRPr="00467505">
        <w:rPr>
          <w:rFonts w:ascii="Book Antiqua" w:hAnsi="Book Antiqua"/>
        </w:rPr>
        <w:t xml:space="preserve"> CESA pointed out that storage resources have been used to meet these types of needs in the past, including for recent procurements in the Moss Landing, Aliso Canyon, and Metcalf areas. </w:t>
      </w:r>
    </w:p>
    <w:p w14:paraId="3E67A83B" w14:textId="77777777" w:rsidR="00313EFF" w:rsidRPr="00467505" w:rsidRDefault="00313EFF" w:rsidP="00313EFF">
      <w:pPr>
        <w:pStyle w:val="sub1"/>
        <w:rPr>
          <w:rFonts w:ascii="Book Antiqua" w:hAnsi="Book Antiqua"/>
        </w:rPr>
      </w:pPr>
      <w:r w:rsidRPr="00467505">
        <w:rPr>
          <w:rFonts w:ascii="Book Antiqua" w:hAnsi="Book Antiqua"/>
        </w:rPr>
        <w:t xml:space="preserve">Several parties also used this response opportunity to argue again for the development of a centralized capacity market in California. </w:t>
      </w:r>
      <w:r w:rsidR="00C961F7" w:rsidRPr="00467505">
        <w:rPr>
          <w:rFonts w:ascii="Book Antiqua" w:hAnsi="Book Antiqua"/>
        </w:rPr>
        <w:t xml:space="preserve"> </w:t>
      </w:r>
      <w:r w:rsidRPr="00467505">
        <w:rPr>
          <w:rFonts w:ascii="Book Antiqua" w:hAnsi="Book Antiqua"/>
        </w:rPr>
        <w:t xml:space="preserve">Parties reiterating this point included: </w:t>
      </w:r>
      <w:r w:rsidR="004731C2" w:rsidRPr="00467505">
        <w:rPr>
          <w:rFonts w:ascii="Book Antiqua" w:hAnsi="Book Antiqua"/>
        </w:rPr>
        <w:t xml:space="preserve"> </w:t>
      </w:r>
      <w:r w:rsidRPr="00467505">
        <w:rPr>
          <w:rFonts w:ascii="Book Antiqua" w:hAnsi="Book Antiqua"/>
        </w:rPr>
        <w:t xml:space="preserve">AReM, IEP, WPTF, and Shell, with Shell emphasizing that a market design could be crafted that is less like a </w:t>
      </w:r>
      <w:r w:rsidR="006175D2" w:rsidRPr="00467505">
        <w:rPr>
          <w:rFonts w:ascii="Book Antiqua" w:hAnsi="Book Antiqua"/>
        </w:rPr>
        <w:t>Federal</w:t>
      </w:r>
      <w:r w:rsidR="00D84A09" w:rsidRPr="00467505">
        <w:rPr>
          <w:rFonts w:ascii="Book Antiqua" w:hAnsi="Book Antiqua"/>
        </w:rPr>
        <w:noBreakHyphen/>
      </w:r>
      <w:r w:rsidRPr="00467505">
        <w:rPr>
          <w:rFonts w:ascii="Book Antiqua" w:hAnsi="Book Antiqua"/>
        </w:rPr>
        <w:t xml:space="preserve">style capacity market and more styled on the </w:t>
      </w:r>
      <w:r w:rsidR="006175D2" w:rsidRPr="00467505">
        <w:rPr>
          <w:rFonts w:ascii="Book Antiqua" w:hAnsi="Book Antiqua"/>
        </w:rPr>
        <w:t>Electric Reliability Council of Texas</w:t>
      </w:r>
      <w:r w:rsidRPr="00467505">
        <w:rPr>
          <w:rFonts w:ascii="Book Antiqua" w:hAnsi="Book Antiqua"/>
        </w:rPr>
        <w:t xml:space="preserve"> model. </w:t>
      </w:r>
    </w:p>
    <w:p w14:paraId="29ADA6B1" w14:textId="77777777" w:rsidR="00313EFF" w:rsidRPr="00467505" w:rsidRDefault="00313EFF" w:rsidP="00313EFF">
      <w:pPr>
        <w:pStyle w:val="sub1"/>
        <w:rPr>
          <w:rFonts w:ascii="Book Antiqua" w:hAnsi="Book Antiqua"/>
        </w:rPr>
      </w:pPr>
      <w:r w:rsidRPr="00467505">
        <w:rPr>
          <w:rFonts w:ascii="Book Antiqua" w:hAnsi="Book Antiqua"/>
        </w:rPr>
        <w:t xml:space="preserve">The majority of parties felt that there is not a looming crisis of reliability, and the Commission has time to consider these issues and craft solutions. </w:t>
      </w:r>
      <w:r w:rsidR="00C961F7" w:rsidRPr="00467505">
        <w:rPr>
          <w:rFonts w:ascii="Book Antiqua" w:hAnsi="Book Antiqua"/>
        </w:rPr>
        <w:t xml:space="preserve"> </w:t>
      </w:r>
      <w:r w:rsidRPr="00467505">
        <w:rPr>
          <w:rFonts w:ascii="Book Antiqua" w:hAnsi="Book Antiqua"/>
        </w:rPr>
        <w:t>Those parties included CalCCA, CAISO, Calpine Corporation, GPI, POC, and TURN.</w:t>
      </w:r>
    </w:p>
    <w:p w14:paraId="05E0A42E" w14:textId="77777777" w:rsidR="00313EFF" w:rsidRPr="00467505" w:rsidRDefault="00313EFF" w:rsidP="00313EFF">
      <w:pPr>
        <w:pStyle w:val="sub1"/>
        <w:rPr>
          <w:rFonts w:ascii="Book Antiqua" w:hAnsi="Book Antiqua"/>
        </w:rPr>
      </w:pPr>
      <w:r w:rsidRPr="00467505">
        <w:rPr>
          <w:rFonts w:ascii="Book Antiqua" w:hAnsi="Book Antiqua"/>
        </w:rPr>
        <w:t xml:space="preserve">TURN did, however, suggest that a “Year 3 check” be added to the IRP process, to have Commission staff analyses, potentially in coordination with other agencies, look specifically at reliability in Year 3 of the planning horizon, to see if expenditure of additional ratepayer resources is necessary in each cycle of IRP. </w:t>
      </w:r>
    </w:p>
    <w:p w14:paraId="16071DF4" w14:textId="77777777" w:rsidR="00313EFF" w:rsidRPr="00467505" w:rsidRDefault="00313EFF" w:rsidP="00313EFF">
      <w:pPr>
        <w:pStyle w:val="sub1"/>
        <w:rPr>
          <w:rFonts w:ascii="Book Antiqua" w:hAnsi="Book Antiqua"/>
        </w:rPr>
      </w:pPr>
      <w:r w:rsidRPr="00467505">
        <w:rPr>
          <w:rFonts w:ascii="Book Antiqua" w:hAnsi="Book Antiqua"/>
        </w:rPr>
        <w:t xml:space="preserve">A few parties are more concerned in the near term, including CESA, LS Power, National Grid, NRG, and the large IOUs. </w:t>
      </w:r>
      <w:r w:rsidR="00C961F7" w:rsidRPr="00467505">
        <w:rPr>
          <w:rFonts w:ascii="Book Antiqua" w:hAnsi="Book Antiqua"/>
        </w:rPr>
        <w:t xml:space="preserve"> </w:t>
      </w:r>
      <w:r w:rsidRPr="00467505">
        <w:rPr>
          <w:rFonts w:ascii="Book Antiqua" w:hAnsi="Book Antiqua"/>
        </w:rPr>
        <w:t>Issues discussed included the potential for more retirement of natural gas facilities needed in local areas, potential for minimization of access to the Aliso Canyon natural gas storage facility, multi</w:t>
      </w:r>
      <w:r w:rsidR="00D84A09" w:rsidRPr="00467505">
        <w:rPr>
          <w:rFonts w:ascii="Book Antiqua" w:hAnsi="Book Antiqua"/>
        </w:rPr>
        <w:noBreakHyphen/>
      </w:r>
      <w:r w:rsidRPr="00467505">
        <w:rPr>
          <w:rFonts w:ascii="Book Antiqua" w:hAnsi="Book Antiqua"/>
        </w:rPr>
        <w:t>hour, hourly, and sub</w:t>
      </w:r>
      <w:r w:rsidR="00D84A09" w:rsidRPr="00467505">
        <w:rPr>
          <w:rFonts w:ascii="Book Antiqua" w:hAnsi="Book Antiqua"/>
        </w:rPr>
        <w:noBreakHyphen/>
      </w:r>
      <w:r w:rsidRPr="00467505">
        <w:rPr>
          <w:rFonts w:ascii="Book Antiqua" w:hAnsi="Book Antiqua"/>
        </w:rPr>
        <w:t>hourly flexibility needs, smart approaches to overgeneration and curtailment, and faster</w:t>
      </w:r>
      <w:r w:rsidR="00D84A09" w:rsidRPr="00467505">
        <w:rPr>
          <w:rFonts w:ascii="Book Antiqua" w:hAnsi="Book Antiqua"/>
        </w:rPr>
        <w:noBreakHyphen/>
      </w:r>
      <w:r w:rsidRPr="00467505">
        <w:rPr>
          <w:rFonts w:ascii="Book Antiqua" w:hAnsi="Book Antiqua"/>
        </w:rPr>
        <w:t>than</w:t>
      </w:r>
      <w:r w:rsidR="00D84A09" w:rsidRPr="00467505">
        <w:rPr>
          <w:rFonts w:ascii="Book Antiqua" w:hAnsi="Book Antiqua"/>
        </w:rPr>
        <w:noBreakHyphen/>
      </w:r>
      <w:r w:rsidRPr="00467505">
        <w:rPr>
          <w:rFonts w:ascii="Book Antiqua" w:hAnsi="Book Antiqua"/>
        </w:rPr>
        <w:t xml:space="preserve">expected potential for electrification of transportation and/or buildings. </w:t>
      </w:r>
    </w:p>
    <w:p w14:paraId="2A14D7AF" w14:textId="77777777" w:rsidR="00313EFF" w:rsidRPr="00467505" w:rsidRDefault="00313EFF" w:rsidP="00313EFF">
      <w:pPr>
        <w:pStyle w:val="sub1"/>
        <w:rPr>
          <w:rFonts w:ascii="Book Antiqua" w:hAnsi="Book Antiqua"/>
        </w:rPr>
      </w:pPr>
      <w:r w:rsidRPr="00467505">
        <w:rPr>
          <w:rFonts w:ascii="Book Antiqua" w:hAnsi="Book Antiqua"/>
        </w:rPr>
        <w:t>Some parties, including the CAISO, CLECA, Calpine Corporation, and WPTF expressed concerns about the dwindling availability of imported power and its potential implications for electric system reliability.</w:t>
      </w:r>
      <w:r w:rsidR="00C961F7" w:rsidRPr="00467505">
        <w:rPr>
          <w:rFonts w:ascii="Book Antiqua" w:hAnsi="Book Antiqua"/>
        </w:rPr>
        <w:t xml:space="preserve"> </w:t>
      </w:r>
      <w:r w:rsidRPr="00467505">
        <w:rPr>
          <w:rFonts w:ascii="Book Antiqua" w:hAnsi="Book Antiqua"/>
        </w:rPr>
        <w:t xml:space="preserve"> CAISO also agreed with the point included in the ruling that there are no system</w:t>
      </w:r>
      <w:r w:rsidR="00D84A09" w:rsidRPr="00467505">
        <w:rPr>
          <w:rFonts w:ascii="Book Antiqua" w:hAnsi="Book Antiqua"/>
        </w:rPr>
        <w:noBreakHyphen/>
      </w:r>
      <w:r w:rsidRPr="00467505">
        <w:rPr>
          <w:rFonts w:ascii="Book Antiqua" w:hAnsi="Book Antiqua"/>
        </w:rPr>
        <w:t xml:space="preserve">level market power mitigation mechanisms in their markets and that this is an area for future work. </w:t>
      </w:r>
    </w:p>
    <w:p w14:paraId="7CA31755" w14:textId="77777777" w:rsidR="00313EFF" w:rsidRPr="00467505" w:rsidRDefault="00313EFF" w:rsidP="00313EFF">
      <w:pPr>
        <w:pStyle w:val="sub1"/>
        <w:rPr>
          <w:rFonts w:ascii="Book Antiqua" w:hAnsi="Book Antiqua"/>
        </w:rPr>
      </w:pPr>
      <w:r w:rsidRPr="00467505">
        <w:rPr>
          <w:rFonts w:ascii="Book Antiqua" w:hAnsi="Book Antiqua"/>
        </w:rPr>
        <w:t>The CAISO DMM also commented and pointed out that there should be closer coordination between the Commission and the CAISO on reliability</w:t>
      </w:r>
      <w:r w:rsidR="00D84A09" w:rsidRPr="00467505">
        <w:rPr>
          <w:rFonts w:ascii="Book Antiqua" w:hAnsi="Book Antiqua"/>
        </w:rPr>
        <w:noBreakHyphen/>
      </w:r>
      <w:r w:rsidRPr="00467505">
        <w:rPr>
          <w:rFonts w:ascii="Book Antiqua" w:hAnsi="Book Antiqua"/>
        </w:rPr>
        <w:t>must</w:t>
      </w:r>
      <w:r w:rsidR="00D84A09" w:rsidRPr="00467505">
        <w:rPr>
          <w:rFonts w:ascii="Book Antiqua" w:hAnsi="Book Antiqua"/>
        </w:rPr>
        <w:noBreakHyphen/>
      </w:r>
      <w:r w:rsidRPr="00467505">
        <w:rPr>
          <w:rFonts w:ascii="Book Antiqua" w:hAnsi="Book Antiqua"/>
        </w:rPr>
        <w:t xml:space="preserve">run (RMR) solutions. </w:t>
      </w:r>
      <w:r w:rsidR="00C961F7" w:rsidRPr="00467505">
        <w:rPr>
          <w:rFonts w:ascii="Book Antiqua" w:hAnsi="Book Antiqua"/>
        </w:rPr>
        <w:t xml:space="preserve"> </w:t>
      </w:r>
      <w:r w:rsidRPr="00467505">
        <w:rPr>
          <w:rFonts w:ascii="Book Antiqua" w:hAnsi="Book Antiqua"/>
        </w:rPr>
        <w:t xml:space="preserve">They also noted that the RMR and capacity procurement mechanism are flawed but are in the process of being revised to be improved. </w:t>
      </w:r>
      <w:r w:rsidR="00C961F7" w:rsidRPr="00467505">
        <w:rPr>
          <w:rFonts w:ascii="Book Antiqua" w:hAnsi="Book Antiqua"/>
        </w:rPr>
        <w:t xml:space="preserve"> </w:t>
      </w:r>
      <w:r w:rsidRPr="00467505">
        <w:rPr>
          <w:rFonts w:ascii="Book Antiqua" w:hAnsi="Book Antiqua"/>
        </w:rPr>
        <w:t xml:space="preserve">EDF also commented about the improvements that are in process or needed to the CAISO markets to enhance participation of certain types of resources. </w:t>
      </w:r>
      <w:r w:rsidR="00C961F7" w:rsidRPr="00467505">
        <w:rPr>
          <w:rFonts w:ascii="Book Antiqua" w:hAnsi="Book Antiqua"/>
        </w:rPr>
        <w:t xml:space="preserve"> </w:t>
      </w:r>
      <w:r w:rsidRPr="00467505">
        <w:rPr>
          <w:rFonts w:ascii="Book Antiqua" w:hAnsi="Book Antiqua"/>
        </w:rPr>
        <w:t xml:space="preserve">LS Power and CESA, to some degree, focused on the need for refinement to the CAISO Flexible Capacity Framework proposal to deal with shorter duration flexibility needs. </w:t>
      </w:r>
      <w:r w:rsidR="00C961F7" w:rsidRPr="00467505">
        <w:rPr>
          <w:rFonts w:ascii="Book Antiqua" w:hAnsi="Book Antiqua"/>
        </w:rPr>
        <w:t xml:space="preserve"> </w:t>
      </w:r>
      <w:r w:rsidRPr="00467505">
        <w:rPr>
          <w:rFonts w:ascii="Book Antiqua" w:hAnsi="Book Antiqua"/>
        </w:rPr>
        <w:t>UniGen was focused on use of the day</w:t>
      </w:r>
      <w:r w:rsidR="00D84A09" w:rsidRPr="00467505">
        <w:rPr>
          <w:rFonts w:ascii="Book Antiqua" w:hAnsi="Book Antiqua"/>
        </w:rPr>
        <w:noBreakHyphen/>
      </w:r>
      <w:r w:rsidRPr="00467505">
        <w:rPr>
          <w:rFonts w:ascii="Book Antiqua" w:hAnsi="Book Antiqua"/>
        </w:rPr>
        <w:t xml:space="preserve">ahead schedule to improve reliability. </w:t>
      </w:r>
    </w:p>
    <w:p w14:paraId="17C31204" w14:textId="77777777" w:rsidR="00313EFF" w:rsidRPr="00467505" w:rsidRDefault="00313EFF" w:rsidP="00313EFF">
      <w:pPr>
        <w:pStyle w:val="sub1"/>
        <w:rPr>
          <w:rFonts w:ascii="Book Antiqua" w:hAnsi="Book Antiqua"/>
        </w:rPr>
      </w:pPr>
      <w:r w:rsidRPr="00467505">
        <w:rPr>
          <w:rFonts w:ascii="Book Antiqua" w:hAnsi="Book Antiqua"/>
        </w:rPr>
        <w:t>SCE also commented that the CAISO markets need improvement to handle the rapidly changing electricity market in California.</w:t>
      </w:r>
      <w:r w:rsidR="00C961F7" w:rsidRPr="00467505">
        <w:rPr>
          <w:rFonts w:ascii="Book Antiqua" w:hAnsi="Book Antiqua"/>
        </w:rPr>
        <w:t xml:space="preserve"> </w:t>
      </w:r>
      <w:r w:rsidRPr="00467505">
        <w:rPr>
          <w:rFonts w:ascii="Book Antiqua" w:hAnsi="Book Antiqua"/>
        </w:rPr>
        <w:t xml:space="preserve"> SCE expects this evolution to occur naturally and by necessity, through coordination among agencies and entities. </w:t>
      </w:r>
      <w:r w:rsidR="00C961F7" w:rsidRPr="00467505">
        <w:rPr>
          <w:rFonts w:ascii="Book Antiqua" w:hAnsi="Book Antiqua"/>
        </w:rPr>
        <w:t xml:space="preserve"> </w:t>
      </w:r>
      <w:r w:rsidRPr="00467505">
        <w:rPr>
          <w:rFonts w:ascii="Book Antiqua" w:hAnsi="Book Antiqua"/>
        </w:rPr>
        <w:t xml:space="preserve">SCE’s main focus is on the state more clearly defining its policy path in order to have all markets evolve in the right direction. </w:t>
      </w:r>
    </w:p>
    <w:p w14:paraId="3196D9ED" w14:textId="77777777" w:rsidR="00313EFF" w:rsidRPr="00467505" w:rsidRDefault="00313EFF" w:rsidP="00313EFF">
      <w:pPr>
        <w:pStyle w:val="sub1"/>
        <w:rPr>
          <w:rFonts w:ascii="Book Antiqua" w:hAnsi="Book Antiqua"/>
        </w:rPr>
      </w:pPr>
      <w:r w:rsidRPr="00467505">
        <w:rPr>
          <w:rFonts w:ascii="Book Antiqua" w:hAnsi="Book Antiqua"/>
        </w:rPr>
        <w:t xml:space="preserve">Meanwhile, the majority of parties, including CLECA, AReM and many others, concluded that there are not major structural problems with the CAISO markets. </w:t>
      </w:r>
    </w:p>
    <w:p w14:paraId="033334F7" w14:textId="77777777" w:rsidR="00313EFF" w:rsidRPr="00467505" w:rsidRDefault="00313EFF" w:rsidP="00313EFF">
      <w:pPr>
        <w:pStyle w:val="sub1"/>
        <w:rPr>
          <w:rFonts w:ascii="Book Antiqua" w:hAnsi="Book Antiqua"/>
        </w:rPr>
      </w:pPr>
      <w:r w:rsidRPr="00467505">
        <w:rPr>
          <w:rFonts w:ascii="Book Antiqua" w:hAnsi="Book Antiqua"/>
        </w:rPr>
        <w:t xml:space="preserve">Some parties were also focused on the need to emphasize renewable integration resources, including CEERT, CEJA and Sierra Club, First Solar, Hydrostor, National Grid, Eagle Crest, and UniGen. </w:t>
      </w:r>
    </w:p>
    <w:p w14:paraId="5E838F5E" w14:textId="77777777" w:rsidR="00313EFF" w:rsidRPr="00467505" w:rsidRDefault="00313EFF" w:rsidP="00313EFF">
      <w:pPr>
        <w:pStyle w:val="sub1"/>
        <w:rPr>
          <w:rFonts w:ascii="Book Antiqua" w:hAnsi="Book Antiqua"/>
        </w:rPr>
      </w:pPr>
      <w:r w:rsidRPr="00467505">
        <w:rPr>
          <w:rFonts w:ascii="Book Antiqua" w:hAnsi="Book Antiqua"/>
        </w:rPr>
        <w:t xml:space="preserve">First Solar was specifically focused on the issue of taking advantage of the additional flexible capabilities of renewable resources, and not just natural gas. </w:t>
      </w:r>
      <w:r w:rsidR="00C961F7" w:rsidRPr="00467505">
        <w:rPr>
          <w:rFonts w:ascii="Book Antiqua" w:hAnsi="Book Antiqua"/>
        </w:rPr>
        <w:t xml:space="preserve"> </w:t>
      </w:r>
      <w:r w:rsidRPr="00467505">
        <w:rPr>
          <w:rFonts w:ascii="Book Antiqua" w:hAnsi="Book Antiqua"/>
        </w:rPr>
        <w:t>Meanwhile, Hydrostor, National Grid, Eagle Crest, and SDCWA focused most of their comments on the importance of long</w:t>
      </w:r>
      <w:r w:rsidR="00D84A09" w:rsidRPr="00467505">
        <w:rPr>
          <w:rFonts w:ascii="Book Antiqua" w:hAnsi="Book Antiqua"/>
        </w:rPr>
        <w:noBreakHyphen/>
      </w:r>
      <w:r w:rsidRPr="00467505">
        <w:rPr>
          <w:rFonts w:ascii="Book Antiqua" w:hAnsi="Book Antiqua"/>
        </w:rPr>
        <w:t xml:space="preserve">duration storage, particular pumped hydro storage. </w:t>
      </w:r>
    </w:p>
    <w:p w14:paraId="781FE65C" w14:textId="77777777" w:rsidR="00313EFF" w:rsidRPr="00467505" w:rsidRDefault="00313EFF" w:rsidP="00313EFF">
      <w:pPr>
        <w:pStyle w:val="sub1"/>
        <w:rPr>
          <w:rFonts w:ascii="Book Antiqua" w:hAnsi="Book Antiqua"/>
        </w:rPr>
      </w:pPr>
      <w:r w:rsidRPr="00467505">
        <w:rPr>
          <w:rFonts w:ascii="Book Antiqua" w:hAnsi="Book Antiqua"/>
        </w:rPr>
        <w:t xml:space="preserve">Powerex pointed out that there is a great deal of available hydro capacity in the Northwest ready to meet California’ renewable integration needs, but that the current rules of resource adequacy discourage forward capacity procurement and need to be reformed. </w:t>
      </w:r>
    </w:p>
    <w:p w14:paraId="7AD546C3" w14:textId="77777777" w:rsidR="00313EFF" w:rsidRPr="00467505" w:rsidRDefault="00313EFF" w:rsidP="00313EFF">
      <w:pPr>
        <w:pStyle w:val="sub1"/>
        <w:rPr>
          <w:rFonts w:ascii="Book Antiqua" w:hAnsi="Book Antiqua"/>
        </w:rPr>
      </w:pPr>
      <w:r w:rsidRPr="00467505">
        <w:rPr>
          <w:rFonts w:ascii="Book Antiqua" w:hAnsi="Book Antiqua"/>
        </w:rPr>
        <w:t>Some parties would prefer that the Commission order additional procurement in the near</w:t>
      </w:r>
      <w:r w:rsidR="00D84A09" w:rsidRPr="00467505">
        <w:rPr>
          <w:rFonts w:ascii="Book Antiqua" w:hAnsi="Book Antiqua"/>
        </w:rPr>
        <w:noBreakHyphen/>
      </w:r>
      <w:r w:rsidRPr="00467505">
        <w:rPr>
          <w:rFonts w:ascii="Book Antiqua" w:hAnsi="Book Antiqua"/>
        </w:rPr>
        <w:t>term due to a perceived need for reliability resources, including CESA and IEP.</w:t>
      </w:r>
    </w:p>
    <w:p w14:paraId="6308A40B" w14:textId="77777777" w:rsidR="00313EFF" w:rsidRPr="00467505" w:rsidRDefault="00313EFF" w:rsidP="00313EFF">
      <w:pPr>
        <w:pStyle w:val="sub1"/>
        <w:rPr>
          <w:rFonts w:ascii="Book Antiqua" w:hAnsi="Book Antiqua"/>
        </w:rPr>
      </w:pPr>
      <w:r w:rsidRPr="00467505">
        <w:rPr>
          <w:rFonts w:ascii="Book Antiqua" w:hAnsi="Book Antiqua"/>
        </w:rPr>
        <w:t xml:space="preserve">Wellhead’s comments focused on the need to consider “hybridizing” some existing natural gas resources with storage technology to reduce GHG emissions. </w:t>
      </w:r>
      <w:r w:rsidR="00C961F7" w:rsidRPr="00467505">
        <w:rPr>
          <w:rFonts w:ascii="Book Antiqua" w:hAnsi="Book Antiqua"/>
        </w:rPr>
        <w:t xml:space="preserve"> </w:t>
      </w:r>
      <w:r w:rsidRPr="00467505">
        <w:rPr>
          <w:rFonts w:ascii="Book Antiqua" w:hAnsi="Book Antiqua"/>
        </w:rPr>
        <w:t xml:space="preserve">WEM was focused on the potential reliability effects of early retirement of Diablo Canyon. </w:t>
      </w:r>
    </w:p>
    <w:p w14:paraId="5D8A27EA" w14:textId="77777777" w:rsidR="00313EFF" w:rsidRPr="00467505" w:rsidRDefault="00313EFF" w:rsidP="00313EFF">
      <w:pPr>
        <w:pStyle w:val="sub1"/>
        <w:rPr>
          <w:rFonts w:ascii="Book Antiqua" w:hAnsi="Book Antiqua"/>
        </w:rPr>
      </w:pPr>
      <w:r w:rsidRPr="00467505">
        <w:rPr>
          <w:rFonts w:ascii="Book Antiqua" w:hAnsi="Book Antiqua"/>
        </w:rPr>
        <w:t xml:space="preserve">Some parties commented on the importance of the rise of distributed energy resources, as well as the likely need for additional reliability resources to serve load associated with electrification of buildings and transportation. </w:t>
      </w:r>
      <w:r w:rsidR="00C961F7" w:rsidRPr="00467505">
        <w:rPr>
          <w:rFonts w:ascii="Book Antiqua" w:hAnsi="Book Antiqua"/>
        </w:rPr>
        <w:t xml:space="preserve"> </w:t>
      </w:r>
      <w:r w:rsidRPr="00467505">
        <w:rPr>
          <w:rFonts w:ascii="Book Antiqua" w:hAnsi="Book Antiqua"/>
        </w:rPr>
        <w:t xml:space="preserve">These parties include EDF and Vote Solar. </w:t>
      </w:r>
    </w:p>
    <w:p w14:paraId="182A27C2" w14:textId="77777777" w:rsidR="00313EFF" w:rsidRPr="00467505" w:rsidRDefault="00313EFF" w:rsidP="00313EFF">
      <w:pPr>
        <w:pStyle w:val="sub1"/>
        <w:rPr>
          <w:rFonts w:ascii="Book Antiqua" w:hAnsi="Book Antiqua"/>
        </w:rPr>
      </w:pPr>
      <w:r w:rsidRPr="00467505">
        <w:rPr>
          <w:rFonts w:ascii="Book Antiqua" w:hAnsi="Book Antiqua"/>
        </w:rPr>
        <w:t xml:space="preserve">Several parties are also concerned that there has been inadequate focus on the planning for natural gas retirements, including all of the large IOUs, WPTF, and many of the parties with natural gas generation resources to offer. </w:t>
      </w:r>
    </w:p>
    <w:p w14:paraId="2443F899" w14:textId="77777777" w:rsidR="00313EFF" w:rsidRPr="00467505" w:rsidRDefault="00313EFF" w:rsidP="00313EFF">
      <w:pPr>
        <w:pStyle w:val="sub1"/>
        <w:rPr>
          <w:rFonts w:ascii="Book Antiqua" w:hAnsi="Book Antiqua"/>
        </w:rPr>
      </w:pPr>
      <w:r w:rsidRPr="00467505">
        <w:rPr>
          <w:rFonts w:ascii="Book Antiqua" w:hAnsi="Book Antiqua"/>
        </w:rPr>
        <w:t xml:space="preserve">Additional parties focused on the issue of having so many more LSEs now than historically. </w:t>
      </w:r>
      <w:r w:rsidR="00C961F7" w:rsidRPr="00467505">
        <w:rPr>
          <w:rFonts w:ascii="Book Antiqua" w:hAnsi="Book Antiqua"/>
        </w:rPr>
        <w:t xml:space="preserve"> </w:t>
      </w:r>
      <w:r w:rsidRPr="00467505">
        <w:rPr>
          <w:rFonts w:ascii="Book Antiqua" w:hAnsi="Book Antiqua"/>
        </w:rPr>
        <w:t>EDF pointed out that some solutions are fractional contracting and centralized buyers for reliability resources.</w:t>
      </w:r>
      <w:r w:rsidR="00C961F7" w:rsidRPr="00467505">
        <w:rPr>
          <w:rFonts w:ascii="Book Antiqua" w:hAnsi="Book Antiqua"/>
        </w:rPr>
        <w:t xml:space="preserve"> </w:t>
      </w:r>
      <w:r w:rsidRPr="00467505">
        <w:rPr>
          <w:rFonts w:ascii="Book Antiqua" w:hAnsi="Book Antiqua"/>
        </w:rPr>
        <w:t xml:space="preserve"> Eagle Crest, SDG&amp;E, and TURN reiterated earlier comments about the potential to develop a joint procurement authority or centralized procurement entity to allow multiple smaller LSEs to join together to procure large resources. </w:t>
      </w:r>
      <w:r w:rsidR="00C961F7" w:rsidRPr="00467505">
        <w:rPr>
          <w:rFonts w:ascii="Book Antiqua" w:hAnsi="Book Antiqua"/>
        </w:rPr>
        <w:t xml:space="preserve"> </w:t>
      </w:r>
      <w:r w:rsidRPr="00467505">
        <w:rPr>
          <w:rFonts w:ascii="Book Antiqua" w:hAnsi="Book Antiqua"/>
        </w:rPr>
        <w:t xml:space="preserve">However, Eagle Crest is skeptical that such an arrangement could be worked out in the timeframe available given the need to procure resources soon. </w:t>
      </w:r>
      <w:r w:rsidR="00C961F7" w:rsidRPr="00467505">
        <w:rPr>
          <w:rFonts w:ascii="Book Antiqua" w:hAnsi="Book Antiqua"/>
        </w:rPr>
        <w:t xml:space="preserve"> </w:t>
      </w:r>
      <w:r w:rsidRPr="00467505">
        <w:rPr>
          <w:rFonts w:ascii="Book Antiqua" w:hAnsi="Book Antiqua"/>
        </w:rPr>
        <w:t xml:space="preserve">Many parties commented that the central buyer mechanism under consideration in the resource adequacy proceeding is not the type of approach they would recommend. </w:t>
      </w:r>
      <w:r w:rsidR="00C961F7" w:rsidRPr="00467505">
        <w:rPr>
          <w:rFonts w:ascii="Book Antiqua" w:hAnsi="Book Antiqua"/>
        </w:rPr>
        <w:t xml:space="preserve"> </w:t>
      </w:r>
      <w:r w:rsidRPr="00467505">
        <w:rPr>
          <w:rFonts w:ascii="Book Antiqua" w:hAnsi="Book Antiqua"/>
        </w:rPr>
        <w:t xml:space="preserve">SDG&amp;E also notes that it is only for local reliability anyway, and the IRP consideration is more comprehensive than that. </w:t>
      </w:r>
    </w:p>
    <w:p w14:paraId="5EA4C51F" w14:textId="77777777" w:rsidR="00313EFF" w:rsidRDefault="00313EFF" w:rsidP="004C75AB">
      <w:pPr>
        <w:pStyle w:val="Heading2"/>
      </w:pPr>
      <w:bookmarkStart w:id="144" w:name="_Toc3803857"/>
      <w:r>
        <w:t>Discussion</w:t>
      </w:r>
      <w:bookmarkEnd w:id="144"/>
    </w:p>
    <w:p w14:paraId="722B114C" w14:textId="77777777" w:rsidR="00313EFF" w:rsidRPr="00467505" w:rsidRDefault="00313EFF" w:rsidP="00313EFF">
      <w:pPr>
        <w:pStyle w:val="sub3"/>
        <w:rPr>
          <w:rFonts w:ascii="Book Antiqua" w:hAnsi="Book Antiqua"/>
        </w:rPr>
      </w:pPr>
      <w:r w:rsidRPr="00467505">
        <w:rPr>
          <w:rFonts w:ascii="Book Antiqua" w:hAnsi="Book Antiqua"/>
        </w:rPr>
        <w:t>To address the</w:t>
      </w:r>
      <w:r w:rsidR="008475DB">
        <w:rPr>
          <w:rFonts w:ascii="Book Antiqua" w:hAnsi="Book Antiqua"/>
        </w:rPr>
        <w:t xml:space="preserve"> question of appropriate actions to take in light of the PSP</w:t>
      </w:r>
      <w:r w:rsidR="00624E8F">
        <w:rPr>
          <w:rFonts w:ascii="Book Antiqua" w:hAnsi="Book Antiqua"/>
        </w:rPr>
        <w:t>, as well as the reliability-related issues</w:t>
      </w:r>
      <w:r w:rsidRPr="00467505">
        <w:rPr>
          <w:rFonts w:ascii="Book Antiqua" w:hAnsi="Book Antiqua"/>
        </w:rPr>
        <w:t xml:space="preserve">, we begin by stating affirmatively that we view the IRP proceeding as more than just an advisory planning exercise. </w:t>
      </w:r>
      <w:r w:rsidR="00C961F7" w:rsidRPr="00467505">
        <w:rPr>
          <w:rFonts w:ascii="Book Antiqua" w:hAnsi="Book Antiqua"/>
        </w:rPr>
        <w:t xml:space="preserve"> </w:t>
      </w:r>
      <w:r w:rsidRPr="00467505">
        <w:rPr>
          <w:rFonts w:ascii="Book Antiqua" w:hAnsi="Book Antiqua"/>
        </w:rPr>
        <w:t xml:space="preserve">While the first cycle of IRP has been mostly focused on ensuring that we have a framework set up and functioning to regularly assess the state of our electricity market, it is intended as </w:t>
      </w:r>
      <w:r w:rsidR="00E31C6B">
        <w:rPr>
          <w:rFonts w:ascii="Book Antiqua" w:hAnsi="Book Antiqua"/>
        </w:rPr>
        <w:t xml:space="preserve">the </w:t>
      </w:r>
      <w:r w:rsidRPr="00467505">
        <w:rPr>
          <w:rFonts w:ascii="Book Antiqua" w:hAnsi="Book Antiqua"/>
        </w:rPr>
        <w:t>venue for both planning and for any procurement that should emanate from the analysis conducted during planning.</w:t>
      </w:r>
      <w:r w:rsidR="00C961F7" w:rsidRPr="00467505">
        <w:rPr>
          <w:rFonts w:ascii="Book Antiqua" w:hAnsi="Book Antiqua"/>
        </w:rPr>
        <w:t xml:space="preserve"> </w:t>
      </w:r>
      <w:r w:rsidRPr="00467505">
        <w:rPr>
          <w:rFonts w:ascii="Book Antiqua" w:hAnsi="Book Antiqua"/>
        </w:rPr>
        <w:t xml:space="preserve"> Just because procurement has not been ordered during the first cycle should not be interpreted to mean that procurement need will not be identified nor that procurement will never be required out of this docket or subsequent IRP proceedings. </w:t>
      </w:r>
    </w:p>
    <w:p w14:paraId="7943850B" w14:textId="77777777" w:rsidR="00313EFF" w:rsidRPr="00467505" w:rsidRDefault="00313EFF" w:rsidP="00313EFF">
      <w:pPr>
        <w:pStyle w:val="sub3"/>
        <w:rPr>
          <w:rFonts w:ascii="Book Antiqua" w:hAnsi="Book Antiqua"/>
        </w:rPr>
      </w:pPr>
      <w:r w:rsidRPr="00467505">
        <w:rPr>
          <w:rFonts w:ascii="Book Antiqua" w:hAnsi="Book Antiqua"/>
        </w:rPr>
        <w:t xml:space="preserve">In addition, the IRP process, while focused on meeting the state’s GHG emissions goals, is intended to do so in a way that is reliable and least cost. </w:t>
      </w:r>
      <w:r w:rsidR="00C961F7" w:rsidRPr="00467505">
        <w:rPr>
          <w:rFonts w:ascii="Book Antiqua" w:hAnsi="Book Antiqua"/>
        </w:rPr>
        <w:t xml:space="preserve"> </w:t>
      </w:r>
      <w:r w:rsidRPr="00467505">
        <w:rPr>
          <w:rFonts w:ascii="Book Antiqua" w:hAnsi="Book Antiqua"/>
        </w:rPr>
        <w:t xml:space="preserve">Neither reliability nor cost </w:t>
      </w:r>
      <w:r w:rsidR="00C91F77">
        <w:rPr>
          <w:rFonts w:ascii="Book Antiqua" w:hAnsi="Book Antiqua"/>
        </w:rPr>
        <w:t>is</w:t>
      </w:r>
      <w:r w:rsidRPr="00467505">
        <w:rPr>
          <w:rFonts w:ascii="Book Antiqua" w:hAnsi="Book Antiqua"/>
        </w:rPr>
        <w:t xml:space="preserve"> an afterthought or secondary to the environmental goals. </w:t>
      </w:r>
      <w:r w:rsidR="00C961F7" w:rsidRPr="00467505">
        <w:rPr>
          <w:rFonts w:ascii="Book Antiqua" w:hAnsi="Book Antiqua"/>
        </w:rPr>
        <w:t xml:space="preserve"> </w:t>
      </w:r>
      <w:r w:rsidRPr="00467505">
        <w:rPr>
          <w:rFonts w:ascii="Book Antiqua" w:hAnsi="Book Antiqua"/>
        </w:rPr>
        <w:t xml:space="preserve">Rather, they are coequal and integral to a successful IRP process. </w:t>
      </w:r>
    </w:p>
    <w:p w14:paraId="2E5401B1" w14:textId="77777777" w:rsidR="00313EFF" w:rsidRPr="00467505" w:rsidRDefault="00313EFF" w:rsidP="00313EFF">
      <w:pPr>
        <w:pStyle w:val="sub3"/>
        <w:rPr>
          <w:rFonts w:ascii="Book Antiqua" w:hAnsi="Book Antiqua"/>
        </w:rPr>
      </w:pPr>
      <w:r w:rsidRPr="00467505">
        <w:rPr>
          <w:rFonts w:ascii="Book Antiqua" w:hAnsi="Book Antiqua"/>
        </w:rPr>
        <w:t>It should also be noted that while the first IRP cycle took longer to get up and running than we hope will be the case in the future, IRP is and was always designed to conduct checks on resource needs, reliability needs, and costs, at periodic intervals throughout the planning horizon.  For example, the first RSP included in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conducted analysis for 2022, 2026, and 2030.</w:t>
      </w:r>
      <w:r w:rsidR="00C961F7" w:rsidRPr="00467505">
        <w:rPr>
          <w:rFonts w:ascii="Book Antiqua" w:hAnsi="Book Antiqua"/>
        </w:rPr>
        <w:t xml:space="preserve"> </w:t>
      </w:r>
      <w:r w:rsidRPr="00467505">
        <w:rPr>
          <w:rFonts w:ascii="Book Antiqua" w:hAnsi="Book Antiqua"/>
        </w:rPr>
        <w:t xml:space="preserve"> It continues to be our intention to focus the planning </w:t>
      </w:r>
      <w:r w:rsidR="009A7450">
        <w:rPr>
          <w:rFonts w:ascii="Book Antiqua" w:hAnsi="Book Antiqua"/>
        </w:rPr>
        <w:t xml:space="preserve">at periodic selected </w:t>
      </w:r>
      <w:r w:rsidRPr="00467505">
        <w:rPr>
          <w:rFonts w:ascii="Book Antiqua" w:hAnsi="Book Antiqua"/>
        </w:rPr>
        <w:t>intervals during the IRP planning horizon.</w:t>
      </w:r>
    </w:p>
    <w:p w14:paraId="67D19F2B" w14:textId="77777777" w:rsidR="00624E8F" w:rsidRDefault="00313EFF" w:rsidP="00313EFF">
      <w:pPr>
        <w:pStyle w:val="sub3"/>
        <w:rPr>
          <w:rFonts w:ascii="Book Antiqua" w:hAnsi="Book Antiqua"/>
        </w:rPr>
      </w:pPr>
      <w:r w:rsidRPr="00467505">
        <w:rPr>
          <w:rFonts w:ascii="Book Antiqua" w:hAnsi="Book Antiqua"/>
        </w:rPr>
        <w:t xml:space="preserve">Some parties argued that the IRP is focused on new resource needs that are clean and renewable. </w:t>
      </w:r>
      <w:r w:rsidR="00C961F7" w:rsidRPr="00467505">
        <w:rPr>
          <w:rFonts w:ascii="Book Antiqua" w:hAnsi="Book Antiqua"/>
        </w:rPr>
        <w:t xml:space="preserve"> </w:t>
      </w:r>
      <w:r w:rsidRPr="00467505">
        <w:rPr>
          <w:rFonts w:ascii="Book Antiqua" w:hAnsi="Book Antiqua"/>
        </w:rPr>
        <w:t>While that is an important leading aspect and has received the most attention to date, the IRP analysis also includes the necessity of procuring and supporting resources that are required for a reliable and cost</w:t>
      </w:r>
      <w:r w:rsidR="00D84A09" w:rsidRPr="00467505">
        <w:rPr>
          <w:rFonts w:ascii="Book Antiqua" w:hAnsi="Book Antiqua"/>
        </w:rPr>
        <w:noBreakHyphen/>
      </w:r>
      <w:r w:rsidRPr="00467505">
        <w:rPr>
          <w:rFonts w:ascii="Book Antiqua" w:hAnsi="Book Antiqua"/>
        </w:rPr>
        <w:t>effective electricity system, regardless of fuel source.</w:t>
      </w:r>
      <w:r w:rsidR="00C961F7" w:rsidRPr="00467505">
        <w:rPr>
          <w:rFonts w:ascii="Book Antiqua" w:hAnsi="Book Antiqua"/>
        </w:rPr>
        <w:t xml:space="preserve"> </w:t>
      </w:r>
      <w:r w:rsidRPr="00467505">
        <w:rPr>
          <w:rFonts w:ascii="Book Antiqua" w:hAnsi="Book Antiqua"/>
        </w:rPr>
        <w:t xml:space="preserve"> IRP is focused on all types of resources</w:t>
      </w:r>
      <w:r w:rsidR="0046562E">
        <w:rPr>
          <w:rFonts w:ascii="Book Antiqua" w:hAnsi="Book Antiqua"/>
        </w:rPr>
        <w:t>, both on the supply and demand side</w:t>
      </w:r>
      <w:r w:rsidRPr="00467505">
        <w:rPr>
          <w:rFonts w:ascii="Book Antiqua" w:hAnsi="Book Antiqua"/>
        </w:rPr>
        <w:t>.</w:t>
      </w:r>
      <w:r w:rsidR="00C961F7" w:rsidRPr="00467505">
        <w:rPr>
          <w:rFonts w:ascii="Book Antiqua" w:hAnsi="Book Antiqua"/>
        </w:rPr>
        <w:t xml:space="preserve"> </w:t>
      </w:r>
      <w:r w:rsidRPr="00467505">
        <w:rPr>
          <w:rFonts w:ascii="Book Antiqua" w:hAnsi="Book Antiqua"/>
        </w:rPr>
        <w:t xml:space="preserve"> </w:t>
      </w:r>
    </w:p>
    <w:p w14:paraId="6FD4137A" w14:textId="77777777" w:rsidR="00313EFF" w:rsidRPr="00467505" w:rsidRDefault="00313EFF" w:rsidP="00313EFF">
      <w:pPr>
        <w:pStyle w:val="sub3"/>
        <w:rPr>
          <w:rFonts w:ascii="Book Antiqua" w:hAnsi="Book Antiqua"/>
        </w:rPr>
      </w:pPr>
      <w:r w:rsidRPr="00467505">
        <w:rPr>
          <w:rFonts w:ascii="Book Antiqua" w:hAnsi="Book Antiqua"/>
        </w:rPr>
        <w:t>In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the Commission clearly found that while no </w:t>
      </w:r>
      <w:r w:rsidRPr="00D07949">
        <w:rPr>
          <w:rFonts w:ascii="Book Antiqua" w:hAnsi="Book Antiqua"/>
          <w:i/>
        </w:rPr>
        <w:t>new</w:t>
      </w:r>
      <w:r w:rsidRPr="00467505">
        <w:rPr>
          <w:rFonts w:ascii="Book Antiqua" w:hAnsi="Book Antiqua"/>
        </w:rPr>
        <w:t xml:space="preserve"> natural gas</w:t>
      </w:r>
      <w:r w:rsidR="00D84A09" w:rsidRPr="00467505">
        <w:rPr>
          <w:rFonts w:ascii="Book Antiqua" w:hAnsi="Book Antiqua"/>
        </w:rPr>
        <w:noBreakHyphen/>
      </w:r>
      <w:r w:rsidRPr="00467505">
        <w:rPr>
          <w:rFonts w:ascii="Book Antiqua" w:hAnsi="Book Antiqua"/>
        </w:rPr>
        <w:t xml:space="preserve">fired power plants are identified in the 2030 new resource mix, the modeling also shows that </w:t>
      </w:r>
      <w:r w:rsidRPr="00D07949">
        <w:rPr>
          <w:rFonts w:ascii="Book Antiqua" w:hAnsi="Book Antiqua"/>
          <w:i/>
        </w:rPr>
        <w:t>existing</w:t>
      </w:r>
      <w:r w:rsidRPr="00467505">
        <w:rPr>
          <w:rFonts w:ascii="Book Antiqua" w:hAnsi="Book Antiqua"/>
        </w:rPr>
        <w:t xml:space="preserve"> gas</w:t>
      </w:r>
      <w:r w:rsidR="00D84A09" w:rsidRPr="00467505">
        <w:rPr>
          <w:rFonts w:ascii="Book Antiqua" w:hAnsi="Book Antiqua"/>
        </w:rPr>
        <w:noBreakHyphen/>
      </w:r>
      <w:r w:rsidRPr="00467505">
        <w:rPr>
          <w:rFonts w:ascii="Book Antiqua" w:hAnsi="Book Antiqua"/>
        </w:rPr>
        <w:t xml:space="preserve">fired plants are needed </w:t>
      </w:r>
      <w:r w:rsidR="00C91F77">
        <w:rPr>
          <w:rFonts w:ascii="Book Antiqua" w:hAnsi="Book Antiqua"/>
        </w:rPr>
        <w:t xml:space="preserve">in 2030 </w:t>
      </w:r>
      <w:r w:rsidRPr="00467505">
        <w:rPr>
          <w:rFonts w:ascii="Book Antiqua" w:hAnsi="Book Antiqua"/>
        </w:rPr>
        <w:t>as operable and operating resources, providing a renewable integration service.</w:t>
      </w:r>
      <w:r w:rsidR="00C961F7" w:rsidRPr="00467505">
        <w:rPr>
          <w:rFonts w:ascii="Book Antiqua" w:hAnsi="Book Antiqua"/>
        </w:rPr>
        <w:t xml:space="preserve"> </w:t>
      </w:r>
      <w:r w:rsidRPr="00467505">
        <w:rPr>
          <w:rFonts w:ascii="Book Antiqua" w:hAnsi="Book Antiqua"/>
        </w:rPr>
        <w:t xml:space="preserve"> It is possible that there are fewer gas</w:t>
      </w:r>
      <w:r w:rsidR="00D84A09" w:rsidRPr="00467505">
        <w:rPr>
          <w:rFonts w:ascii="Book Antiqua" w:hAnsi="Book Antiqua"/>
        </w:rPr>
        <w:noBreakHyphen/>
      </w:r>
      <w:r w:rsidRPr="00467505">
        <w:rPr>
          <w:rFonts w:ascii="Book Antiqua" w:hAnsi="Book Antiqua"/>
        </w:rPr>
        <w:t>fired resources needed</w:t>
      </w:r>
      <w:r w:rsidR="0046562E">
        <w:rPr>
          <w:rFonts w:ascii="Book Antiqua" w:hAnsi="Book Antiqua"/>
        </w:rPr>
        <w:t xml:space="preserve"> between now and 2030</w:t>
      </w:r>
      <w:r w:rsidRPr="00467505">
        <w:rPr>
          <w:rFonts w:ascii="Book Antiqua" w:hAnsi="Book Antiqua"/>
        </w:rPr>
        <w:t>, but there are certainly some, based on our analysis to date.</w:t>
      </w:r>
      <w:r w:rsidR="009A7450">
        <w:rPr>
          <w:rFonts w:ascii="Book Antiqua" w:hAnsi="Book Antiqua"/>
        </w:rPr>
        <w:t xml:space="preserve"> Eliminating natural gas-fueled resources altogether by 2030, while maintaining reliability, would require technological solutions well beyond any of those that have been surfaced or analyzed in this proceeding to date. </w:t>
      </w:r>
    </w:p>
    <w:p w14:paraId="35FC2DE0" w14:textId="77777777" w:rsidR="00313EFF" w:rsidRPr="00467505" w:rsidRDefault="00313EFF" w:rsidP="00313EFF">
      <w:pPr>
        <w:pStyle w:val="sub3"/>
        <w:rPr>
          <w:rFonts w:ascii="Book Antiqua" w:hAnsi="Book Antiqua"/>
        </w:rPr>
      </w:pPr>
      <w:r w:rsidRPr="00467505">
        <w:rPr>
          <w:rFonts w:ascii="Book Antiqua" w:hAnsi="Book Antiqua"/>
        </w:rPr>
        <w:t>In addition, a number of parties commented that the IRP is focused on new resource needs.</w:t>
      </w:r>
      <w:r w:rsidR="00C961F7" w:rsidRPr="00467505">
        <w:rPr>
          <w:rFonts w:ascii="Book Antiqua" w:hAnsi="Book Antiqua"/>
        </w:rPr>
        <w:t xml:space="preserve"> </w:t>
      </w:r>
      <w:r w:rsidRPr="00467505">
        <w:rPr>
          <w:rFonts w:ascii="Book Antiqua" w:hAnsi="Book Antiqua"/>
        </w:rPr>
        <w:t xml:space="preserve"> While that is a part of the IRP analysis, comments received in the initial cycle lead us to conclude that we need to put more emphasis on analysis focused on existing resources needed for reliability and their economic viability, particularly natural gas resources. </w:t>
      </w:r>
    </w:p>
    <w:p w14:paraId="2678BC46" w14:textId="77777777" w:rsidR="00313EFF" w:rsidRPr="00467505" w:rsidRDefault="00313EFF" w:rsidP="00313EFF">
      <w:pPr>
        <w:pStyle w:val="sub3"/>
        <w:rPr>
          <w:rFonts w:ascii="Book Antiqua" w:hAnsi="Book Antiqua"/>
        </w:rPr>
      </w:pPr>
      <w:r w:rsidRPr="00467505">
        <w:rPr>
          <w:rFonts w:ascii="Book Antiqua" w:hAnsi="Book Antiqua"/>
        </w:rPr>
        <w:t xml:space="preserve">While the resource adequacy proceeding addresses planning reserve margins one year ahead, and now </w:t>
      </w:r>
      <w:r w:rsidR="0071527B">
        <w:rPr>
          <w:rFonts w:ascii="Book Antiqua" w:hAnsi="Book Antiqua"/>
        </w:rPr>
        <w:t xml:space="preserve">has a </w:t>
      </w:r>
      <w:r w:rsidRPr="00467505">
        <w:rPr>
          <w:rFonts w:ascii="Book Antiqua" w:hAnsi="Book Antiqua"/>
        </w:rPr>
        <w:t>three</w:t>
      </w:r>
      <w:r w:rsidR="0071527B">
        <w:rPr>
          <w:rFonts w:ascii="Book Antiqua" w:hAnsi="Book Antiqua"/>
        </w:rPr>
        <w:t>-</w:t>
      </w:r>
      <w:r w:rsidRPr="00467505">
        <w:rPr>
          <w:rFonts w:ascii="Book Antiqua" w:hAnsi="Book Antiqua"/>
        </w:rPr>
        <w:t xml:space="preserve">year </w:t>
      </w:r>
      <w:r w:rsidR="0071527B">
        <w:rPr>
          <w:rFonts w:ascii="Book Antiqua" w:hAnsi="Book Antiqua"/>
        </w:rPr>
        <w:t>procurement requirement</w:t>
      </w:r>
      <w:r w:rsidRPr="00467505">
        <w:rPr>
          <w:rFonts w:ascii="Book Antiqua" w:hAnsi="Book Antiqua"/>
        </w:rPr>
        <w:t xml:space="preserve"> for local resources, it currently does not provide a comprehensive look at all of the operational resource needs across all time periods addressed by the IRP process. </w:t>
      </w:r>
    </w:p>
    <w:p w14:paraId="00DB915D" w14:textId="77777777" w:rsidR="00313EFF" w:rsidRPr="00467505" w:rsidRDefault="00313EFF" w:rsidP="00313EFF">
      <w:pPr>
        <w:pStyle w:val="sub3"/>
        <w:rPr>
          <w:rFonts w:ascii="Book Antiqua" w:hAnsi="Book Antiqua"/>
        </w:rPr>
      </w:pPr>
      <w:r w:rsidRPr="00467505">
        <w:rPr>
          <w:rFonts w:ascii="Book Antiqua" w:hAnsi="Book Antiqua"/>
        </w:rPr>
        <w:t xml:space="preserve">Thus, we conclude that the IRP proceeding is the only venue we currently have for addressing these types of resource questions, and we intend to use it for this purpose going forward. </w:t>
      </w:r>
      <w:r w:rsidR="00C961F7" w:rsidRPr="00467505">
        <w:rPr>
          <w:rFonts w:ascii="Book Antiqua" w:hAnsi="Book Antiqua"/>
        </w:rPr>
        <w:t xml:space="preserve"> </w:t>
      </w:r>
      <w:r w:rsidRPr="00467505">
        <w:rPr>
          <w:rFonts w:ascii="Book Antiqua" w:hAnsi="Book Antiqua"/>
        </w:rPr>
        <w:t>It is likely that with each IRP cycle, there will be different emphasis, depending on the needs of the electric system at the time.</w:t>
      </w:r>
      <w:r w:rsidR="00C961F7" w:rsidRPr="00467505">
        <w:rPr>
          <w:rFonts w:ascii="Book Antiqua" w:hAnsi="Book Antiqua"/>
        </w:rPr>
        <w:t xml:space="preserve"> </w:t>
      </w:r>
      <w:r w:rsidRPr="00467505">
        <w:rPr>
          <w:rFonts w:ascii="Book Antiqua" w:hAnsi="Book Antiqua"/>
        </w:rPr>
        <w:t xml:space="preserve"> While our first cycle has largely focused on the need for planning to meet the GHG target in 2030, we expect our emphasis to shift in the next cycle.  To this point, the ALJ ruling proposing scenarios for use in the 2019</w:t>
      </w:r>
      <w:r w:rsidR="00D84A09" w:rsidRPr="00467505">
        <w:rPr>
          <w:rFonts w:ascii="Book Antiqua" w:hAnsi="Book Antiqua"/>
        </w:rPr>
        <w:noBreakHyphen/>
      </w:r>
      <w:r w:rsidRPr="00467505">
        <w:rPr>
          <w:rFonts w:ascii="Book Antiqua" w:hAnsi="Book Antiqua"/>
        </w:rPr>
        <w:t>2020 IRP cycle issued on February 11, 2019 laid out the more extensive natural gas fleet study that we will undertake in the next IRP cycle.</w:t>
      </w:r>
    </w:p>
    <w:p w14:paraId="02645EA7" w14:textId="77777777" w:rsidR="00313EFF" w:rsidRPr="00467505" w:rsidRDefault="00313EFF" w:rsidP="00313EFF">
      <w:pPr>
        <w:pStyle w:val="sub3"/>
        <w:rPr>
          <w:rFonts w:ascii="Book Antiqua" w:hAnsi="Book Antiqua"/>
        </w:rPr>
      </w:pPr>
      <w:r w:rsidRPr="00467505">
        <w:rPr>
          <w:rFonts w:ascii="Book Antiqua" w:hAnsi="Book Antiqua"/>
        </w:rPr>
        <w:t xml:space="preserve">Next, we tend to agree with those parties who argue that there is not a </w:t>
      </w:r>
      <w:r w:rsidR="0046562E">
        <w:rPr>
          <w:rFonts w:ascii="Book Antiqua" w:hAnsi="Book Antiqua"/>
        </w:rPr>
        <w:t xml:space="preserve">fundamental </w:t>
      </w:r>
      <w:r w:rsidRPr="00467505">
        <w:rPr>
          <w:rFonts w:ascii="Book Antiqua" w:hAnsi="Book Antiqua"/>
        </w:rPr>
        <w:t>problem in the CAISO market</w:t>
      </w:r>
      <w:r w:rsidR="00C469D6">
        <w:rPr>
          <w:rFonts w:ascii="Book Antiqua" w:hAnsi="Book Antiqua"/>
        </w:rPr>
        <w:t xml:space="preserve"> design or structure</w:t>
      </w:r>
      <w:r w:rsidRPr="00467505">
        <w:rPr>
          <w:rFonts w:ascii="Book Antiqua" w:hAnsi="Book Antiqua"/>
        </w:rPr>
        <w:t xml:space="preserve"> and that rather, the market designs will evolve as the products and activities of market participants shift. </w:t>
      </w:r>
      <w:r w:rsidR="00C961F7" w:rsidRPr="00467505">
        <w:rPr>
          <w:rFonts w:ascii="Book Antiqua" w:hAnsi="Book Antiqua"/>
        </w:rPr>
        <w:t xml:space="preserve"> </w:t>
      </w:r>
      <w:r w:rsidRPr="00467505">
        <w:rPr>
          <w:rFonts w:ascii="Book Antiqua" w:hAnsi="Book Antiqua"/>
        </w:rPr>
        <w:t xml:space="preserve">Thus, we do not make any suggestions here about CAISO market issues. </w:t>
      </w:r>
      <w:r w:rsidR="00C961F7" w:rsidRPr="00467505">
        <w:rPr>
          <w:rFonts w:ascii="Book Antiqua" w:hAnsi="Book Antiqua"/>
        </w:rPr>
        <w:t xml:space="preserve"> </w:t>
      </w:r>
      <w:r w:rsidRPr="00467505">
        <w:rPr>
          <w:rFonts w:ascii="Book Antiqua" w:hAnsi="Book Antiqua"/>
        </w:rPr>
        <w:t xml:space="preserve">We expect to remain active in coordination with the CAISO’s stakeholder processes related to any changes they propose to their market rules. </w:t>
      </w:r>
    </w:p>
    <w:p w14:paraId="5F8FD32E" w14:textId="77777777" w:rsidR="00313EFF" w:rsidRPr="00467505" w:rsidRDefault="00313EFF" w:rsidP="00313EFF">
      <w:pPr>
        <w:pStyle w:val="sub3"/>
        <w:rPr>
          <w:rFonts w:ascii="Book Antiqua" w:hAnsi="Book Antiqua"/>
        </w:rPr>
      </w:pPr>
      <w:r w:rsidRPr="00467505">
        <w:rPr>
          <w:rFonts w:ascii="Book Antiqua" w:hAnsi="Book Antiqua"/>
        </w:rPr>
        <w:t xml:space="preserve">We do agree that we should be concerned about the dynamics related to reliance on imports, including Northwest hydro. </w:t>
      </w:r>
      <w:r w:rsidR="00C961F7" w:rsidRPr="00467505">
        <w:rPr>
          <w:rFonts w:ascii="Book Antiqua" w:hAnsi="Book Antiqua"/>
        </w:rPr>
        <w:t xml:space="preserve"> </w:t>
      </w:r>
      <w:r w:rsidRPr="00467505">
        <w:rPr>
          <w:rFonts w:ascii="Book Antiqua" w:hAnsi="Book Antiqua"/>
        </w:rPr>
        <w:t xml:space="preserve">There are a host of issues associated with imports, and thus the next cycle of IRP will </w:t>
      </w:r>
      <w:r w:rsidR="0046562E">
        <w:rPr>
          <w:rFonts w:ascii="Book Antiqua" w:hAnsi="Book Antiqua"/>
        </w:rPr>
        <w:t xml:space="preserve">consider different ways to </w:t>
      </w:r>
      <w:r w:rsidRPr="00467505">
        <w:rPr>
          <w:rFonts w:ascii="Book Antiqua" w:hAnsi="Book Antiqua"/>
        </w:rPr>
        <w:t xml:space="preserve">test additional assumptions about import availability. </w:t>
      </w:r>
      <w:r w:rsidR="00C961F7" w:rsidRPr="00467505">
        <w:rPr>
          <w:rFonts w:ascii="Book Antiqua" w:hAnsi="Book Antiqua"/>
        </w:rPr>
        <w:t xml:space="preserve"> </w:t>
      </w:r>
      <w:r w:rsidRPr="00467505">
        <w:rPr>
          <w:rFonts w:ascii="Book Antiqua" w:hAnsi="Book Antiqua"/>
        </w:rPr>
        <w:t xml:space="preserve">There are also potential resource shuffling concerns, as noted earlier in this decision. </w:t>
      </w:r>
    </w:p>
    <w:p w14:paraId="2BA57EFD" w14:textId="77777777" w:rsidR="00313EFF" w:rsidRPr="00467505" w:rsidRDefault="00313EFF" w:rsidP="00313EFF">
      <w:pPr>
        <w:pStyle w:val="sub3"/>
        <w:rPr>
          <w:rFonts w:ascii="Book Antiqua" w:hAnsi="Book Antiqua"/>
        </w:rPr>
      </w:pPr>
      <w:r w:rsidRPr="00467505">
        <w:rPr>
          <w:rFonts w:ascii="Book Antiqua" w:hAnsi="Book Antiqua"/>
        </w:rPr>
        <w:t xml:space="preserve">Thus, we focus here on additional actions that the Commission can take to </w:t>
      </w:r>
      <w:r w:rsidR="00E546FE">
        <w:rPr>
          <w:rFonts w:ascii="Book Antiqua" w:hAnsi="Book Antiqua"/>
        </w:rPr>
        <w:t xml:space="preserve">ensure that the </w:t>
      </w:r>
      <w:r w:rsidR="00624E8F">
        <w:rPr>
          <w:rFonts w:ascii="Book Antiqua" w:hAnsi="Book Antiqua"/>
        </w:rPr>
        <w:t>LSEs</w:t>
      </w:r>
      <w:r w:rsidR="00E546FE">
        <w:rPr>
          <w:rFonts w:ascii="Book Antiqua" w:hAnsi="Book Antiqua"/>
        </w:rPr>
        <w:t xml:space="preserve"> are on a course to procure resources to realize the preferred system portfolio by 2030, as well as to </w:t>
      </w:r>
      <w:r w:rsidRPr="00467505">
        <w:rPr>
          <w:rFonts w:ascii="Book Antiqua" w:hAnsi="Book Antiqua"/>
        </w:rPr>
        <w:t xml:space="preserve">address identified challenges related to reliability. </w:t>
      </w:r>
    </w:p>
    <w:p w14:paraId="07057107" w14:textId="77777777" w:rsidR="00624E8F" w:rsidRDefault="00586ED2" w:rsidP="00313EFF">
      <w:pPr>
        <w:pStyle w:val="sub3"/>
        <w:rPr>
          <w:rFonts w:ascii="Book Antiqua" w:hAnsi="Book Antiqua"/>
        </w:rPr>
      </w:pPr>
      <w:r>
        <w:rPr>
          <w:rFonts w:ascii="Book Antiqua" w:hAnsi="Book Antiqua"/>
        </w:rPr>
        <w:t>As we have noted before, because of load migration primarily away from IOUs to CCAs, we expect that the majority of procurement of new resources in the next decade will be conducted by CCAs.</w:t>
      </w:r>
      <w:r w:rsidR="00624E8F">
        <w:rPr>
          <w:rFonts w:ascii="Book Antiqua" w:hAnsi="Book Antiqua"/>
        </w:rPr>
        <w:t xml:space="preserve"> </w:t>
      </w:r>
      <w:r>
        <w:rPr>
          <w:rFonts w:ascii="Book Antiqua" w:hAnsi="Book Antiqua"/>
        </w:rPr>
        <w:t xml:space="preserve"> </w:t>
      </w:r>
      <w:r w:rsidR="00624E8F">
        <w:rPr>
          <w:rFonts w:ascii="Book Antiqua" w:hAnsi="Book Antiqua"/>
        </w:rPr>
        <w:t>W</w:t>
      </w:r>
      <w:r>
        <w:rPr>
          <w:rFonts w:ascii="Book Antiqua" w:hAnsi="Book Antiqua"/>
        </w:rPr>
        <w:t>e are aware that several CCAs are beginning to procure new resources, primarily renewables and storage,</w:t>
      </w:r>
      <w:r>
        <w:rPr>
          <w:rStyle w:val="FootnoteReference"/>
          <w:rFonts w:ascii="Book Antiqua" w:hAnsi="Book Antiqua"/>
        </w:rPr>
        <w:footnoteReference w:id="15"/>
      </w:r>
      <w:r>
        <w:rPr>
          <w:rFonts w:ascii="Book Antiqua" w:hAnsi="Book Antiqua"/>
        </w:rPr>
        <w:t xml:space="preserve"> in order to achieve the ambitious GHG goals for 2030</w:t>
      </w:r>
      <w:r w:rsidR="00624E8F">
        <w:rPr>
          <w:rFonts w:ascii="Book Antiqua" w:hAnsi="Book Antiqua"/>
        </w:rPr>
        <w:t>.  However</w:t>
      </w:r>
      <w:r>
        <w:rPr>
          <w:rFonts w:ascii="Book Antiqua" w:hAnsi="Book Antiqua"/>
        </w:rPr>
        <w:t xml:space="preserve">, the amount of new resource procurement will need to be roughly </w:t>
      </w:r>
      <w:r w:rsidR="00D90D11">
        <w:rPr>
          <w:rFonts w:ascii="Book Antiqua" w:hAnsi="Book Antiqua"/>
        </w:rPr>
        <w:t xml:space="preserve">twice </w:t>
      </w:r>
      <w:r>
        <w:rPr>
          <w:rFonts w:ascii="Book Antiqua" w:hAnsi="Book Antiqua"/>
        </w:rPr>
        <w:t xml:space="preserve">what the CCAs have procured to date by 2022, and </w:t>
      </w:r>
      <w:r w:rsidR="00D90D11">
        <w:rPr>
          <w:rFonts w:ascii="Book Antiqua" w:hAnsi="Book Antiqua"/>
        </w:rPr>
        <w:t>close to</w:t>
      </w:r>
      <w:r>
        <w:rPr>
          <w:rFonts w:ascii="Book Antiqua" w:hAnsi="Book Antiqua"/>
        </w:rPr>
        <w:t xml:space="preserve"> six times as much by 2030.  These are ambitious goals that require a lot of concrete contracting in order to secure the resources necessary. </w:t>
      </w:r>
    </w:p>
    <w:p w14:paraId="76CDC719" w14:textId="77777777" w:rsidR="00586ED2" w:rsidRDefault="00586ED2" w:rsidP="00313EFF">
      <w:pPr>
        <w:pStyle w:val="sub3"/>
        <w:rPr>
          <w:rFonts w:ascii="Book Antiqua" w:hAnsi="Book Antiqua"/>
        </w:rPr>
      </w:pPr>
      <w:r>
        <w:rPr>
          <w:rFonts w:ascii="Book Antiqua" w:hAnsi="Book Antiqua"/>
        </w:rPr>
        <w:t xml:space="preserve">It is not </w:t>
      </w:r>
      <w:r w:rsidR="00624E8F">
        <w:rPr>
          <w:rFonts w:ascii="Book Antiqua" w:hAnsi="Book Antiqua"/>
        </w:rPr>
        <w:t xml:space="preserve">yet </w:t>
      </w:r>
      <w:r>
        <w:rPr>
          <w:rFonts w:ascii="Book Antiqua" w:hAnsi="Book Antiqua"/>
        </w:rPr>
        <w:t xml:space="preserve">clear to us if it is feasible to rely on the CCAs for this level of procurement to achieve the 2030 portfolio. </w:t>
      </w:r>
      <w:r w:rsidR="00777221">
        <w:rPr>
          <w:rFonts w:ascii="Book Antiqua" w:hAnsi="Book Antiqua"/>
        </w:rPr>
        <w:t xml:space="preserve">For example, </w:t>
      </w:r>
      <w:r w:rsidR="009A6382">
        <w:rPr>
          <w:rFonts w:ascii="Book Antiqua" w:hAnsi="Book Antiqua"/>
        </w:rPr>
        <w:t>the median project size</w:t>
      </w:r>
      <w:r w:rsidR="00777221">
        <w:rPr>
          <w:rFonts w:ascii="Book Antiqua" w:hAnsi="Book Antiqua"/>
        </w:rPr>
        <w:t xml:space="preserve"> so far being reported by CalCCA</w:t>
      </w:r>
      <w:r w:rsidR="009A6382">
        <w:rPr>
          <w:rFonts w:ascii="Book Antiqua" w:hAnsi="Book Antiqua"/>
        </w:rPr>
        <w:t xml:space="preserve"> is approximately 1.75 MW</w:t>
      </w:r>
      <w:r w:rsidR="00C0377F">
        <w:rPr>
          <w:rFonts w:ascii="Book Antiqua" w:hAnsi="Book Antiqua"/>
        </w:rPr>
        <w:t>; the average size is not much larger</w:t>
      </w:r>
      <w:r w:rsidR="009A6382">
        <w:rPr>
          <w:rFonts w:ascii="Book Antiqua" w:hAnsi="Book Antiqua"/>
        </w:rPr>
        <w:t>.</w:t>
      </w:r>
      <w:r w:rsidR="00624E8F">
        <w:rPr>
          <w:rFonts w:ascii="Book Antiqua" w:hAnsi="Book Antiqua"/>
        </w:rPr>
        <w:t xml:space="preserve"> </w:t>
      </w:r>
      <w:r w:rsidR="009A6382">
        <w:rPr>
          <w:rFonts w:ascii="Book Antiqua" w:hAnsi="Book Antiqua"/>
        </w:rPr>
        <w:t xml:space="preserve"> At that level of contract</w:t>
      </w:r>
      <w:r w:rsidR="00624E8F">
        <w:rPr>
          <w:rFonts w:ascii="Book Antiqua" w:hAnsi="Book Antiqua"/>
        </w:rPr>
        <w:t xml:space="preserve"> size</w:t>
      </w:r>
      <w:r w:rsidR="009A6382">
        <w:rPr>
          <w:rFonts w:ascii="Book Antiqua" w:hAnsi="Book Antiqua"/>
        </w:rPr>
        <w:t xml:space="preserve">, it would take almost 6,000 individual contracts to reach the 2030 new resource goals to achieve the optimal portfolio. </w:t>
      </w:r>
      <w:r w:rsidR="00624E8F">
        <w:rPr>
          <w:rFonts w:ascii="Book Antiqua" w:hAnsi="Book Antiqua"/>
        </w:rPr>
        <w:t xml:space="preserve"> </w:t>
      </w:r>
      <w:r w:rsidR="009A6382">
        <w:rPr>
          <w:rFonts w:ascii="Book Antiqua" w:hAnsi="Book Antiqua"/>
        </w:rPr>
        <w:t>This seems to be a serious challenge.</w:t>
      </w:r>
      <w:r w:rsidR="00777221">
        <w:rPr>
          <w:rFonts w:ascii="Book Antiqua" w:hAnsi="Book Antiqua"/>
        </w:rPr>
        <w:t xml:space="preserve"> </w:t>
      </w:r>
      <w:r w:rsidR="00624E8F">
        <w:rPr>
          <w:rFonts w:ascii="Book Antiqua" w:hAnsi="Book Antiqua"/>
        </w:rPr>
        <w:t xml:space="preserve"> </w:t>
      </w:r>
      <w:r w:rsidR="005057F4">
        <w:rPr>
          <w:rFonts w:ascii="Book Antiqua" w:hAnsi="Book Antiqua"/>
        </w:rPr>
        <w:t xml:space="preserve">We encourage CalCCA or another appropriate organization to facilitate an exchange of expertise among the CCAs to ensure that all organizations are as prepared for this procurement challenge as possible. </w:t>
      </w:r>
      <w:r>
        <w:rPr>
          <w:rFonts w:ascii="Book Antiqua" w:hAnsi="Book Antiqua"/>
        </w:rPr>
        <w:t>Th</w:t>
      </w:r>
      <w:r w:rsidR="009A6382">
        <w:rPr>
          <w:rFonts w:ascii="Book Antiqua" w:hAnsi="Book Antiqua"/>
        </w:rPr>
        <w:t>ese types of concerns are</w:t>
      </w:r>
      <w:r w:rsidR="005057F4">
        <w:rPr>
          <w:rFonts w:ascii="Book Antiqua" w:hAnsi="Book Antiqua"/>
        </w:rPr>
        <w:t xml:space="preserve"> also</w:t>
      </w:r>
      <w:r w:rsidR="009A6382">
        <w:rPr>
          <w:rFonts w:ascii="Book Antiqua" w:hAnsi="Book Antiqua"/>
        </w:rPr>
        <w:t>,</w:t>
      </w:r>
      <w:r>
        <w:rPr>
          <w:rFonts w:ascii="Book Antiqua" w:hAnsi="Book Antiqua"/>
        </w:rPr>
        <w:t xml:space="preserve"> in part, why it is so critical that we receive more explicit information from all LSEs, including CCAs, about the status of contracts and development of new resources, as soon as possible.</w:t>
      </w:r>
    </w:p>
    <w:p w14:paraId="4F5BF4B4" w14:textId="77777777" w:rsidR="00CA7877" w:rsidRDefault="00586ED2" w:rsidP="00313EFF">
      <w:pPr>
        <w:pStyle w:val="sub3"/>
        <w:rPr>
          <w:rFonts w:ascii="Book Antiqua" w:hAnsi="Book Antiqua"/>
        </w:rPr>
      </w:pPr>
      <w:r>
        <w:rPr>
          <w:rFonts w:ascii="Book Antiqua" w:hAnsi="Book Antiqua"/>
        </w:rPr>
        <w:t xml:space="preserve">In addition, in the course of this analysis, it has become clear how important the RPS program </w:t>
      </w:r>
      <w:r w:rsidR="00B064BC">
        <w:rPr>
          <w:rFonts w:ascii="Book Antiqua" w:hAnsi="Book Antiqua"/>
        </w:rPr>
        <w:t>will</w:t>
      </w:r>
      <w:r>
        <w:rPr>
          <w:rFonts w:ascii="Book Antiqua" w:hAnsi="Book Antiqua"/>
        </w:rPr>
        <w:t xml:space="preserve"> be </w:t>
      </w:r>
      <w:r w:rsidR="00624E8F">
        <w:rPr>
          <w:rFonts w:ascii="Book Antiqua" w:hAnsi="Book Antiqua"/>
        </w:rPr>
        <w:t>in helping to achieve</w:t>
      </w:r>
      <w:r>
        <w:rPr>
          <w:rFonts w:ascii="Book Antiqua" w:hAnsi="Book Antiqua"/>
        </w:rPr>
        <w:t xml:space="preserve"> the optimal electric system portfolio by 2030. While all LSEs have an RPS obligation, and presumably are planning to comply with the RPS requirements, </w:t>
      </w:r>
      <w:r w:rsidR="00EC6E55">
        <w:rPr>
          <w:rFonts w:ascii="Book Antiqua" w:hAnsi="Book Antiqua"/>
        </w:rPr>
        <w:t>it will become increasingly important to ensure alignment between the RPS obligations and the optimal portfolio analysis emerging from the IRP process</w:t>
      </w:r>
      <w:r w:rsidR="00624E8F">
        <w:rPr>
          <w:rFonts w:ascii="Book Antiqua" w:hAnsi="Book Antiqua"/>
        </w:rPr>
        <w:t>, designed to reach the GHG goals for the electricity sector</w:t>
      </w:r>
      <w:r w:rsidR="00EC6E55">
        <w:rPr>
          <w:rFonts w:ascii="Book Antiqua" w:hAnsi="Book Antiqua"/>
        </w:rPr>
        <w:t xml:space="preserve">. To date, much of the RPS procurement has been for wind and solar resources, but to the extent that </w:t>
      </w:r>
      <w:r w:rsidR="00B064BC">
        <w:rPr>
          <w:rFonts w:ascii="Book Antiqua" w:hAnsi="Book Antiqua"/>
        </w:rPr>
        <w:t xml:space="preserve">renewable </w:t>
      </w:r>
      <w:r w:rsidR="00EC6E55">
        <w:rPr>
          <w:rFonts w:ascii="Book Antiqua" w:hAnsi="Book Antiqua"/>
        </w:rPr>
        <w:t xml:space="preserve">resource diversity is found to help achieve the optimal IRP portfolio </w:t>
      </w:r>
      <w:r w:rsidR="009A6382">
        <w:rPr>
          <w:rFonts w:ascii="Book Antiqua" w:hAnsi="Book Antiqua"/>
        </w:rPr>
        <w:t xml:space="preserve">(the PSP) </w:t>
      </w:r>
      <w:r w:rsidR="00EC6E55">
        <w:rPr>
          <w:rFonts w:ascii="Book Antiqua" w:hAnsi="Book Antiqua"/>
        </w:rPr>
        <w:t>at lower cost and in a more reliable manner, the RPS program may need to be adapted to take these considerations into account, or to effectively utilize the “least-cost, best-fit” requirements of RPS</w:t>
      </w:r>
      <w:r w:rsidR="00BF717B">
        <w:rPr>
          <w:rFonts w:ascii="Book Antiqua" w:hAnsi="Book Antiqua"/>
        </w:rPr>
        <w:t xml:space="preserve"> for purposes of </w:t>
      </w:r>
      <w:r w:rsidR="005057F4">
        <w:rPr>
          <w:rFonts w:ascii="Book Antiqua" w:hAnsi="Book Antiqua"/>
        </w:rPr>
        <w:t>the IRP goals</w:t>
      </w:r>
      <w:r w:rsidR="00EC6E55">
        <w:rPr>
          <w:rFonts w:ascii="Book Antiqua" w:hAnsi="Book Antiqua"/>
        </w:rPr>
        <w:t>. Beginning with this decision, we will undertake an even closer</w:t>
      </w:r>
      <w:r>
        <w:rPr>
          <w:rFonts w:ascii="Book Antiqua" w:hAnsi="Book Antiqua"/>
        </w:rPr>
        <w:t xml:space="preserve"> </w:t>
      </w:r>
      <w:r w:rsidR="00EC6E55">
        <w:rPr>
          <w:rFonts w:ascii="Book Antiqua" w:hAnsi="Book Antiqua"/>
        </w:rPr>
        <w:t xml:space="preserve">coordination with the RPS program to ensure that RPS requirements and compliance are aligned with achieving the optimal </w:t>
      </w:r>
      <w:r w:rsidR="009A6382">
        <w:rPr>
          <w:rFonts w:ascii="Book Antiqua" w:hAnsi="Book Antiqua"/>
        </w:rPr>
        <w:t>PSP</w:t>
      </w:r>
      <w:r w:rsidR="00EC6E55">
        <w:rPr>
          <w:rFonts w:ascii="Book Antiqua" w:hAnsi="Book Antiqua"/>
        </w:rPr>
        <w:t xml:space="preserve"> identified in this decision. </w:t>
      </w:r>
    </w:p>
    <w:p w14:paraId="15C78984" w14:textId="77777777" w:rsidR="00313EFF" w:rsidRPr="00467505" w:rsidRDefault="00313EFF" w:rsidP="00313EFF">
      <w:pPr>
        <w:pStyle w:val="sub3"/>
        <w:rPr>
          <w:rFonts w:ascii="Book Antiqua" w:hAnsi="Book Antiqua"/>
        </w:rPr>
      </w:pPr>
      <w:r w:rsidRPr="00467505">
        <w:rPr>
          <w:rFonts w:ascii="Book Antiqua" w:hAnsi="Book Antiqua"/>
        </w:rPr>
        <w:t>We also wish to make clear to all LSEs that there is a shared responsibility among all of them for a reliable electric system</w:t>
      </w:r>
      <w:r w:rsidR="002F7A66">
        <w:rPr>
          <w:rFonts w:ascii="Book Antiqua" w:hAnsi="Book Antiqua"/>
        </w:rPr>
        <w:t xml:space="preserve"> that meets the state’s </w:t>
      </w:r>
      <w:r w:rsidR="00586ED2">
        <w:rPr>
          <w:rFonts w:ascii="Book Antiqua" w:hAnsi="Book Antiqua"/>
        </w:rPr>
        <w:t>environmental goals at least cost</w:t>
      </w:r>
      <w:r w:rsidRPr="00467505">
        <w:rPr>
          <w:rFonts w:ascii="Book Antiqua" w:hAnsi="Book Antiqua"/>
        </w:rPr>
        <w:t xml:space="preserve">. </w:t>
      </w:r>
      <w:r w:rsidR="00C961F7" w:rsidRPr="00467505">
        <w:rPr>
          <w:rFonts w:ascii="Book Antiqua" w:hAnsi="Book Antiqua"/>
        </w:rPr>
        <w:t xml:space="preserve"> </w:t>
      </w:r>
      <w:r w:rsidRPr="00467505">
        <w:rPr>
          <w:rFonts w:ascii="Book Antiqua" w:hAnsi="Book Antiqua"/>
        </w:rPr>
        <w:t xml:space="preserve">The Commission made this point clearly in the recent </w:t>
      </w:r>
      <w:r w:rsidR="00E31C6B">
        <w:rPr>
          <w:rFonts w:ascii="Book Antiqua" w:hAnsi="Book Antiqua"/>
        </w:rPr>
        <w:t>r</w:t>
      </w:r>
      <w:r w:rsidRPr="00467505">
        <w:rPr>
          <w:rFonts w:ascii="Book Antiqua" w:hAnsi="Book Antiqua"/>
        </w:rPr>
        <w:t xml:space="preserve">esource </w:t>
      </w:r>
      <w:r w:rsidR="00E31C6B">
        <w:rPr>
          <w:rFonts w:ascii="Book Antiqua" w:hAnsi="Book Antiqua"/>
        </w:rPr>
        <w:t>a</w:t>
      </w:r>
      <w:r w:rsidRPr="00467505">
        <w:rPr>
          <w:rFonts w:ascii="Book Antiqua" w:hAnsi="Book Antiqua"/>
        </w:rPr>
        <w:t>dequacy decision</w:t>
      </w:r>
      <w:r w:rsidR="00731498" w:rsidRPr="00467505">
        <w:rPr>
          <w:rFonts w:ascii="Book Antiqua" w:hAnsi="Book Antiqua"/>
        </w:rPr>
        <w:t xml:space="preserve"> refining the program for local capacity needs.</w:t>
      </w:r>
      <w:r w:rsidR="00731498" w:rsidRPr="00467505">
        <w:rPr>
          <w:rStyle w:val="FootnoteReference"/>
          <w:rFonts w:ascii="Book Antiqua" w:hAnsi="Book Antiqua"/>
        </w:rPr>
        <w:footnoteReference w:id="16"/>
      </w:r>
      <w:r w:rsidRPr="00467505">
        <w:rPr>
          <w:rFonts w:ascii="Book Antiqua" w:hAnsi="Book Antiqua"/>
        </w:rPr>
        <w:t xml:space="preserve"> The current market trends appear to show that a large </w:t>
      </w:r>
      <w:r w:rsidR="000128F8">
        <w:rPr>
          <w:rFonts w:ascii="Book Antiqua" w:hAnsi="Book Antiqua"/>
        </w:rPr>
        <w:t>proportion</w:t>
      </w:r>
      <w:r w:rsidR="000128F8" w:rsidRPr="00467505">
        <w:rPr>
          <w:rFonts w:ascii="Book Antiqua" w:hAnsi="Book Antiqua"/>
        </w:rPr>
        <w:t xml:space="preserve"> </w:t>
      </w:r>
      <w:r w:rsidRPr="00467505">
        <w:rPr>
          <w:rFonts w:ascii="Book Antiqua" w:hAnsi="Book Antiqua"/>
        </w:rPr>
        <w:t>of the responsibility for operational needs still rest</w:t>
      </w:r>
      <w:r w:rsidR="00E31C6B">
        <w:rPr>
          <w:rFonts w:ascii="Book Antiqua" w:hAnsi="Book Antiqua"/>
        </w:rPr>
        <w:t>s</w:t>
      </w:r>
      <w:r w:rsidRPr="00467505">
        <w:rPr>
          <w:rFonts w:ascii="Book Antiqua" w:hAnsi="Book Antiqua"/>
        </w:rPr>
        <w:t xml:space="preserve"> on the large IOUs, despite the fact that resource adequacy requirements apply to all LSEs</w:t>
      </w:r>
      <w:r w:rsidR="000128F8">
        <w:rPr>
          <w:rFonts w:ascii="Book Antiqua" w:hAnsi="Book Antiqua"/>
        </w:rPr>
        <w:t xml:space="preserve"> now serving customers</w:t>
      </w:r>
      <w:r w:rsidRPr="00467505">
        <w:rPr>
          <w:rFonts w:ascii="Book Antiqua" w:hAnsi="Book Antiqua"/>
        </w:rPr>
        <w:t>.</w:t>
      </w:r>
      <w:r w:rsidR="00C961F7" w:rsidRPr="00467505">
        <w:rPr>
          <w:rFonts w:ascii="Book Antiqua" w:hAnsi="Book Antiqua"/>
        </w:rPr>
        <w:t xml:space="preserve"> </w:t>
      </w:r>
      <w:r w:rsidRPr="00467505">
        <w:rPr>
          <w:rFonts w:ascii="Book Antiqua" w:hAnsi="Book Antiqua"/>
        </w:rPr>
        <w:t xml:space="preserve"> While the IOU customers have historically shouldered the burden of reliability resources, particularly natural gas, the load is departing rapidly for alternative providers, particularly CCAs, and the responsibility has not appeared to shift proportionately. </w:t>
      </w:r>
      <w:r w:rsidR="00C961F7" w:rsidRPr="00467505">
        <w:rPr>
          <w:rFonts w:ascii="Book Antiqua" w:hAnsi="Book Antiqua"/>
        </w:rPr>
        <w:t xml:space="preserve"> </w:t>
      </w:r>
      <w:r w:rsidRPr="00467505">
        <w:rPr>
          <w:rFonts w:ascii="Book Antiqua" w:hAnsi="Book Antiqua"/>
        </w:rPr>
        <w:t xml:space="preserve">The IRP filings of the majority of CCAs are focused primarily, if not exclusively, on the acquisition of renewable and storage resources. </w:t>
      </w:r>
    </w:p>
    <w:p w14:paraId="22F3448D" w14:textId="77777777" w:rsidR="00313EFF" w:rsidRPr="00467505" w:rsidRDefault="00313EFF" w:rsidP="00313EFF">
      <w:pPr>
        <w:pStyle w:val="sub3"/>
        <w:rPr>
          <w:rFonts w:ascii="Book Antiqua" w:hAnsi="Book Antiqua"/>
        </w:rPr>
      </w:pPr>
      <w:r w:rsidRPr="00467505">
        <w:rPr>
          <w:rFonts w:ascii="Book Antiqua" w:hAnsi="Book Antiqua"/>
        </w:rPr>
        <w:t>While that is admirable and necessary, it is also the case that even by 2030, if we meet our GHG emissions goals, the need for natural gas resources to help support system reliability will not be reduced to zero.</w:t>
      </w:r>
      <w:r w:rsidR="00C961F7" w:rsidRPr="00467505">
        <w:rPr>
          <w:rFonts w:ascii="Book Antiqua" w:hAnsi="Book Antiqua"/>
        </w:rPr>
        <w:t xml:space="preserve"> </w:t>
      </w:r>
      <w:r w:rsidRPr="00467505">
        <w:rPr>
          <w:rFonts w:ascii="Book Antiqua" w:hAnsi="Book Antiqua"/>
        </w:rPr>
        <w:t xml:space="preserve"> While we are focused on minimizing the operation of fossil</w:t>
      </w:r>
      <w:r w:rsidR="00D84A09" w:rsidRPr="00467505">
        <w:rPr>
          <w:rFonts w:ascii="Book Antiqua" w:hAnsi="Book Antiqua"/>
        </w:rPr>
        <w:noBreakHyphen/>
      </w:r>
      <w:r w:rsidRPr="00467505">
        <w:rPr>
          <w:rFonts w:ascii="Book Antiqua" w:hAnsi="Book Antiqua"/>
        </w:rPr>
        <w:t xml:space="preserve">fueled resources to the extent possible, especially in disadvantaged communities, there will still be the need to contract with existing natural gas resources needed to maintain system reliability as well as affordable electricity in the state while this broader transition is underway. </w:t>
      </w:r>
      <w:r w:rsidR="00C961F7" w:rsidRPr="00467505">
        <w:rPr>
          <w:rFonts w:ascii="Book Antiqua" w:hAnsi="Book Antiqua"/>
        </w:rPr>
        <w:t xml:space="preserve"> </w:t>
      </w:r>
      <w:r w:rsidRPr="00467505">
        <w:rPr>
          <w:rFonts w:ascii="Book Antiqua" w:hAnsi="Book Antiqua"/>
        </w:rPr>
        <w:t xml:space="preserve">And that responsibility needs to be shared </w:t>
      </w:r>
      <w:r w:rsidR="001811C3">
        <w:rPr>
          <w:rFonts w:ascii="Book Antiqua" w:hAnsi="Book Antiqua"/>
        </w:rPr>
        <w:t>fairly</w:t>
      </w:r>
      <w:r w:rsidR="001811C3" w:rsidRPr="00467505">
        <w:rPr>
          <w:rFonts w:ascii="Book Antiqua" w:hAnsi="Book Antiqua"/>
        </w:rPr>
        <w:t xml:space="preserve"> </w:t>
      </w:r>
      <w:r w:rsidRPr="00467505">
        <w:rPr>
          <w:rFonts w:ascii="Book Antiqua" w:hAnsi="Book Antiqua"/>
        </w:rPr>
        <w:t xml:space="preserve">among all of the LSEs serving load within the CAISO. </w:t>
      </w:r>
      <w:r w:rsidR="00C961F7" w:rsidRPr="00467505">
        <w:rPr>
          <w:rFonts w:ascii="Book Antiqua" w:hAnsi="Book Antiqua"/>
        </w:rPr>
        <w:t xml:space="preserve"> </w:t>
      </w:r>
      <w:r w:rsidRPr="00467505">
        <w:rPr>
          <w:rFonts w:ascii="Book Antiqua" w:hAnsi="Book Antiqua"/>
        </w:rPr>
        <w:t xml:space="preserve">It will not be sufficient or appropriate for new CCAs to lean on these resources procured by IOUs, and provide the public with messages about their cleaner resource mix, while focusing their resource procurement efforts only on renewable and storage resources.  </w:t>
      </w:r>
    </w:p>
    <w:p w14:paraId="6999A685" w14:textId="6BA469CF" w:rsidR="00313EFF" w:rsidRPr="00467505" w:rsidRDefault="00313EFF" w:rsidP="00313EFF">
      <w:pPr>
        <w:pStyle w:val="sub3"/>
        <w:rPr>
          <w:rFonts w:ascii="Book Antiqua" w:hAnsi="Book Antiqua"/>
        </w:rPr>
      </w:pPr>
      <w:r w:rsidRPr="00467505">
        <w:rPr>
          <w:rFonts w:ascii="Book Antiqua" w:hAnsi="Book Antiqua"/>
        </w:rPr>
        <w:t>We also note that S</w:t>
      </w:r>
      <w:r w:rsidR="005E1093">
        <w:rPr>
          <w:rFonts w:ascii="Book Antiqua" w:hAnsi="Book Antiqua"/>
        </w:rPr>
        <w:t xml:space="preserve">enate </w:t>
      </w:r>
      <w:r w:rsidRPr="00467505">
        <w:rPr>
          <w:rFonts w:ascii="Book Antiqua" w:hAnsi="Book Antiqua"/>
        </w:rPr>
        <w:t>B</w:t>
      </w:r>
      <w:r w:rsidR="005E1093">
        <w:rPr>
          <w:rFonts w:ascii="Book Antiqua" w:hAnsi="Book Antiqua"/>
        </w:rPr>
        <w:t>ill</w:t>
      </w:r>
      <w:r w:rsidRPr="00467505">
        <w:rPr>
          <w:rFonts w:ascii="Book Antiqua" w:hAnsi="Book Antiqua"/>
        </w:rPr>
        <w:t xml:space="preserve"> </w:t>
      </w:r>
      <w:r w:rsidR="005E1093">
        <w:rPr>
          <w:rFonts w:ascii="Book Antiqua" w:hAnsi="Book Antiqua"/>
        </w:rPr>
        <w:t xml:space="preserve">(SB) </w:t>
      </w:r>
      <w:r w:rsidRPr="00467505">
        <w:rPr>
          <w:rFonts w:ascii="Book Antiqua" w:hAnsi="Book Antiqua"/>
        </w:rPr>
        <w:t xml:space="preserve">350 specifically gave the Commission the authority to require </w:t>
      </w:r>
      <w:r w:rsidR="0046562E">
        <w:rPr>
          <w:rFonts w:ascii="Book Antiqua" w:hAnsi="Book Antiqua"/>
        </w:rPr>
        <w:t>CCAs to</w:t>
      </w:r>
      <w:r w:rsidRPr="00467505">
        <w:rPr>
          <w:rFonts w:ascii="Book Antiqua" w:hAnsi="Book Antiqua"/>
        </w:rPr>
        <w:t xml:space="preserve"> procure, via long</w:t>
      </w:r>
      <w:r w:rsidR="00D84A09" w:rsidRPr="00467505">
        <w:rPr>
          <w:rFonts w:ascii="Book Antiqua" w:hAnsi="Book Antiqua"/>
        </w:rPr>
        <w:noBreakHyphen/>
      </w:r>
      <w:r w:rsidRPr="00467505">
        <w:rPr>
          <w:rFonts w:ascii="Book Antiqua" w:hAnsi="Book Antiqua"/>
        </w:rPr>
        <w:t>term contracts, renewable integration resources.</w:t>
      </w:r>
      <w:r w:rsidRPr="00467505">
        <w:rPr>
          <w:rStyle w:val="FootnoteReference"/>
          <w:rFonts w:ascii="Book Antiqua" w:hAnsi="Book Antiqua"/>
        </w:rPr>
        <w:footnoteReference w:id="17"/>
      </w:r>
      <w:r w:rsidRPr="00467505">
        <w:rPr>
          <w:rFonts w:ascii="Book Antiqua" w:hAnsi="Book Antiqua"/>
        </w:rPr>
        <w:t xml:space="preserve"> At this moment in time, every resource that requires procuring</w:t>
      </w:r>
      <w:r w:rsidR="0046562E">
        <w:rPr>
          <w:rFonts w:ascii="Book Antiqua" w:hAnsi="Book Antiqua"/>
        </w:rPr>
        <w:t xml:space="preserve"> or retaining</w:t>
      </w:r>
      <w:r w:rsidRPr="00467505">
        <w:rPr>
          <w:rFonts w:ascii="Book Antiqua" w:hAnsi="Book Antiqua"/>
        </w:rPr>
        <w:t xml:space="preserve">, </w:t>
      </w:r>
      <w:r w:rsidR="009A7450">
        <w:rPr>
          <w:rFonts w:ascii="Book Antiqua" w:hAnsi="Book Antiqua"/>
        </w:rPr>
        <w:t>including</w:t>
      </w:r>
      <w:r w:rsidR="009A7450" w:rsidRPr="00467505">
        <w:rPr>
          <w:rFonts w:ascii="Book Antiqua" w:hAnsi="Book Antiqua"/>
        </w:rPr>
        <w:t xml:space="preserve"> </w:t>
      </w:r>
      <w:r w:rsidRPr="00467505">
        <w:rPr>
          <w:rFonts w:ascii="Book Antiqua" w:hAnsi="Book Antiqua"/>
        </w:rPr>
        <w:t xml:space="preserve">the renewables themselves, </w:t>
      </w:r>
      <w:r w:rsidR="000128F8">
        <w:rPr>
          <w:rFonts w:ascii="Book Antiqua" w:hAnsi="Book Antiqua"/>
        </w:rPr>
        <w:t>is</w:t>
      </w:r>
      <w:r w:rsidR="000128F8" w:rsidRPr="00467505">
        <w:rPr>
          <w:rFonts w:ascii="Book Antiqua" w:hAnsi="Book Antiqua"/>
        </w:rPr>
        <w:t xml:space="preserve"> </w:t>
      </w:r>
      <w:r w:rsidRPr="00467505">
        <w:rPr>
          <w:rFonts w:ascii="Book Antiqua" w:hAnsi="Book Antiqua"/>
        </w:rPr>
        <w:t xml:space="preserve">being used for renewable integration, since renewables are becoming the dominant resources in the electric system. </w:t>
      </w:r>
      <w:r w:rsidR="00C961F7" w:rsidRPr="00467505">
        <w:rPr>
          <w:rFonts w:ascii="Book Antiqua" w:hAnsi="Book Antiqua"/>
        </w:rPr>
        <w:t xml:space="preserve"> </w:t>
      </w:r>
      <w:r w:rsidR="001A3B9C">
        <w:rPr>
          <w:rFonts w:ascii="Book Antiqua" w:hAnsi="Book Antiqua"/>
        </w:rPr>
        <w:t xml:space="preserve">While it may be the case that </w:t>
      </w:r>
      <w:r w:rsidR="0047198F">
        <w:rPr>
          <w:rFonts w:ascii="Book Antiqua" w:hAnsi="Book Antiqua"/>
        </w:rPr>
        <w:t>every single</w:t>
      </w:r>
      <w:r w:rsidR="00295F67">
        <w:rPr>
          <w:rFonts w:ascii="Book Antiqua" w:hAnsi="Book Antiqua"/>
        </w:rPr>
        <w:t xml:space="preserve"> individual</w:t>
      </w:r>
      <w:r w:rsidR="0047198F">
        <w:rPr>
          <w:rFonts w:ascii="Book Antiqua" w:hAnsi="Book Antiqua"/>
        </w:rPr>
        <w:t xml:space="preserve"> generation </w:t>
      </w:r>
      <w:r w:rsidR="00295F67">
        <w:rPr>
          <w:rFonts w:ascii="Book Antiqua" w:hAnsi="Book Antiqua"/>
        </w:rPr>
        <w:t>plant</w:t>
      </w:r>
      <w:r w:rsidR="0047198F">
        <w:rPr>
          <w:rFonts w:ascii="Book Antiqua" w:hAnsi="Book Antiqua"/>
        </w:rPr>
        <w:t xml:space="preserve"> on the system currently is not needed for renewable integration, it is still the case that every </w:t>
      </w:r>
      <w:r w:rsidR="0047198F" w:rsidRPr="005261E2">
        <w:rPr>
          <w:rFonts w:ascii="Book Antiqua" w:hAnsi="Book Antiqua"/>
          <w:i/>
        </w:rPr>
        <w:t>type</w:t>
      </w:r>
      <w:r w:rsidR="0047198F">
        <w:rPr>
          <w:rFonts w:ascii="Book Antiqua" w:hAnsi="Book Antiqua"/>
        </w:rPr>
        <w:t xml:space="preserve"> of resource on the system is being utilized for this purpose.</w:t>
      </w:r>
      <w:r w:rsidR="0066676F">
        <w:rPr>
          <w:rFonts w:ascii="Book Antiqua" w:hAnsi="Book Antiqua"/>
        </w:rPr>
        <w:t xml:space="preserve"> </w:t>
      </w:r>
      <w:r w:rsidR="0047198F">
        <w:rPr>
          <w:rFonts w:ascii="Book Antiqua" w:hAnsi="Book Antiqua"/>
        </w:rPr>
        <w:t xml:space="preserve"> </w:t>
      </w:r>
      <w:r w:rsidRPr="00467505">
        <w:rPr>
          <w:rFonts w:ascii="Book Antiqua" w:hAnsi="Book Antiqua"/>
        </w:rPr>
        <w:t>Thus, we anticipate the need to require more focus on renewable integration long</w:t>
      </w:r>
      <w:r w:rsidR="00D84A09" w:rsidRPr="00467505">
        <w:rPr>
          <w:rFonts w:ascii="Book Antiqua" w:hAnsi="Book Antiqua"/>
        </w:rPr>
        <w:noBreakHyphen/>
      </w:r>
      <w:r w:rsidRPr="00467505">
        <w:rPr>
          <w:rFonts w:ascii="Book Antiqua" w:hAnsi="Book Antiqua"/>
        </w:rPr>
        <w:t xml:space="preserve">term commitments as time goes on to ensure that we are adequately implementing the Legislature’s direction to optimize among three coequal goals: </w:t>
      </w:r>
      <w:r w:rsidR="004731C2" w:rsidRPr="00467505">
        <w:rPr>
          <w:rFonts w:ascii="Book Antiqua" w:hAnsi="Book Antiqua"/>
        </w:rPr>
        <w:t xml:space="preserve"> </w:t>
      </w:r>
      <w:r w:rsidRPr="00467505">
        <w:rPr>
          <w:rFonts w:ascii="Book Antiqua" w:hAnsi="Book Antiqua"/>
        </w:rPr>
        <w:t>environmental, reliability and cost.</w:t>
      </w:r>
    </w:p>
    <w:p w14:paraId="4696193A" w14:textId="77777777" w:rsidR="00313EFF" w:rsidRPr="00467505" w:rsidRDefault="00313EFF" w:rsidP="00313EFF">
      <w:pPr>
        <w:pStyle w:val="sub3"/>
        <w:rPr>
          <w:rFonts w:ascii="Book Antiqua" w:hAnsi="Book Antiqua"/>
        </w:rPr>
      </w:pPr>
      <w:r w:rsidRPr="00467505">
        <w:rPr>
          <w:rFonts w:ascii="Book Antiqua" w:hAnsi="Book Antiqua"/>
        </w:rPr>
        <w:t>As we have already signaled in recent rulings in this docket, the next cycle of IRP will contain a more in</w:t>
      </w:r>
      <w:r w:rsidR="00D84A09" w:rsidRPr="00467505">
        <w:rPr>
          <w:rFonts w:ascii="Book Antiqua" w:hAnsi="Book Antiqua"/>
        </w:rPr>
        <w:noBreakHyphen/>
      </w:r>
      <w:r w:rsidRPr="00467505">
        <w:rPr>
          <w:rFonts w:ascii="Book Antiqua" w:hAnsi="Book Antiqua"/>
        </w:rPr>
        <w:t>depth analysis of the role of existing natural gas plants out to 2030.</w:t>
      </w:r>
      <w:r w:rsidR="00C961F7" w:rsidRPr="00467505">
        <w:rPr>
          <w:rFonts w:ascii="Book Antiqua" w:hAnsi="Book Antiqua"/>
        </w:rPr>
        <w:t xml:space="preserve"> </w:t>
      </w:r>
      <w:r w:rsidRPr="00467505">
        <w:rPr>
          <w:rFonts w:ascii="Book Antiqua" w:hAnsi="Book Antiqua"/>
        </w:rPr>
        <w:t xml:space="preserve"> And the default assumptions for development of the next RSP are proposed to include an assumption of natural gas plant retirement after a 40</w:t>
      </w:r>
      <w:r w:rsidR="000128F8">
        <w:rPr>
          <w:rFonts w:ascii="Book Antiqua" w:hAnsi="Book Antiqua"/>
        </w:rPr>
        <w:t>-</w:t>
      </w:r>
      <w:r w:rsidRPr="00467505">
        <w:rPr>
          <w:rFonts w:ascii="Book Antiqua" w:hAnsi="Book Antiqua"/>
        </w:rPr>
        <w:t>year life, just as we adopt herein for the PSP, instead of the indefinite lifetimes assumed in the RSP adopted in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This </w:t>
      </w:r>
      <w:r w:rsidR="003A743C">
        <w:rPr>
          <w:rFonts w:ascii="Book Antiqua" w:hAnsi="Book Antiqua"/>
        </w:rPr>
        <w:t>40-year life</w:t>
      </w:r>
      <w:r w:rsidR="003A743C" w:rsidRPr="00467505">
        <w:rPr>
          <w:rFonts w:ascii="Book Antiqua" w:hAnsi="Book Antiqua"/>
        </w:rPr>
        <w:t xml:space="preserve"> </w:t>
      </w:r>
      <w:r w:rsidRPr="00467505">
        <w:rPr>
          <w:rFonts w:ascii="Book Antiqua" w:hAnsi="Book Antiqua"/>
        </w:rPr>
        <w:t>assumption reflects California’s transition of its natural gas fleet, offering us a chance to see how long natural gas resources are needed and when appropriate moments may emerge to replace them with low</w:t>
      </w:r>
      <w:r w:rsidR="00D84A09" w:rsidRPr="00467505">
        <w:rPr>
          <w:rFonts w:ascii="Book Antiqua" w:hAnsi="Book Antiqua"/>
        </w:rPr>
        <w:noBreakHyphen/>
      </w:r>
      <w:r w:rsidRPr="00467505">
        <w:rPr>
          <w:rFonts w:ascii="Book Antiqua" w:hAnsi="Book Antiqua"/>
        </w:rPr>
        <w:t xml:space="preserve"> or zero</w:t>
      </w:r>
      <w:r w:rsidR="00D84A09" w:rsidRPr="00467505">
        <w:rPr>
          <w:rFonts w:ascii="Book Antiqua" w:hAnsi="Book Antiqua"/>
        </w:rPr>
        <w:noBreakHyphen/>
      </w:r>
      <w:r w:rsidRPr="00467505">
        <w:rPr>
          <w:rFonts w:ascii="Book Antiqua" w:hAnsi="Book Antiqua"/>
        </w:rPr>
        <w:t>carbon alternatives.</w:t>
      </w:r>
    </w:p>
    <w:p w14:paraId="0752A8E8" w14:textId="77777777" w:rsidR="00313EFF" w:rsidRPr="00467505" w:rsidRDefault="00313EFF" w:rsidP="00313EFF">
      <w:pPr>
        <w:pStyle w:val="sub3"/>
        <w:rPr>
          <w:rFonts w:ascii="Book Antiqua" w:hAnsi="Book Antiqua"/>
        </w:rPr>
      </w:pPr>
      <w:r w:rsidRPr="00467505">
        <w:rPr>
          <w:rFonts w:ascii="Book Antiqua" w:hAnsi="Book Antiqua"/>
        </w:rPr>
        <w:t xml:space="preserve">But even so, these are planning assumptions and are not procurement actions that will necessarily result in the assumptions reflecting reality in the period until 2030. </w:t>
      </w:r>
      <w:r w:rsidR="00C961F7" w:rsidRPr="00467505">
        <w:rPr>
          <w:rFonts w:ascii="Book Antiqua" w:hAnsi="Book Antiqua"/>
        </w:rPr>
        <w:t xml:space="preserve"> </w:t>
      </w:r>
      <w:r w:rsidRPr="00467505">
        <w:rPr>
          <w:rFonts w:ascii="Book Antiqua" w:hAnsi="Book Antiqua"/>
        </w:rPr>
        <w:t xml:space="preserve">The IOUs have made it clear in their IRPs that they do not plan to contract for natural gas resources beyond the short term, and their load forecasts indicate that they have fewer reasons to take on this procurement than in the past. </w:t>
      </w:r>
      <w:r w:rsidR="00C961F7" w:rsidRPr="00467505">
        <w:rPr>
          <w:rFonts w:ascii="Book Antiqua" w:hAnsi="Book Antiqua"/>
        </w:rPr>
        <w:t xml:space="preserve"> </w:t>
      </w:r>
      <w:r w:rsidRPr="00467505">
        <w:rPr>
          <w:rFonts w:ascii="Book Antiqua" w:hAnsi="Book Antiqua"/>
        </w:rPr>
        <w:t xml:space="preserve">At the same time, CCA IRPs do not </w:t>
      </w:r>
      <w:r w:rsidR="0046562E">
        <w:rPr>
          <w:rFonts w:ascii="Book Antiqua" w:hAnsi="Book Antiqua"/>
        </w:rPr>
        <w:t>indicate</w:t>
      </w:r>
      <w:r w:rsidR="0046562E" w:rsidRPr="00467505">
        <w:rPr>
          <w:rFonts w:ascii="Book Antiqua" w:hAnsi="Book Antiqua"/>
        </w:rPr>
        <w:t xml:space="preserve"> </w:t>
      </w:r>
      <w:r w:rsidRPr="00467505">
        <w:rPr>
          <w:rFonts w:ascii="Book Antiqua" w:hAnsi="Book Antiqua"/>
        </w:rPr>
        <w:t xml:space="preserve">that they intend to pick up such resources. </w:t>
      </w:r>
    </w:p>
    <w:p w14:paraId="09266FCD" w14:textId="77777777" w:rsidR="00313EFF" w:rsidRPr="00467505" w:rsidRDefault="00313EFF" w:rsidP="00313EFF">
      <w:pPr>
        <w:pStyle w:val="sub3"/>
        <w:rPr>
          <w:rFonts w:ascii="Book Antiqua" w:hAnsi="Book Antiqua"/>
        </w:rPr>
      </w:pPr>
      <w:r w:rsidRPr="00467505">
        <w:rPr>
          <w:rFonts w:ascii="Book Antiqua" w:hAnsi="Book Antiqua"/>
        </w:rPr>
        <w:t xml:space="preserve">Table </w:t>
      </w:r>
      <w:r w:rsidR="00072CB7" w:rsidRPr="00467505">
        <w:rPr>
          <w:rFonts w:ascii="Book Antiqua" w:hAnsi="Book Antiqua"/>
          <w:sz w:val="24"/>
          <w:szCs w:val="24"/>
        </w:rPr>
        <w:t>7</w:t>
      </w:r>
      <w:r w:rsidRPr="00467505">
        <w:rPr>
          <w:rFonts w:ascii="Book Antiqua" w:hAnsi="Book Antiqua"/>
        </w:rPr>
        <w:t xml:space="preserve"> below shows the percentage of CAISO system peak capacity (net qualifying capacity in August of each year) included in the LSE Conforming Plans in their individual IRP filings. </w:t>
      </w:r>
      <w:r w:rsidR="00C961F7" w:rsidRPr="00467505">
        <w:rPr>
          <w:rFonts w:ascii="Book Antiqua" w:hAnsi="Book Antiqua"/>
        </w:rPr>
        <w:t xml:space="preserve"> </w:t>
      </w:r>
      <w:r w:rsidRPr="00467505">
        <w:rPr>
          <w:rFonts w:ascii="Book Antiqua" w:hAnsi="Book Antiqua"/>
        </w:rPr>
        <w:t>As is clear from the table, the commitments for thermal resources, as well as biomass and biogas, are very low after 2022.</w:t>
      </w:r>
    </w:p>
    <w:p w14:paraId="229BC2B2" w14:textId="77777777" w:rsidR="00313EFF" w:rsidRPr="005E1093" w:rsidRDefault="00313EFF" w:rsidP="0066676F">
      <w:pPr>
        <w:pStyle w:val="Caption"/>
        <w:keepNext/>
        <w:keepLines/>
        <w:spacing w:before="240" w:after="120"/>
        <w:rPr>
          <w:rFonts w:ascii="Book Antiqua" w:hAnsi="Book Antiqua"/>
          <w:color w:val="auto"/>
          <w:sz w:val="26"/>
          <w:szCs w:val="24"/>
        </w:rPr>
      </w:pPr>
      <w:r w:rsidRPr="005E1093">
        <w:rPr>
          <w:rFonts w:ascii="Book Antiqua" w:hAnsi="Book Antiqua"/>
          <w:color w:val="auto"/>
          <w:sz w:val="26"/>
          <w:szCs w:val="24"/>
        </w:rPr>
        <w:t>Table</w:t>
      </w:r>
      <w:r w:rsidR="00072CB7" w:rsidRPr="005E1093">
        <w:rPr>
          <w:rFonts w:ascii="Book Antiqua" w:hAnsi="Book Antiqua"/>
          <w:color w:val="auto"/>
          <w:sz w:val="26"/>
          <w:szCs w:val="24"/>
        </w:rPr>
        <w:t xml:space="preserve"> 7</w:t>
      </w:r>
      <w:r w:rsidRPr="005E1093">
        <w:rPr>
          <w:rFonts w:ascii="Book Antiqua" w:hAnsi="Book Antiqua"/>
          <w:color w:val="auto"/>
          <w:sz w:val="26"/>
          <w:szCs w:val="24"/>
        </w:rPr>
        <w:t>. Percent of CAISO System August Net Qualifying Capacity (MW) included in LSE Conforming Plans, by Year</w:t>
      </w:r>
    </w:p>
    <w:tbl>
      <w:tblPr>
        <w:tblStyle w:val="TableGrid"/>
        <w:tblW w:w="9859" w:type="dxa"/>
        <w:tblLayout w:type="fixed"/>
        <w:tblLook w:val="04A0" w:firstRow="1" w:lastRow="0" w:firstColumn="1" w:lastColumn="0" w:noHBand="0" w:noVBand="1"/>
      </w:tblPr>
      <w:tblGrid>
        <w:gridCol w:w="1615"/>
        <w:gridCol w:w="720"/>
        <w:gridCol w:w="684"/>
        <w:gridCol w:w="684"/>
        <w:gridCol w:w="684"/>
        <w:gridCol w:w="684"/>
        <w:gridCol w:w="684"/>
        <w:gridCol w:w="684"/>
        <w:gridCol w:w="684"/>
        <w:gridCol w:w="684"/>
        <w:gridCol w:w="684"/>
        <w:gridCol w:w="684"/>
        <w:gridCol w:w="684"/>
      </w:tblGrid>
      <w:tr w:rsidR="00313EFF" w:rsidRPr="005E1093" w14:paraId="734BBD62" w14:textId="77777777" w:rsidTr="000670A3">
        <w:trPr>
          <w:tblHeader/>
        </w:trPr>
        <w:tc>
          <w:tcPr>
            <w:tcW w:w="1615" w:type="dxa"/>
          </w:tcPr>
          <w:p w14:paraId="4C88FB7C" w14:textId="77777777" w:rsidR="00313EFF" w:rsidRPr="005E1093" w:rsidRDefault="00313EFF" w:rsidP="0066676F">
            <w:pPr>
              <w:pStyle w:val="sub3"/>
              <w:keepNext/>
              <w:keepLines/>
              <w:spacing w:before="60" w:after="60" w:line="240" w:lineRule="auto"/>
              <w:ind w:firstLine="0"/>
              <w:rPr>
                <w:rFonts w:ascii="Book Antiqua" w:hAnsi="Book Antiqua"/>
                <w:b/>
                <w:sz w:val="20"/>
              </w:rPr>
            </w:pPr>
            <w:r w:rsidRPr="005E1093">
              <w:rPr>
                <w:rFonts w:ascii="Book Antiqua" w:hAnsi="Book Antiqua"/>
                <w:b/>
                <w:sz w:val="20"/>
              </w:rPr>
              <w:t>Resource</w:t>
            </w:r>
          </w:p>
        </w:tc>
        <w:tc>
          <w:tcPr>
            <w:tcW w:w="720" w:type="dxa"/>
          </w:tcPr>
          <w:p w14:paraId="3E248F33" w14:textId="77777777" w:rsidR="00313EFF" w:rsidRPr="005E1093" w:rsidRDefault="00313EFF" w:rsidP="0066676F">
            <w:pPr>
              <w:pStyle w:val="sub3"/>
              <w:keepNext/>
              <w:keepLines/>
              <w:spacing w:before="60" w:after="60" w:line="240" w:lineRule="auto"/>
              <w:ind w:firstLine="0"/>
              <w:jc w:val="right"/>
              <w:rPr>
                <w:rFonts w:ascii="Book Antiqua" w:hAnsi="Book Antiqua"/>
                <w:b/>
                <w:sz w:val="20"/>
              </w:rPr>
            </w:pPr>
            <w:r w:rsidRPr="005E1093">
              <w:rPr>
                <w:rFonts w:ascii="Book Antiqua" w:hAnsi="Book Antiqua"/>
                <w:b/>
                <w:sz w:val="20"/>
              </w:rPr>
              <w:t>2019</w:t>
            </w:r>
          </w:p>
        </w:tc>
        <w:tc>
          <w:tcPr>
            <w:tcW w:w="684" w:type="dxa"/>
          </w:tcPr>
          <w:p w14:paraId="1B96787D" w14:textId="77777777" w:rsidR="00313EFF" w:rsidRPr="005E1093" w:rsidRDefault="00313EFF" w:rsidP="0066676F">
            <w:pPr>
              <w:pStyle w:val="sub3"/>
              <w:keepNext/>
              <w:keepLines/>
              <w:spacing w:before="60" w:after="60" w:line="240" w:lineRule="auto"/>
              <w:ind w:firstLine="0"/>
              <w:jc w:val="right"/>
              <w:rPr>
                <w:rFonts w:ascii="Book Antiqua" w:hAnsi="Book Antiqua"/>
                <w:b/>
                <w:sz w:val="20"/>
              </w:rPr>
            </w:pPr>
            <w:r w:rsidRPr="005E1093">
              <w:rPr>
                <w:rFonts w:ascii="Book Antiqua" w:hAnsi="Book Antiqua"/>
                <w:b/>
                <w:sz w:val="20"/>
              </w:rPr>
              <w:t>2020</w:t>
            </w:r>
          </w:p>
        </w:tc>
        <w:tc>
          <w:tcPr>
            <w:tcW w:w="684" w:type="dxa"/>
          </w:tcPr>
          <w:p w14:paraId="76990888" w14:textId="77777777" w:rsidR="00313EFF" w:rsidRPr="005E1093" w:rsidRDefault="00313EFF" w:rsidP="0066676F">
            <w:pPr>
              <w:pStyle w:val="sub3"/>
              <w:keepNext/>
              <w:keepLines/>
              <w:spacing w:before="60" w:after="60" w:line="240" w:lineRule="auto"/>
              <w:ind w:firstLine="0"/>
              <w:jc w:val="right"/>
              <w:rPr>
                <w:rFonts w:ascii="Book Antiqua" w:hAnsi="Book Antiqua"/>
                <w:b/>
                <w:sz w:val="20"/>
              </w:rPr>
            </w:pPr>
            <w:r w:rsidRPr="005E1093">
              <w:rPr>
                <w:rFonts w:ascii="Book Antiqua" w:hAnsi="Book Antiqua"/>
                <w:b/>
                <w:sz w:val="20"/>
              </w:rPr>
              <w:t>2021</w:t>
            </w:r>
          </w:p>
        </w:tc>
        <w:tc>
          <w:tcPr>
            <w:tcW w:w="684" w:type="dxa"/>
          </w:tcPr>
          <w:p w14:paraId="67E9414A" w14:textId="77777777" w:rsidR="00313EFF" w:rsidRPr="005E1093" w:rsidRDefault="00313EFF" w:rsidP="0066676F">
            <w:pPr>
              <w:pStyle w:val="sub3"/>
              <w:keepNext/>
              <w:keepLines/>
              <w:spacing w:before="60" w:after="60" w:line="240" w:lineRule="auto"/>
              <w:ind w:firstLine="0"/>
              <w:jc w:val="right"/>
              <w:rPr>
                <w:rFonts w:ascii="Book Antiqua" w:hAnsi="Book Antiqua"/>
                <w:b/>
                <w:sz w:val="20"/>
              </w:rPr>
            </w:pPr>
            <w:r w:rsidRPr="005E1093">
              <w:rPr>
                <w:rFonts w:ascii="Book Antiqua" w:hAnsi="Book Antiqua"/>
                <w:b/>
                <w:sz w:val="20"/>
              </w:rPr>
              <w:t>2022</w:t>
            </w:r>
          </w:p>
        </w:tc>
        <w:tc>
          <w:tcPr>
            <w:tcW w:w="684" w:type="dxa"/>
          </w:tcPr>
          <w:p w14:paraId="7A7AA5B2" w14:textId="77777777" w:rsidR="00313EFF" w:rsidRPr="005E1093" w:rsidRDefault="00313EFF" w:rsidP="0066676F">
            <w:pPr>
              <w:pStyle w:val="sub3"/>
              <w:keepNext/>
              <w:keepLines/>
              <w:spacing w:before="60" w:after="60" w:line="240" w:lineRule="auto"/>
              <w:ind w:firstLine="0"/>
              <w:jc w:val="right"/>
              <w:rPr>
                <w:rFonts w:ascii="Book Antiqua" w:hAnsi="Book Antiqua"/>
                <w:b/>
                <w:sz w:val="20"/>
              </w:rPr>
            </w:pPr>
            <w:r w:rsidRPr="005E1093">
              <w:rPr>
                <w:rFonts w:ascii="Book Antiqua" w:hAnsi="Book Antiqua"/>
                <w:b/>
                <w:sz w:val="20"/>
              </w:rPr>
              <w:t>2023</w:t>
            </w:r>
          </w:p>
        </w:tc>
        <w:tc>
          <w:tcPr>
            <w:tcW w:w="684" w:type="dxa"/>
          </w:tcPr>
          <w:p w14:paraId="4E339A7E" w14:textId="77777777" w:rsidR="00313EFF" w:rsidRPr="005E1093" w:rsidRDefault="00313EFF" w:rsidP="0066676F">
            <w:pPr>
              <w:pStyle w:val="sub3"/>
              <w:keepNext/>
              <w:keepLines/>
              <w:spacing w:before="60" w:after="60" w:line="240" w:lineRule="auto"/>
              <w:ind w:firstLine="0"/>
              <w:jc w:val="right"/>
              <w:rPr>
                <w:rFonts w:ascii="Book Antiqua" w:hAnsi="Book Antiqua"/>
                <w:b/>
                <w:sz w:val="20"/>
              </w:rPr>
            </w:pPr>
            <w:r w:rsidRPr="005E1093">
              <w:rPr>
                <w:rFonts w:ascii="Book Antiqua" w:hAnsi="Book Antiqua"/>
                <w:b/>
                <w:sz w:val="20"/>
              </w:rPr>
              <w:t>2024</w:t>
            </w:r>
          </w:p>
        </w:tc>
        <w:tc>
          <w:tcPr>
            <w:tcW w:w="684" w:type="dxa"/>
          </w:tcPr>
          <w:p w14:paraId="2CBAC54B" w14:textId="77777777" w:rsidR="00313EFF" w:rsidRPr="005E1093" w:rsidRDefault="00313EFF" w:rsidP="0066676F">
            <w:pPr>
              <w:pStyle w:val="sub3"/>
              <w:keepNext/>
              <w:keepLines/>
              <w:spacing w:before="60" w:after="60" w:line="240" w:lineRule="auto"/>
              <w:ind w:firstLine="0"/>
              <w:jc w:val="right"/>
              <w:rPr>
                <w:rFonts w:ascii="Book Antiqua" w:hAnsi="Book Antiqua"/>
                <w:b/>
                <w:sz w:val="20"/>
              </w:rPr>
            </w:pPr>
            <w:r w:rsidRPr="005E1093">
              <w:rPr>
                <w:rFonts w:ascii="Book Antiqua" w:hAnsi="Book Antiqua"/>
                <w:b/>
                <w:sz w:val="20"/>
              </w:rPr>
              <w:t>2025</w:t>
            </w:r>
          </w:p>
        </w:tc>
        <w:tc>
          <w:tcPr>
            <w:tcW w:w="684" w:type="dxa"/>
          </w:tcPr>
          <w:p w14:paraId="142F88D8" w14:textId="77777777" w:rsidR="00313EFF" w:rsidRPr="005E1093" w:rsidRDefault="00313EFF" w:rsidP="0066676F">
            <w:pPr>
              <w:pStyle w:val="sub3"/>
              <w:keepNext/>
              <w:keepLines/>
              <w:spacing w:before="60" w:after="60" w:line="240" w:lineRule="auto"/>
              <w:ind w:firstLine="0"/>
              <w:jc w:val="right"/>
              <w:rPr>
                <w:rFonts w:ascii="Book Antiqua" w:hAnsi="Book Antiqua"/>
                <w:b/>
                <w:sz w:val="20"/>
              </w:rPr>
            </w:pPr>
            <w:r w:rsidRPr="005E1093">
              <w:rPr>
                <w:rFonts w:ascii="Book Antiqua" w:hAnsi="Book Antiqua"/>
                <w:b/>
                <w:sz w:val="20"/>
              </w:rPr>
              <w:t>2026</w:t>
            </w:r>
          </w:p>
        </w:tc>
        <w:tc>
          <w:tcPr>
            <w:tcW w:w="684" w:type="dxa"/>
          </w:tcPr>
          <w:p w14:paraId="7EA17B97" w14:textId="77777777" w:rsidR="00313EFF" w:rsidRPr="005E1093" w:rsidRDefault="00313EFF" w:rsidP="0066676F">
            <w:pPr>
              <w:pStyle w:val="sub3"/>
              <w:keepNext/>
              <w:keepLines/>
              <w:spacing w:before="60" w:after="60" w:line="240" w:lineRule="auto"/>
              <w:ind w:firstLine="0"/>
              <w:jc w:val="right"/>
              <w:rPr>
                <w:rFonts w:ascii="Book Antiqua" w:hAnsi="Book Antiqua"/>
                <w:b/>
                <w:sz w:val="20"/>
              </w:rPr>
            </w:pPr>
            <w:r w:rsidRPr="005E1093">
              <w:rPr>
                <w:rFonts w:ascii="Book Antiqua" w:hAnsi="Book Antiqua"/>
                <w:b/>
                <w:sz w:val="20"/>
              </w:rPr>
              <w:t>2027</w:t>
            </w:r>
          </w:p>
        </w:tc>
        <w:tc>
          <w:tcPr>
            <w:tcW w:w="684" w:type="dxa"/>
          </w:tcPr>
          <w:p w14:paraId="140F47BE" w14:textId="77777777" w:rsidR="00313EFF" w:rsidRPr="005E1093" w:rsidRDefault="00313EFF" w:rsidP="0066676F">
            <w:pPr>
              <w:pStyle w:val="sub3"/>
              <w:keepNext/>
              <w:keepLines/>
              <w:spacing w:before="60" w:after="60" w:line="240" w:lineRule="auto"/>
              <w:ind w:firstLine="0"/>
              <w:jc w:val="right"/>
              <w:rPr>
                <w:rFonts w:ascii="Book Antiqua" w:hAnsi="Book Antiqua"/>
                <w:b/>
                <w:sz w:val="20"/>
              </w:rPr>
            </w:pPr>
            <w:r w:rsidRPr="005E1093">
              <w:rPr>
                <w:rFonts w:ascii="Book Antiqua" w:hAnsi="Book Antiqua"/>
                <w:b/>
                <w:sz w:val="20"/>
              </w:rPr>
              <w:t>2028</w:t>
            </w:r>
          </w:p>
        </w:tc>
        <w:tc>
          <w:tcPr>
            <w:tcW w:w="684" w:type="dxa"/>
          </w:tcPr>
          <w:p w14:paraId="29400F7A" w14:textId="77777777" w:rsidR="00313EFF" w:rsidRPr="005E1093" w:rsidRDefault="00313EFF" w:rsidP="0066676F">
            <w:pPr>
              <w:pStyle w:val="sub3"/>
              <w:keepNext/>
              <w:keepLines/>
              <w:spacing w:before="60" w:after="60" w:line="240" w:lineRule="auto"/>
              <w:ind w:firstLine="0"/>
              <w:jc w:val="right"/>
              <w:rPr>
                <w:rFonts w:ascii="Book Antiqua" w:hAnsi="Book Antiqua"/>
                <w:b/>
                <w:sz w:val="20"/>
              </w:rPr>
            </w:pPr>
            <w:r w:rsidRPr="005E1093">
              <w:rPr>
                <w:rFonts w:ascii="Book Antiqua" w:hAnsi="Book Antiqua"/>
                <w:b/>
                <w:sz w:val="20"/>
              </w:rPr>
              <w:t>2029</w:t>
            </w:r>
          </w:p>
        </w:tc>
        <w:tc>
          <w:tcPr>
            <w:tcW w:w="684" w:type="dxa"/>
          </w:tcPr>
          <w:p w14:paraId="199E91CA" w14:textId="77777777" w:rsidR="00313EFF" w:rsidRPr="005E1093" w:rsidRDefault="00313EFF" w:rsidP="0066676F">
            <w:pPr>
              <w:pStyle w:val="sub3"/>
              <w:keepNext/>
              <w:keepLines/>
              <w:spacing w:before="60" w:after="60" w:line="240" w:lineRule="auto"/>
              <w:ind w:firstLine="0"/>
              <w:jc w:val="right"/>
              <w:rPr>
                <w:rFonts w:ascii="Book Antiqua" w:hAnsi="Book Antiqua"/>
                <w:b/>
                <w:sz w:val="20"/>
              </w:rPr>
            </w:pPr>
            <w:r w:rsidRPr="005E1093">
              <w:rPr>
                <w:rFonts w:ascii="Book Antiqua" w:hAnsi="Book Antiqua"/>
                <w:b/>
                <w:sz w:val="20"/>
              </w:rPr>
              <w:t>2030</w:t>
            </w:r>
          </w:p>
        </w:tc>
      </w:tr>
      <w:tr w:rsidR="00313EFF" w:rsidRPr="005E1093" w14:paraId="0D493C68" w14:textId="77777777" w:rsidTr="00313EFF">
        <w:tc>
          <w:tcPr>
            <w:tcW w:w="1615" w:type="dxa"/>
          </w:tcPr>
          <w:p w14:paraId="3BAD51FC" w14:textId="77777777" w:rsidR="00313EFF" w:rsidRPr="005E1093" w:rsidRDefault="00313EFF" w:rsidP="0066676F">
            <w:pPr>
              <w:pStyle w:val="sub3"/>
              <w:keepNext/>
              <w:keepLines/>
              <w:spacing w:before="60" w:after="60" w:line="240" w:lineRule="auto"/>
              <w:ind w:firstLine="0"/>
              <w:rPr>
                <w:rFonts w:ascii="Book Antiqua" w:hAnsi="Book Antiqua"/>
                <w:sz w:val="20"/>
              </w:rPr>
            </w:pPr>
            <w:r w:rsidRPr="005E1093">
              <w:rPr>
                <w:rFonts w:ascii="Book Antiqua" w:hAnsi="Book Antiqua"/>
                <w:sz w:val="20"/>
              </w:rPr>
              <w:t>Combined Cycle</w:t>
            </w:r>
          </w:p>
        </w:tc>
        <w:tc>
          <w:tcPr>
            <w:tcW w:w="720" w:type="dxa"/>
          </w:tcPr>
          <w:p w14:paraId="032F1448" w14:textId="77777777" w:rsidR="00313EFF" w:rsidRPr="005E1093" w:rsidRDefault="00313EFF" w:rsidP="0066676F">
            <w:pPr>
              <w:pStyle w:val="sub3"/>
              <w:keepNext/>
              <w:keepLines/>
              <w:spacing w:before="60" w:after="60" w:line="240" w:lineRule="auto"/>
              <w:ind w:firstLine="0"/>
              <w:jc w:val="right"/>
              <w:rPr>
                <w:rFonts w:ascii="Book Antiqua" w:hAnsi="Book Antiqua"/>
                <w:sz w:val="20"/>
              </w:rPr>
            </w:pPr>
            <w:r w:rsidRPr="005E1093">
              <w:rPr>
                <w:rFonts w:ascii="Book Antiqua" w:hAnsi="Book Antiqua"/>
                <w:sz w:val="20"/>
              </w:rPr>
              <w:t>48%</w:t>
            </w:r>
          </w:p>
        </w:tc>
        <w:tc>
          <w:tcPr>
            <w:tcW w:w="684" w:type="dxa"/>
          </w:tcPr>
          <w:p w14:paraId="4029B891" w14:textId="77777777" w:rsidR="00313EFF" w:rsidRPr="005E1093" w:rsidRDefault="00313EFF" w:rsidP="0066676F">
            <w:pPr>
              <w:pStyle w:val="sub3"/>
              <w:keepNext/>
              <w:keepLines/>
              <w:spacing w:before="60" w:after="60" w:line="240" w:lineRule="auto"/>
              <w:ind w:firstLine="0"/>
              <w:jc w:val="right"/>
              <w:rPr>
                <w:rFonts w:ascii="Book Antiqua" w:hAnsi="Book Antiqua"/>
                <w:sz w:val="20"/>
              </w:rPr>
            </w:pPr>
            <w:r w:rsidRPr="005E1093">
              <w:rPr>
                <w:rFonts w:ascii="Book Antiqua" w:hAnsi="Book Antiqua"/>
                <w:sz w:val="20"/>
              </w:rPr>
              <w:t>47%</w:t>
            </w:r>
          </w:p>
        </w:tc>
        <w:tc>
          <w:tcPr>
            <w:tcW w:w="684" w:type="dxa"/>
          </w:tcPr>
          <w:p w14:paraId="1B9A652D" w14:textId="77777777" w:rsidR="00313EFF" w:rsidRPr="005E1093" w:rsidRDefault="00313EFF" w:rsidP="0066676F">
            <w:pPr>
              <w:pStyle w:val="sub3"/>
              <w:keepNext/>
              <w:keepLines/>
              <w:spacing w:before="60" w:after="60" w:line="240" w:lineRule="auto"/>
              <w:ind w:firstLine="0"/>
              <w:jc w:val="right"/>
              <w:rPr>
                <w:rFonts w:ascii="Book Antiqua" w:hAnsi="Book Antiqua"/>
                <w:sz w:val="20"/>
              </w:rPr>
            </w:pPr>
            <w:r w:rsidRPr="005E1093">
              <w:rPr>
                <w:rFonts w:ascii="Book Antiqua" w:hAnsi="Book Antiqua"/>
                <w:sz w:val="20"/>
              </w:rPr>
              <w:t>43%</w:t>
            </w:r>
          </w:p>
        </w:tc>
        <w:tc>
          <w:tcPr>
            <w:tcW w:w="684" w:type="dxa"/>
          </w:tcPr>
          <w:p w14:paraId="0D28394E" w14:textId="77777777" w:rsidR="00313EFF" w:rsidRPr="005E1093" w:rsidRDefault="00313EFF" w:rsidP="0066676F">
            <w:pPr>
              <w:pStyle w:val="sub3"/>
              <w:keepNext/>
              <w:keepLines/>
              <w:spacing w:before="60" w:after="60" w:line="240" w:lineRule="auto"/>
              <w:ind w:firstLine="0"/>
              <w:jc w:val="right"/>
              <w:rPr>
                <w:rFonts w:ascii="Book Antiqua" w:hAnsi="Book Antiqua"/>
                <w:sz w:val="20"/>
              </w:rPr>
            </w:pPr>
            <w:r w:rsidRPr="005E1093">
              <w:rPr>
                <w:rFonts w:ascii="Book Antiqua" w:hAnsi="Book Antiqua"/>
                <w:sz w:val="20"/>
              </w:rPr>
              <w:t>41%</w:t>
            </w:r>
          </w:p>
        </w:tc>
        <w:tc>
          <w:tcPr>
            <w:tcW w:w="684" w:type="dxa"/>
          </w:tcPr>
          <w:p w14:paraId="5B2B2386" w14:textId="77777777" w:rsidR="00313EFF" w:rsidRPr="005E1093" w:rsidRDefault="00313EFF" w:rsidP="0066676F">
            <w:pPr>
              <w:pStyle w:val="sub3"/>
              <w:keepNext/>
              <w:keepLines/>
              <w:spacing w:before="60" w:after="60" w:line="240" w:lineRule="auto"/>
              <w:ind w:firstLine="0"/>
              <w:jc w:val="right"/>
              <w:rPr>
                <w:rFonts w:ascii="Book Antiqua" w:hAnsi="Book Antiqua"/>
                <w:sz w:val="20"/>
              </w:rPr>
            </w:pPr>
            <w:r w:rsidRPr="005E1093">
              <w:rPr>
                <w:rFonts w:ascii="Book Antiqua" w:hAnsi="Book Antiqua"/>
                <w:sz w:val="20"/>
              </w:rPr>
              <w:t>36%</w:t>
            </w:r>
          </w:p>
        </w:tc>
        <w:tc>
          <w:tcPr>
            <w:tcW w:w="684" w:type="dxa"/>
          </w:tcPr>
          <w:p w14:paraId="20FEC2BE" w14:textId="77777777" w:rsidR="00313EFF" w:rsidRPr="005E1093" w:rsidRDefault="00313EFF" w:rsidP="0066676F">
            <w:pPr>
              <w:pStyle w:val="sub3"/>
              <w:keepNext/>
              <w:keepLines/>
              <w:spacing w:before="60" w:after="60" w:line="240" w:lineRule="auto"/>
              <w:ind w:firstLine="0"/>
              <w:jc w:val="right"/>
              <w:rPr>
                <w:rFonts w:ascii="Book Antiqua" w:hAnsi="Book Antiqua"/>
                <w:sz w:val="20"/>
              </w:rPr>
            </w:pPr>
            <w:r w:rsidRPr="005E1093">
              <w:rPr>
                <w:rFonts w:ascii="Book Antiqua" w:hAnsi="Book Antiqua"/>
                <w:sz w:val="20"/>
              </w:rPr>
              <w:t>32%</w:t>
            </w:r>
          </w:p>
        </w:tc>
        <w:tc>
          <w:tcPr>
            <w:tcW w:w="684" w:type="dxa"/>
          </w:tcPr>
          <w:p w14:paraId="6881BE8D" w14:textId="77777777" w:rsidR="00313EFF" w:rsidRPr="005E1093" w:rsidRDefault="00313EFF" w:rsidP="0066676F">
            <w:pPr>
              <w:pStyle w:val="sub3"/>
              <w:keepNext/>
              <w:keepLines/>
              <w:spacing w:before="60" w:after="60" w:line="240" w:lineRule="auto"/>
              <w:ind w:firstLine="0"/>
              <w:jc w:val="right"/>
              <w:rPr>
                <w:rFonts w:ascii="Book Antiqua" w:hAnsi="Book Antiqua"/>
                <w:sz w:val="20"/>
              </w:rPr>
            </w:pPr>
            <w:r w:rsidRPr="005E1093">
              <w:rPr>
                <w:rFonts w:ascii="Book Antiqua" w:hAnsi="Book Antiqua"/>
                <w:sz w:val="20"/>
              </w:rPr>
              <w:t>32%</w:t>
            </w:r>
          </w:p>
        </w:tc>
        <w:tc>
          <w:tcPr>
            <w:tcW w:w="684" w:type="dxa"/>
          </w:tcPr>
          <w:p w14:paraId="547804A8" w14:textId="77777777" w:rsidR="00313EFF" w:rsidRPr="005E1093" w:rsidRDefault="00313EFF" w:rsidP="0066676F">
            <w:pPr>
              <w:pStyle w:val="sub3"/>
              <w:keepNext/>
              <w:keepLines/>
              <w:spacing w:before="60" w:after="60" w:line="240" w:lineRule="auto"/>
              <w:ind w:firstLine="0"/>
              <w:jc w:val="right"/>
              <w:rPr>
                <w:rFonts w:ascii="Book Antiqua" w:hAnsi="Book Antiqua"/>
                <w:sz w:val="20"/>
              </w:rPr>
            </w:pPr>
            <w:r w:rsidRPr="005E1093">
              <w:rPr>
                <w:rFonts w:ascii="Book Antiqua" w:hAnsi="Book Antiqua"/>
                <w:sz w:val="20"/>
              </w:rPr>
              <w:t>32%</w:t>
            </w:r>
          </w:p>
        </w:tc>
        <w:tc>
          <w:tcPr>
            <w:tcW w:w="684" w:type="dxa"/>
          </w:tcPr>
          <w:p w14:paraId="1B578E47" w14:textId="77777777" w:rsidR="00313EFF" w:rsidRPr="005E1093" w:rsidRDefault="00313EFF" w:rsidP="0066676F">
            <w:pPr>
              <w:pStyle w:val="sub3"/>
              <w:keepNext/>
              <w:keepLines/>
              <w:spacing w:before="60" w:after="60" w:line="240" w:lineRule="auto"/>
              <w:ind w:firstLine="0"/>
              <w:jc w:val="right"/>
              <w:rPr>
                <w:rFonts w:ascii="Book Antiqua" w:hAnsi="Book Antiqua"/>
                <w:sz w:val="20"/>
              </w:rPr>
            </w:pPr>
            <w:r w:rsidRPr="005E1093">
              <w:rPr>
                <w:rFonts w:ascii="Book Antiqua" w:hAnsi="Book Antiqua"/>
                <w:sz w:val="20"/>
              </w:rPr>
              <w:t>32%</w:t>
            </w:r>
          </w:p>
        </w:tc>
        <w:tc>
          <w:tcPr>
            <w:tcW w:w="684" w:type="dxa"/>
          </w:tcPr>
          <w:p w14:paraId="08FA0D31" w14:textId="77777777" w:rsidR="00313EFF" w:rsidRPr="005E1093" w:rsidRDefault="00313EFF" w:rsidP="0066676F">
            <w:pPr>
              <w:pStyle w:val="sub3"/>
              <w:keepNext/>
              <w:keepLines/>
              <w:spacing w:before="60" w:after="60" w:line="240" w:lineRule="auto"/>
              <w:ind w:firstLine="0"/>
              <w:jc w:val="right"/>
              <w:rPr>
                <w:rFonts w:ascii="Book Antiqua" w:hAnsi="Book Antiqua"/>
                <w:sz w:val="20"/>
              </w:rPr>
            </w:pPr>
            <w:r w:rsidRPr="005E1093">
              <w:rPr>
                <w:rFonts w:ascii="Book Antiqua" w:hAnsi="Book Antiqua"/>
                <w:sz w:val="20"/>
              </w:rPr>
              <w:t>32%</w:t>
            </w:r>
          </w:p>
        </w:tc>
        <w:tc>
          <w:tcPr>
            <w:tcW w:w="684" w:type="dxa"/>
          </w:tcPr>
          <w:p w14:paraId="7BD8CAA4" w14:textId="77777777" w:rsidR="00313EFF" w:rsidRPr="005E1093" w:rsidRDefault="00313EFF" w:rsidP="0066676F">
            <w:pPr>
              <w:pStyle w:val="sub3"/>
              <w:keepNext/>
              <w:keepLines/>
              <w:spacing w:before="60" w:after="60" w:line="240" w:lineRule="auto"/>
              <w:ind w:firstLine="0"/>
              <w:jc w:val="right"/>
              <w:rPr>
                <w:rFonts w:ascii="Book Antiqua" w:hAnsi="Book Antiqua"/>
                <w:sz w:val="20"/>
              </w:rPr>
            </w:pPr>
            <w:r w:rsidRPr="005E1093">
              <w:rPr>
                <w:rFonts w:ascii="Book Antiqua" w:hAnsi="Book Antiqua"/>
                <w:sz w:val="20"/>
              </w:rPr>
              <w:t>32%</w:t>
            </w:r>
          </w:p>
        </w:tc>
        <w:tc>
          <w:tcPr>
            <w:tcW w:w="684" w:type="dxa"/>
          </w:tcPr>
          <w:p w14:paraId="46E2FE79" w14:textId="77777777" w:rsidR="00313EFF" w:rsidRPr="005E1093" w:rsidRDefault="00313EFF" w:rsidP="0066676F">
            <w:pPr>
              <w:pStyle w:val="sub3"/>
              <w:keepNext/>
              <w:keepLines/>
              <w:spacing w:before="60" w:after="60" w:line="240" w:lineRule="auto"/>
              <w:ind w:firstLine="0"/>
              <w:jc w:val="right"/>
              <w:rPr>
                <w:rFonts w:ascii="Book Antiqua" w:hAnsi="Book Antiqua"/>
                <w:sz w:val="20"/>
              </w:rPr>
            </w:pPr>
            <w:r w:rsidRPr="005E1093">
              <w:rPr>
                <w:rFonts w:ascii="Book Antiqua" w:hAnsi="Book Antiqua"/>
                <w:sz w:val="20"/>
              </w:rPr>
              <w:t>32%</w:t>
            </w:r>
          </w:p>
        </w:tc>
      </w:tr>
      <w:tr w:rsidR="00313EFF" w:rsidRPr="005E1093" w14:paraId="10CF7D7D" w14:textId="77777777" w:rsidTr="00313EFF">
        <w:tc>
          <w:tcPr>
            <w:tcW w:w="1615" w:type="dxa"/>
          </w:tcPr>
          <w:p w14:paraId="4D9F0A18" w14:textId="77777777" w:rsidR="00313EFF" w:rsidRPr="005E1093" w:rsidRDefault="00313EFF" w:rsidP="005E1093">
            <w:pPr>
              <w:pStyle w:val="sub3"/>
              <w:spacing w:before="60" w:after="60" w:line="240" w:lineRule="auto"/>
              <w:ind w:firstLine="0"/>
              <w:rPr>
                <w:rFonts w:ascii="Book Antiqua" w:hAnsi="Book Antiqua"/>
                <w:sz w:val="20"/>
              </w:rPr>
            </w:pPr>
            <w:r w:rsidRPr="005E1093">
              <w:rPr>
                <w:rFonts w:ascii="Book Antiqua" w:hAnsi="Book Antiqua"/>
                <w:sz w:val="20"/>
              </w:rPr>
              <w:t>Combustion Turbine</w:t>
            </w:r>
          </w:p>
        </w:tc>
        <w:tc>
          <w:tcPr>
            <w:tcW w:w="720" w:type="dxa"/>
          </w:tcPr>
          <w:p w14:paraId="695309EA"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67%</w:t>
            </w:r>
          </w:p>
        </w:tc>
        <w:tc>
          <w:tcPr>
            <w:tcW w:w="684" w:type="dxa"/>
          </w:tcPr>
          <w:p w14:paraId="31B055F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62%</w:t>
            </w:r>
          </w:p>
        </w:tc>
        <w:tc>
          <w:tcPr>
            <w:tcW w:w="684" w:type="dxa"/>
          </w:tcPr>
          <w:p w14:paraId="54DF87A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60%</w:t>
            </w:r>
          </w:p>
        </w:tc>
        <w:tc>
          <w:tcPr>
            <w:tcW w:w="684" w:type="dxa"/>
          </w:tcPr>
          <w:p w14:paraId="1E64DD9A"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52%</w:t>
            </w:r>
          </w:p>
        </w:tc>
        <w:tc>
          <w:tcPr>
            <w:tcW w:w="684" w:type="dxa"/>
          </w:tcPr>
          <w:p w14:paraId="1E962A0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25%</w:t>
            </w:r>
          </w:p>
        </w:tc>
        <w:tc>
          <w:tcPr>
            <w:tcW w:w="684" w:type="dxa"/>
          </w:tcPr>
          <w:p w14:paraId="01D7E4AE"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24%</w:t>
            </w:r>
          </w:p>
        </w:tc>
        <w:tc>
          <w:tcPr>
            <w:tcW w:w="684" w:type="dxa"/>
          </w:tcPr>
          <w:p w14:paraId="526CA447"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24%</w:t>
            </w:r>
          </w:p>
        </w:tc>
        <w:tc>
          <w:tcPr>
            <w:tcW w:w="684" w:type="dxa"/>
          </w:tcPr>
          <w:p w14:paraId="2CE7130F"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24%</w:t>
            </w:r>
          </w:p>
        </w:tc>
        <w:tc>
          <w:tcPr>
            <w:tcW w:w="684" w:type="dxa"/>
          </w:tcPr>
          <w:p w14:paraId="37D2FA12"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23%</w:t>
            </w:r>
          </w:p>
        </w:tc>
        <w:tc>
          <w:tcPr>
            <w:tcW w:w="684" w:type="dxa"/>
          </w:tcPr>
          <w:p w14:paraId="33D0534A"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23%</w:t>
            </w:r>
          </w:p>
        </w:tc>
        <w:tc>
          <w:tcPr>
            <w:tcW w:w="684" w:type="dxa"/>
          </w:tcPr>
          <w:p w14:paraId="5A18140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18%</w:t>
            </w:r>
          </w:p>
        </w:tc>
        <w:tc>
          <w:tcPr>
            <w:tcW w:w="684" w:type="dxa"/>
          </w:tcPr>
          <w:p w14:paraId="68C60C37"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18%</w:t>
            </w:r>
          </w:p>
        </w:tc>
      </w:tr>
      <w:tr w:rsidR="00313EFF" w:rsidRPr="005E1093" w14:paraId="5EFD7CC8" w14:textId="77777777" w:rsidTr="00313EFF">
        <w:tc>
          <w:tcPr>
            <w:tcW w:w="1615" w:type="dxa"/>
          </w:tcPr>
          <w:p w14:paraId="030DE048" w14:textId="77777777" w:rsidR="00313EFF" w:rsidRPr="005E1093" w:rsidRDefault="00313EFF" w:rsidP="005E1093">
            <w:pPr>
              <w:pStyle w:val="sub3"/>
              <w:spacing w:before="60" w:after="60" w:line="240" w:lineRule="auto"/>
              <w:ind w:firstLine="0"/>
              <w:rPr>
                <w:rFonts w:ascii="Book Antiqua" w:hAnsi="Book Antiqua"/>
                <w:sz w:val="20"/>
              </w:rPr>
            </w:pPr>
            <w:r w:rsidRPr="005E1093">
              <w:rPr>
                <w:rFonts w:ascii="Book Antiqua" w:hAnsi="Book Antiqua"/>
                <w:sz w:val="20"/>
              </w:rPr>
              <w:t>Cogeneration</w:t>
            </w:r>
          </w:p>
        </w:tc>
        <w:tc>
          <w:tcPr>
            <w:tcW w:w="720" w:type="dxa"/>
          </w:tcPr>
          <w:p w14:paraId="4661E2A7"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96%</w:t>
            </w:r>
          </w:p>
        </w:tc>
        <w:tc>
          <w:tcPr>
            <w:tcW w:w="684" w:type="dxa"/>
          </w:tcPr>
          <w:p w14:paraId="3440F8D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87%</w:t>
            </w:r>
          </w:p>
        </w:tc>
        <w:tc>
          <w:tcPr>
            <w:tcW w:w="684" w:type="dxa"/>
          </w:tcPr>
          <w:p w14:paraId="3B97F8BF"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57%</w:t>
            </w:r>
          </w:p>
        </w:tc>
        <w:tc>
          <w:tcPr>
            <w:tcW w:w="684" w:type="dxa"/>
          </w:tcPr>
          <w:p w14:paraId="502E95A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47%</w:t>
            </w:r>
          </w:p>
        </w:tc>
        <w:tc>
          <w:tcPr>
            <w:tcW w:w="684" w:type="dxa"/>
          </w:tcPr>
          <w:p w14:paraId="262FC81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121CCCF7"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25%</w:t>
            </w:r>
          </w:p>
        </w:tc>
        <w:tc>
          <w:tcPr>
            <w:tcW w:w="684" w:type="dxa"/>
          </w:tcPr>
          <w:p w14:paraId="75EFDDB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20%</w:t>
            </w:r>
          </w:p>
        </w:tc>
        <w:tc>
          <w:tcPr>
            <w:tcW w:w="684" w:type="dxa"/>
          </w:tcPr>
          <w:p w14:paraId="0E18D7D3"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20%</w:t>
            </w:r>
          </w:p>
        </w:tc>
        <w:tc>
          <w:tcPr>
            <w:tcW w:w="684" w:type="dxa"/>
          </w:tcPr>
          <w:p w14:paraId="6A1C6B54"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11%</w:t>
            </w:r>
          </w:p>
        </w:tc>
        <w:tc>
          <w:tcPr>
            <w:tcW w:w="684" w:type="dxa"/>
          </w:tcPr>
          <w:p w14:paraId="5F4E5FC3"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11%</w:t>
            </w:r>
          </w:p>
        </w:tc>
        <w:tc>
          <w:tcPr>
            <w:tcW w:w="684" w:type="dxa"/>
          </w:tcPr>
          <w:p w14:paraId="5CBCAB68"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11%</w:t>
            </w:r>
          </w:p>
        </w:tc>
        <w:tc>
          <w:tcPr>
            <w:tcW w:w="684" w:type="dxa"/>
          </w:tcPr>
          <w:p w14:paraId="4D08A06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11%</w:t>
            </w:r>
          </w:p>
        </w:tc>
      </w:tr>
      <w:tr w:rsidR="00313EFF" w:rsidRPr="005E1093" w14:paraId="37D8CC6B" w14:textId="77777777" w:rsidTr="00313EFF">
        <w:tc>
          <w:tcPr>
            <w:tcW w:w="1615" w:type="dxa"/>
          </w:tcPr>
          <w:p w14:paraId="3DA8F2CD" w14:textId="77777777" w:rsidR="00313EFF" w:rsidRPr="005E1093" w:rsidRDefault="00313EFF" w:rsidP="005E1093">
            <w:pPr>
              <w:pStyle w:val="sub3"/>
              <w:spacing w:before="60" w:after="60" w:line="240" w:lineRule="auto"/>
              <w:ind w:firstLine="0"/>
              <w:rPr>
                <w:rFonts w:ascii="Book Antiqua" w:hAnsi="Book Antiqua"/>
                <w:sz w:val="20"/>
              </w:rPr>
            </w:pPr>
            <w:r w:rsidRPr="005E1093">
              <w:rPr>
                <w:rFonts w:ascii="Book Antiqua" w:hAnsi="Book Antiqua"/>
                <w:sz w:val="20"/>
              </w:rPr>
              <w:t>Internal Combustion Engine</w:t>
            </w:r>
          </w:p>
        </w:tc>
        <w:tc>
          <w:tcPr>
            <w:tcW w:w="720" w:type="dxa"/>
          </w:tcPr>
          <w:p w14:paraId="15777CC4"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23FA19F6"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4CC2B308"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645B0A6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13AA083A"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7D0A5C8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118BACF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36781D9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3913B56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4422BC7B"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03A59DE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03A6FA3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r>
      <w:tr w:rsidR="00313EFF" w:rsidRPr="005E1093" w14:paraId="4C31A15D" w14:textId="77777777" w:rsidTr="00313EFF">
        <w:tc>
          <w:tcPr>
            <w:tcW w:w="1615" w:type="dxa"/>
          </w:tcPr>
          <w:p w14:paraId="1326FB91" w14:textId="77777777" w:rsidR="00313EFF" w:rsidRPr="005E1093" w:rsidRDefault="00313EFF" w:rsidP="005E1093">
            <w:pPr>
              <w:pStyle w:val="sub3"/>
              <w:spacing w:before="60" w:after="60" w:line="240" w:lineRule="auto"/>
              <w:ind w:firstLine="0"/>
              <w:rPr>
                <w:rFonts w:ascii="Book Antiqua" w:hAnsi="Book Antiqua"/>
                <w:sz w:val="20"/>
              </w:rPr>
            </w:pPr>
            <w:r w:rsidRPr="005E1093">
              <w:rPr>
                <w:rFonts w:ascii="Book Antiqua" w:hAnsi="Book Antiqua"/>
                <w:sz w:val="20"/>
              </w:rPr>
              <w:t>Steam</w:t>
            </w:r>
          </w:p>
        </w:tc>
        <w:tc>
          <w:tcPr>
            <w:tcW w:w="720" w:type="dxa"/>
          </w:tcPr>
          <w:p w14:paraId="598DA338"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w:t>
            </w:r>
          </w:p>
        </w:tc>
        <w:tc>
          <w:tcPr>
            <w:tcW w:w="684" w:type="dxa"/>
          </w:tcPr>
          <w:p w14:paraId="29BB885E"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3%</w:t>
            </w:r>
          </w:p>
        </w:tc>
        <w:tc>
          <w:tcPr>
            <w:tcW w:w="684" w:type="dxa"/>
          </w:tcPr>
          <w:p w14:paraId="1A6B3CA4"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16%</w:t>
            </w:r>
          </w:p>
        </w:tc>
        <w:tc>
          <w:tcPr>
            <w:tcW w:w="684" w:type="dxa"/>
          </w:tcPr>
          <w:p w14:paraId="1F0225CA"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16%</w:t>
            </w:r>
          </w:p>
        </w:tc>
        <w:tc>
          <w:tcPr>
            <w:tcW w:w="684" w:type="dxa"/>
          </w:tcPr>
          <w:p w14:paraId="3070716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16%</w:t>
            </w:r>
          </w:p>
        </w:tc>
        <w:tc>
          <w:tcPr>
            <w:tcW w:w="684" w:type="dxa"/>
          </w:tcPr>
          <w:p w14:paraId="64BC4188"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16%</w:t>
            </w:r>
          </w:p>
        </w:tc>
        <w:tc>
          <w:tcPr>
            <w:tcW w:w="684" w:type="dxa"/>
          </w:tcPr>
          <w:p w14:paraId="252ADD9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16%</w:t>
            </w:r>
          </w:p>
        </w:tc>
        <w:tc>
          <w:tcPr>
            <w:tcW w:w="684" w:type="dxa"/>
          </w:tcPr>
          <w:p w14:paraId="7882D160"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16%</w:t>
            </w:r>
          </w:p>
        </w:tc>
        <w:tc>
          <w:tcPr>
            <w:tcW w:w="684" w:type="dxa"/>
          </w:tcPr>
          <w:p w14:paraId="4DA73793"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0%</w:t>
            </w:r>
          </w:p>
        </w:tc>
        <w:tc>
          <w:tcPr>
            <w:tcW w:w="684" w:type="dxa"/>
          </w:tcPr>
          <w:p w14:paraId="230BEB3B"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0%</w:t>
            </w:r>
          </w:p>
        </w:tc>
        <w:tc>
          <w:tcPr>
            <w:tcW w:w="684" w:type="dxa"/>
          </w:tcPr>
          <w:p w14:paraId="1B4BEE5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0%</w:t>
            </w:r>
          </w:p>
        </w:tc>
        <w:tc>
          <w:tcPr>
            <w:tcW w:w="684" w:type="dxa"/>
          </w:tcPr>
          <w:p w14:paraId="4B02F9B0"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0%</w:t>
            </w:r>
          </w:p>
        </w:tc>
      </w:tr>
      <w:tr w:rsidR="00313EFF" w:rsidRPr="005E1093" w14:paraId="3627194E" w14:textId="77777777" w:rsidTr="00313EFF">
        <w:tc>
          <w:tcPr>
            <w:tcW w:w="1615" w:type="dxa"/>
          </w:tcPr>
          <w:p w14:paraId="2708511E" w14:textId="77777777" w:rsidR="00313EFF" w:rsidRPr="005E1093" w:rsidRDefault="00313EFF" w:rsidP="005E1093">
            <w:pPr>
              <w:pStyle w:val="sub3"/>
              <w:spacing w:before="60" w:after="60" w:line="240" w:lineRule="auto"/>
              <w:ind w:firstLine="0"/>
              <w:rPr>
                <w:rFonts w:ascii="Book Antiqua" w:hAnsi="Book Antiqua"/>
                <w:sz w:val="20"/>
              </w:rPr>
            </w:pPr>
            <w:r w:rsidRPr="005E1093">
              <w:rPr>
                <w:rFonts w:ascii="Book Antiqua" w:hAnsi="Book Antiqua"/>
                <w:sz w:val="20"/>
              </w:rPr>
              <w:t>Nuclear</w:t>
            </w:r>
          </w:p>
        </w:tc>
        <w:tc>
          <w:tcPr>
            <w:tcW w:w="720" w:type="dxa"/>
          </w:tcPr>
          <w:p w14:paraId="051CA7B2"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100%</w:t>
            </w:r>
          </w:p>
        </w:tc>
        <w:tc>
          <w:tcPr>
            <w:tcW w:w="684" w:type="dxa"/>
          </w:tcPr>
          <w:p w14:paraId="375A093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100%</w:t>
            </w:r>
          </w:p>
        </w:tc>
        <w:tc>
          <w:tcPr>
            <w:tcW w:w="684" w:type="dxa"/>
          </w:tcPr>
          <w:p w14:paraId="141F791E"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100%</w:t>
            </w:r>
          </w:p>
        </w:tc>
        <w:tc>
          <w:tcPr>
            <w:tcW w:w="684" w:type="dxa"/>
          </w:tcPr>
          <w:p w14:paraId="16761EFC"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100%</w:t>
            </w:r>
          </w:p>
        </w:tc>
        <w:tc>
          <w:tcPr>
            <w:tcW w:w="684" w:type="dxa"/>
          </w:tcPr>
          <w:p w14:paraId="4C8F6E08"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100%</w:t>
            </w:r>
          </w:p>
        </w:tc>
        <w:tc>
          <w:tcPr>
            <w:tcW w:w="684" w:type="dxa"/>
          </w:tcPr>
          <w:p w14:paraId="357D037F"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100%</w:t>
            </w:r>
          </w:p>
        </w:tc>
        <w:tc>
          <w:tcPr>
            <w:tcW w:w="684" w:type="dxa"/>
          </w:tcPr>
          <w:p w14:paraId="17FBE9C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100%</w:t>
            </w:r>
          </w:p>
        </w:tc>
        <w:tc>
          <w:tcPr>
            <w:tcW w:w="684" w:type="dxa"/>
          </w:tcPr>
          <w:p w14:paraId="3643DABF"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100%</w:t>
            </w:r>
          </w:p>
        </w:tc>
        <w:tc>
          <w:tcPr>
            <w:tcW w:w="684" w:type="dxa"/>
          </w:tcPr>
          <w:p w14:paraId="642BA35B"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100%</w:t>
            </w:r>
          </w:p>
        </w:tc>
        <w:tc>
          <w:tcPr>
            <w:tcW w:w="684" w:type="dxa"/>
          </w:tcPr>
          <w:p w14:paraId="7926CF5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100%</w:t>
            </w:r>
          </w:p>
        </w:tc>
        <w:tc>
          <w:tcPr>
            <w:tcW w:w="684" w:type="dxa"/>
          </w:tcPr>
          <w:p w14:paraId="60EC60E4"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100%</w:t>
            </w:r>
          </w:p>
        </w:tc>
        <w:tc>
          <w:tcPr>
            <w:tcW w:w="684" w:type="dxa"/>
          </w:tcPr>
          <w:p w14:paraId="674DFE7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100%</w:t>
            </w:r>
          </w:p>
        </w:tc>
      </w:tr>
      <w:tr w:rsidR="00313EFF" w:rsidRPr="005E1093" w14:paraId="334C7161" w14:textId="77777777" w:rsidTr="00313EFF">
        <w:tc>
          <w:tcPr>
            <w:tcW w:w="1615" w:type="dxa"/>
          </w:tcPr>
          <w:p w14:paraId="1502A087" w14:textId="77777777" w:rsidR="00313EFF" w:rsidRPr="005E1093" w:rsidRDefault="00313EFF" w:rsidP="005E1093">
            <w:pPr>
              <w:pStyle w:val="sub3"/>
              <w:spacing w:before="60" w:after="60" w:line="240" w:lineRule="auto"/>
              <w:ind w:firstLine="0"/>
              <w:rPr>
                <w:rFonts w:ascii="Book Antiqua" w:hAnsi="Book Antiqua"/>
                <w:sz w:val="20"/>
              </w:rPr>
            </w:pPr>
            <w:r w:rsidRPr="005E1093">
              <w:rPr>
                <w:rFonts w:ascii="Book Antiqua" w:hAnsi="Book Antiqua"/>
                <w:sz w:val="20"/>
              </w:rPr>
              <w:t>Solar PV</w:t>
            </w:r>
          </w:p>
        </w:tc>
        <w:tc>
          <w:tcPr>
            <w:tcW w:w="720" w:type="dxa"/>
          </w:tcPr>
          <w:p w14:paraId="20D510B2"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67%</w:t>
            </w:r>
          </w:p>
        </w:tc>
        <w:tc>
          <w:tcPr>
            <w:tcW w:w="684" w:type="dxa"/>
          </w:tcPr>
          <w:p w14:paraId="28EE323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73%</w:t>
            </w:r>
          </w:p>
        </w:tc>
        <w:tc>
          <w:tcPr>
            <w:tcW w:w="684" w:type="dxa"/>
          </w:tcPr>
          <w:p w14:paraId="550A232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00F2821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727511FA"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103FA66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74E05353"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5CE98C0A"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77%</w:t>
            </w:r>
          </w:p>
        </w:tc>
        <w:tc>
          <w:tcPr>
            <w:tcW w:w="684" w:type="dxa"/>
          </w:tcPr>
          <w:p w14:paraId="06AE4343"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78%</w:t>
            </w:r>
          </w:p>
        </w:tc>
        <w:tc>
          <w:tcPr>
            <w:tcW w:w="684" w:type="dxa"/>
          </w:tcPr>
          <w:p w14:paraId="66571CD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78%</w:t>
            </w:r>
          </w:p>
        </w:tc>
        <w:tc>
          <w:tcPr>
            <w:tcW w:w="684" w:type="dxa"/>
          </w:tcPr>
          <w:p w14:paraId="36F9F9C3"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78%</w:t>
            </w:r>
          </w:p>
        </w:tc>
        <w:tc>
          <w:tcPr>
            <w:tcW w:w="684" w:type="dxa"/>
          </w:tcPr>
          <w:p w14:paraId="2EEF7446"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74%</w:t>
            </w:r>
          </w:p>
        </w:tc>
      </w:tr>
      <w:tr w:rsidR="00313EFF" w:rsidRPr="005E1093" w14:paraId="1B5E8DF4" w14:textId="77777777" w:rsidTr="00313EFF">
        <w:tc>
          <w:tcPr>
            <w:tcW w:w="1615" w:type="dxa"/>
          </w:tcPr>
          <w:p w14:paraId="16A668D0" w14:textId="77777777" w:rsidR="00313EFF" w:rsidRPr="005E1093" w:rsidRDefault="00313EFF" w:rsidP="005E1093">
            <w:pPr>
              <w:pStyle w:val="sub3"/>
              <w:spacing w:before="60" w:after="60" w:line="240" w:lineRule="auto"/>
              <w:ind w:firstLine="0"/>
              <w:rPr>
                <w:rFonts w:ascii="Book Antiqua" w:hAnsi="Book Antiqua"/>
                <w:sz w:val="20"/>
              </w:rPr>
            </w:pPr>
            <w:r w:rsidRPr="005E1093">
              <w:rPr>
                <w:rFonts w:ascii="Book Antiqua" w:hAnsi="Book Antiqua"/>
                <w:sz w:val="20"/>
              </w:rPr>
              <w:t>Solar Thermal</w:t>
            </w:r>
          </w:p>
        </w:tc>
        <w:tc>
          <w:tcPr>
            <w:tcW w:w="720" w:type="dxa"/>
          </w:tcPr>
          <w:p w14:paraId="090FAD7C"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121%</w:t>
            </w:r>
          </w:p>
        </w:tc>
        <w:tc>
          <w:tcPr>
            <w:tcW w:w="684" w:type="dxa"/>
          </w:tcPr>
          <w:p w14:paraId="397F312F"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121%</w:t>
            </w:r>
          </w:p>
        </w:tc>
        <w:tc>
          <w:tcPr>
            <w:tcW w:w="684" w:type="dxa"/>
          </w:tcPr>
          <w:p w14:paraId="5F8EA852"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121%</w:t>
            </w:r>
          </w:p>
        </w:tc>
        <w:tc>
          <w:tcPr>
            <w:tcW w:w="684" w:type="dxa"/>
          </w:tcPr>
          <w:p w14:paraId="7EDC403B"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121%</w:t>
            </w:r>
          </w:p>
        </w:tc>
        <w:tc>
          <w:tcPr>
            <w:tcW w:w="684" w:type="dxa"/>
          </w:tcPr>
          <w:p w14:paraId="62990D98"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121%</w:t>
            </w:r>
          </w:p>
        </w:tc>
        <w:tc>
          <w:tcPr>
            <w:tcW w:w="684" w:type="dxa"/>
          </w:tcPr>
          <w:p w14:paraId="24AB6B4B"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121%</w:t>
            </w:r>
          </w:p>
        </w:tc>
        <w:tc>
          <w:tcPr>
            <w:tcW w:w="684" w:type="dxa"/>
          </w:tcPr>
          <w:p w14:paraId="5F3FE560"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121%</w:t>
            </w:r>
          </w:p>
        </w:tc>
        <w:tc>
          <w:tcPr>
            <w:tcW w:w="684" w:type="dxa"/>
          </w:tcPr>
          <w:p w14:paraId="314F788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121%</w:t>
            </w:r>
          </w:p>
        </w:tc>
        <w:tc>
          <w:tcPr>
            <w:tcW w:w="684" w:type="dxa"/>
          </w:tcPr>
          <w:p w14:paraId="50CEC487"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121%</w:t>
            </w:r>
          </w:p>
        </w:tc>
        <w:tc>
          <w:tcPr>
            <w:tcW w:w="684" w:type="dxa"/>
          </w:tcPr>
          <w:p w14:paraId="27565CD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121%</w:t>
            </w:r>
          </w:p>
        </w:tc>
        <w:tc>
          <w:tcPr>
            <w:tcW w:w="684" w:type="dxa"/>
          </w:tcPr>
          <w:p w14:paraId="37337560"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121%</w:t>
            </w:r>
          </w:p>
        </w:tc>
        <w:tc>
          <w:tcPr>
            <w:tcW w:w="684" w:type="dxa"/>
          </w:tcPr>
          <w:p w14:paraId="4C2AA73C"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121%</w:t>
            </w:r>
          </w:p>
        </w:tc>
      </w:tr>
      <w:tr w:rsidR="00495CA9" w:rsidRPr="005E1093" w14:paraId="435EBBE1" w14:textId="77777777" w:rsidTr="00313EFF">
        <w:tc>
          <w:tcPr>
            <w:tcW w:w="1615" w:type="dxa"/>
          </w:tcPr>
          <w:p w14:paraId="1578855D" w14:textId="77777777" w:rsidR="00495CA9" w:rsidRPr="005E1093" w:rsidRDefault="00495CA9" w:rsidP="005E1093">
            <w:pPr>
              <w:pStyle w:val="sub3"/>
              <w:spacing w:before="60" w:after="60" w:line="240" w:lineRule="auto"/>
              <w:ind w:firstLine="0"/>
              <w:rPr>
                <w:rFonts w:ascii="Book Antiqua" w:hAnsi="Book Antiqua"/>
                <w:sz w:val="20"/>
              </w:rPr>
            </w:pPr>
            <w:r>
              <w:rPr>
                <w:rFonts w:ascii="Book Antiqua" w:hAnsi="Book Antiqua"/>
                <w:sz w:val="20"/>
              </w:rPr>
              <w:t>Hydro</w:t>
            </w:r>
          </w:p>
        </w:tc>
        <w:tc>
          <w:tcPr>
            <w:tcW w:w="720" w:type="dxa"/>
          </w:tcPr>
          <w:p w14:paraId="4BA0EB58" w14:textId="77777777" w:rsidR="00495CA9" w:rsidRPr="005E1093" w:rsidRDefault="00495CA9" w:rsidP="005E1093">
            <w:pPr>
              <w:pStyle w:val="sub3"/>
              <w:spacing w:before="60" w:after="60" w:line="240" w:lineRule="auto"/>
              <w:ind w:firstLine="0"/>
              <w:jc w:val="right"/>
              <w:rPr>
                <w:rFonts w:ascii="Book Antiqua" w:hAnsi="Book Antiqua"/>
                <w:sz w:val="20"/>
              </w:rPr>
            </w:pPr>
            <w:r>
              <w:rPr>
                <w:rFonts w:ascii="Book Antiqua" w:hAnsi="Book Antiqua"/>
                <w:sz w:val="20"/>
              </w:rPr>
              <w:t>60%</w:t>
            </w:r>
          </w:p>
        </w:tc>
        <w:tc>
          <w:tcPr>
            <w:tcW w:w="684" w:type="dxa"/>
          </w:tcPr>
          <w:p w14:paraId="77716F66" w14:textId="77777777" w:rsidR="00495CA9" w:rsidRPr="005E1093" w:rsidRDefault="00495CA9" w:rsidP="005E1093">
            <w:pPr>
              <w:pStyle w:val="sub3"/>
              <w:spacing w:before="60" w:after="60" w:line="240" w:lineRule="auto"/>
              <w:ind w:firstLine="0"/>
              <w:jc w:val="right"/>
              <w:rPr>
                <w:rFonts w:ascii="Book Antiqua" w:hAnsi="Book Antiqua"/>
                <w:sz w:val="20"/>
              </w:rPr>
            </w:pPr>
            <w:r>
              <w:rPr>
                <w:rFonts w:ascii="Book Antiqua" w:hAnsi="Book Antiqua"/>
                <w:sz w:val="20"/>
              </w:rPr>
              <w:t>56%</w:t>
            </w:r>
          </w:p>
        </w:tc>
        <w:tc>
          <w:tcPr>
            <w:tcW w:w="684" w:type="dxa"/>
          </w:tcPr>
          <w:p w14:paraId="55CB937D" w14:textId="77777777" w:rsidR="00495CA9" w:rsidRPr="005E1093" w:rsidRDefault="00495CA9" w:rsidP="005E1093">
            <w:pPr>
              <w:pStyle w:val="sub3"/>
              <w:spacing w:before="60" w:after="60" w:line="240" w:lineRule="auto"/>
              <w:ind w:firstLine="0"/>
              <w:jc w:val="right"/>
              <w:rPr>
                <w:rFonts w:ascii="Book Antiqua" w:hAnsi="Book Antiqua"/>
                <w:sz w:val="20"/>
              </w:rPr>
            </w:pPr>
            <w:r>
              <w:rPr>
                <w:rFonts w:ascii="Book Antiqua" w:hAnsi="Book Antiqua"/>
                <w:sz w:val="20"/>
              </w:rPr>
              <w:t>54%</w:t>
            </w:r>
          </w:p>
        </w:tc>
        <w:tc>
          <w:tcPr>
            <w:tcW w:w="684" w:type="dxa"/>
          </w:tcPr>
          <w:p w14:paraId="7DE610ED" w14:textId="77777777" w:rsidR="00495CA9" w:rsidRPr="005E1093" w:rsidRDefault="00495CA9" w:rsidP="005E1093">
            <w:pPr>
              <w:pStyle w:val="sub3"/>
              <w:spacing w:before="60" w:after="60" w:line="240" w:lineRule="auto"/>
              <w:ind w:firstLine="0"/>
              <w:jc w:val="right"/>
              <w:rPr>
                <w:rFonts w:ascii="Book Antiqua" w:hAnsi="Book Antiqua"/>
                <w:sz w:val="20"/>
              </w:rPr>
            </w:pPr>
            <w:r>
              <w:rPr>
                <w:rFonts w:ascii="Book Antiqua" w:hAnsi="Book Antiqua"/>
                <w:sz w:val="20"/>
              </w:rPr>
              <w:t>54%</w:t>
            </w:r>
          </w:p>
        </w:tc>
        <w:tc>
          <w:tcPr>
            <w:tcW w:w="684" w:type="dxa"/>
          </w:tcPr>
          <w:p w14:paraId="7E245139" w14:textId="77777777" w:rsidR="00495CA9" w:rsidRPr="005E1093" w:rsidRDefault="00495CA9" w:rsidP="005E1093">
            <w:pPr>
              <w:pStyle w:val="sub3"/>
              <w:spacing w:before="60" w:after="60" w:line="240" w:lineRule="auto"/>
              <w:ind w:firstLine="0"/>
              <w:jc w:val="right"/>
              <w:rPr>
                <w:rFonts w:ascii="Book Antiqua" w:hAnsi="Book Antiqua"/>
                <w:sz w:val="20"/>
              </w:rPr>
            </w:pPr>
            <w:r>
              <w:rPr>
                <w:rFonts w:ascii="Book Antiqua" w:hAnsi="Book Antiqua"/>
                <w:sz w:val="20"/>
              </w:rPr>
              <w:t>54%</w:t>
            </w:r>
          </w:p>
        </w:tc>
        <w:tc>
          <w:tcPr>
            <w:tcW w:w="684" w:type="dxa"/>
          </w:tcPr>
          <w:p w14:paraId="524D0519" w14:textId="77777777" w:rsidR="00495CA9" w:rsidRPr="005E1093" w:rsidRDefault="00495CA9" w:rsidP="005E1093">
            <w:pPr>
              <w:pStyle w:val="sub3"/>
              <w:spacing w:before="60" w:after="60" w:line="240" w:lineRule="auto"/>
              <w:ind w:firstLine="0"/>
              <w:jc w:val="right"/>
              <w:rPr>
                <w:rFonts w:ascii="Book Antiqua" w:hAnsi="Book Antiqua"/>
                <w:sz w:val="20"/>
              </w:rPr>
            </w:pPr>
            <w:r>
              <w:rPr>
                <w:rFonts w:ascii="Book Antiqua" w:hAnsi="Book Antiqua"/>
                <w:sz w:val="20"/>
              </w:rPr>
              <w:t>54%</w:t>
            </w:r>
          </w:p>
        </w:tc>
        <w:tc>
          <w:tcPr>
            <w:tcW w:w="684" w:type="dxa"/>
          </w:tcPr>
          <w:p w14:paraId="6FC960A1" w14:textId="77777777" w:rsidR="00495CA9" w:rsidRPr="005E1093" w:rsidRDefault="00495CA9" w:rsidP="005E1093">
            <w:pPr>
              <w:pStyle w:val="sub3"/>
              <w:spacing w:before="60" w:after="60" w:line="240" w:lineRule="auto"/>
              <w:ind w:firstLine="0"/>
              <w:jc w:val="right"/>
              <w:rPr>
                <w:rFonts w:ascii="Book Antiqua" w:hAnsi="Book Antiqua"/>
                <w:sz w:val="20"/>
              </w:rPr>
            </w:pPr>
            <w:r>
              <w:rPr>
                <w:rFonts w:ascii="Book Antiqua" w:hAnsi="Book Antiqua"/>
                <w:sz w:val="20"/>
              </w:rPr>
              <w:t>54%</w:t>
            </w:r>
          </w:p>
        </w:tc>
        <w:tc>
          <w:tcPr>
            <w:tcW w:w="684" w:type="dxa"/>
          </w:tcPr>
          <w:p w14:paraId="1B8CE472" w14:textId="77777777" w:rsidR="00495CA9" w:rsidRPr="005E1093" w:rsidRDefault="00495CA9" w:rsidP="005E1093">
            <w:pPr>
              <w:pStyle w:val="sub3"/>
              <w:spacing w:before="60" w:after="60" w:line="240" w:lineRule="auto"/>
              <w:ind w:firstLine="0"/>
              <w:jc w:val="right"/>
              <w:rPr>
                <w:rFonts w:ascii="Book Antiqua" w:hAnsi="Book Antiqua"/>
                <w:sz w:val="20"/>
              </w:rPr>
            </w:pPr>
            <w:r>
              <w:rPr>
                <w:rFonts w:ascii="Book Antiqua" w:hAnsi="Book Antiqua"/>
                <w:sz w:val="20"/>
              </w:rPr>
              <w:t>54%</w:t>
            </w:r>
          </w:p>
        </w:tc>
        <w:tc>
          <w:tcPr>
            <w:tcW w:w="684" w:type="dxa"/>
          </w:tcPr>
          <w:p w14:paraId="0724A8E2" w14:textId="77777777" w:rsidR="00495CA9" w:rsidRPr="005E1093" w:rsidRDefault="00495CA9" w:rsidP="005E1093">
            <w:pPr>
              <w:pStyle w:val="sub3"/>
              <w:spacing w:before="60" w:after="60" w:line="240" w:lineRule="auto"/>
              <w:ind w:firstLine="0"/>
              <w:jc w:val="right"/>
              <w:rPr>
                <w:rFonts w:ascii="Book Antiqua" w:hAnsi="Book Antiqua"/>
                <w:sz w:val="20"/>
              </w:rPr>
            </w:pPr>
            <w:r>
              <w:rPr>
                <w:rFonts w:ascii="Book Antiqua" w:hAnsi="Book Antiqua"/>
                <w:sz w:val="20"/>
              </w:rPr>
              <w:t>54%</w:t>
            </w:r>
          </w:p>
        </w:tc>
        <w:tc>
          <w:tcPr>
            <w:tcW w:w="684" w:type="dxa"/>
          </w:tcPr>
          <w:p w14:paraId="246F93CF" w14:textId="77777777" w:rsidR="00495CA9" w:rsidRPr="005E1093" w:rsidRDefault="00495CA9" w:rsidP="005E1093">
            <w:pPr>
              <w:pStyle w:val="sub3"/>
              <w:spacing w:before="60" w:after="60" w:line="240" w:lineRule="auto"/>
              <w:ind w:firstLine="0"/>
              <w:jc w:val="right"/>
              <w:rPr>
                <w:rFonts w:ascii="Book Antiqua" w:hAnsi="Book Antiqua"/>
                <w:sz w:val="20"/>
              </w:rPr>
            </w:pPr>
            <w:r>
              <w:rPr>
                <w:rFonts w:ascii="Book Antiqua" w:hAnsi="Book Antiqua"/>
                <w:sz w:val="20"/>
              </w:rPr>
              <w:t>54%</w:t>
            </w:r>
          </w:p>
        </w:tc>
        <w:tc>
          <w:tcPr>
            <w:tcW w:w="684" w:type="dxa"/>
          </w:tcPr>
          <w:p w14:paraId="67863E65" w14:textId="77777777" w:rsidR="00495CA9" w:rsidRPr="005E1093" w:rsidRDefault="00495CA9" w:rsidP="005E1093">
            <w:pPr>
              <w:pStyle w:val="sub3"/>
              <w:spacing w:before="60" w:after="60" w:line="240" w:lineRule="auto"/>
              <w:ind w:firstLine="0"/>
              <w:jc w:val="right"/>
              <w:rPr>
                <w:rFonts w:ascii="Book Antiqua" w:hAnsi="Book Antiqua"/>
                <w:sz w:val="20"/>
              </w:rPr>
            </w:pPr>
            <w:r>
              <w:rPr>
                <w:rFonts w:ascii="Book Antiqua" w:hAnsi="Book Antiqua"/>
                <w:sz w:val="20"/>
              </w:rPr>
              <w:t>54%</w:t>
            </w:r>
          </w:p>
        </w:tc>
        <w:tc>
          <w:tcPr>
            <w:tcW w:w="684" w:type="dxa"/>
          </w:tcPr>
          <w:p w14:paraId="24148C7F" w14:textId="77777777" w:rsidR="00495CA9" w:rsidRPr="005E1093" w:rsidRDefault="00495CA9" w:rsidP="005E1093">
            <w:pPr>
              <w:pStyle w:val="sub3"/>
              <w:spacing w:before="60" w:after="60" w:line="240" w:lineRule="auto"/>
              <w:ind w:firstLine="0"/>
              <w:jc w:val="right"/>
              <w:rPr>
                <w:rFonts w:ascii="Book Antiqua" w:hAnsi="Book Antiqua"/>
                <w:sz w:val="20"/>
              </w:rPr>
            </w:pPr>
            <w:r>
              <w:rPr>
                <w:rFonts w:ascii="Book Antiqua" w:hAnsi="Book Antiqua"/>
                <w:sz w:val="20"/>
              </w:rPr>
              <w:t>54%</w:t>
            </w:r>
          </w:p>
        </w:tc>
      </w:tr>
      <w:tr w:rsidR="00313EFF" w:rsidRPr="005E1093" w14:paraId="19A7DD6F" w14:textId="77777777" w:rsidTr="00313EFF">
        <w:tc>
          <w:tcPr>
            <w:tcW w:w="1615" w:type="dxa"/>
          </w:tcPr>
          <w:p w14:paraId="245A751E" w14:textId="77777777" w:rsidR="00313EFF" w:rsidRPr="005E1093" w:rsidRDefault="00313EFF" w:rsidP="005E1093">
            <w:pPr>
              <w:pStyle w:val="sub3"/>
              <w:spacing w:before="60" w:after="60" w:line="240" w:lineRule="auto"/>
              <w:ind w:firstLine="0"/>
              <w:rPr>
                <w:rFonts w:ascii="Book Antiqua" w:hAnsi="Book Antiqua"/>
                <w:sz w:val="20"/>
              </w:rPr>
            </w:pPr>
            <w:r w:rsidRPr="005E1093">
              <w:rPr>
                <w:rFonts w:ascii="Book Antiqua" w:hAnsi="Book Antiqua"/>
                <w:sz w:val="20"/>
              </w:rPr>
              <w:t>Pumped Storage</w:t>
            </w:r>
          </w:p>
        </w:tc>
        <w:tc>
          <w:tcPr>
            <w:tcW w:w="720" w:type="dxa"/>
          </w:tcPr>
          <w:p w14:paraId="3D4BB33A"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1C277BCF"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31C56F78"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7E521C1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2F0BB156"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6E9EFF24"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64AEEC2E"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25A79454"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28F21868"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6A9F28F7"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76F38E1A"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789F7DBE"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r>
      <w:tr w:rsidR="00313EFF" w:rsidRPr="005E1093" w14:paraId="3179E192" w14:textId="77777777" w:rsidTr="00313EFF">
        <w:tc>
          <w:tcPr>
            <w:tcW w:w="1615" w:type="dxa"/>
          </w:tcPr>
          <w:p w14:paraId="57E6A518" w14:textId="77777777" w:rsidR="00313EFF" w:rsidRPr="005E1093" w:rsidRDefault="00313EFF" w:rsidP="005E1093">
            <w:pPr>
              <w:pStyle w:val="sub3"/>
              <w:spacing w:before="60" w:after="60" w:line="240" w:lineRule="auto"/>
              <w:ind w:firstLine="0"/>
              <w:rPr>
                <w:rFonts w:ascii="Book Antiqua" w:hAnsi="Book Antiqua"/>
                <w:sz w:val="20"/>
              </w:rPr>
            </w:pPr>
            <w:r w:rsidRPr="005E1093">
              <w:rPr>
                <w:rFonts w:ascii="Book Antiqua" w:hAnsi="Book Antiqua"/>
                <w:sz w:val="20"/>
              </w:rPr>
              <w:t>Wind</w:t>
            </w:r>
          </w:p>
        </w:tc>
        <w:tc>
          <w:tcPr>
            <w:tcW w:w="720" w:type="dxa"/>
          </w:tcPr>
          <w:p w14:paraId="46586548"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95%</w:t>
            </w:r>
          </w:p>
        </w:tc>
        <w:tc>
          <w:tcPr>
            <w:tcW w:w="684" w:type="dxa"/>
          </w:tcPr>
          <w:p w14:paraId="483253A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96%</w:t>
            </w:r>
          </w:p>
        </w:tc>
        <w:tc>
          <w:tcPr>
            <w:tcW w:w="684" w:type="dxa"/>
          </w:tcPr>
          <w:p w14:paraId="4DBFCEA3"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97%</w:t>
            </w:r>
          </w:p>
        </w:tc>
        <w:tc>
          <w:tcPr>
            <w:tcW w:w="684" w:type="dxa"/>
          </w:tcPr>
          <w:p w14:paraId="52671A0E"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97%</w:t>
            </w:r>
          </w:p>
        </w:tc>
        <w:tc>
          <w:tcPr>
            <w:tcW w:w="684" w:type="dxa"/>
          </w:tcPr>
          <w:p w14:paraId="585F78EE"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97%</w:t>
            </w:r>
          </w:p>
        </w:tc>
        <w:tc>
          <w:tcPr>
            <w:tcW w:w="684" w:type="dxa"/>
          </w:tcPr>
          <w:p w14:paraId="61AF273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95%</w:t>
            </w:r>
          </w:p>
        </w:tc>
        <w:tc>
          <w:tcPr>
            <w:tcW w:w="684" w:type="dxa"/>
          </w:tcPr>
          <w:p w14:paraId="178134C4"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95%</w:t>
            </w:r>
          </w:p>
        </w:tc>
        <w:tc>
          <w:tcPr>
            <w:tcW w:w="684" w:type="dxa"/>
          </w:tcPr>
          <w:p w14:paraId="52D2025E"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92%</w:t>
            </w:r>
          </w:p>
        </w:tc>
        <w:tc>
          <w:tcPr>
            <w:tcW w:w="684" w:type="dxa"/>
          </w:tcPr>
          <w:p w14:paraId="5DB1AEB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91%</w:t>
            </w:r>
          </w:p>
        </w:tc>
        <w:tc>
          <w:tcPr>
            <w:tcW w:w="684" w:type="dxa"/>
          </w:tcPr>
          <w:p w14:paraId="04883870"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92%</w:t>
            </w:r>
          </w:p>
        </w:tc>
        <w:tc>
          <w:tcPr>
            <w:tcW w:w="684" w:type="dxa"/>
          </w:tcPr>
          <w:p w14:paraId="78E9DCA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94%</w:t>
            </w:r>
          </w:p>
        </w:tc>
        <w:tc>
          <w:tcPr>
            <w:tcW w:w="684" w:type="dxa"/>
          </w:tcPr>
          <w:p w14:paraId="3EC1F25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93%</w:t>
            </w:r>
          </w:p>
        </w:tc>
      </w:tr>
      <w:tr w:rsidR="00313EFF" w:rsidRPr="005E1093" w14:paraId="4E08222A" w14:textId="77777777" w:rsidTr="00313EFF">
        <w:tc>
          <w:tcPr>
            <w:tcW w:w="1615" w:type="dxa"/>
          </w:tcPr>
          <w:p w14:paraId="2BCF7735" w14:textId="77777777" w:rsidR="00313EFF" w:rsidRPr="005E1093" w:rsidRDefault="00313EFF" w:rsidP="005E1093">
            <w:pPr>
              <w:pStyle w:val="sub3"/>
              <w:spacing w:before="60" w:after="60" w:line="240" w:lineRule="auto"/>
              <w:ind w:firstLine="0"/>
              <w:rPr>
                <w:rFonts w:ascii="Book Antiqua" w:hAnsi="Book Antiqua"/>
                <w:sz w:val="20"/>
              </w:rPr>
            </w:pPr>
            <w:r w:rsidRPr="005E1093">
              <w:rPr>
                <w:rFonts w:ascii="Book Antiqua" w:hAnsi="Book Antiqua"/>
                <w:sz w:val="20"/>
              </w:rPr>
              <w:t>Geothermal</w:t>
            </w:r>
          </w:p>
        </w:tc>
        <w:tc>
          <w:tcPr>
            <w:tcW w:w="720" w:type="dxa"/>
          </w:tcPr>
          <w:p w14:paraId="511CE593"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75%</w:t>
            </w:r>
          </w:p>
        </w:tc>
        <w:tc>
          <w:tcPr>
            <w:tcW w:w="684" w:type="dxa"/>
          </w:tcPr>
          <w:p w14:paraId="5CA01084"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03A6892C"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26E92212"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54%</w:t>
            </w:r>
          </w:p>
        </w:tc>
        <w:tc>
          <w:tcPr>
            <w:tcW w:w="684" w:type="dxa"/>
          </w:tcPr>
          <w:p w14:paraId="58CCD22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51%</w:t>
            </w:r>
          </w:p>
        </w:tc>
        <w:tc>
          <w:tcPr>
            <w:tcW w:w="684" w:type="dxa"/>
          </w:tcPr>
          <w:p w14:paraId="44A6CBD4"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51%</w:t>
            </w:r>
          </w:p>
        </w:tc>
        <w:tc>
          <w:tcPr>
            <w:tcW w:w="684" w:type="dxa"/>
          </w:tcPr>
          <w:p w14:paraId="4DE65D8E"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51%</w:t>
            </w:r>
          </w:p>
        </w:tc>
        <w:tc>
          <w:tcPr>
            <w:tcW w:w="684" w:type="dxa"/>
          </w:tcPr>
          <w:p w14:paraId="199FECC0"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49%</w:t>
            </w:r>
          </w:p>
        </w:tc>
        <w:tc>
          <w:tcPr>
            <w:tcW w:w="684" w:type="dxa"/>
          </w:tcPr>
          <w:p w14:paraId="274A4543"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49%</w:t>
            </w:r>
          </w:p>
        </w:tc>
        <w:tc>
          <w:tcPr>
            <w:tcW w:w="684" w:type="dxa"/>
          </w:tcPr>
          <w:p w14:paraId="674FE810"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49%</w:t>
            </w:r>
          </w:p>
        </w:tc>
        <w:tc>
          <w:tcPr>
            <w:tcW w:w="684" w:type="dxa"/>
          </w:tcPr>
          <w:p w14:paraId="7F86AE03"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49%</w:t>
            </w:r>
          </w:p>
        </w:tc>
        <w:tc>
          <w:tcPr>
            <w:tcW w:w="684" w:type="dxa"/>
          </w:tcPr>
          <w:p w14:paraId="6CCEA11F"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49%</w:t>
            </w:r>
          </w:p>
        </w:tc>
      </w:tr>
      <w:tr w:rsidR="00313EFF" w:rsidRPr="005E1093" w14:paraId="75449F82" w14:textId="77777777" w:rsidTr="00313EFF">
        <w:tc>
          <w:tcPr>
            <w:tcW w:w="1615" w:type="dxa"/>
          </w:tcPr>
          <w:p w14:paraId="2913817F" w14:textId="77777777" w:rsidR="00313EFF" w:rsidRPr="005E1093" w:rsidRDefault="00313EFF" w:rsidP="005E1093">
            <w:pPr>
              <w:pStyle w:val="sub3"/>
              <w:spacing w:before="60" w:after="60" w:line="240" w:lineRule="auto"/>
              <w:ind w:firstLine="0"/>
              <w:rPr>
                <w:rFonts w:ascii="Book Antiqua" w:hAnsi="Book Antiqua"/>
                <w:sz w:val="20"/>
              </w:rPr>
            </w:pPr>
            <w:r w:rsidRPr="005E1093">
              <w:rPr>
                <w:rFonts w:ascii="Book Antiqua" w:hAnsi="Book Antiqua"/>
                <w:sz w:val="20"/>
              </w:rPr>
              <w:t>Biomass</w:t>
            </w:r>
          </w:p>
        </w:tc>
        <w:tc>
          <w:tcPr>
            <w:tcW w:w="720" w:type="dxa"/>
          </w:tcPr>
          <w:p w14:paraId="6C5BAF9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34%</w:t>
            </w:r>
          </w:p>
        </w:tc>
        <w:tc>
          <w:tcPr>
            <w:tcW w:w="684" w:type="dxa"/>
          </w:tcPr>
          <w:p w14:paraId="146D0902"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35FF45A7"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1D1FECCA"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6CCBC20B"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5FE016D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32D8C684"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41448753"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7D085F07"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4532949E"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407C3BA7"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79094FBB"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r>
      <w:tr w:rsidR="00313EFF" w:rsidRPr="005E1093" w14:paraId="38E634F7" w14:textId="77777777" w:rsidTr="00313EFF">
        <w:tc>
          <w:tcPr>
            <w:tcW w:w="1615" w:type="dxa"/>
          </w:tcPr>
          <w:p w14:paraId="64A831B0" w14:textId="77777777" w:rsidR="00313EFF" w:rsidRPr="005E1093" w:rsidRDefault="00313EFF" w:rsidP="005E1093">
            <w:pPr>
              <w:pStyle w:val="sub3"/>
              <w:spacing w:before="60" w:after="60" w:line="240" w:lineRule="auto"/>
              <w:ind w:firstLine="0"/>
              <w:rPr>
                <w:rFonts w:ascii="Book Antiqua" w:hAnsi="Book Antiqua"/>
                <w:sz w:val="20"/>
              </w:rPr>
            </w:pPr>
            <w:r w:rsidRPr="005E1093">
              <w:rPr>
                <w:rFonts w:ascii="Book Antiqua" w:hAnsi="Book Antiqua"/>
                <w:sz w:val="20"/>
              </w:rPr>
              <w:t>Battery Storage</w:t>
            </w:r>
          </w:p>
        </w:tc>
        <w:tc>
          <w:tcPr>
            <w:tcW w:w="720" w:type="dxa"/>
          </w:tcPr>
          <w:p w14:paraId="238729B2"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90%</w:t>
            </w:r>
          </w:p>
        </w:tc>
        <w:tc>
          <w:tcPr>
            <w:tcW w:w="684" w:type="dxa"/>
          </w:tcPr>
          <w:p w14:paraId="135755B4"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94%</w:t>
            </w:r>
          </w:p>
        </w:tc>
        <w:tc>
          <w:tcPr>
            <w:tcW w:w="684" w:type="dxa"/>
          </w:tcPr>
          <w:p w14:paraId="187F8B2C"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151%</w:t>
            </w:r>
          </w:p>
        </w:tc>
        <w:tc>
          <w:tcPr>
            <w:tcW w:w="684" w:type="dxa"/>
          </w:tcPr>
          <w:p w14:paraId="700AD3F9"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72%</w:t>
            </w:r>
          </w:p>
        </w:tc>
        <w:tc>
          <w:tcPr>
            <w:tcW w:w="684" w:type="dxa"/>
          </w:tcPr>
          <w:p w14:paraId="6A72F21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75%</w:t>
            </w:r>
          </w:p>
        </w:tc>
        <w:tc>
          <w:tcPr>
            <w:tcW w:w="684" w:type="dxa"/>
          </w:tcPr>
          <w:p w14:paraId="56BF29B6"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84%</w:t>
            </w:r>
          </w:p>
        </w:tc>
        <w:tc>
          <w:tcPr>
            <w:tcW w:w="684" w:type="dxa"/>
          </w:tcPr>
          <w:p w14:paraId="7EB00986"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84%</w:t>
            </w:r>
          </w:p>
        </w:tc>
        <w:tc>
          <w:tcPr>
            <w:tcW w:w="684" w:type="dxa"/>
          </w:tcPr>
          <w:p w14:paraId="426A54C9"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04438DA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2E9DB8A0"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73C0A91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c>
          <w:tcPr>
            <w:tcW w:w="684" w:type="dxa"/>
          </w:tcPr>
          <w:p w14:paraId="4124B951"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70%</w:t>
            </w:r>
          </w:p>
        </w:tc>
      </w:tr>
      <w:tr w:rsidR="00313EFF" w:rsidRPr="005E1093" w14:paraId="36AEF955" w14:textId="77777777" w:rsidTr="00313EFF">
        <w:tc>
          <w:tcPr>
            <w:tcW w:w="1615" w:type="dxa"/>
          </w:tcPr>
          <w:p w14:paraId="728AA7B7" w14:textId="77777777" w:rsidR="00313EFF" w:rsidRPr="005E1093" w:rsidRDefault="00313EFF" w:rsidP="005E1093">
            <w:pPr>
              <w:pStyle w:val="sub3"/>
              <w:spacing w:before="60" w:after="60" w:line="240" w:lineRule="auto"/>
              <w:ind w:firstLine="0"/>
              <w:rPr>
                <w:rFonts w:ascii="Book Antiqua" w:hAnsi="Book Antiqua"/>
                <w:sz w:val="20"/>
              </w:rPr>
            </w:pPr>
            <w:r w:rsidRPr="005E1093">
              <w:rPr>
                <w:rFonts w:ascii="Book Antiqua" w:hAnsi="Book Antiqua"/>
                <w:sz w:val="20"/>
              </w:rPr>
              <w:t>Biogas</w:t>
            </w:r>
          </w:p>
        </w:tc>
        <w:tc>
          <w:tcPr>
            <w:tcW w:w="720" w:type="dxa"/>
          </w:tcPr>
          <w:p w14:paraId="4C511C54"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30%</w:t>
            </w:r>
          </w:p>
        </w:tc>
        <w:tc>
          <w:tcPr>
            <w:tcW w:w="684" w:type="dxa"/>
          </w:tcPr>
          <w:p w14:paraId="5EB89E4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6B9DDD5E"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2242407C"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62B086B9"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292D517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4A9ABEB5"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2D93115A"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7E0D7D3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668A7B4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27%</w:t>
            </w:r>
          </w:p>
        </w:tc>
        <w:tc>
          <w:tcPr>
            <w:tcW w:w="684" w:type="dxa"/>
          </w:tcPr>
          <w:p w14:paraId="69A939C6"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26%</w:t>
            </w:r>
          </w:p>
        </w:tc>
        <w:tc>
          <w:tcPr>
            <w:tcW w:w="684" w:type="dxa"/>
          </w:tcPr>
          <w:p w14:paraId="1C1A43FD" w14:textId="77777777" w:rsidR="00313EFF" w:rsidRPr="005E1093" w:rsidRDefault="00313EFF" w:rsidP="005E1093">
            <w:pPr>
              <w:pStyle w:val="sub3"/>
              <w:spacing w:before="60" w:after="60" w:line="240" w:lineRule="auto"/>
              <w:ind w:firstLine="0"/>
              <w:jc w:val="right"/>
              <w:rPr>
                <w:rFonts w:ascii="Book Antiqua" w:hAnsi="Book Antiqua"/>
                <w:sz w:val="20"/>
              </w:rPr>
            </w:pPr>
            <w:r w:rsidRPr="005E1093">
              <w:rPr>
                <w:rFonts w:ascii="Book Antiqua" w:hAnsi="Book Antiqua"/>
                <w:sz w:val="20"/>
              </w:rPr>
              <w:t>23%</w:t>
            </w:r>
          </w:p>
        </w:tc>
      </w:tr>
    </w:tbl>
    <w:p w14:paraId="71A00319" w14:textId="77777777" w:rsidR="00313EFF" w:rsidRPr="00467505" w:rsidRDefault="00313EFF" w:rsidP="00313EFF">
      <w:pPr>
        <w:pStyle w:val="sub3"/>
        <w:ind w:firstLine="0"/>
        <w:rPr>
          <w:rFonts w:ascii="Book Antiqua" w:hAnsi="Book Antiqua"/>
        </w:rPr>
      </w:pPr>
    </w:p>
    <w:p w14:paraId="22A3D264" w14:textId="77777777" w:rsidR="00313EFF" w:rsidRPr="00467505" w:rsidRDefault="00313EFF" w:rsidP="00313EFF">
      <w:pPr>
        <w:pStyle w:val="sub3"/>
        <w:rPr>
          <w:rFonts w:ascii="Book Antiqua" w:hAnsi="Book Antiqua"/>
        </w:rPr>
      </w:pPr>
      <w:r w:rsidRPr="00467505">
        <w:rPr>
          <w:rFonts w:ascii="Book Antiqua" w:hAnsi="Book Antiqua"/>
        </w:rPr>
        <w:t xml:space="preserve">Natural gas plant owners understandably want to plan for the future of their assets, and without any assurances from buyers, they face </w:t>
      </w:r>
      <w:r w:rsidR="000128F8">
        <w:rPr>
          <w:rFonts w:ascii="Book Antiqua" w:hAnsi="Book Antiqua"/>
        </w:rPr>
        <w:t>even greater</w:t>
      </w:r>
      <w:r w:rsidR="000128F8" w:rsidRPr="00467505">
        <w:rPr>
          <w:rFonts w:ascii="Book Antiqua" w:hAnsi="Book Antiqua"/>
        </w:rPr>
        <w:t xml:space="preserve"> </w:t>
      </w:r>
      <w:r w:rsidRPr="00467505">
        <w:rPr>
          <w:rFonts w:ascii="Book Antiqua" w:hAnsi="Book Antiqua"/>
        </w:rPr>
        <w:t xml:space="preserve">uncertainty. </w:t>
      </w:r>
      <w:r w:rsidR="00C961F7" w:rsidRPr="00467505">
        <w:rPr>
          <w:rFonts w:ascii="Book Antiqua" w:hAnsi="Book Antiqua"/>
        </w:rPr>
        <w:t xml:space="preserve"> </w:t>
      </w:r>
      <w:r w:rsidRPr="00467505">
        <w:rPr>
          <w:rFonts w:ascii="Book Antiqua" w:hAnsi="Book Antiqua"/>
        </w:rPr>
        <w:t>This adds up to a need to focus 3</w:t>
      </w:r>
      <w:r w:rsidR="00D84A09" w:rsidRPr="00467505">
        <w:rPr>
          <w:rFonts w:ascii="Book Antiqua" w:hAnsi="Book Antiqua"/>
        </w:rPr>
        <w:noBreakHyphen/>
      </w:r>
      <w:r w:rsidRPr="00467505">
        <w:rPr>
          <w:rFonts w:ascii="Book Antiqua" w:hAnsi="Book Antiqua"/>
        </w:rPr>
        <w:t xml:space="preserve">4 years out for the retention of necessary reliability and renewable integration resources to support the system for the planning horizon. </w:t>
      </w:r>
    </w:p>
    <w:p w14:paraId="01CB06FF" w14:textId="77777777" w:rsidR="00313EFF" w:rsidRPr="00467505" w:rsidRDefault="00313EFF" w:rsidP="00313EFF">
      <w:pPr>
        <w:pStyle w:val="sub3"/>
        <w:rPr>
          <w:rFonts w:ascii="Book Antiqua" w:hAnsi="Book Antiqua"/>
        </w:rPr>
      </w:pPr>
      <w:r w:rsidRPr="00467505">
        <w:rPr>
          <w:rFonts w:ascii="Book Antiqua" w:hAnsi="Book Antiqua"/>
        </w:rPr>
        <w:t xml:space="preserve">In addition, we agree with the parties that point out that some renewable resources and hybridized technologies (such as combined natural gas and storage or combined renewables and storage) can provide more reliability value than we have been assuming. </w:t>
      </w:r>
      <w:r w:rsidR="00C961F7" w:rsidRPr="00467505">
        <w:rPr>
          <w:rFonts w:ascii="Book Antiqua" w:hAnsi="Book Antiqua"/>
        </w:rPr>
        <w:t xml:space="preserve"> </w:t>
      </w:r>
      <w:r w:rsidRPr="00467505">
        <w:rPr>
          <w:rFonts w:ascii="Book Antiqua" w:hAnsi="Book Antiqua"/>
        </w:rPr>
        <w:t>These types of solutions can potentially provide value in the same 3</w:t>
      </w:r>
      <w:r w:rsidR="00D84A09" w:rsidRPr="00467505">
        <w:rPr>
          <w:rFonts w:ascii="Book Antiqua" w:hAnsi="Book Antiqua"/>
        </w:rPr>
        <w:noBreakHyphen/>
      </w:r>
      <w:r w:rsidRPr="00467505">
        <w:rPr>
          <w:rFonts w:ascii="Book Antiqua" w:hAnsi="Book Antiqua"/>
        </w:rPr>
        <w:t xml:space="preserve">4 year time frame. </w:t>
      </w:r>
    </w:p>
    <w:p w14:paraId="64D80EBF" w14:textId="77777777" w:rsidR="00313EFF" w:rsidRPr="00467505" w:rsidRDefault="00313EFF" w:rsidP="00313EFF">
      <w:pPr>
        <w:pStyle w:val="sub3"/>
        <w:rPr>
          <w:rFonts w:ascii="Book Antiqua" w:hAnsi="Book Antiqua"/>
        </w:rPr>
      </w:pPr>
      <w:r w:rsidRPr="00467505">
        <w:rPr>
          <w:rFonts w:ascii="Book Antiqua" w:hAnsi="Book Antiqua"/>
        </w:rPr>
        <w:t>Beyond this, we also need to begin taking steps to acquire some resources that will be needed further out in the planning period, potentially by 2030 or slightly beyond, depending on the progress of electrification efforts in the next decade.</w:t>
      </w:r>
      <w:r w:rsidR="00C961F7" w:rsidRPr="00467505">
        <w:rPr>
          <w:rFonts w:ascii="Book Antiqua" w:hAnsi="Book Antiqua"/>
        </w:rPr>
        <w:t xml:space="preserve"> </w:t>
      </w:r>
      <w:r w:rsidR="00D0161E" w:rsidRPr="00467505">
        <w:rPr>
          <w:rFonts w:ascii="Book Antiqua" w:hAnsi="Book Antiqua"/>
        </w:rPr>
        <w:t xml:space="preserve"> </w:t>
      </w:r>
      <w:r w:rsidRPr="00467505">
        <w:rPr>
          <w:rFonts w:ascii="Book Antiqua" w:hAnsi="Book Antiqua"/>
        </w:rPr>
        <w:t xml:space="preserve">As the advocates for pumped hydro solutions </w:t>
      </w:r>
      <w:r w:rsidR="0046562E">
        <w:rPr>
          <w:rFonts w:ascii="Book Antiqua" w:hAnsi="Book Antiqua"/>
        </w:rPr>
        <w:t xml:space="preserve">and out-of-state wind </w:t>
      </w:r>
      <w:r w:rsidRPr="00467505">
        <w:rPr>
          <w:rFonts w:ascii="Book Antiqua" w:hAnsi="Book Antiqua"/>
        </w:rPr>
        <w:t xml:space="preserve">point out, there are very long lead times associated with the development of these types of resources, and we may not be able to wait until the end of the next IRP cycle to begin the procurement and development process. </w:t>
      </w:r>
    </w:p>
    <w:p w14:paraId="4FBA9260" w14:textId="77777777" w:rsidR="00313EFF" w:rsidRPr="00467505" w:rsidRDefault="00313EFF" w:rsidP="00313EFF">
      <w:pPr>
        <w:pStyle w:val="sub3"/>
        <w:rPr>
          <w:rFonts w:ascii="Book Antiqua" w:hAnsi="Book Antiqua"/>
        </w:rPr>
      </w:pPr>
      <w:r w:rsidRPr="00467505">
        <w:rPr>
          <w:rFonts w:ascii="Book Antiqua" w:hAnsi="Book Antiqua"/>
        </w:rPr>
        <w:t xml:space="preserve">For all of these reasons, we conclude that the appropriate way to make more progress, beyond just utilizing more appropriate planning assumptions, is to begin to conduct procurement processes for various types of resources. </w:t>
      </w:r>
      <w:r w:rsidR="00C961F7" w:rsidRPr="00467505">
        <w:rPr>
          <w:rFonts w:ascii="Book Antiqua" w:hAnsi="Book Antiqua"/>
        </w:rPr>
        <w:t xml:space="preserve"> </w:t>
      </w:r>
      <w:r w:rsidRPr="00467505">
        <w:rPr>
          <w:rFonts w:ascii="Book Antiqua" w:hAnsi="Book Antiqua"/>
        </w:rPr>
        <w:t>This will allow us to test our assumptions and begin the acquisition process for the types of resources that we need and want to support the transition to 2030.</w:t>
      </w:r>
      <w:r w:rsidR="00C835A5" w:rsidRPr="00467505">
        <w:rPr>
          <w:rFonts w:ascii="Book Antiqua" w:hAnsi="Book Antiqua"/>
        </w:rPr>
        <w:t xml:space="preserve"> </w:t>
      </w:r>
      <w:r w:rsidRPr="00467505">
        <w:rPr>
          <w:rFonts w:ascii="Book Antiqua" w:hAnsi="Book Antiqua"/>
        </w:rPr>
        <w:t xml:space="preserve"> Thus, we </w:t>
      </w:r>
      <w:r w:rsidR="000128F8">
        <w:rPr>
          <w:rFonts w:ascii="Book Antiqua" w:hAnsi="Book Antiqua"/>
        </w:rPr>
        <w:t>will</w:t>
      </w:r>
      <w:r w:rsidRPr="00467505">
        <w:rPr>
          <w:rFonts w:ascii="Book Antiqua" w:hAnsi="Book Antiqua"/>
        </w:rPr>
        <w:t xml:space="preserve"> open a “procurement track” in the IRP proceeding. </w:t>
      </w:r>
    </w:p>
    <w:p w14:paraId="438E4750" w14:textId="423D0378" w:rsidR="0047198F" w:rsidRDefault="0047198F" w:rsidP="00313EFF">
      <w:pPr>
        <w:pStyle w:val="sub3"/>
        <w:rPr>
          <w:rFonts w:ascii="Book Antiqua" w:hAnsi="Book Antiqua"/>
        </w:rPr>
      </w:pPr>
      <w:r>
        <w:rPr>
          <w:rFonts w:ascii="Book Antiqua" w:hAnsi="Book Antiqua"/>
        </w:rPr>
        <w:t xml:space="preserve">The procurement track will, at least initially, be focused on two types of procurement. </w:t>
      </w:r>
      <w:r w:rsidR="0066676F">
        <w:rPr>
          <w:rFonts w:ascii="Book Antiqua" w:hAnsi="Book Antiqua"/>
        </w:rPr>
        <w:t xml:space="preserve"> </w:t>
      </w:r>
      <w:r>
        <w:rPr>
          <w:rFonts w:ascii="Book Antiqua" w:hAnsi="Book Antiqua"/>
        </w:rPr>
        <w:t xml:space="preserve">First, in response to comments on the proposed decision by numerous parties representing individual or collective CCA interests, we agree that the primary responsibility for procurement rests with the individual LSEs to serve their own load. </w:t>
      </w:r>
      <w:r w:rsidR="0066676F">
        <w:rPr>
          <w:rFonts w:ascii="Book Antiqua" w:hAnsi="Book Antiqua"/>
        </w:rPr>
        <w:t xml:space="preserve"> </w:t>
      </w:r>
      <w:r>
        <w:rPr>
          <w:rFonts w:ascii="Book Antiqua" w:hAnsi="Book Antiqua"/>
        </w:rPr>
        <w:t>Our first purpose here in the procurement track, as suggested by TURN, will be to develop mechanisms for “backstop” procurement, in the event that an individual LSE or LSEs fail to procure the resources identified in their IRPs as necessary to fulfill their responsibilities for procurement.</w:t>
      </w:r>
      <w:r w:rsidR="0066676F">
        <w:rPr>
          <w:rFonts w:ascii="Book Antiqua" w:hAnsi="Book Antiqua"/>
        </w:rPr>
        <w:t xml:space="preserve"> </w:t>
      </w:r>
      <w:r>
        <w:rPr>
          <w:rFonts w:ascii="Book Antiqua" w:hAnsi="Book Antiqua"/>
        </w:rPr>
        <w:t xml:space="preserve"> This will also include necessary coordination with the RPS and resource adequacy requirements. </w:t>
      </w:r>
    </w:p>
    <w:p w14:paraId="4452AB1E" w14:textId="39BAF3ED" w:rsidR="0047198F" w:rsidRDefault="0047198F" w:rsidP="00313EFF">
      <w:pPr>
        <w:pStyle w:val="sub3"/>
        <w:rPr>
          <w:rFonts w:ascii="Book Antiqua" w:hAnsi="Book Antiqua"/>
        </w:rPr>
      </w:pPr>
      <w:r>
        <w:rPr>
          <w:rFonts w:ascii="Book Antiqua" w:hAnsi="Book Antiqua"/>
        </w:rPr>
        <w:t xml:space="preserve">The second aspect of procurement that we will address is procurement that may require collective action. </w:t>
      </w:r>
      <w:r w:rsidR="0066676F">
        <w:rPr>
          <w:rFonts w:ascii="Book Antiqua" w:hAnsi="Book Antiqua"/>
        </w:rPr>
        <w:t xml:space="preserve"> </w:t>
      </w:r>
      <w:r>
        <w:rPr>
          <w:rFonts w:ascii="Book Antiqua" w:hAnsi="Book Antiqua"/>
        </w:rPr>
        <w:t xml:space="preserve">That is, we will focus on procurement mechanisms to develop resources that one or a small number of LSEs may not be able to bring to fruition on their own. </w:t>
      </w:r>
    </w:p>
    <w:p w14:paraId="327B7CAF" w14:textId="77777777" w:rsidR="00313EFF" w:rsidRPr="00467505" w:rsidRDefault="00313EFF" w:rsidP="00313EFF">
      <w:pPr>
        <w:pStyle w:val="sub3"/>
        <w:rPr>
          <w:rFonts w:ascii="Book Antiqua" w:hAnsi="Book Antiqua"/>
        </w:rPr>
      </w:pPr>
      <w:r w:rsidRPr="00467505">
        <w:rPr>
          <w:rFonts w:ascii="Book Antiqua" w:hAnsi="Book Antiqua"/>
        </w:rPr>
        <w:t xml:space="preserve">In the procurement track, we will begin to tackle some of the critical questions we face in ensuring </w:t>
      </w:r>
      <w:r w:rsidR="009801D9">
        <w:rPr>
          <w:rFonts w:ascii="Book Antiqua" w:hAnsi="Book Antiqua"/>
        </w:rPr>
        <w:t xml:space="preserve">adequate clean resources and </w:t>
      </w:r>
      <w:r w:rsidRPr="00467505">
        <w:rPr>
          <w:rFonts w:ascii="Book Antiqua" w:hAnsi="Book Antiqua"/>
        </w:rPr>
        <w:t>reliability</w:t>
      </w:r>
      <w:r w:rsidR="009801D9">
        <w:rPr>
          <w:rFonts w:ascii="Book Antiqua" w:hAnsi="Book Antiqua"/>
        </w:rPr>
        <w:t>, at lowest cost,</w:t>
      </w:r>
      <w:r w:rsidRPr="00467505">
        <w:rPr>
          <w:rFonts w:ascii="Book Antiqua" w:hAnsi="Book Antiqua"/>
        </w:rPr>
        <w:t xml:space="preserve"> through 2030, including:</w:t>
      </w:r>
    </w:p>
    <w:p w14:paraId="466B16CC" w14:textId="77777777" w:rsidR="00313EFF" w:rsidRPr="00467505" w:rsidRDefault="00313EFF" w:rsidP="00D84A09">
      <w:pPr>
        <w:pStyle w:val="sub3"/>
        <w:numPr>
          <w:ilvl w:val="0"/>
          <w:numId w:val="10"/>
        </w:numPr>
        <w:spacing w:after="160" w:line="240" w:lineRule="auto"/>
        <w:ind w:right="720"/>
        <w:rPr>
          <w:rFonts w:ascii="Book Antiqua" w:hAnsi="Book Antiqua"/>
        </w:rPr>
      </w:pPr>
      <w:r w:rsidRPr="00467505">
        <w:rPr>
          <w:rFonts w:ascii="Book Antiqua" w:hAnsi="Book Antiqua"/>
        </w:rPr>
        <w:t>Who will procure?</w:t>
      </w:r>
    </w:p>
    <w:p w14:paraId="1556660E" w14:textId="77777777" w:rsidR="00313EFF" w:rsidRPr="00467505" w:rsidRDefault="00313EFF" w:rsidP="00D84A09">
      <w:pPr>
        <w:pStyle w:val="sub3"/>
        <w:numPr>
          <w:ilvl w:val="0"/>
          <w:numId w:val="10"/>
        </w:numPr>
        <w:spacing w:after="160" w:line="240" w:lineRule="auto"/>
        <w:ind w:right="720"/>
        <w:rPr>
          <w:rFonts w:ascii="Book Antiqua" w:hAnsi="Book Antiqua"/>
        </w:rPr>
      </w:pPr>
      <w:r w:rsidRPr="00467505">
        <w:rPr>
          <w:rFonts w:ascii="Book Antiqua" w:hAnsi="Book Antiqua"/>
        </w:rPr>
        <w:t>Will all entities procure, or will some just have their customers pay?</w:t>
      </w:r>
    </w:p>
    <w:p w14:paraId="2E95E7AD" w14:textId="77777777" w:rsidR="00313EFF" w:rsidRPr="00467505" w:rsidRDefault="00313EFF" w:rsidP="00D84A09">
      <w:pPr>
        <w:pStyle w:val="sub3"/>
        <w:numPr>
          <w:ilvl w:val="0"/>
          <w:numId w:val="10"/>
        </w:numPr>
        <w:spacing w:after="160" w:line="240" w:lineRule="auto"/>
        <w:ind w:right="720"/>
        <w:rPr>
          <w:rFonts w:ascii="Book Antiqua" w:hAnsi="Book Antiqua"/>
        </w:rPr>
      </w:pPr>
      <w:r w:rsidRPr="00467505">
        <w:rPr>
          <w:rFonts w:ascii="Book Antiqua" w:hAnsi="Book Antiqua"/>
        </w:rPr>
        <w:t>What types of resources and how much should be procured</w:t>
      </w:r>
      <w:r w:rsidR="0046562E">
        <w:rPr>
          <w:rFonts w:ascii="Book Antiqua" w:hAnsi="Book Antiqua"/>
        </w:rPr>
        <w:t>, and by when</w:t>
      </w:r>
      <w:r w:rsidRPr="00467505">
        <w:rPr>
          <w:rFonts w:ascii="Book Antiqua" w:hAnsi="Book Antiqua"/>
        </w:rPr>
        <w:t>?</w:t>
      </w:r>
    </w:p>
    <w:p w14:paraId="47E5A15A" w14:textId="77777777" w:rsidR="00313EFF" w:rsidRPr="00467505" w:rsidRDefault="00313EFF" w:rsidP="00D84A09">
      <w:pPr>
        <w:pStyle w:val="sub3"/>
        <w:numPr>
          <w:ilvl w:val="0"/>
          <w:numId w:val="10"/>
        </w:numPr>
        <w:spacing w:after="160" w:line="240" w:lineRule="auto"/>
        <w:ind w:right="720"/>
        <w:rPr>
          <w:rFonts w:ascii="Book Antiqua" w:hAnsi="Book Antiqua"/>
        </w:rPr>
      </w:pPr>
      <w:r w:rsidRPr="00467505">
        <w:rPr>
          <w:rFonts w:ascii="Book Antiqua" w:hAnsi="Book Antiqua"/>
        </w:rPr>
        <w:t>How will we handle the potential need for joint procurement among multiple smaller entities, for large resources? What procurement implementation ideas can we draw from the upcoming workshops to be held in the resource adequacy rulemaking?</w:t>
      </w:r>
    </w:p>
    <w:p w14:paraId="4F6BDACD" w14:textId="77777777" w:rsidR="00313EFF" w:rsidRPr="00467505" w:rsidRDefault="00313EFF" w:rsidP="00D84A09">
      <w:pPr>
        <w:pStyle w:val="sub3"/>
        <w:numPr>
          <w:ilvl w:val="0"/>
          <w:numId w:val="10"/>
        </w:numPr>
        <w:spacing w:after="160" w:line="240" w:lineRule="auto"/>
        <w:ind w:right="720"/>
        <w:rPr>
          <w:rFonts w:ascii="Book Antiqua" w:hAnsi="Book Antiqua"/>
        </w:rPr>
      </w:pPr>
      <w:r w:rsidRPr="00467505">
        <w:rPr>
          <w:rFonts w:ascii="Book Antiqua" w:hAnsi="Book Antiqua"/>
        </w:rPr>
        <w:t xml:space="preserve">Should we place limits on the amount of uncontracted and/or unspecified power to serve load in particular years throughout the planning horizon, to ensure sufficient resource availability and more precisely identify procurement need? </w:t>
      </w:r>
    </w:p>
    <w:p w14:paraId="77B5D3E5" w14:textId="77777777" w:rsidR="00DC02BE" w:rsidRDefault="00DC02BE" w:rsidP="00D84A09">
      <w:pPr>
        <w:pStyle w:val="sub3"/>
        <w:numPr>
          <w:ilvl w:val="0"/>
          <w:numId w:val="10"/>
        </w:numPr>
        <w:spacing w:after="160" w:line="240" w:lineRule="auto"/>
        <w:ind w:right="720"/>
        <w:rPr>
          <w:rFonts w:ascii="Book Antiqua" w:hAnsi="Book Antiqua"/>
        </w:rPr>
      </w:pPr>
      <w:r>
        <w:rPr>
          <w:rFonts w:ascii="Book Antiqua" w:hAnsi="Book Antiqua"/>
        </w:rPr>
        <w:t xml:space="preserve">Should all LSEs be required to show, in their individual IRPs, that they are procuring a resource mix proportional or partially proportional to the mix in the adopted reference or preferred </w:t>
      </w:r>
      <w:r w:rsidR="00BB2D83">
        <w:rPr>
          <w:rFonts w:ascii="Book Antiqua" w:hAnsi="Book Antiqua"/>
        </w:rPr>
        <w:t xml:space="preserve">system </w:t>
      </w:r>
      <w:r>
        <w:rPr>
          <w:rFonts w:ascii="Book Antiqua" w:hAnsi="Book Antiqua"/>
        </w:rPr>
        <w:t>portfolio?</w:t>
      </w:r>
    </w:p>
    <w:p w14:paraId="158EE7D6" w14:textId="77777777" w:rsidR="00313EFF" w:rsidRPr="00467505" w:rsidRDefault="00313EFF" w:rsidP="00D84A09">
      <w:pPr>
        <w:pStyle w:val="sub3"/>
        <w:numPr>
          <w:ilvl w:val="0"/>
          <w:numId w:val="10"/>
        </w:numPr>
        <w:spacing w:after="160" w:line="240" w:lineRule="auto"/>
        <w:ind w:right="720"/>
        <w:rPr>
          <w:rFonts w:ascii="Book Antiqua" w:hAnsi="Book Antiqua"/>
        </w:rPr>
      </w:pPr>
      <w:r w:rsidRPr="00467505">
        <w:rPr>
          <w:rFonts w:ascii="Book Antiqua" w:hAnsi="Book Antiqua"/>
        </w:rPr>
        <w:t>How will GHG emissions profiles from such resources be identified and assigned to all benefiting LSEs?</w:t>
      </w:r>
    </w:p>
    <w:p w14:paraId="2660C919" w14:textId="77777777" w:rsidR="00313EFF" w:rsidRPr="00467505" w:rsidRDefault="00313EFF" w:rsidP="00313EFF">
      <w:pPr>
        <w:pStyle w:val="sub3"/>
        <w:rPr>
          <w:rFonts w:ascii="Book Antiqua" w:hAnsi="Book Antiqua"/>
        </w:rPr>
      </w:pPr>
      <w:r w:rsidRPr="00467505">
        <w:rPr>
          <w:rFonts w:ascii="Book Antiqua" w:hAnsi="Book Antiqua"/>
        </w:rPr>
        <w:t>In answering the above questions, we will be focused on procurement activities addressing the following types of resources, with these types of specific attributes:</w:t>
      </w:r>
    </w:p>
    <w:p w14:paraId="6A0F7B14" w14:textId="77777777" w:rsidR="009801D9" w:rsidRDefault="009801D9" w:rsidP="00D84A09">
      <w:pPr>
        <w:pStyle w:val="sub3"/>
        <w:numPr>
          <w:ilvl w:val="0"/>
          <w:numId w:val="11"/>
        </w:numPr>
        <w:spacing w:after="160" w:line="240" w:lineRule="auto"/>
        <w:ind w:left="1080" w:right="720"/>
        <w:rPr>
          <w:rFonts w:ascii="Book Antiqua" w:hAnsi="Book Antiqua"/>
        </w:rPr>
      </w:pPr>
      <w:r>
        <w:rPr>
          <w:rFonts w:ascii="Book Antiqua" w:hAnsi="Book Antiqua"/>
        </w:rPr>
        <w:t>Diverse renewable resources in the near term</w:t>
      </w:r>
      <w:r w:rsidR="00BB2D83">
        <w:rPr>
          <w:rFonts w:ascii="Book Antiqua" w:hAnsi="Book Antiqua"/>
        </w:rPr>
        <w:t>,</w:t>
      </w:r>
      <w:r>
        <w:rPr>
          <w:rFonts w:ascii="Book Antiqua" w:hAnsi="Book Antiqua"/>
        </w:rPr>
        <w:t xml:space="preserve"> </w:t>
      </w:r>
      <w:r w:rsidR="00171A8B">
        <w:rPr>
          <w:rFonts w:ascii="Book Antiqua" w:hAnsi="Book Antiqua"/>
        </w:rPr>
        <w:t xml:space="preserve">to reduce reliance on fossil-fueled generation and </w:t>
      </w:r>
      <w:r>
        <w:rPr>
          <w:rFonts w:ascii="Book Antiqua" w:hAnsi="Book Antiqua"/>
        </w:rPr>
        <w:t>at levels sufficient to reach the 2030 optimized portfolio</w:t>
      </w:r>
      <w:r w:rsidR="005D3A32">
        <w:rPr>
          <w:rFonts w:ascii="Book Antiqua" w:hAnsi="Book Antiqua"/>
        </w:rPr>
        <w:t>, in coordination with the RPS program</w:t>
      </w:r>
    </w:p>
    <w:p w14:paraId="6EF1948A" w14:textId="77777777" w:rsidR="00313EFF" w:rsidRPr="00467505" w:rsidRDefault="00313EFF" w:rsidP="00D84A09">
      <w:pPr>
        <w:pStyle w:val="sub3"/>
        <w:numPr>
          <w:ilvl w:val="0"/>
          <w:numId w:val="11"/>
        </w:numPr>
        <w:spacing w:after="160" w:line="240" w:lineRule="auto"/>
        <w:ind w:left="1080" w:right="720"/>
        <w:rPr>
          <w:rFonts w:ascii="Book Antiqua" w:hAnsi="Book Antiqua"/>
        </w:rPr>
      </w:pPr>
      <w:r w:rsidRPr="00467505">
        <w:rPr>
          <w:rFonts w:ascii="Book Antiqua" w:hAnsi="Book Antiqua"/>
        </w:rPr>
        <w:t>Near</w:t>
      </w:r>
      <w:r w:rsidR="00D84A09" w:rsidRPr="00467505">
        <w:rPr>
          <w:rFonts w:ascii="Book Antiqua" w:hAnsi="Book Antiqua"/>
        </w:rPr>
        <w:noBreakHyphen/>
      </w:r>
      <w:r w:rsidRPr="00467505">
        <w:rPr>
          <w:rFonts w:ascii="Book Antiqua" w:hAnsi="Book Antiqua"/>
        </w:rPr>
        <w:t>term resources with load following and hourly or intra</w:t>
      </w:r>
      <w:r w:rsidR="00D84A09" w:rsidRPr="00467505">
        <w:rPr>
          <w:rFonts w:ascii="Book Antiqua" w:hAnsi="Book Antiqua"/>
        </w:rPr>
        <w:noBreakHyphen/>
      </w:r>
      <w:r w:rsidRPr="00467505">
        <w:rPr>
          <w:rFonts w:ascii="Book Antiqua" w:hAnsi="Book Antiqua"/>
        </w:rPr>
        <w:t>hour renewable integration capabilities</w:t>
      </w:r>
    </w:p>
    <w:p w14:paraId="44DC7003" w14:textId="77777777" w:rsidR="00313EFF" w:rsidRPr="00467505" w:rsidRDefault="00313EFF" w:rsidP="00D84A09">
      <w:pPr>
        <w:pStyle w:val="sub3"/>
        <w:numPr>
          <w:ilvl w:val="0"/>
          <w:numId w:val="11"/>
        </w:numPr>
        <w:spacing w:after="160" w:line="240" w:lineRule="auto"/>
        <w:ind w:left="1080" w:right="720"/>
        <w:rPr>
          <w:rFonts w:ascii="Book Antiqua" w:hAnsi="Book Antiqua"/>
        </w:rPr>
      </w:pPr>
      <w:r w:rsidRPr="00467505">
        <w:rPr>
          <w:rFonts w:ascii="Book Antiqua" w:hAnsi="Book Antiqua"/>
        </w:rPr>
        <w:t>Existing natural gas resources</w:t>
      </w:r>
      <w:r w:rsidR="00171A8B">
        <w:rPr>
          <w:rFonts w:ascii="Book Antiqua" w:hAnsi="Book Antiqua"/>
        </w:rPr>
        <w:t xml:space="preserve"> at minimal levels consistent with reliability needs</w:t>
      </w:r>
    </w:p>
    <w:p w14:paraId="57C202EC" w14:textId="6AF21260" w:rsidR="00313EFF" w:rsidRPr="00467505" w:rsidRDefault="00313EFF" w:rsidP="00D84A09">
      <w:pPr>
        <w:pStyle w:val="sub3"/>
        <w:numPr>
          <w:ilvl w:val="0"/>
          <w:numId w:val="11"/>
        </w:numPr>
        <w:spacing w:after="160" w:line="240" w:lineRule="auto"/>
        <w:ind w:left="1080" w:right="720"/>
        <w:rPr>
          <w:rFonts w:ascii="Book Antiqua" w:hAnsi="Book Antiqua"/>
        </w:rPr>
      </w:pPr>
      <w:r w:rsidRPr="00467505">
        <w:rPr>
          <w:rFonts w:ascii="Book Antiqua" w:hAnsi="Book Antiqua"/>
        </w:rPr>
        <w:t>Long</w:t>
      </w:r>
      <w:r w:rsidR="00D84A09" w:rsidRPr="00467505">
        <w:rPr>
          <w:rFonts w:ascii="Book Antiqua" w:hAnsi="Book Antiqua"/>
        </w:rPr>
        <w:noBreakHyphen/>
      </w:r>
      <w:r w:rsidRPr="00467505">
        <w:rPr>
          <w:rFonts w:ascii="Book Antiqua" w:hAnsi="Book Antiqua"/>
        </w:rPr>
        <w:t>duration storage</w:t>
      </w:r>
      <w:r w:rsidR="00D632A1">
        <w:rPr>
          <w:rFonts w:ascii="Book Antiqua" w:hAnsi="Book Antiqua"/>
        </w:rPr>
        <w:t>, approached in a technology-neutral manner</w:t>
      </w:r>
      <w:r w:rsidRPr="00467505">
        <w:rPr>
          <w:rFonts w:ascii="Book Antiqua" w:hAnsi="Book Antiqua"/>
        </w:rPr>
        <w:t>.</w:t>
      </w:r>
    </w:p>
    <w:p w14:paraId="48F6FDC9" w14:textId="77777777" w:rsidR="003D2E8C" w:rsidRPr="00467505" w:rsidRDefault="00313EFF" w:rsidP="003D2E8C">
      <w:pPr>
        <w:pStyle w:val="sub3"/>
        <w:rPr>
          <w:rFonts w:ascii="Book Antiqua" w:hAnsi="Book Antiqua"/>
        </w:rPr>
      </w:pPr>
      <w:r w:rsidRPr="00467505">
        <w:rPr>
          <w:rFonts w:ascii="Book Antiqua" w:hAnsi="Book Antiqua"/>
        </w:rPr>
        <w:t xml:space="preserve">We are open to adding focus on additional resource types and attributes, depending on comments from parties. </w:t>
      </w:r>
      <w:r w:rsidR="00C835A5" w:rsidRPr="00467505">
        <w:rPr>
          <w:rFonts w:ascii="Book Antiqua" w:hAnsi="Book Antiqua"/>
        </w:rPr>
        <w:t xml:space="preserve"> </w:t>
      </w:r>
      <w:r w:rsidR="003D2E8C">
        <w:rPr>
          <w:rFonts w:ascii="Book Antiqua" w:hAnsi="Book Antiqua"/>
        </w:rPr>
        <w:t xml:space="preserve">The procurement track will examine resource types, as well as the optimal locations for procuring those resources. </w:t>
      </w:r>
    </w:p>
    <w:p w14:paraId="4672F0FE" w14:textId="3B441F38" w:rsidR="00EB14AD" w:rsidRDefault="00C0377F" w:rsidP="00313EFF">
      <w:pPr>
        <w:pStyle w:val="sub3"/>
        <w:rPr>
          <w:rFonts w:ascii="Book Antiqua" w:hAnsi="Book Antiqua"/>
        </w:rPr>
      </w:pPr>
      <w:r>
        <w:rPr>
          <w:rFonts w:ascii="Book Antiqua" w:hAnsi="Book Antiqua"/>
        </w:rPr>
        <w:t xml:space="preserve">We decline to remove consideration of the needs of existing natural gas resources, as requested by numerous parties in comments on the proposed decision, suggesting that we instead address natural gas needs in the resource adequacy proceeding only. </w:t>
      </w:r>
      <w:r w:rsidR="0066676F">
        <w:rPr>
          <w:rFonts w:ascii="Book Antiqua" w:hAnsi="Book Antiqua"/>
        </w:rPr>
        <w:t xml:space="preserve"> </w:t>
      </w:r>
      <w:r>
        <w:rPr>
          <w:rFonts w:ascii="Book Antiqua" w:hAnsi="Book Antiqua"/>
        </w:rPr>
        <w:t>While the resource adequacy proceeding is focused on near-term reliability, especially in locally-constrained areas, here we are focused on medium</w:t>
      </w:r>
      <w:r w:rsidR="009D3B91">
        <w:rPr>
          <w:rFonts w:ascii="Book Antiqua" w:hAnsi="Book Antiqua"/>
        </w:rPr>
        <w:t>-</w:t>
      </w:r>
      <w:r>
        <w:rPr>
          <w:rFonts w:ascii="Book Antiqua" w:hAnsi="Book Antiqua"/>
        </w:rPr>
        <w:t xml:space="preserve"> and long</w:t>
      </w:r>
      <w:r w:rsidR="009D3B91">
        <w:rPr>
          <w:rFonts w:ascii="Book Antiqua" w:hAnsi="Book Antiqua"/>
        </w:rPr>
        <w:t>-</w:t>
      </w:r>
      <w:r>
        <w:rPr>
          <w:rFonts w:ascii="Book Antiqua" w:hAnsi="Book Antiqua"/>
        </w:rPr>
        <w:t>term needs, though not necessarily long-term contracting</w:t>
      </w:r>
      <w:r w:rsidR="009D3B91">
        <w:rPr>
          <w:rFonts w:ascii="Book Antiqua" w:hAnsi="Book Antiqua"/>
        </w:rPr>
        <w:t xml:space="preserve"> for gas</w:t>
      </w:r>
      <w:r>
        <w:rPr>
          <w:rFonts w:ascii="Book Antiqua" w:hAnsi="Book Antiqua"/>
        </w:rPr>
        <w:t>.</w:t>
      </w:r>
      <w:r w:rsidR="0066676F">
        <w:rPr>
          <w:rFonts w:ascii="Book Antiqua" w:hAnsi="Book Antiqua"/>
        </w:rPr>
        <w:t xml:space="preserve">  </w:t>
      </w:r>
      <w:r w:rsidR="009D3B91">
        <w:rPr>
          <w:rFonts w:ascii="Book Antiqua" w:hAnsi="Book Antiqua"/>
        </w:rPr>
        <w:t>We have amended the language above related to natural gas resources to make clear that while we do assume that some natural gas is needed through at least 2030, we will continue to focus on displacing as much natural gas as possible to reach our emissions goals, consistent with maintaining a reliable electric system.</w:t>
      </w:r>
      <w:r>
        <w:rPr>
          <w:rFonts w:ascii="Book Antiqua" w:hAnsi="Book Antiqua"/>
        </w:rPr>
        <w:t xml:space="preserve"> </w:t>
      </w:r>
    </w:p>
    <w:p w14:paraId="42942C78" w14:textId="0CF45E89" w:rsidR="00EB14AD" w:rsidRDefault="00EB14AD" w:rsidP="00313EFF">
      <w:pPr>
        <w:pStyle w:val="sub3"/>
        <w:rPr>
          <w:rFonts w:ascii="Book Antiqua" w:hAnsi="Book Antiqua"/>
        </w:rPr>
      </w:pPr>
      <w:r>
        <w:rPr>
          <w:rFonts w:ascii="Book Antiqua" w:hAnsi="Book Antiqua"/>
        </w:rPr>
        <w:t>We will also include in the procurement track consideration of the type of trigger mechanism proposed by SCE</w:t>
      </w:r>
      <w:r w:rsidR="008E7154">
        <w:rPr>
          <w:rFonts w:ascii="Book Antiqua" w:hAnsi="Book Antiqua"/>
        </w:rPr>
        <w:t xml:space="preserve"> and supported by CESA</w:t>
      </w:r>
      <w:r>
        <w:rPr>
          <w:rFonts w:ascii="Book Antiqua" w:hAnsi="Book Antiqua"/>
        </w:rPr>
        <w:t xml:space="preserve">. </w:t>
      </w:r>
      <w:r w:rsidR="0066676F">
        <w:rPr>
          <w:rFonts w:ascii="Book Antiqua" w:hAnsi="Book Antiqua"/>
        </w:rPr>
        <w:t xml:space="preserve"> </w:t>
      </w:r>
      <w:r w:rsidR="008E7154">
        <w:rPr>
          <w:rFonts w:ascii="Book Antiqua" w:hAnsi="Book Antiqua"/>
        </w:rPr>
        <w:t>While we do not here adopt the specific aspects of the SCE proposal, d</w:t>
      </w:r>
      <w:r>
        <w:rPr>
          <w:rFonts w:ascii="Book Antiqua" w:hAnsi="Book Antiqua"/>
        </w:rPr>
        <w:t xml:space="preserve">evelopment of an option where certain automatic processes begin when certain market conditions are met may be an effective way of meeting reliability challenges, especially in the near term. </w:t>
      </w:r>
      <w:r w:rsidR="0066676F">
        <w:rPr>
          <w:rFonts w:ascii="Book Antiqua" w:hAnsi="Book Antiqua"/>
        </w:rPr>
        <w:t xml:space="preserve"> </w:t>
      </w:r>
      <w:r w:rsidR="008E7154">
        <w:rPr>
          <w:rFonts w:ascii="Book Antiqua" w:hAnsi="Book Antiqua"/>
        </w:rPr>
        <w:t xml:space="preserve">We will examine these options further in the procurement track. </w:t>
      </w:r>
    </w:p>
    <w:p w14:paraId="096ACDDC" w14:textId="63B7E0B6" w:rsidR="003D2E8C" w:rsidRDefault="00313EFF" w:rsidP="00313EFF">
      <w:pPr>
        <w:pStyle w:val="sub3"/>
        <w:rPr>
          <w:rFonts w:ascii="Book Antiqua" w:hAnsi="Book Antiqua"/>
        </w:rPr>
      </w:pPr>
      <w:r w:rsidRPr="00467505">
        <w:rPr>
          <w:rFonts w:ascii="Book Antiqua" w:hAnsi="Book Antiqua"/>
        </w:rPr>
        <w:t xml:space="preserve">We intend to begin to address these issues in Summer 2019. </w:t>
      </w:r>
    </w:p>
    <w:p w14:paraId="616827D8" w14:textId="77777777" w:rsidR="0028499F" w:rsidRPr="00467505" w:rsidRDefault="00313EFF" w:rsidP="00313EFF">
      <w:pPr>
        <w:pStyle w:val="sub3"/>
        <w:rPr>
          <w:rFonts w:ascii="Book Antiqua" w:hAnsi="Book Antiqua"/>
        </w:rPr>
      </w:pPr>
      <w:r w:rsidRPr="00467505">
        <w:rPr>
          <w:rFonts w:ascii="Book Antiqua" w:hAnsi="Book Antiqua"/>
        </w:rPr>
        <w:t xml:space="preserve">Finally, on the subject of some parties’ comments on centralized capacity markets, we reiterate, as we stated in the recent resource adequacy decision, that our concern is that solutions be crafted that maintain California’s control over its electricity resource choices to serve load in the state, as well as the retail energy markets. </w:t>
      </w:r>
      <w:r w:rsidR="00C835A5" w:rsidRPr="00467505">
        <w:rPr>
          <w:rFonts w:ascii="Book Antiqua" w:hAnsi="Book Antiqua"/>
        </w:rPr>
        <w:t xml:space="preserve"> </w:t>
      </w:r>
      <w:r w:rsidRPr="00467505">
        <w:rPr>
          <w:rFonts w:ascii="Book Antiqua" w:hAnsi="Book Antiqua"/>
        </w:rPr>
        <w:t xml:space="preserve">The electricity resource choices, and California’s control over them, are the ultimate purpose of the IRP process. </w:t>
      </w:r>
      <w:r w:rsidR="00C835A5" w:rsidRPr="00467505">
        <w:rPr>
          <w:rFonts w:ascii="Book Antiqua" w:hAnsi="Book Antiqua"/>
        </w:rPr>
        <w:t xml:space="preserve"> </w:t>
      </w:r>
      <w:r w:rsidRPr="00467505">
        <w:rPr>
          <w:rFonts w:ascii="Book Antiqua" w:hAnsi="Book Antiqua"/>
        </w:rPr>
        <w:t xml:space="preserve">Should any viable centralized capacity market options emerge from the process being undertaken in the resource adequacy proceeding, we may consider them further here in the context of the IRP process and proceeding. </w:t>
      </w:r>
    </w:p>
    <w:p w14:paraId="73CD68C6" w14:textId="77777777" w:rsidR="00FF2105" w:rsidRDefault="00FF2105" w:rsidP="00FF2105">
      <w:pPr>
        <w:pStyle w:val="Heading1"/>
      </w:pPr>
      <w:bookmarkStart w:id="145" w:name="_Toc3803858"/>
      <w:r>
        <w:t>Diablo Canyon</w:t>
      </w:r>
      <w:bookmarkEnd w:id="145"/>
    </w:p>
    <w:p w14:paraId="2A3975EF" w14:textId="77777777" w:rsidR="00FF2105" w:rsidRDefault="00FF2105" w:rsidP="004C75AB">
      <w:pPr>
        <w:pStyle w:val="Heading2"/>
      </w:pPr>
      <w:bookmarkStart w:id="146" w:name="_Toc3803859"/>
      <w:r>
        <w:t>Joint Parties’ Petition for Modification of D.18</w:t>
      </w:r>
      <w:r w:rsidR="00D84A09">
        <w:noBreakHyphen/>
      </w:r>
      <w:r>
        <w:t>02</w:t>
      </w:r>
      <w:r w:rsidR="00D84A09">
        <w:noBreakHyphen/>
      </w:r>
      <w:r>
        <w:t>018</w:t>
      </w:r>
      <w:bookmarkEnd w:id="146"/>
    </w:p>
    <w:p w14:paraId="796E0AFE" w14:textId="77777777" w:rsidR="00FF2105" w:rsidRPr="00467505" w:rsidRDefault="00FF2105" w:rsidP="00FF2105">
      <w:pPr>
        <w:pStyle w:val="sub3"/>
        <w:rPr>
          <w:rFonts w:ascii="Book Antiqua" w:hAnsi="Book Antiqua"/>
        </w:rPr>
      </w:pPr>
      <w:r w:rsidRPr="00467505">
        <w:rPr>
          <w:rFonts w:ascii="Book Antiqua" w:hAnsi="Book Antiqua"/>
        </w:rPr>
        <w:t xml:space="preserve">On February 28, 2018, </w:t>
      </w:r>
      <w:r w:rsidR="006D5B14">
        <w:rPr>
          <w:rFonts w:ascii="Book Antiqua" w:hAnsi="Book Antiqua"/>
        </w:rPr>
        <w:t>Friends of the Earth (</w:t>
      </w:r>
      <w:r w:rsidRPr="006D5B14">
        <w:rPr>
          <w:rFonts w:ascii="Book Antiqua" w:hAnsi="Book Antiqua"/>
        </w:rPr>
        <w:t>FOE</w:t>
      </w:r>
      <w:r w:rsidR="003A7F82" w:rsidRPr="006D5B14">
        <w:rPr>
          <w:rFonts w:ascii="Book Antiqua" w:hAnsi="Book Antiqua"/>
        </w:rPr>
        <w:t>)</w:t>
      </w:r>
      <w:r w:rsidRPr="006D5B14">
        <w:rPr>
          <w:rFonts w:ascii="Book Antiqua" w:hAnsi="Book Antiqua"/>
        </w:rPr>
        <w:t>,</w:t>
      </w:r>
      <w:r w:rsidRPr="00467505">
        <w:rPr>
          <w:rFonts w:ascii="Book Antiqua" w:hAnsi="Book Antiqua"/>
        </w:rPr>
        <w:t xml:space="preserve"> NRDC, CURE, and PG&amp;E (Joint Parties) filed a Joint Petition for modification (Joint PFM) of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w:t>
      </w:r>
      <w:r w:rsidR="00C835A5" w:rsidRPr="00467505">
        <w:rPr>
          <w:rFonts w:ascii="Book Antiqua" w:hAnsi="Book Antiqua"/>
        </w:rPr>
        <w:t xml:space="preserve"> </w:t>
      </w:r>
      <w:r w:rsidRPr="00467505">
        <w:rPr>
          <w:rFonts w:ascii="Book Antiqua" w:hAnsi="Book Antiqua"/>
        </w:rPr>
        <w:t>The Joint PFM argues that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only provides direction in the event that two generators at Diablo Canyon Power Plant (Diablo Canyon) are retired earlier than 2024</w:t>
      </w:r>
      <w:r w:rsidR="00D84A09" w:rsidRPr="00467505">
        <w:rPr>
          <w:rFonts w:ascii="Book Antiqua" w:hAnsi="Book Antiqua"/>
        </w:rPr>
        <w:noBreakHyphen/>
      </w:r>
      <w:r w:rsidRPr="00467505">
        <w:rPr>
          <w:rFonts w:ascii="Book Antiqua" w:hAnsi="Book Antiqua"/>
        </w:rPr>
        <w:t>2025, which are the planned retirement dates for the two units.</w:t>
      </w:r>
      <w:r w:rsidR="00C835A5" w:rsidRPr="00467505">
        <w:rPr>
          <w:rFonts w:ascii="Book Antiqua" w:hAnsi="Book Antiqua"/>
        </w:rPr>
        <w:t xml:space="preserve"> </w:t>
      </w:r>
      <w:r w:rsidRPr="00467505">
        <w:rPr>
          <w:rFonts w:ascii="Book Antiqua" w:hAnsi="Book Antiqua"/>
        </w:rPr>
        <w:t xml:space="preserve"> The Joint Parties claim that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provides no direction at all for replacement resources for that planned retirement. </w:t>
      </w:r>
      <w:r w:rsidR="00C835A5" w:rsidRPr="00467505">
        <w:rPr>
          <w:rFonts w:ascii="Book Antiqua" w:hAnsi="Book Antiqua"/>
        </w:rPr>
        <w:t xml:space="preserve"> </w:t>
      </w:r>
      <w:r w:rsidRPr="00467505">
        <w:rPr>
          <w:rFonts w:ascii="Book Antiqua" w:hAnsi="Book Antiqua"/>
        </w:rPr>
        <w:t>Meanwhile, according to the Joint Parties, D.18</w:t>
      </w:r>
      <w:r w:rsidR="00D84A09" w:rsidRPr="00467505">
        <w:rPr>
          <w:rFonts w:ascii="Book Antiqua" w:hAnsi="Book Antiqua"/>
        </w:rPr>
        <w:noBreakHyphen/>
      </w:r>
      <w:r w:rsidRPr="00467505">
        <w:rPr>
          <w:rFonts w:ascii="Book Antiqua" w:hAnsi="Book Antiqua"/>
        </w:rPr>
        <w:t>01</w:t>
      </w:r>
      <w:r w:rsidR="00D84A09" w:rsidRPr="00467505">
        <w:rPr>
          <w:rFonts w:ascii="Book Antiqua" w:hAnsi="Book Antiqua"/>
        </w:rPr>
        <w:noBreakHyphen/>
      </w:r>
      <w:r w:rsidRPr="00467505">
        <w:rPr>
          <w:rFonts w:ascii="Book Antiqua" w:hAnsi="Book Antiqua"/>
        </w:rPr>
        <w:t xml:space="preserve">022, which approved the retirement of Diablo Canyon, stated that it was the intent of the Commission to avoid any increase in GHG emissions from the closure of Diablo Canyon and that any actions to that effect would be considered in this proceeding. </w:t>
      </w:r>
    </w:p>
    <w:p w14:paraId="0DA8A2D2" w14:textId="77777777" w:rsidR="00FF2105" w:rsidRPr="00467505" w:rsidRDefault="00FF2105" w:rsidP="00FF2105">
      <w:pPr>
        <w:pStyle w:val="sub3"/>
        <w:rPr>
          <w:rFonts w:ascii="Book Antiqua" w:hAnsi="Book Antiqua"/>
        </w:rPr>
      </w:pPr>
      <w:r w:rsidRPr="00467505">
        <w:rPr>
          <w:rFonts w:ascii="Book Antiqua" w:hAnsi="Book Antiqua"/>
        </w:rPr>
        <w:t>Further, the Joint Parties point out that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when addressing the potential for early retirement of Diablo Canyon, only addressed any requirements to PG&amp;E and not to any other LSEs.  In addition, they argue</w:t>
      </w:r>
      <w:r w:rsidR="0046562E">
        <w:rPr>
          <w:rFonts w:ascii="Book Antiqua" w:hAnsi="Book Antiqua"/>
        </w:rPr>
        <w:t>d</w:t>
      </w:r>
      <w:r w:rsidRPr="00467505">
        <w:rPr>
          <w:rFonts w:ascii="Book Antiqua" w:hAnsi="Book Antiqua"/>
        </w:rPr>
        <w:t xml:space="preserve"> that when the San Onofre Nuclear Generation Station (SONGS) was closed unexpectedly, the state faced an instantaneous replacement of mostly fossil</w:t>
      </w:r>
      <w:r w:rsidR="00D84A09" w:rsidRPr="00467505">
        <w:rPr>
          <w:rFonts w:ascii="Book Antiqua" w:hAnsi="Book Antiqua"/>
        </w:rPr>
        <w:noBreakHyphen/>
      </w:r>
      <w:r w:rsidRPr="00467505">
        <w:rPr>
          <w:rFonts w:ascii="Book Antiqua" w:hAnsi="Book Antiqua"/>
        </w:rPr>
        <w:t xml:space="preserve">fueled energy, worsening the contribution of GHG emissions from the electric sector. </w:t>
      </w:r>
    </w:p>
    <w:p w14:paraId="197AFF2C" w14:textId="77777777" w:rsidR="00FF2105" w:rsidRDefault="00FF2105" w:rsidP="004C75AB">
      <w:pPr>
        <w:pStyle w:val="Heading2"/>
      </w:pPr>
      <w:bookmarkStart w:id="147" w:name="_Toc3803860"/>
      <w:r>
        <w:t>Responses to the Joint Petition</w:t>
      </w:r>
      <w:bookmarkEnd w:id="147"/>
    </w:p>
    <w:p w14:paraId="1E9C0D42" w14:textId="1BF7E205" w:rsidR="00FF2105" w:rsidRPr="00467505" w:rsidRDefault="00FF2105" w:rsidP="00FF2105">
      <w:pPr>
        <w:pStyle w:val="sub3"/>
        <w:rPr>
          <w:rFonts w:ascii="Book Antiqua" w:hAnsi="Book Antiqua"/>
        </w:rPr>
      </w:pPr>
      <w:r w:rsidRPr="00467505">
        <w:rPr>
          <w:rFonts w:ascii="Book Antiqua" w:hAnsi="Book Antiqua"/>
        </w:rPr>
        <w:t>Timely responses to the Joint PFM were filed by AWEA, CalCCA, POC, and jointly by the following parties:</w:t>
      </w:r>
      <w:r w:rsidR="004731C2" w:rsidRPr="00467505">
        <w:rPr>
          <w:rFonts w:ascii="Book Antiqua" w:hAnsi="Book Antiqua"/>
        </w:rPr>
        <w:t xml:space="preserve"> </w:t>
      </w:r>
      <w:r w:rsidR="0066676F">
        <w:rPr>
          <w:rFonts w:ascii="Book Antiqua" w:hAnsi="Book Antiqua"/>
        </w:rPr>
        <w:t xml:space="preserve"> </w:t>
      </w:r>
      <w:r w:rsidRPr="00467505">
        <w:rPr>
          <w:rFonts w:ascii="Book Antiqua" w:hAnsi="Book Antiqua"/>
        </w:rPr>
        <w:t xml:space="preserve">GPI, UCS, EDF, CEERT, Sierra Club, and CEJA (Joint Responders). </w:t>
      </w:r>
    </w:p>
    <w:p w14:paraId="63B56162" w14:textId="77777777" w:rsidR="00FF2105" w:rsidRPr="00467505" w:rsidRDefault="00FF2105" w:rsidP="00FF2105">
      <w:pPr>
        <w:pStyle w:val="sub3"/>
        <w:rPr>
          <w:rFonts w:ascii="Book Antiqua" w:hAnsi="Book Antiqua"/>
        </w:rPr>
      </w:pPr>
      <w:r w:rsidRPr="00467505">
        <w:rPr>
          <w:rFonts w:ascii="Book Antiqua" w:hAnsi="Book Antiqua"/>
        </w:rPr>
        <w:t>AWEA agrees with the thrust of the Joint PFM, arguing that the Commission should order procurement of additional renewables to replace Diablo Canyon in this cycle of IRP and not wait for another IRP cycle.</w:t>
      </w:r>
      <w:r w:rsidR="00C835A5" w:rsidRPr="00467505">
        <w:rPr>
          <w:rFonts w:ascii="Book Antiqua" w:hAnsi="Book Antiqua"/>
        </w:rPr>
        <w:t xml:space="preserve"> </w:t>
      </w:r>
      <w:r w:rsidRPr="00467505">
        <w:rPr>
          <w:rFonts w:ascii="Book Antiqua" w:hAnsi="Book Antiqua"/>
        </w:rPr>
        <w:t xml:space="preserve"> They point out that the value of the federal tax credits is declining, and thus there are advantages to ratepayers to buying additional renewable generation sooner rather than later. </w:t>
      </w:r>
      <w:r w:rsidR="00C835A5" w:rsidRPr="00467505">
        <w:rPr>
          <w:rFonts w:ascii="Book Antiqua" w:hAnsi="Book Antiqua"/>
        </w:rPr>
        <w:t xml:space="preserve"> </w:t>
      </w:r>
      <w:r w:rsidRPr="00467505">
        <w:rPr>
          <w:rFonts w:ascii="Book Antiqua" w:hAnsi="Book Antiqua"/>
        </w:rPr>
        <w:t xml:space="preserve">Ordering renewable procurement now would, they argue, effectuate the IRP principle that the impacts on ratepayers’ bills be minimized. </w:t>
      </w:r>
      <w:r w:rsidR="00C835A5" w:rsidRPr="00467505">
        <w:rPr>
          <w:rFonts w:ascii="Book Antiqua" w:hAnsi="Book Antiqua"/>
        </w:rPr>
        <w:t xml:space="preserve"> </w:t>
      </w:r>
      <w:r w:rsidRPr="00467505">
        <w:rPr>
          <w:rFonts w:ascii="Book Antiqua" w:hAnsi="Book Antiqua"/>
        </w:rPr>
        <w:t>They also explicitly disagree with the rationale from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that renewable costs may decline and thus potentially offset any tax credit benefits. </w:t>
      </w:r>
    </w:p>
    <w:p w14:paraId="4065E696" w14:textId="77777777" w:rsidR="00FF2105" w:rsidRPr="00467505" w:rsidRDefault="00FF2105" w:rsidP="00FF2105">
      <w:pPr>
        <w:pStyle w:val="sub3"/>
        <w:rPr>
          <w:rFonts w:ascii="Book Antiqua" w:hAnsi="Book Antiqua"/>
        </w:rPr>
      </w:pPr>
      <w:r w:rsidRPr="00467505">
        <w:rPr>
          <w:rFonts w:ascii="Book Antiqua" w:hAnsi="Book Antiqua"/>
        </w:rPr>
        <w:t>AWEA also states agreement with the basis for the Joint PFM, namely that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did not squarely address or effectuate the requirements in D.18</w:t>
      </w:r>
      <w:r w:rsidR="00D84A09" w:rsidRPr="00467505">
        <w:rPr>
          <w:rFonts w:ascii="Book Antiqua" w:hAnsi="Book Antiqua"/>
        </w:rPr>
        <w:noBreakHyphen/>
      </w:r>
      <w:r w:rsidRPr="00467505">
        <w:rPr>
          <w:rFonts w:ascii="Book Antiqua" w:hAnsi="Book Antiqua"/>
        </w:rPr>
        <w:t>01</w:t>
      </w:r>
      <w:r w:rsidR="00D84A09" w:rsidRPr="00467505">
        <w:rPr>
          <w:rFonts w:ascii="Book Antiqua" w:hAnsi="Book Antiqua"/>
        </w:rPr>
        <w:noBreakHyphen/>
      </w:r>
      <w:r w:rsidRPr="00467505">
        <w:rPr>
          <w:rFonts w:ascii="Book Antiqua" w:hAnsi="Book Antiqua"/>
        </w:rPr>
        <w:t xml:space="preserve">022, Ordering Paragraph 5, that “efforts to avoid an increase in greenhouse gas emissions relating to the retirement of Diablo Canyon, including any replacement procurement, will be addressed in the Integrated Resource Planning proceeding.” </w:t>
      </w:r>
    </w:p>
    <w:p w14:paraId="204BD73E" w14:textId="77777777" w:rsidR="00FF2105" w:rsidRPr="00467505" w:rsidRDefault="00FF2105" w:rsidP="00FF2105">
      <w:pPr>
        <w:pStyle w:val="sub3"/>
        <w:rPr>
          <w:rFonts w:ascii="Book Antiqua" w:hAnsi="Book Antiqua"/>
        </w:rPr>
      </w:pPr>
      <w:r w:rsidRPr="00467505">
        <w:rPr>
          <w:rFonts w:ascii="Book Antiqua" w:hAnsi="Book Antiqua"/>
        </w:rPr>
        <w:t>CalCCA, on the other hand, does not support the modifications proposed in the Joint PFM for several reasons.</w:t>
      </w:r>
      <w:r w:rsidR="00C835A5" w:rsidRPr="00467505">
        <w:rPr>
          <w:rFonts w:ascii="Book Antiqua" w:hAnsi="Book Antiqua"/>
        </w:rPr>
        <w:t xml:space="preserve"> </w:t>
      </w:r>
      <w:r w:rsidRPr="00467505">
        <w:rPr>
          <w:rFonts w:ascii="Book Antiqua" w:hAnsi="Book Antiqua"/>
        </w:rPr>
        <w:t xml:space="preserve"> First, they argue that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already demonstrated that the </w:t>
      </w:r>
      <w:r w:rsidR="003A7F82">
        <w:rPr>
          <w:rFonts w:ascii="Book Antiqua" w:hAnsi="Book Antiqua"/>
        </w:rPr>
        <w:t xml:space="preserve">RSP </w:t>
      </w:r>
      <w:r w:rsidRPr="00467505">
        <w:rPr>
          <w:rFonts w:ascii="Book Antiqua" w:hAnsi="Book Antiqua"/>
        </w:rPr>
        <w:t>modeling already pre</w:t>
      </w:r>
      <w:r w:rsidR="00D84A09" w:rsidRPr="00467505">
        <w:rPr>
          <w:rFonts w:ascii="Book Antiqua" w:hAnsi="Book Antiqua"/>
        </w:rPr>
        <w:noBreakHyphen/>
      </w:r>
      <w:r w:rsidRPr="00467505">
        <w:rPr>
          <w:rFonts w:ascii="Book Antiqua" w:hAnsi="Book Antiqua"/>
        </w:rPr>
        <w:t>selected GHG</w:t>
      </w:r>
      <w:r w:rsidR="00D84A09" w:rsidRPr="00467505">
        <w:rPr>
          <w:rFonts w:ascii="Book Antiqua" w:hAnsi="Book Antiqua"/>
        </w:rPr>
        <w:noBreakHyphen/>
      </w:r>
      <w:r w:rsidRPr="00467505">
        <w:rPr>
          <w:rFonts w:ascii="Book Antiqua" w:hAnsi="Book Antiqua"/>
        </w:rPr>
        <w:t xml:space="preserve">free resources as the replacement for Diablo Canyon, in anticipation of its retirement, thus rendering the PFM unnecessary. </w:t>
      </w:r>
      <w:r w:rsidR="00C835A5" w:rsidRPr="00467505">
        <w:rPr>
          <w:rFonts w:ascii="Book Antiqua" w:hAnsi="Book Antiqua"/>
        </w:rPr>
        <w:t xml:space="preserve"> </w:t>
      </w:r>
      <w:r w:rsidRPr="00467505">
        <w:rPr>
          <w:rFonts w:ascii="Book Antiqua" w:hAnsi="Book Antiqua"/>
        </w:rPr>
        <w:t xml:space="preserve">They point out that the 42 MMT GHG goal should be a sufficient reference point for LSEs to plan their procurement to achieve the intended emissions goal. </w:t>
      </w:r>
    </w:p>
    <w:p w14:paraId="188D3BB2" w14:textId="77777777" w:rsidR="00FF2105" w:rsidRPr="00467505" w:rsidRDefault="00FF2105" w:rsidP="00FF2105">
      <w:pPr>
        <w:pStyle w:val="sub3"/>
        <w:rPr>
          <w:rFonts w:ascii="Book Antiqua" w:hAnsi="Book Antiqua"/>
        </w:rPr>
      </w:pPr>
      <w:r w:rsidRPr="00467505">
        <w:rPr>
          <w:rFonts w:ascii="Book Antiqua" w:hAnsi="Book Antiqua"/>
        </w:rPr>
        <w:t xml:space="preserve">Second, CalCCA argues that the Joint PFM does not provide any evidence that there will be an increase in GHG emissions if the Commission does not expressly evaluate each LSE’s IRP based on </w:t>
      </w:r>
      <w:r w:rsidR="003A7F82">
        <w:rPr>
          <w:rFonts w:ascii="Book Antiqua" w:hAnsi="Book Antiqua"/>
        </w:rPr>
        <w:t xml:space="preserve">the closure of Diablo Canyon.  </w:t>
      </w:r>
      <w:r w:rsidRPr="00467505">
        <w:rPr>
          <w:rFonts w:ascii="Book Antiqua" w:hAnsi="Book Antiqua"/>
        </w:rPr>
        <w:t xml:space="preserve">CalCCA points out that there will not likely be any need for procurement of replacement power by PG&amp;E because of departing loads to CCA providers. </w:t>
      </w:r>
    </w:p>
    <w:p w14:paraId="7D37CACA" w14:textId="77777777" w:rsidR="00FF2105" w:rsidRPr="00467505" w:rsidRDefault="00FF2105" w:rsidP="00FF2105">
      <w:pPr>
        <w:pStyle w:val="sub3"/>
        <w:rPr>
          <w:rFonts w:ascii="Book Antiqua" w:hAnsi="Book Antiqua"/>
        </w:rPr>
      </w:pPr>
      <w:r w:rsidRPr="00467505">
        <w:rPr>
          <w:rFonts w:ascii="Book Antiqua" w:hAnsi="Book Antiqua"/>
        </w:rPr>
        <w:t xml:space="preserve">Finally, CalCCA argues that the SONGS situation is not analogous to Diablo Canyon, because the Commission will have ample time plan to address the retirement of Diablo Canyon during several IRP cycles, while the SONGS situation was unexpected. </w:t>
      </w:r>
    </w:p>
    <w:p w14:paraId="606BB140" w14:textId="77777777" w:rsidR="00FF2105" w:rsidRPr="00467505" w:rsidRDefault="00FF2105" w:rsidP="00FF2105">
      <w:pPr>
        <w:pStyle w:val="sub3"/>
        <w:rPr>
          <w:rFonts w:ascii="Book Antiqua" w:hAnsi="Book Antiqua"/>
        </w:rPr>
      </w:pPr>
      <w:r w:rsidRPr="00467505">
        <w:rPr>
          <w:rFonts w:ascii="Book Antiqua" w:hAnsi="Book Antiqua"/>
        </w:rPr>
        <w:t xml:space="preserve">POC also disagrees with the Joint PFM, arguing that it is not an appropriate use of the mechanism. </w:t>
      </w:r>
      <w:r w:rsidR="00C835A5" w:rsidRPr="00467505">
        <w:rPr>
          <w:rFonts w:ascii="Book Antiqua" w:hAnsi="Book Antiqua"/>
        </w:rPr>
        <w:t xml:space="preserve"> </w:t>
      </w:r>
      <w:r w:rsidRPr="00467505">
        <w:rPr>
          <w:rFonts w:ascii="Book Antiqua" w:hAnsi="Book Antiqua"/>
        </w:rPr>
        <w:t>They argue that the Joint PFM simply rehashes arguments already made by individual parties leading up to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and does not introduce any new facts or reasons for consideration of the PFM. </w:t>
      </w:r>
      <w:r w:rsidR="00C835A5" w:rsidRPr="00467505">
        <w:rPr>
          <w:rFonts w:ascii="Book Antiqua" w:hAnsi="Book Antiqua"/>
        </w:rPr>
        <w:t xml:space="preserve"> </w:t>
      </w:r>
      <w:r w:rsidRPr="00467505">
        <w:rPr>
          <w:rFonts w:ascii="Book Antiqua" w:hAnsi="Book Antiqua"/>
        </w:rPr>
        <w:t>In support of their argument, POC includes specific quotes from the FOE and CURE comments on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when it was at the proposed decision stage that largely track the Joint PFM filed subsequently. </w:t>
      </w:r>
    </w:p>
    <w:p w14:paraId="1E7BC67C" w14:textId="77777777" w:rsidR="00FF2105" w:rsidRPr="00467505" w:rsidRDefault="00FF2105" w:rsidP="00FF2105">
      <w:pPr>
        <w:pStyle w:val="sub3"/>
        <w:rPr>
          <w:rFonts w:ascii="Book Antiqua" w:hAnsi="Book Antiqua"/>
        </w:rPr>
      </w:pPr>
      <w:r w:rsidRPr="00467505">
        <w:rPr>
          <w:rFonts w:ascii="Book Antiqua" w:hAnsi="Book Antiqua"/>
        </w:rPr>
        <w:t>In addition, POC points out that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was hardly silent on the issue of Diablo Canyon retirement, including it in the modeling assumptions, making the replacement of Diablo Canyon an implicit portion of the emissions reductions required by 2030. </w:t>
      </w:r>
    </w:p>
    <w:p w14:paraId="0D7A3B8C" w14:textId="77777777" w:rsidR="00FF2105" w:rsidRPr="00467505" w:rsidRDefault="00FF2105" w:rsidP="00FF2105">
      <w:pPr>
        <w:pStyle w:val="sub3"/>
        <w:rPr>
          <w:rFonts w:ascii="Book Antiqua" w:hAnsi="Book Antiqua"/>
        </w:rPr>
      </w:pPr>
      <w:r w:rsidRPr="00467505">
        <w:rPr>
          <w:rFonts w:ascii="Book Antiqua" w:hAnsi="Book Antiqua"/>
        </w:rPr>
        <w:t>POC also argues that focusing emissions reduction efforts around the closure of one particular plant is onerous and provides no additional benefit beyond the policy direction provided in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w:t>
      </w:r>
    </w:p>
    <w:p w14:paraId="254B1BB0" w14:textId="77777777" w:rsidR="00FF2105" w:rsidRPr="00467505" w:rsidRDefault="00FF2105" w:rsidP="00FF2105">
      <w:pPr>
        <w:pStyle w:val="sub3"/>
        <w:rPr>
          <w:rFonts w:ascii="Book Antiqua" w:hAnsi="Book Antiqua"/>
        </w:rPr>
      </w:pPr>
      <w:r w:rsidRPr="00467505">
        <w:rPr>
          <w:rFonts w:ascii="Book Antiqua" w:hAnsi="Book Antiqua"/>
        </w:rPr>
        <w:t xml:space="preserve">Finally, POC argues that there is no need for the Commission explicitly to direct PG&amp;E or CCAs to “replace” Diablo Canyon, since they are already doing so without the need for such direction, by proposing their procurement plans out to 2030. </w:t>
      </w:r>
    </w:p>
    <w:p w14:paraId="4D7200C2" w14:textId="77777777" w:rsidR="00FF2105" w:rsidRPr="00467505" w:rsidRDefault="00FF2105" w:rsidP="00FF2105">
      <w:pPr>
        <w:pStyle w:val="sub3"/>
        <w:rPr>
          <w:rFonts w:ascii="Book Antiqua" w:hAnsi="Book Antiqua"/>
        </w:rPr>
      </w:pPr>
      <w:r w:rsidRPr="00467505">
        <w:rPr>
          <w:rFonts w:ascii="Book Antiqua" w:hAnsi="Book Antiqua"/>
        </w:rPr>
        <w:t xml:space="preserve">The Joint Responders (GPI, UCS, EDF, CEERT, Sierra Club, and CEJA) strongly support the Commission considering the impact of the retirement of Diablo Canyon in this proceeding, and suggest that the scope be amended to specifically include this topic. </w:t>
      </w:r>
      <w:r w:rsidR="00C835A5" w:rsidRPr="00467505">
        <w:rPr>
          <w:rFonts w:ascii="Book Antiqua" w:hAnsi="Book Antiqua"/>
        </w:rPr>
        <w:t xml:space="preserve"> </w:t>
      </w:r>
      <w:r w:rsidRPr="00467505">
        <w:rPr>
          <w:rFonts w:ascii="Book Antiqua" w:hAnsi="Book Antiqua"/>
        </w:rPr>
        <w:t>Thus, they support the Joint PFM.</w:t>
      </w:r>
    </w:p>
    <w:p w14:paraId="2993F9CE" w14:textId="77777777" w:rsidR="00FF2105" w:rsidRPr="00467505" w:rsidRDefault="00FF2105" w:rsidP="00FF2105">
      <w:pPr>
        <w:pStyle w:val="sub3"/>
        <w:rPr>
          <w:rFonts w:ascii="Book Antiqua" w:hAnsi="Book Antiqua"/>
        </w:rPr>
      </w:pPr>
      <w:r w:rsidRPr="00467505">
        <w:rPr>
          <w:rFonts w:ascii="Book Antiqua" w:hAnsi="Book Antiqua"/>
        </w:rPr>
        <w:t xml:space="preserve">In particular, the Joint Responders suggest that the Commission give explicit direction to all LSEs to plan for the retirement of Diablo Canyon in their individual IRPs. </w:t>
      </w:r>
      <w:r w:rsidR="00C835A5" w:rsidRPr="00467505">
        <w:rPr>
          <w:rFonts w:ascii="Book Antiqua" w:hAnsi="Book Antiqua"/>
        </w:rPr>
        <w:t xml:space="preserve"> </w:t>
      </w:r>
      <w:r w:rsidRPr="00467505">
        <w:rPr>
          <w:rFonts w:ascii="Book Antiqua" w:hAnsi="Book Antiqua"/>
        </w:rPr>
        <w:t>They point to the modeling conclusions leading to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that show a system</w:t>
      </w:r>
      <w:r w:rsidR="00D84A09" w:rsidRPr="00467505">
        <w:rPr>
          <w:rFonts w:ascii="Book Antiqua" w:hAnsi="Book Antiqua"/>
        </w:rPr>
        <w:noBreakHyphen/>
      </w:r>
      <w:r w:rsidRPr="00467505">
        <w:rPr>
          <w:rFonts w:ascii="Book Antiqua" w:hAnsi="Book Antiqua"/>
        </w:rPr>
        <w:t xml:space="preserve">wide GHG emissions increase coinciding with the closure of Diablo Canyon. </w:t>
      </w:r>
    </w:p>
    <w:p w14:paraId="2CE319D2" w14:textId="77777777" w:rsidR="00FF2105" w:rsidRPr="00467505" w:rsidRDefault="00FF2105" w:rsidP="00FF2105">
      <w:pPr>
        <w:pStyle w:val="sub3"/>
        <w:rPr>
          <w:rFonts w:ascii="Book Antiqua" w:hAnsi="Book Antiqua"/>
        </w:rPr>
      </w:pPr>
      <w:r w:rsidRPr="00467505">
        <w:rPr>
          <w:rFonts w:ascii="Book Antiqua" w:hAnsi="Book Antiqua"/>
        </w:rPr>
        <w:t>Thus, the Joint Responders suggest several procedural steps that the Commission should take to ensure replacement of Diablo Canyon power with GHG</w:t>
      </w:r>
      <w:r w:rsidR="00D84A09" w:rsidRPr="00467505">
        <w:rPr>
          <w:rFonts w:ascii="Book Antiqua" w:hAnsi="Book Antiqua"/>
        </w:rPr>
        <w:noBreakHyphen/>
      </w:r>
      <w:r w:rsidRPr="00467505">
        <w:rPr>
          <w:rFonts w:ascii="Book Antiqua" w:hAnsi="Book Antiqua"/>
        </w:rPr>
        <w:t xml:space="preserve">free resources, including: 1) a ruling opening a new track in the proceeding; 2) a workshop and opportunity to file additional comments to discuss potential modeling; 3) a threshold ruling specifying which entities should be responsible for planning for replacement resources and how cost allocation issues will be handled; and 4) an update to the current modeling to ensure that no bump in air pollution or greenhouse gas emissions occurs as a result of the retirement. </w:t>
      </w:r>
      <w:r w:rsidR="00C835A5" w:rsidRPr="00467505">
        <w:rPr>
          <w:rFonts w:ascii="Book Antiqua" w:hAnsi="Book Antiqua"/>
        </w:rPr>
        <w:t xml:space="preserve"> </w:t>
      </w:r>
      <w:r w:rsidRPr="00467505">
        <w:rPr>
          <w:rFonts w:ascii="Book Antiqua" w:hAnsi="Book Antiqua"/>
        </w:rPr>
        <w:t>They argue that these steps are consistent with the direction in D.18</w:t>
      </w:r>
      <w:r w:rsidR="00D84A09" w:rsidRPr="00467505">
        <w:rPr>
          <w:rFonts w:ascii="Book Antiqua" w:hAnsi="Book Antiqua"/>
        </w:rPr>
        <w:noBreakHyphen/>
      </w:r>
      <w:r w:rsidRPr="00467505">
        <w:rPr>
          <w:rFonts w:ascii="Book Antiqua" w:hAnsi="Book Antiqua"/>
        </w:rPr>
        <w:t>01</w:t>
      </w:r>
      <w:r w:rsidR="00D84A09" w:rsidRPr="00467505">
        <w:rPr>
          <w:rFonts w:ascii="Book Antiqua" w:hAnsi="Book Antiqua"/>
        </w:rPr>
        <w:noBreakHyphen/>
      </w:r>
      <w:r w:rsidRPr="00467505">
        <w:rPr>
          <w:rFonts w:ascii="Book Antiqua" w:hAnsi="Book Antiqua"/>
        </w:rPr>
        <w:t xml:space="preserve">022. </w:t>
      </w:r>
    </w:p>
    <w:p w14:paraId="1F6259CB" w14:textId="77777777" w:rsidR="00FF2105" w:rsidRPr="00467505" w:rsidRDefault="00FF2105" w:rsidP="00FF2105">
      <w:pPr>
        <w:pStyle w:val="sub3"/>
        <w:rPr>
          <w:rFonts w:ascii="Book Antiqua" w:hAnsi="Book Antiqua"/>
        </w:rPr>
      </w:pPr>
      <w:r w:rsidRPr="00467505">
        <w:rPr>
          <w:rFonts w:ascii="Book Antiqua" w:hAnsi="Book Antiqua"/>
        </w:rPr>
        <w:t xml:space="preserve">In reply to the responses discussed above, the Joint PFM parties point out that the majority of environmental parties that come before the Commission are in support of the PFM and agree that the Commission stated its intent not to have the closure of Diablo Canyon trigger any increase in GHG emissions. </w:t>
      </w:r>
    </w:p>
    <w:p w14:paraId="1B1B85AF" w14:textId="77777777" w:rsidR="00FF2105" w:rsidRPr="00467505" w:rsidRDefault="00FF2105" w:rsidP="00FF2105">
      <w:pPr>
        <w:pStyle w:val="sub3"/>
        <w:rPr>
          <w:rFonts w:ascii="Book Antiqua" w:hAnsi="Book Antiqua"/>
        </w:rPr>
      </w:pPr>
      <w:r w:rsidRPr="00467505">
        <w:rPr>
          <w:rFonts w:ascii="Book Antiqua" w:hAnsi="Book Antiqua"/>
        </w:rPr>
        <w:t xml:space="preserve">In response to CalCCA, the Joint Parties dismiss CalCCA’s arguments that their individual IRPs will take care of the replacement power question for Diablo Canyon without further direction from the Commission. </w:t>
      </w:r>
      <w:r w:rsidR="00C835A5" w:rsidRPr="00467505">
        <w:rPr>
          <w:rFonts w:ascii="Book Antiqua" w:hAnsi="Book Antiqua"/>
        </w:rPr>
        <w:t xml:space="preserve"> </w:t>
      </w:r>
      <w:r w:rsidRPr="00467505">
        <w:rPr>
          <w:rFonts w:ascii="Book Antiqua" w:hAnsi="Book Antiqua"/>
        </w:rPr>
        <w:t xml:space="preserve">The Joint Parties are concerned that CalCCA’s opposition to the Joint PFM actually reinforces the need for explicit Commission direction to all LSEs. </w:t>
      </w:r>
    </w:p>
    <w:p w14:paraId="09E44240" w14:textId="77777777" w:rsidR="00FF2105" w:rsidRPr="00467505" w:rsidRDefault="00FF2105" w:rsidP="00FF2105">
      <w:pPr>
        <w:pStyle w:val="sub3"/>
        <w:rPr>
          <w:rFonts w:ascii="Book Antiqua" w:hAnsi="Book Antiqua"/>
        </w:rPr>
      </w:pPr>
      <w:r w:rsidRPr="00467505">
        <w:rPr>
          <w:rFonts w:ascii="Book Antiqua" w:hAnsi="Book Antiqua"/>
        </w:rPr>
        <w:t xml:space="preserve">The Joint Parties also continue to argue that the Diablo Canyon situation is very similar to what happened with the closure of SONGS, except that now the Commission has the opportunity to plan for the closure in advance. </w:t>
      </w:r>
    </w:p>
    <w:p w14:paraId="14CE4328" w14:textId="77777777" w:rsidR="00FF2105" w:rsidRPr="00467505" w:rsidRDefault="00FF2105" w:rsidP="00FF2105">
      <w:pPr>
        <w:pStyle w:val="sub3"/>
        <w:rPr>
          <w:rFonts w:ascii="Book Antiqua" w:hAnsi="Book Antiqua"/>
        </w:rPr>
      </w:pPr>
      <w:r w:rsidRPr="00467505">
        <w:rPr>
          <w:rFonts w:ascii="Book Antiqua" w:hAnsi="Book Antiqua"/>
        </w:rPr>
        <w:t xml:space="preserve">In response to POC, the Joint Parties disagree that it was procedurally improper to file a PFM. </w:t>
      </w:r>
      <w:r w:rsidR="00C835A5" w:rsidRPr="00467505">
        <w:rPr>
          <w:rFonts w:ascii="Book Antiqua" w:hAnsi="Book Antiqua"/>
        </w:rPr>
        <w:t xml:space="preserve"> </w:t>
      </w:r>
      <w:r w:rsidRPr="00467505">
        <w:rPr>
          <w:rFonts w:ascii="Book Antiqua" w:hAnsi="Book Antiqua"/>
        </w:rPr>
        <w:t>They generally argue that POC and CalCCA are in favor of a business</w:t>
      </w:r>
      <w:r w:rsidR="00D84A09" w:rsidRPr="00467505">
        <w:rPr>
          <w:rFonts w:ascii="Book Antiqua" w:hAnsi="Book Antiqua"/>
        </w:rPr>
        <w:noBreakHyphen/>
      </w:r>
      <w:r w:rsidRPr="00467505">
        <w:rPr>
          <w:rFonts w:ascii="Book Antiqua" w:hAnsi="Book Antiqua"/>
        </w:rPr>
        <w:t>as</w:t>
      </w:r>
      <w:r w:rsidR="00D84A09" w:rsidRPr="00467505">
        <w:rPr>
          <w:rFonts w:ascii="Book Antiqua" w:hAnsi="Book Antiqua"/>
        </w:rPr>
        <w:noBreakHyphen/>
      </w:r>
      <w:r w:rsidRPr="00467505">
        <w:rPr>
          <w:rFonts w:ascii="Book Antiqua" w:hAnsi="Book Antiqua"/>
        </w:rPr>
        <w:t xml:space="preserve">usual approach to the closure of Diablo Canyon. </w:t>
      </w:r>
    </w:p>
    <w:p w14:paraId="47F307F5" w14:textId="77777777" w:rsidR="00FF2105" w:rsidRDefault="00FF2105" w:rsidP="004C75AB">
      <w:pPr>
        <w:pStyle w:val="Heading2"/>
      </w:pPr>
      <w:bookmarkStart w:id="148" w:name="_Toc3803861"/>
      <w:r>
        <w:t>Discussion</w:t>
      </w:r>
      <w:bookmarkEnd w:id="148"/>
    </w:p>
    <w:p w14:paraId="51852535" w14:textId="77777777" w:rsidR="00FF2105" w:rsidRPr="00467505" w:rsidRDefault="00FF2105" w:rsidP="00FF2105">
      <w:pPr>
        <w:pStyle w:val="sub3"/>
        <w:rPr>
          <w:rFonts w:ascii="Book Antiqua" w:hAnsi="Book Antiqua"/>
        </w:rPr>
      </w:pPr>
      <w:r w:rsidRPr="00467505">
        <w:rPr>
          <w:rFonts w:ascii="Book Antiqua" w:hAnsi="Book Antiqua"/>
        </w:rPr>
        <w:t>Before discussing the Joint PFM, we acknowledge that in addition to the direction given by the Commission in D.18</w:t>
      </w:r>
      <w:r w:rsidR="00D84A09" w:rsidRPr="00467505">
        <w:rPr>
          <w:rFonts w:ascii="Book Antiqua" w:hAnsi="Book Antiqua"/>
        </w:rPr>
        <w:noBreakHyphen/>
      </w:r>
      <w:r w:rsidRPr="00467505">
        <w:rPr>
          <w:rFonts w:ascii="Book Antiqua" w:hAnsi="Book Antiqua"/>
        </w:rPr>
        <w:t>01</w:t>
      </w:r>
      <w:r w:rsidR="00D84A09" w:rsidRPr="00467505">
        <w:rPr>
          <w:rFonts w:ascii="Book Antiqua" w:hAnsi="Book Antiqua"/>
        </w:rPr>
        <w:noBreakHyphen/>
      </w:r>
      <w:r w:rsidRPr="00467505">
        <w:rPr>
          <w:rFonts w:ascii="Book Antiqua" w:hAnsi="Book Antiqua"/>
        </w:rPr>
        <w:t xml:space="preserve">022, the Legislature subsequently passed and former Governor Brown signed SB 1090 (Monning, 2018) that contains the following requirement for the Commission: </w:t>
      </w:r>
      <w:r w:rsidR="003A7F82">
        <w:rPr>
          <w:rFonts w:ascii="Book Antiqua" w:hAnsi="Book Antiqua"/>
        </w:rPr>
        <w:t xml:space="preserve"> </w:t>
      </w:r>
      <w:r w:rsidRPr="00467505">
        <w:rPr>
          <w:rFonts w:ascii="Book Antiqua" w:hAnsi="Book Antiqua"/>
        </w:rPr>
        <w:t>“The Commission shall ensure that integrated resource plans are designed to avoid any increase in emissions of greenhouse gases as a result of the retirement of the Diablo Canyon Units 1 and 2 powerplant.”</w:t>
      </w:r>
      <w:r w:rsidRPr="00467505">
        <w:rPr>
          <w:rStyle w:val="FootnoteReference"/>
          <w:rFonts w:ascii="Book Antiqua" w:hAnsi="Book Antiqua"/>
        </w:rPr>
        <w:footnoteReference w:id="18"/>
      </w:r>
      <w:r w:rsidRPr="00467505">
        <w:rPr>
          <w:rFonts w:ascii="Book Antiqua" w:hAnsi="Book Antiqua"/>
        </w:rPr>
        <w:t xml:space="preserve">  </w:t>
      </w:r>
    </w:p>
    <w:p w14:paraId="7BF14EF9" w14:textId="77777777" w:rsidR="00FF2105" w:rsidRPr="00467505" w:rsidRDefault="00FF2105" w:rsidP="00FF2105">
      <w:pPr>
        <w:pStyle w:val="sub3"/>
        <w:rPr>
          <w:rFonts w:ascii="Book Antiqua" w:hAnsi="Book Antiqua"/>
        </w:rPr>
      </w:pPr>
      <w:r w:rsidRPr="00467505">
        <w:rPr>
          <w:rFonts w:ascii="Book Antiqua" w:hAnsi="Book Antiqua"/>
        </w:rPr>
        <w:t xml:space="preserve">In this decision, we confirm our approach to this legislative requirement, as well as responding to the Joint PFM. </w:t>
      </w:r>
      <w:r w:rsidR="00C835A5" w:rsidRPr="00467505">
        <w:rPr>
          <w:rFonts w:ascii="Book Antiqua" w:hAnsi="Book Antiqua"/>
        </w:rPr>
        <w:t xml:space="preserve"> </w:t>
      </w:r>
      <w:r w:rsidRPr="00467505">
        <w:rPr>
          <w:rFonts w:ascii="Book Antiqua" w:hAnsi="Book Antiqua"/>
        </w:rPr>
        <w:t>We acknowledge that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was not as clear as it could have been about the disposition of issues related to Diablo Canyon, largely because t</w:t>
      </w:r>
      <w:r w:rsidR="00811E4D">
        <w:rPr>
          <w:rFonts w:ascii="Book Antiqua" w:hAnsi="Book Antiqua"/>
        </w:rPr>
        <w:t xml:space="preserve">he resolution of Application </w:t>
      </w:r>
      <w:r w:rsidRPr="00467505">
        <w:rPr>
          <w:rFonts w:ascii="Book Antiqua" w:hAnsi="Book Antiqua"/>
        </w:rPr>
        <w:t>16</w:t>
      </w:r>
      <w:r w:rsidR="00D84A09" w:rsidRPr="00467505">
        <w:rPr>
          <w:rFonts w:ascii="Book Antiqua" w:hAnsi="Book Antiqua"/>
        </w:rPr>
        <w:noBreakHyphen/>
      </w:r>
      <w:r w:rsidRPr="00467505">
        <w:rPr>
          <w:rFonts w:ascii="Book Antiqua" w:hAnsi="Book Antiqua"/>
        </w:rPr>
        <w:t>08</w:t>
      </w:r>
      <w:r w:rsidR="00D84A09" w:rsidRPr="00467505">
        <w:rPr>
          <w:rFonts w:ascii="Book Antiqua" w:hAnsi="Book Antiqua"/>
        </w:rPr>
        <w:noBreakHyphen/>
      </w:r>
      <w:r w:rsidRPr="00467505">
        <w:rPr>
          <w:rFonts w:ascii="Book Antiqua" w:hAnsi="Book Antiqua"/>
        </w:rPr>
        <w:t>006 was being resolved in parallel with our consideration of the RSP in this proceeding.</w:t>
      </w:r>
    </w:p>
    <w:p w14:paraId="736F95CC" w14:textId="77777777" w:rsidR="00FF2105" w:rsidRPr="00467505" w:rsidRDefault="00FF2105" w:rsidP="00FF2105">
      <w:pPr>
        <w:pStyle w:val="sub3"/>
        <w:rPr>
          <w:rFonts w:ascii="Book Antiqua" w:hAnsi="Book Antiqua"/>
        </w:rPr>
      </w:pPr>
      <w:r w:rsidRPr="00467505">
        <w:rPr>
          <w:rFonts w:ascii="Book Antiqua" w:hAnsi="Book Antiqua"/>
        </w:rPr>
        <w:t>But in concept, our intention was that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already represented the implementation of </w:t>
      </w:r>
      <w:r w:rsidR="008B0694" w:rsidRPr="00467505">
        <w:rPr>
          <w:rFonts w:ascii="Book Antiqua" w:hAnsi="Book Antiqua"/>
        </w:rPr>
        <w:t>SB 1090</w:t>
      </w:r>
      <w:r w:rsidRPr="00467505">
        <w:rPr>
          <w:rFonts w:ascii="Book Antiqua" w:hAnsi="Book Antiqua"/>
        </w:rPr>
        <w:t xml:space="preserve"> and the intention articulated in D.18</w:t>
      </w:r>
      <w:r w:rsidR="00D84A09" w:rsidRPr="00467505">
        <w:rPr>
          <w:rFonts w:ascii="Book Antiqua" w:hAnsi="Book Antiqua"/>
        </w:rPr>
        <w:noBreakHyphen/>
      </w:r>
      <w:r w:rsidRPr="00467505">
        <w:rPr>
          <w:rFonts w:ascii="Book Antiqua" w:hAnsi="Book Antiqua"/>
        </w:rPr>
        <w:t>01</w:t>
      </w:r>
      <w:r w:rsidR="00D84A09" w:rsidRPr="00467505">
        <w:rPr>
          <w:rFonts w:ascii="Book Antiqua" w:hAnsi="Book Antiqua"/>
        </w:rPr>
        <w:noBreakHyphen/>
      </w:r>
      <w:r w:rsidRPr="00467505">
        <w:rPr>
          <w:rFonts w:ascii="Book Antiqua" w:hAnsi="Book Antiqua"/>
        </w:rPr>
        <w:t xml:space="preserve">022. </w:t>
      </w:r>
      <w:r w:rsidR="00C835A5" w:rsidRPr="00467505">
        <w:rPr>
          <w:rFonts w:ascii="Book Antiqua" w:hAnsi="Book Antiqua"/>
        </w:rPr>
        <w:t xml:space="preserve"> </w:t>
      </w:r>
      <w:r w:rsidRPr="00467505">
        <w:rPr>
          <w:rFonts w:ascii="Book Antiqua" w:hAnsi="Book Antiqua"/>
        </w:rPr>
        <w:t xml:space="preserve">But we will make a few requirements more explicit in this decision, as discussed below. </w:t>
      </w:r>
    </w:p>
    <w:p w14:paraId="1AD2B051" w14:textId="77777777" w:rsidR="00FF2105" w:rsidRPr="00467505" w:rsidRDefault="00FF2105" w:rsidP="00FF2105">
      <w:pPr>
        <w:pStyle w:val="sub3"/>
        <w:rPr>
          <w:rFonts w:ascii="Book Antiqua" w:hAnsi="Book Antiqua"/>
        </w:rPr>
      </w:pPr>
      <w:r w:rsidRPr="00467505">
        <w:rPr>
          <w:rFonts w:ascii="Book Antiqua" w:hAnsi="Book Antiqua"/>
        </w:rPr>
        <w:t>As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explained:</w:t>
      </w:r>
    </w:p>
    <w:p w14:paraId="1FC2DAFC" w14:textId="77777777" w:rsidR="00FF2105" w:rsidRPr="00467505" w:rsidRDefault="00FF2105" w:rsidP="00FF2105">
      <w:pPr>
        <w:pStyle w:val="standard"/>
        <w:spacing w:line="240" w:lineRule="auto"/>
        <w:ind w:left="720" w:right="720" w:firstLine="0"/>
        <w:rPr>
          <w:rFonts w:ascii="Book Antiqua" w:hAnsi="Book Antiqua"/>
        </w:rPr>
      </w:pPr>
      <w:r w:rsidRPr="00467505">
        <w:rPr>
          <w:rFonts w:ascii="Book Antiqua" w:hAnsi="Book Antiqua"/>
        </w:rPr>
        <w:t xml:space="preserve">“The expiration and/or renewal of the ITC [investment tax credit] and PTC </w:t>
      </w:r>
      <w:r w:rsidR="00B03BBB">
        <w:rPr>
          <w:rFonts w:ascii="Book Antiqua" w:hAnsi="Book Antiqua"/>
        </w:rPr>
        <w:t>[</w:t>
      </w:r>
      <w:r w:rsidRPr="00467505">
        <w:rPr>
          <w:rFonts w:ascii="Book Antiqua" w:hAnsi="Book Antiqua"/>
        </w:rPr>
        <w:t xml:space="preserve">production tax credit] would affect the optimal timing for purchasing additional solar and wind. </w:t>
      </w:r>
      <w:r w:rsidR="00C835A5" w:rsidRPr="00467505">
        <w:rPr>
          <w:rFonts w:ascii="Book Antiqua" w:hAnsi="Book Antiqua"/>
        </w:rPr>
        <w:t xml:space="preserve"> </w:t>
      </w:r>
      <w:r w:rsidRPr="00467505">
        <w:rPr>
          <w:rFonts w:ascii="Book Antiqua" w:hAnsi="Book Antiqua"/>
        </w:rPr>
        <w:t>This also interacts with the timing of the replacement of the power from the Diablo Canyon nuclear plant, because, rather than waiting until the plant is retired (assuming that occurs), the model essentially chooses to pre</w:t>
      </w:r>
      <w:r w:rsidR="00D84A09" w:rsidRPr="00467505">
        <w:rPr>
          <w:rFonts w:ascii="Book Antiqua" w:hAnsi="Book Antiqua"/>
        </w:rPr>
        <w:noBreakHyphen/>
      </w:r>
      <w:r w:rsidRPr="00467505">
        <w:rPr>
          <w:rFonts w:ascii="Book Antiqua" w:hAnsi="Book Antiqua"/>
        </w:rPr>
        <w:t>purchase the solar and wind power that would otherwise be needed later in the next decade, in order to take advantage of the cost savings associated with the ITC and PTC.  In other words, the replacement power in the amount of Diablo output is already being replaced by GHG</w:t>
      </w:r>
      <w:r w:rsidR="00D84A09" w:rsidRPr="00467505">
        <w:rPr>
          <w:rFonts w:ascii="Book Antiqua" w:hAnsi="Book Antiqua"/>
        </w:rPr>
        <w:noBreakHyphen/>
      </w:r>
      <w:r w:rsidRPr="00467505">
        <w:rPr>
          <w:rFonts w:ascii="Book Antiqua" w:hAnsi="Book Antiqua"/>
        </w:rPr>
        <w:t>free resources prior to the retirement of the nuclear plant.  And in all scenarios, the GHG emissions constraints in the CAISO area are met or exceeded.”</w:t>
      </w:r>
      <w:r w:rsidRPr="00467505">
        <w:rPr>
          <w:rStyle w:val="FootnoteReference"/>
          <w:rFonts w:ascii="Book Antiqua" w:hAnsi="Book Antiqua"/>
        </w:rPr>
        <w:footnoteReference w:id="19"/>
      </w:r>
    </w:p>
    <w:p w14:paraId="1157BAEF" w14:textId="77777777" w:rsidR="00FF2105" w:rsidRPr="00467505" w:rsidRDefault="00FF2105" w:rsidP="00FF2105">
      <w:pPr>
        <w:pStyle w:val="sub3"/>
        <w:rPr>
          <w:rFonts w:ascii="Book Antiqua" w:hAnsi="Book Antiqua"/>
        </w:rPr>
      </w:pPr>
    </w:p>
    <w:p w14:paraId="6DAB1DF1" w14:textId="77777777" w:rsidR="00FF2105" w:rsidRPr="00467505" w:rsidRDefault="00FF2105" w:rsidP="00FF2105">
      <w:pPr>
        <w:pStyle w:val="sub3"/>
        <w:rPr>
          <w:rFonts w:ascii="Book Antiqua" w:hAnsi="Book Antiqua"/>
        </w:rPr>
      </w:pPr>
      <w:r w:rsidRPr="00467505">
        <w:rPr>
          <w:rFonts w:ascii="Book Antiqua" w:hAnsi="Book Antiqua"/>
        </w:rPr>
        <w:t>By utilizing the assumption that the two Diablo Canyon units will retire in 2024 and 2025, as we did with the formulation of the RSP adopted in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we are already planning for the emissions impact of that action. </w:t>
      </w:r>
      <w:r w:rsidR="00C835A5" w:rsidRPr="00467505">
        <w:rPr>
          <w:rFonts w:ascii="Book Antiqua" w:hAnsi="Book Antiqua"/>
        </w:rPr>
        <w:t xml:space="preserve"> </w:t>
      </w:r>
      <w:r w:rsidRPr="00467505">
        <w:rPr>
          <w:rFonts w:ascii="Book Antiqua" w:hAnsi="Book Antiqua"/>
        </w:rPr>
        <w:t>Analysis conducted leading up to the issuance of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showed that the electric sector will still be on a trajectory to satisfy the 2030 GHG emissions target even</w:t>
      </w:r>
      <w:r>
        <w:t xml:space="preserve"> </w:t>
      </w:r>
      <w:r w:rsidRPr="00467505">
        <w:rPr>
          <w:rFonts w:ascii="Book Antiqua" w:hAnsi="Book Antiqua"/>
        </w:rPr>
        <w:t xml:space="preserve">with the retirement of Diablo Canyon. </w:t>
      </w:r>
      <w:r w:rsidR="00C835A5" w:rsidRPr="00467505">
        <w:rPr>
          <w:rFonts w:ascii="Book Antiqua" w:hAnsi="Book Antiqua"/>
        </w:rPr>
        <w:t xml:space="preserve"> </w:t>
      </w:r>
      <w:r w:rsidRPr="00467505">
        <w:rPr>
          <w:rFonts w:ascii="Book Antiqua" w:hAnsi="Book Antiqua"/>
        </w:rPr>
        <w:t>Stated another way, the retirement of Diablo Canyon will not prevent the electric sector from meeting its portion of the statewide GHG obligations between now and 2030.</w:t>
      </w:r>
    </w:p>
    <w:p w14:paraId="58A88C74" w14:textId="77777777" w:rsidR="00FF2105" w:rsidRPr="00467505" w:rsidRDefault="00FF2105" w:rsidP="00FF2105">
      <w:pPr>
        <w:pStyle w:val="sub3"/>
        <w:rPr>
          <w:rFonts w:ascii="Book Antiqua" w:hAnsi="Book Antiqua"/>
        </w:rPr>
      </w:pPr>
      <w:r w:rsidRPr="00467505">
        <w:rPr>
          <w:rFonts w:ascii="Book Antiqua" w:hAnsi="Book Antiqua"/>
        </w:rPr>
        <w:t>The Joint Parties to the PFM would have us read the SB 1090 requirements and the D.18</w:t>
      </w:r>
      <w:r w:rsidR="00D84A09" w:rsidRPr="00467505">
        <w:rPr>
          <w:rFonts w:ascii="Book Antiqua" w:hAnsi="Book Antiqua"/>
        </w:rPr>
        <w:noBreakHyphen/>
      </w:r>
      <w:r w:rsidRPr="00467505">
        <w:rPr>
          <w:rFonts w:ascii="Book Antiqua" w:hAnsi="Book Antiqua"/>
        </w:rPr>
        <w:t>01</w:t>
      </w:r>
      <w:r w:rsidR="00D84A09" w:rsidRPr="00467505">
        <w:rPr>
          <w:rFonts w:ascii="Book Antiqua" w:hAnsi="Book Antiqua"/>
        </w:rPr>
        <w:noBreakHyphen/>
      </w:r>
      <w:r w:rsidRPr="00467505">
        <w:rPr>
          <w:rFonts w:ascii="Book Antiqua" w:hAnsi="Book Antiqua"/>
        </w:rPr>
        <w:t xml:space="preserve">022 commitments more narrowly, such that there would not be any increase in emissions at the very moment that the Diablo Canyon units go offline.  For a number of reasons, this is not a reasonable reading of the intentions of the Legislature or the Commission. </w:t>
      </w:r>
    </w:p>
    <w:p w14:paraId="5521192D" w14:textId="77777777" w:rsidR="00FF2105" w:rsidRPr="00467505" w:rsidRDefault="00FF2105" w:rsidP="00FF2105">
      <w:pPr>
        <w:pStyle w:val="sub3"/>
        <w:rPr>
          <w:rFonts w:ascii="Book Antiqua" w:hAnsi="Book Antiqua"/>
        </w:rPr>
      </w:pPr>
      <w:r w:rsidRPr="00467505">
        <w:rPr>
          <w:rFonts w:ascii="Book Antiqua" w:hAnsi="Book Antiqua"/>
        </w:rPr>
        <w:t xml:space="preserve">Emissions from the electric sector in California vary considerably every year depending on the hydroelectric production, the retirement of power plants, the growth in load, </w:t>
      </w:r>
      <w:r w:rsidR="00C967AC" w:rsidRPr="00467505">
        <w:rPr>
          <w:rFonts w:ascii="Book Antiqua" w:hAnsi="Book Antiqua"/>
        </w:rPr>
        <w:t xml:space="preserve">the functioning of the natural gas system, </w:t>
      </w:r>
      <w:r w:rsidRPr="00467505">
        <w:rPr>
          <w:rFonts w:ascii="Book Antiqua" w:hAnsi="Book Antiqua"/>
        </w:rPr>
        <w:t xml:space="preserve">and many other factors. </w:t>
      </w:r>
      <w:r w:rsidR="00C835A5" w:rsidRPr="00467505">
        <w:rPr>
          <w:rFonts w:ascii="Book Antiqua" w:hAnsi="Book Antiqua"/>
        </w:rPr>
        <w:t xml:space="preserve"> </w:t>
      </w:r>
      <w:r w:rsidRPr="00467505">
        <w:rPr>
          <w:rFonts w:ascii="Book Antiqua" w:hAnsi="Book Antiqua"/>
        </w:rPr>
        <w:t>Expecting an exact one</w:t>
      </w:r>
      <w:r w:rsidR="00D84A09" w:rsidRPr="00467505">
        <w:rPr>
          <w:rFonts w:ascii="Book Antiqua" w:hAnsi="Book Antiqua"/>
        </w:rPr>
        <w:noBreakHyphen/>
      </w:r>
      <w:r w:rsidRPr="00467505">
        <w:rPr>
          <w:rFonts w:ascii="Book Antiqua" w:hAnsi="Book Antiqua"/>
        </w:rPr>
        <w:t>for</w:t>
      </w:r>
      <w:r w:rsidR="00D84A09" w:rsidRPr="00467505">
        <w:rPr>
          <w:rFonts w:ascii="Book Antiqua" w:hAnsi="Book Antiqua"/>
        </w:rPr>
        <w:noBreakHyphen/>
      </w:r>
      <w:r w:rsidRPr="00467505">
        <w:rPr>
          <w:rFonts w:ascii="Book Antiqua" w:hAnsi="Book Antiqua"/>
        </w:rPr>
        <w:t xml:space="preserve">one replacement of </w:t>
      </w:r>
      <w:r w:rsidR="00C967AC" w:rsidRPr="00467505">
        <w:rPr>
          <w:rFonts w:ascii="Book Antiqua" w:hAnsi="Book Antiqua"/>
        </w:rPr>
        <w:t>energy</w:t>
      </w:r>
      <w:r w:rsidRPr="00467505">
        <w:rPr>
          <w:rFonts w:ascii="Book Antiqua" w:hAnsi="Book Antiqua"/>
        </w:rPr>
        <w:t xml:space="preserve"> from Diablo Canyon </w:t>
      </w:r>
      <w:r w:rsidR="00C967AC" w:rsidRPr="00467505">
        <w:rPr>
          <w:rFonts w:ascii="Book Antiqua" w:hAnsi="Book Antiqua"/>
        </w:rPr>
        <w:t>that is</w:t>
      </w:r>
      <w:r w:rsidRPr="00467505">
        <w:rPr>
          <w:rFonts w:ascii="Book Antiqua" w:hAnsi="Book Antiqua"/>
        </w:rPr>
        <w:t xml:space="preserve"> timed perfectly to coincide with the Diablo Canyon closure would be a costly and illogical way to ensure that the emissions trajectory of the electric sector is on track to meet the State’s goals.  </w:t>
      </w:r>
    </w:p>
    <w:p w14:paraId="71CFC7C9" w14:textId="77777777" w:rsidR="00FF2105" w:rsidRPr="00467505" w:rsidRDefault="00FF2105" w:rsidP="00FF2105">
      <w:pPr>
        <w:pStyle w:val="sub3"/>
        <w:rPr>
          <w:rFonts w:ascii="Book Antiqua" w:hAnsi="Book Antiqua"/>
        </w:rPr>
      </w:pPr>
      <w:r w:rsidRPr="00467505">
        <w:rPr>
          <w:rFonts w:ascii="Book Antiqua" w:hAnsi="Book Antiqua"/>
        </w:rPr>
        <w:t xml:space="preserve">If we read the Legislative intent </w:t>
      </w:r>
      <w:r w:rsidR="00C967AC" w:rsidRPr="00467505">
        <w:rPr>
          <w:rFonts w:ascii="Book Antiqua" w:hAnsi="Book Antiqua"/>
        </w:rPr>
        <w:t>so</w:t>
      </w:r>
      <w:r w:rsidRPr="00467505">
        <w:rPr>
          <w:rFonts w:ascii="Book Antiqua" w:hAnsi="Book Antiqua"/>
        </w:rPr>
        <w:t xml:space="preserve"> narrowly, as the Joint Parties filing the PFM would have us do, we would wait to procure additional renewables and have them come online only in 2024 or 2025, in order to ensure no uptick in emissions at the time of Diablo Canyon retirement. </w:t>
      </w:r>
      <w:r w:rsidR="00C835A5" w:rsidRPr="00467505">
        <w:rPr>
          <w:rFonts w:ascii="Book Antiqua" w:hAnsi="Book Antiqua"/>
        </w:rPr>
        <w:t xml:space="preserve"> </w:t>
      </w:r>
      <w:r w:rsidRPr="00467505">
        <w:rPr>
          <w:rFonts w:ascii="Book Antiqua" w:hAnsi="Book Antiqua"/>
        </w:rPr>
        <w:t>That would risk further erosion of the benefits of any federal tax credits, as well as likely require over</w:t>
      </w:r>
      <w:r w:rsidR="00D84A09" w:rsidRPr="00467505">
        <w:rPr>
          <w:rFonts w:ascii="Book Antiqua" w:hAnsi="Book Antiqua"/>
        </w:rPr>
        <w:noBreakHyphen/>
      </w:r>
      <w:r w:rsidRPr="00467505">
        <w:rPr>
          <w:rFonts w:ascii="Book Antiqua" w:hAnsi="Book Antiqua"/>
        </w:rPr>
        <w:t xml:space="preserve">procurement of renewables because of the different capacity values of Diablo Canyon and most renewables. </w:t>
      </w:r>
      <w:r w:rsidR="00C835A5" w:rsidRPr="00467505">
        <w:rPr>
          <w:rFonts w:ascii="Book Antiqua" w:hAnsi="Book Antiqua"/>
        </w:rPr>
        <w:t xml:space="preserve"> </w:t>
      </w:r>
      <w:r w:rsidRPr="00467505">
        <w:rPr>
          <w:rFonts w:ascii="Book Antiqua" w:hAnsi="Book Antiqua"/>
        </w:rPr>
        <w:t xml:space="preserve">Both of these </w:t>
      </w:r>
      <w:r w:rsidR="00C967AC" w:rsidRPr="00467505">
        <w:rPr>
          <w:rFonts w:ascii="Book Antiqua" w:hAnsi="Book Antiqua"/>
        </w:rPr>
        <w:t>consequences</w:t>
      </w:r>
      <w:r w:rsidRPr="00467505">
        <w:rPr>
          <w:rFonts w:ascii="Book Antiqua" w:hAnsi="Book Antiqua"/>
        </w:rPr>
        <w:t xml:space="preserve"> would cost ratepayers extra money unnecessarily.</w:t>
      </w:r>
      <w:r w:rsidR="00C835A5" w:rsidRPr="00467505">
        <w:rPr>
          <w:rFonts w:ascii="Book Antiqua" w:hAnsi="Book Antiqua"/>
        </w:rPr>
        <w:t xml:space="preserve"> </w:t>
      </w:r>
      <w:r w:rsidRPr="00467505">
        <w:rPr>
          <w:rFonts w:ascii="Book Antiqua" w:hAnsi="Book Antiqua"/>
        </w:rPr>
        <w:t xml:space="preserve"> Instead, while </w:t>
      </w:r>
      <w:r w:rsidR="009A7450">
        <w:rPr>
          <w:rFonts w:ascii="Book Antiqua" w:hAnsi="Book Antiqua"/>
        </w:rPr>
        <w:t xml:space="preserve">the specific year-on-year changes in emissions as Diablo Canyon units retire are difficult to predict and control, as long as LSEs procure resources consistent with the Commission’s adopted system resource portfolios, emissions will remain </w:t>
      </w:r>
      <w:r w:rsidRPr="00467505">
        <w:rPr>
          <w:rFonts w:ascii="Book Antiqua" w:hAnsi="Book Antiqua"/>
        </w:rPr>
        <w:t xml:space="preserve">below the levels required to keep the state on a trajectory to our 2030 electricity sector goal of 42 MMT. </w:t>
      </w:r>
    </w:p>
    <w:p w14:paraId="4B304E33" w14:textId="77777777" w:rsidR="00FF2105" w:rsidRPr="00467505" w:rsidRDefault="00FF2105" w:rsidP="00FF2105">
      <w:pPr>
        <w:pStyle w:val="sub3"/>
        <w:rPr>
          <w:rFonts w:ascii="Book Antiqua" w:hAnsi="Book Antiqua"/>
        </w:rPr>
      </w:pPr>
      <w:r w:rsidRPr="00467505">
        <w:rPr>
          <w:rFonts w:ascii="Book Antiqua" w:hAnsi="Book Antiqua"/>
        </w:rPr>
        <w:t xml:space="preserve">This is all notwithstanding the commitment that PG&amp;E made when it filed the application for the closure of Diablo Canyon that they would replace the power with clean energy. </w:t>
      </w:r>
      <w:r w:rsidR="00C835A5" w:rsidRPr="00467505">
        <w:rPr>
          <w:rFonts w:ascii="Book Antiqua" w:hAnsi="Book Antiqua"/>
        </w:rPr>
        <w:t xml:space="preserve"> </w:t>
      </w:r>
      <w:r w:rsidRPr="00467505">
        <w:rPr>
          <w:rFonts w:ascii="Book Antiqua" w:hAnsi="Book Antiqua"/>
        </w:rPr>
        <w:t>The fact is that with the considerable load departure to CCAs in PG&amp;E’s territory, PG&amp;E likely does not need to replace the power at all, or at least not all of it.</w:t>
      </w:r>
      <w:r w:rsidR="00C835A5" w:rsidRPr="00467505">
        <w:rPr>
          <w:rFonts w:ascii="Book Antiqua" w:hAnsi="Book Antiqua"/>
        </w:rPr>
        <w:t xml:space="preserve"> </w:t>
      </w:r>
      <w:r w:rsidRPr="00467505">
        <w:rPr>
          <w:rFonts w:ascii="Book Antiqua" w:hAnsi="Book Antiqua"/>
        </w:rPr>
        <w:t xml:space="preserve"> Instead, numerous CCAs need to be procuring to serve their load, which most are proposing to do in their IRPs, and mostly utilizing renewable resources.</w:t>
      </w:r>
    </w:p>
    <w:p w14:paraId="1734CED3" w14:textId="77777777" w:rsidR="00FF2105" w:rsidRPr="00467505" w:rsidRDefault="00FF2105" w:rsidP="00FF2105">
      <w:pPr>
        <w:pStyle w:val="sub3"/>
        <w:rPr>
          <w:rFonts w:ascii="Book Antiqua" w:hAnsi="Book Antiqua"/>
        </w:rPr>
      </w:pPr>
      <w:r w:rsidRPr="00467505">
        <w:rPr>
          <w:rFonts w:ascii="Book Antiqua" w:hAnsi="Book Antiqua"/>
        </w:rPr>
        <w:t xml:space="preserve">As mentioned above, since Diablo Canyon was a baseload resource and most renewable resources are not, if anything we are concerned that the replacement power procured mostly by CCAs will not represent as reliable a resource as Diablo Canyon has proven to be over the decades. </w:t>
      </w:r>
      <w:r w:rsidR="00C835A5" w:rsidRPr="00467505">
        <w:rPr>
          <w:rFonts w:ascii="Book Antiqua" w:hAnsi="Book Antiqua"/>
        </w:rPr>
        <w:t xml:space="preserve"> </w:t>
      </w:r>
      <w:r w:rsidRPr="00467505">
        <w:rPr>
          <w:rFonts w:ascii="Book Antiqua" w:hAnsi="Book Antiqua"/>
        </w:rPr>
        <w:t xml:space="preserve">This concern is largely addressed in </w:t>
      </w:r>
      <w:r w:rsidR="008478C6" w:rsidRPr="00467505">
        <w:rPr>
          <w:rFonts w:ascii="Book Antiqua" w:hAnsi="Book Antiqua"/>
        </w:rPr>
        <w:t>Section 5 above related to reliability.</w:t>
      </w:r>
    </w:p>
    <w:p w14:paraId="5FEF3564" w14:textId="77777777" w:rsidR="00FF2105" w:rsidRPr="00467505" w:rsidRDefault="00FF2105" w:rsidP="00FF2105">
      <w:pPr>
        <w:pStyle w:val="sub3"/>
        <w:rPr>
          <w:rFonts w:ascii="Book Antiqua" w:hAnsi="Book Antiqua"/>
        </w:rPr>
      </w:pPr>
      <w:r w:rsidRPr="00467505">
        <w:rPr>
          <w:rFonts w:ascii="Book Antiqua" w:hAnsi="Book Antiqua"/>
        </w:rPr>
        <w:t>Including an assumption of the retirement date for Diablo Canyon in the analysis for each IRP cycle will allow the LSEs collectively to plan for the purchase of power in an orderly fashion to serve the load that was previously served by Diablo Canyon output.</w:t>
      </w:r>
      <w:r w:rsidR="00C835A5" w:rsidRPr="00467505">
        <w:rPr>
          <w:rFonts w:ascii="Book Antiqua" w:hAnsi="Book Antiqua"/>
        </w:rPr>
        <w:t xml:space="preserve"> </w:t>
      </w:r>
      <w:r w:rsidRPr="00467505">
        <w:rPr>
          <w:rFonts w:ascii="Book Antiqua" w:hAnsi="Book Antiqua"/>
        </w:rPr>
        <w:t xml:space="preserve"> Each LSE is required to plan to serve their portion of that load in general, regardless of the planned retirement of any particular power plant. </w:t>
      </w:r>
    </w:p>
    <w:p w14:paraId="76E014C4" w14:textId="05DFDE4F" w:rsidR="00FF2105" w:rsidRPr="00467505" w:rsidRDefault="00FF2105" w:rsidP="00FF2105">
      <w:pPr>
        <w:pStyle w:val="sub3"/>
        <w:rPr>
          <w:rFonts w:ascii="Book Antiqua" w:hAnsi="Book Antiqua"/>
        </w:rPr>
      </w:pPr>
      <w:r w:rsidRPr="00467505">
        <w:rPr>
          <w:rFonts w:ascii="Book Antiqua" w:hAnsi="Book Antiqua"/>
        </w:rPr>
        <w:t xml:space="preserve">In addition, to ensure that there is explicit attention to this issue, since Diablo Canyon is a large resource, we will require each LSE that serves load in PG&amp;E distribution territory to include a section in its next IRP filing explicitly addressing its plans to address the Diablo Canyon retirement. </w:t>
      </w:r>
      <w:r w:rsidR="00872A78">
        <w:rPr>
          <w:rFonts w:ascii="Book Antiqua" w:hAnsi="Book Antiqua"/>
        </w:rPr>
        <w:t xml:space="preserve"> </w:t>
      </w:r>
      <w:r w:rsidR="00105883">
        <w:rPr>
          <w:rFonts w:ascii="Book Antiqua" w:hAnsi="Book Antiqua"/>
        </w:rPr>
        <w:t>In addition, due to the baseload nature of Diablo Canyon, we will require each LSE serving load in PG&amp;E’s territory to address how it will replace the characteristics of the Diablo Canyon output with either flexible baseload and/or firm low-emissions energy.</w:t>
      </w:r>
    </w:p>
    <w:p w14:paraId="0D89A26F" w14:textId="77777777" w:rsidR="00FF2105" w:rsidRPr="00467505" w:rsidRDefault="00FF2105" w:rsidP="00FF2105">
      <w:pPr>
        <w:pStyle w:val="sub3"/>
        <w:rPr>
          <w:rFonts w:ascii="Book Antiqua" w:hAnsi="Book Antiqua"/>
        </w:rPr>
      </w:pPr>
      <w:r w:rsidRPr="00467505">
        <w:rPr>
          <w:rFonts w:ascii="Book Antiqua" w:hAnsi="Book Antiqua"/>
        </w:rPr>
        <w:t xml:space="preserve">We will not, however, allocate a specific replacement capacity </w:t>
      </w:r>
      <w:r w:rsidR="009F7BF7">
        <w:rPr>
          <w:rFonts w:ascii="Book Antiqua" w:hAnsi="Book Antiqua"/>
        </w:rPr>
        <w:t xml:space="preserve">or energy </w:t>
      </w:r>
      <w:r w:rsidRPr="00467505">
        <w:rPr>
          <w:rFonts w:ascii="Book Antiqua" w:hAnsi="Book Antiqua"/>
        </w:rPr>
        <w:t xml:space="preserve">to each LSE. </w:t>
      </w:r>
      <w:r w:rsidR="00C835A5" w:rsidRPr="00467505">
        <w:rPr>
          <w:rFonts w:ascii="Book Antiqua" w:hAnsi="Book Antiqua"/>
        </w:rPr>
        <w:t xml:space="preserve"> </w:t>
      </w:r>
      <w:r w:rsidRPr="00467505">
        <w:rPr>
          <w:rFonts w:ascii="Book Antiqua" w:hAnsi="Book Antiqua"/>
        </w:rPr>
        <w:t xml:space="preserve">The responsibilities for the replacement of Diablo Canyon are embedded in the load assumptions already being planned for by PG&amp;E and the CCAs operating in its territory. </w:t>
      </w:r>
    </w:p>
    <w:p w14:paraId="74294048" w14:textId="77777777" w:rsidR="00313EFF" w:rsidRDefault="00313EFF" w:rsidP="00313EFF">
      <w:pPr>
        <w:pStyle w:val="Heading1"/>
      </w:pPr>
      <w:bookmarkStart w:id="149" w:name="_Toc3803862"/>
      <w:r>
        <w:t xml:space="preserve">Lessons Learned </w:t>
      </w:r>
      <w:r w:rsidR="00BC1AE0">
        <w:t>for Use in</w:t>
      </w:r>
      <w:r>
        <w:t xml:space="preserve"> 2019</w:t>
      </w:r>
      <w:r w:rsidR="00D84A09">
        <w:noBreakHyphen/>
      </w:r>
      <w:r>
        <w:t>2020 IRP Cycle</w:t>
      </w:r>
      <w:bookmarkEnd w:id="149"/>
    </w:p>
    <w:p w14:paraId="6D9400B1" w14:textId="77777777" w:rsidR="006521F8" w:rsidRPr="00467505" w:rsidRDefault="0065365C" w:rsidP="006521F8">
      <w:pPr>
        <w:pStyle w:val="standard"/>
        <w:rPr>
          <w:rFonts w:ascii="Book Antiqua" w:hAnsi="Book Antiqua"/>
        </w:rPr>
      </w:pPr>
      <w:r w:rsidRPr="00467505">
        <w:rPr>
          <w:rFonts w:ascii="Book Antiqua" w:hAnsi="Book Antiqua"/>
        </w:rPr>
        <w:t xml:space="preserve">This section covers </w:t>
      </w:r>
      <w:r w:rsidR="00D83FC3" w:rsidRPr="00467505">
        <w:rPr>
          <w:rFonts w:ascii="Book Antiqua" w:hAnsi="Book Antiqua"/>
        </w:rPr>
        <w:t xml:space="preserve">key lessons offered by the Commission and some parties about what worked and what did not in the first cycle of IRP, and any changes we intend to make for the next cycle. </w:t>
      </w:r>
      <w:r w:rsidR="00C835A5" w:rsidRPr="00467505">
        <w:rPr>
          <w:rFonts w:ascii="Book Antiqua" w:hAnsi="Book Antiqua"/>
        </w:rPr>
        <w:t xml:space="preserve"> </w:t>
      </w:r>
      <w:r w:rsidR="00D83FC3" w:rsidRPr="00467505">
        <w:rPr>
          <w:rFonts w:ascii="Book Antiqua" w:hAnsi="Book Antiqua"/>
        </w:rPr>
        <w:t>Each LSE also included a “lessons learned” section in its IRP and some elements of this discussion are also drawn from those ideas from LSEs.</w:t>
      </w:r>
      <w:r w:rsidR="00C835A5" w:rsidRPr="00467505">
        <w:rPr>
          <w:rFonts w:ascii="Book Antiqua" w:hAnsi="Book Antiqua"/>
        </w:rPr>
        <w:t xml:space="preserve"> </w:t>
      </w:r>
      <w:r w:rsidR="00D83FC3" w:rsidRPr="00467505">
        <w:rPr>
          <w:rFonts w:ascii="Book Antiqua" w:hAnsi="Book Antiqua"/>
        </w:rPr>
        <w:t xml:space="preserve"> </w:t>
      </w:r>
      <w:r w:rsidR="00376013" w:rsidRPr="00467505">
        <w:rPr>
          <w:rFonts w:ascii="Book Antiqua" w:hAnsi="Book Antiqua"/>
        </w:rPr>
        <w:t xml:space="preserve">The sections below cover the main themes of lessons from this round. </w:t>
      </w:r>
    </w:p>
    <w:p w14:paraId="61EB6DED" w14:textId="77777777" w:rsidR="00313EFF" w:rsidRDefault="00313EFF" w:rsidP="004C75AB">
      <w:pPr>
        <w:pStyle w:val="Heading2"/>
      </w:pPr>
      <w:bookmarkStart w:id="150" w:name="_Toc3803863"/>
      <w:r>
        <w:t>IRP Process</w:t>
      </w:r>
      <w:bookmarkEnd w:id="150"/>
    </w:p>
    <w:p w14:paraId="1FE4FF08" w14:textId="77777777" w:rsidR="00313EFF" w:rsidRPr="00467505" w:rsidRDefault="0055415F" w:rsidP="00313EFF">
      <w:pPr>
        <w:pStyle w:val="sub2"/>
        <w:rPr>
          <w:rFonts w:ascii="Book Antiqua" w:hAnsi="Book Antiqua"/>
        </w:rPr>
      </w:pPr>
      <w:r w:rsidRPr="00467505">
        <w:rPr>
          <w:rFonts w:ascii="Book Antiqua" w:hAnsi="Book Antiqua"/>
        </w:rPr>
        <w:t>With respect to the IRP process in general, Commission staff observe that the two</w:t>
      </w:r>
      <w:r w:rsidR="00D84A09" w:rsidRPr="00467505">
        <w:rPr>
          <w:rFonts w:ascii="Book Antiqua" w:hAnsi="Book Antiqua"/>
        </w:rPr>
        <w:noBreakHyphen/>
      </w:r>
      <w:r w:rsidRPr="00467505">
        <w:rPr>
          <w:rFonts w:ascii="Book Antiqua" w:hAnsi="Book Antiqua"/>
        </w:rPr>
        <w:t xml:space="preserve">year cycle has required a heavy workload and fast pace from staff and parties, which is a challenge. </w:t>
      </w:r>
      <w:r w:rsidR="00C835A5" w:rsidRPr="00467505">
        <w:rPr>
          <w:rFonts w:ascii="Book Antiqua" w:hAnsi="Book Antiqua"/>
        </w:rPr>
        <w:t xml:space="preserve"> </w:t>
      </w:r>
      <w:r w:rsidRPr="00467505">
        <w:rPr>
          <w:rFonts w:ascii="Book Antiqua" w:hAnsi="Book Antiqua"/>
        </w:rPr>
        <w:t xml:space="preserve">In preparation for the next cycle, Commission staff may suggest ways in which the process can be streamlined to be less intense and </w:t>
      </w:r>
      <w:r w:rsidR="00D13059" w:rsidRPr="00467505">
        <w:rPr>
          <w:rFonts w:ascii="Book Antiqua" w:hAnsi="Book Antiqua"/>
        </w:rPr>
        <w:t xml:space="preserve">less </w:t>
      </w:r>
      <w:r w:rsidRPr="00467505">
        <w:rPr>
          <w:rFonts w:ascii="Book Antiqua" w:hAnsi="Book Antiqua"/>
        </w:rPr>
        <w:t>tightly scheduled.</w:t>
      </w:r>
    </w:p>
    <w:p w14:paraId="2F1898E5" w14:textId="4E6C00F5" w:rsidR="00313EFF" w:rsidRPr="00467505" w:rsidRDefault="0055415F" w:rsidP="00313EFF">
      <w:pPr>
        <w:pStyle w:val="sub2"/>
        <w:rPr>
          <w:rFonts w:ascii="Book Antiqua" w:hAnsi="Book Antiqua"/>
        </w:rPr>
      </w:pPr>
      <w:r w:rsidRPr="00467505">
        <w:rPr>
          <w:rFonts w:ascii="Book Antiqua" w:hAnsi="Book Antiqua"/>
        </w:rPr>
        <w:t>Another takeaway is that we currently lack a compliance enforcement mechanism if LSEs fail to adhere to the f</w:t>
      </w:r>
      <w:r w:rsidR="0046562E">
        <w:rPr>
          <w:rFonts w:ascii="Book Antiqua" w:hAnsi="Book Antiqua"/>
        </w:rPr>
        <w:t>i</w:t>
      </w:r>
      <w:r w:rsidRPr="00467505">
        <w:rPr>
          <w:rFonts w:ascii="Book Antiqua" w:hAnsi="Book Antiqua"/>
        </w:rPr>
        <w:t xml:space="preserve">ling requirements and deadlines. </w:t>
      </w:r>
      <w:r w:rsidR="00C835A5" w:rsidRPr="00467505">
        <w:rPr>
          <w:rFonts w:ascii="Book Antiqua" w:hAnsi="Book Antiqua"/>
        </w:rPr>
        <w:t xml:space="preserve"> </w:t>
      </w:r>
      <w:r w:rsidRPr="00467505">
        <w:rPr>
          <w:rFonts w:ascii="Book Antiqua" w:hAnsi="Book Antiqua"/>
        </w:rPr>
        <w:t>For example, Commercial Energy</w:t>
      </w:r>
      <w:r w:rsidR="009A7450">
        <w:rPr>
          <w:rFonts w:ascii="Book Antiqua" w:hAnsi="Book Antiqua"/>
        </w:rPr>
        <w:t xml:space="preserve"> of California has failed</w:t>
      </w:r>
      <w:r w:rsidRPr="00467505">
        <w:rPr>
          <w:rFonts w:ascii="Book Antiqua" w:hAnsi="Book Antiqua"/>
        </w:rPr>
        <w:t xml:space="preserve"> to file an IRP at all. </w:t>
      </w:r>
      <w:r w:rsidR="00C835A5" w:rsidRPr="00467505">
        <w:rPr>
          <w:rFonts w:ascii="Book Antiqua" w:hAnsi="Book Antiqua"/>
        </w:rPr>
        <w:t xml:space="preserve"> </w:t>
      </w:r>
      <w:r w:rsidR="000128F8">
        <w:rPr>
          <w:rFonts w:ascii="Book Antiqua" w:hAnsi="Book Antiqua"/>
        </w:rPr>
        <w:t>The Commission will</w:t>
      </w:r>
      <w:r w:rsidRPr="00467505">
        <w:rPr>
          <w:rFonts w:ascii="Book Antiqua" w:hAnsi="Book Antiqua"/>
        </w:rPr>
        <w:t xml:space="preserve"> </w:t>
      </w:r>
      <w:r w:rsidR="00D20449">
        <w:rPr>
          <w:rFonts w:ascii="Book Antiqua" w:hAnsi="Book Antiqua"/>
        </w:rPr>
        <w:t>develop</w:t>
      </w:r>
      <w:r w:rsidR="000128F8">
        <w:rPr>
          <w:rFonts w:ascii="Book Antiqua" w:hAnsi="Book Antiqua"/>
        </w:rPr>
        <w:t xml:space="preserve"> </w:t>
      </w:r>
      <w:r w:rsidRPr="00467505">
        <w:rPr>
          <w:rFonts w:ascii="Book Antiqua" w:hAnsi="Book Antiqua"/>
        </w:rPr>
        <w:t xml:space="preserve">a citation program similar to those that exist for the resource adequacy and RPS proceedings, </w:t>
      </w:r>
      <w:r w:rsidR="00D20449">
        <w:rPr>
          <w:rFonts w:ascii="Book Antiqua" w:hAnsi="Book Antiqua"/>
        </w:rPr>
        <w:t>to</w:t>
      </w:r>
      <w:r w:rsidR="00D20449" w:rsidRPr="00467505">
        <w:rPr>
          <w:rFonts w:ascii="Book Antiqua" w:hAnsi="Book Antiqua"/>
        </w:rPr>
        <w:t xml:space="preserve"> </w:t>
      </w:r>
      <w:r w:rsidRPr="00467505">
        <w:rPr>
          <w:rFonts w:ascii="Book Antiqua" w:hAnsi="Book Antiqua"/>
        </w:rPr>
        <w:t xml:space="preserve">encourage LSEs to </w:t>
      </w:r>
      <w:r w:rsidR="0046562E">
        <w:rPr>
          <w:rFonts w:ascii="Book Antiqua" w:hAnsi="Book Antiqua"/>
        </w:rPr>
        <w:t>submit</w:t>
      </w:r>
      <w:r w:rsidR="0046562E" w:rsidRPr="00467505">
        <w:rPr>
          <w:rFonts w:ascii="Book Antiqua" w:hAnsi="Book Antiqua"/>
        </w:rPr>
        <w:t xml:space="preserve"> </w:t>
      </w:r>
      <w:r w:rsidRPr="00467505">
        <w:rPr>
          <w:rFonts w:ascii="Book Antiqua" w:hAnsi="Book Antiqua"/>
        </w:rPr>
        <w:t xml:space="preserve">their filings on time and in compliance with all of the overall requirements on the first try. </w:t>
      </w:r>
    </w:p>
    <w:p w14:paraId="5DAE4B80" w14:textId="77777777" w:rsidR="0055415F" w:rsidRPr="00467505" w:rsidRDefault="002A3B2E" w:rsidP="00313EFF">
      <w:pPr>
        <w:pStyle w:val="sub2"/>
        <w:rPr>
          <w:rFonts w:ascii="Book Antiqua" w:hAnsi="Book Antiqua"/>
        </w:rPr>
      </w:pPr>
      <w:r w:rsidRPr="00467505">
        <w:rPr>
          <w:rFonts w:ascii="Book Antiqua" w:hAnsi="Book Antiqua"/>
        </w:rPr>
        <w:t>We also observe that there was some confusion over particular terms we created with respect to the IRP process, such as</w:t>
      </w:r>
      <w:r w:rsidR="009A7450">
        <w:rPr>
          <w:rFonts w:ascii="Book Antiqua" w:hAnsi="Book Antiqua"/>
        </w:rPr>
        <w:t xml:space="preserve">: </w:t>
      </w:r>
      <w:r w:rsidRPr="00467505">
        <w:rPr>
          <w:rFonts w:ascii="Book Antiqua" w:hAnsi="Book Antiqua"/>
        </w:rPr>
        <w:t xml:space="preserve">LSE Plan vs. LSE IRP; Alternative </w:t>
      </w:r>
      <w:r w:rsidR="0046562E">
        <w:rPr>
          <w:rFonts w:ascii="Book Antiqua" w:hAnsi="Book Antiqua"/>
        </w:rPr>
        <w:t xml:space="preserve">LSE </w:t>
      </w:r>
      <w:r w:rsidRPr="00467505">
        <w:rPr>
          <w:rFonts w:ascii="Book Antiqua" w:hAnsi="Book Antiqua"/>
        </w:rPr>
        <w:t>Plans</w:t>
      </w:r>
      <w:r w:rsidR="0046562E">
        <w:rPr>
          <w:rFonts w:ascii="Book Antiqua" w:hAnsi="Book Antiqua"/>
        </w:rPr>
        <w:t xml:space="preserve"> vs. Alternative Plans for Standard LSE Plan filers</w:t>
      </w:r>
      <w:r w:rsidRPr="00467505">
        <w:rPr>
          <w:rFonts w:ascii="Book Antiqua" w:hAnsi="Book Antiqua"/>
        </w:rPr>
        <w:t>, RSP</w:t>
      </w:r>
      <w:r w:rsidR="0046562E">
        <w:rPr>
          <w:rFonts w:ascii="Book Antiqua" w:hAnsi="Book Antiqua"/>
        </w:rPr>
        <w:t xml:space="preserve"> vs.</w:t>
      </w:r>
      <w:r w:rsidRPr="00467505">
        <w:rPr>
          <w:rFonts w:ascii="Book Antiqua" w:hAnsi="Book Antiqua"/>
        </w:rPr>
        <w:t xml:space="preserve"> RSP with 2017 IEPR assumptions, etc. </w:t>
      </w:r>
      <w:r w:rsidR="00C835A5" w:rsidRPr="00467505">
        <w:rPr>
          <w:rFonts w:ascii="Book Antiqua" w:hAnsi="Book Antiqua"/>
        </w:rPr>
        <w:t xml:space="preserve"> </w:t>
      </w:r>
      <w:r w:rsidRPr="00467505">
        <w:rPr>
          <w:rFonts w:ascii="Book Antiqua" w:hAnsi="Book Antiqua"/>
        </w:rPr>
        <w:t>We will work on clarifying these types of references in the future to reduce confusion.</w:t>
      </w:r>
    </w:p>
    <w:p w14:paraId="02936431" w14:textId="77777777" w:rsidR="002A3B2E" w:rsidRPr="00467505" w:rsidRDefault="001300A2" w:rsidP="00313EFF">
      <w:pPr>
        <w:pStyle w:val="sub2"/>
        <w:rPr>
          <w:rFonts w:ascii="Book Antiqua" w:hAnsi="Book Antiqua"/>
        </w:rPr>
      </w:pPr>
      <w:r w:rsidRPr="00467505">
        <w:rPr>
          <w:rFonts w:ascii="Book Antiqua" w:hAnsi="Book Antiqua"/>
        </w:rPr>
        <w:t xml:space="preserve">The three large IOUs all pointed out that it is problematic that some CCAs advised the Commission to refrain from utilizing their IRPs for statewide planning. </w:t>
      </w:r>
      <w:r w:rsidR="00C835A5" w:rsidRPr="00467505">
        <w:rPr>
          <w:rFonts w:ascii="Book Antiqua" w:hAnsi="Book Antiqua"/>
        </w:rPr>
        <w:t xml:space="preserve"> </w:t>
      </w:r>
      <w:r w:rsidRPr="00467505">
        <w:rPr>
          <w:rFonts w:ascii="Book Antiqua" w:hAnsi="Book Antiqua"/>
        </w:rPr>
        <w:t>PG&amp;E suggested that all LSEs should be including their best view of their long</w:t>
      </w:r>
      <w:r w:rsidR="00D84A09" w:rsidRPr="00467505">
        <w:rPr>
          <w:rFonts w:ascii="Book Antiqua" w:hAnsi="Book Antiqua"/>
        </w:rPr>
        <w:noBreakHyphen/>
      </w:r>
      <w:r w:rsidRPr="00467505">
        <w:rPr>
          <w:rFonts w:ascii="Book Antiqua" w:hAnsi="Book Antiqua"/>
        </w:rPr>
        <w:t xml:space="preserve">term resource needs and expected procurement strategies, in order to meet the state’s goals. </w:t>
      </w:r>
      <w:r w:rsidR="00C835A5" w:rsidRPr="00467505">
        <w:rPr>
          <w:rFonts w:ascii="Book Antiqua" w:hAnsi="Book Antiqua"/>
        </w:rPr>
        <w:t xml:space="preserve"> </w:t>
      </w:r>
      <w:r w:rsidRPr="00467505">
        <w:rPr>
          <w:rFonts w:ascii="Book Antiqua" w:hAnsi="Book Antiqua"/>
        </w:rPr>
        <w:t>SCE was more concerned that some CCAs referred to an intention to develop separate IRPs outside of the Commission’s process.</w:t>
      </w:r>
      <w:r w:rsidR="0064233B" w:rsidRPr="00467505">
        <w:rPr>
          <w:rFonts w:ascii="Book Antiqua" w:hAnsi="Book Antiqua"/>
        </w:rPr>
        <w:t xml:space="preserve"> </w:t>
      </w:r>
      <w:r w:rsidR="00C835A5" w:rsidRPr="00467505">
        <w:rPr>
          <w:rFonts w:ascii="Book Antiqua" w:hAnsi="Book Antiqua"/>
        </w:rPr>
        <w:t xml:space="preserve"> </w:t>
      </w:r>
      <w:r w:rsidR="0064233B" w:rsidRPr="00467505">
        <w:rPr>
          <w:rFonts w:ascii="Book Antiqua" w:hAnsi="Book Antiqua"/>
        </w:rPr>
        <w:t xml:space="preserve">SCE suggests that any missing information in an LSE’s IRP could lead to a statewide deficiency, and that therefore all LSEs should align their processes with the Commission’s and be required to submit their internal IRPs to the Commission. </w:t>
      </w:r>
      <w:r w:rsidR="00C835A5" w:rsidRPr="00467505">
        <w:rPr>
          <w:rFonts w:ascii="Book Antiqua" w:hAnsi="Book Antiqua"/>
        </w:rPr>
        <w:t xml:space="preserve"> </w:t>
      </w:r>
      <w:r w:rsidR="0064233B" w:rsidRPr="00467505">
        <w:rPr>
          <w:rFonts w:ascii="Book Antiqua" w:hAnsi="Book Antiqua"/>
        </w:rPr>
        <w:t xml:space="preserve">We agree and have already discussed this in the individual IRP section above. </w:t>
      </w:r>
      <w:r w:rsidR="00C835A5" w:rsidRPr="00467505">
        <w:rPr>
          <w:rFonts w:ascii="Book Antiqua" w:hAnsi="Book Antiqua"/>
        </w:rPr>
        <w:t xml:space="preserve"> </w:t>
      </w:r>
      <w:r w:rsidR="0064233B" w:rsidRPr="00467505">
        <w:rPr>
          <w:rFonts w:ascii="Book Antiqua" w:hAnsi="Book Antiqua"/>
        </w:rPr>
        <w:t>Finally, SDG&amp;E would like us to reiterate tha</w:t>
      </w:r>
      <w:r w:rsidR="00C835A5" w:rsidRPr="00467505">
        <w:rPr>
          <w:rFonts w:ascii="Book Antiqua" w:hAnsi="Book Antiqua"/>
        </w:rPr>
        <w:t>t we enforce compliance with SB </w:t>
      </w:r>
      <w:r w:rsidR="0064233B" w:rsidRPr="00467505">
        <w:rPr>
          <w:rFonts w:ascii="Book Antiqua" w:hAnsi="Book Antiqua"/>
        </w:rPr>
        <w:t xml:space="preserve">350 and not the local governing boards of CCAs, and that the Commission’s IRP process is mandatory. </w:t>
      </w:r>
      <w:r w:rsidR="00C835A5" w:rsidRPr="00467505">
        <w:rPr>
          <w:rFonts w:ascii="Book Antiqua" w:hAnsi="Book Antiqua"/>
        </w:rPr>
        <w:t xml:space="preserve"> </w:t>
      </w:r>
      <w:r w:rsidR="0064233B" w:rsidRPr="00467505">
        <w:rPr>
          <w:rFonts w:ascii="Book Antiqua" w:hAnsi="Book Antiqua"/>
        </w:rPr>
        <w:t>We also agree with this.</w:t>
      </w:r>
    </w:p>
    <w:p w14:paraId="6B77547C" w14:textId="77777777" w:rsidR="0064233B" w:rsidRPr="00467505" w:rsidRDefault="0064233B" w:rsidP="00313EFF">
      <w:pPr>
        <w:pStyle w:val="sub2"/>
        <w:rPr>
          <w:rFonts w:ascii="Book Antiqua" w:hAnsi="Book Antiqua"/>
        </w:rPr>
      </w:pPr>
      <w:r w:rsidRPr="00467505">
        <w:rPr>
          <w:rFonts w:ascii="Book Antiqua" w:hAnsi="Book Antiqua"/>
        </w:rPr>
        <w:t>TURN was particularly concerned with the limited</w:t>
      </w:r>
      <w:r w:rsidR="00D84A09" w:rsidRPr="00467505">
        <w:rPr>
          <w:rFonts w:ascii="Book Antiqua" w:hAnsi="Book Antiqua"/>
        </w:rPr>
        <w:noBreakHyphen/>
      </w:r>
      <w:r w:rsidRPr="00467505">
        <w:rPr>
          <w:rFonts w:ascii="Book Antiqua" w:hAnsi="Book Antiqua"/>
        </w:rPr>
        <w:t xml:space="preserve">term load forecasts of the ESPs, stating that they limit the value of the ESP plans. </w:t>
      </w:r>
      <w:r w:rsidR="00C835A5" w:rsidRPr="00467505">
        <w:rPr>
          <w:rFonts w:ascii="Book Antiqua" w:hAnsi="Book Antiqua"/>
        </w:rPr>
        <w:t xml:space="preserve"> </w:t>
      </w:r>
      <w:r w:rsidRPr="00467505">
        <w:rPr>
          <w:rFonts w:ascii="Book Antiqua" w:hAnsi="Book Antiqua"/>
        </w:rPr>
        <w:t>TURN suggests that this calls for the Commission to consider more comprehensive centralized procurement approaches that can enter into long</w:t>
      </w:r>
      <w:r w:rsidR="00D84A09" w:rsidRPr="00467505">
        <w:rPr>
          <w:rFonts w:ascii="Book Antiqua" w:hAnsi="Book Antiqua"/>
        </w:rPr>
        <w:noBreakHyphen/>
      </w:r>
      <w:r w:rsidRPr="00467505">
        <w:rPr>
          <w:rFonts w:ascii="Book Antiqua" w:hAnsi="Book Antiqua"/>
        </w:rPr>
        <w:t xml:space="preserve">term commitments on behalf of aggregated ESP customer loads. </w:t>
      </w:r>
    </w:p>
    <w:p w14:paraId="5BF10B17" w14:textId="77777777" w:rsidR="0091501E" w:rsidRPr="00467505" w:rsidRDefault="0091501E" w:rsidP="00313EFF">
      <w:pPr>
        <w:pStyle w:val="sub2"/>
        <w:rPr>
          <w:rFonts w:ascii="Book Antiqua" w:hAnsi="Book Antiqua"/>
        </w:rPr>
      </w:pPr>
      <w:r w:rsidRPr="00467505">
        <w:rPr>
          <w:rFonts w:ascii="Book Antiqua" w:hAnsi="Book Antiqua"/>
        </w:rPr>
        <w:t xml:space="preserve">Finally, </w:t>
      </w:r>
      <w:r w:rsidR="0018515D" w:rsidRPr="00467505">
        <w:rPr>
          <w:rFonts w:ascii="Book Antiqua" w:hAnsi="Book Antiqua"/>
        </w:rPr>
        <w:t xml:space="preserve">PG&amp;E pointed out that </w:t>
      </w:r>
      <w:r w:rsidR="00AA1048" w:rsidRPr="00467505">
        <w:rPr>
          <w:rFonts w:ascii="Book Antiqua" w:hAnsi="Book Antiqua"/>
        </w:rPr>
        <w:t>no LSEs proposed to build new natural gas resources or to institute long</w:t>
      </w:r>
      <w:r w:rsidR="00D84A09" w:rsidRPr="00467505">
        <w:rPr>
          <w:rFonts w:ascii="Book Antiqua" w:hAnsi="Book Antiqua"/>
        </w:rPr>
        <w:noBreakHyphen/>
      </w:r>
      <w:r w:rsidR="00AA1048" w:rsidRPr="00467505">
        <w:rPr>
          <w:rFonts w:ascii="Book Antiqua" w:hAnsi="Book Antiqua"/>
        </w:rPr>
        <w:t>term contracts with existing natural gas resources, despite the fact that the RSP assumed that the gas fleet remains operational, with the exception of once</w:t>
      </w:r>
      <w:r w:rsidR="00D84A09" w:rsidRPr="00467505">
        <w:rPr>
          <w:rFonts w:ascii="Book Antiqua" w:hAnsi="Book Antiqua"/>
        </w:rPr>
        <w:noBreakHyphen/>
      </w:r>
      <w:r w:rsidR="00AA1048" w:rsidRPr="00467505">
        <w:rPr>
          <w:rFonts w:ascii="Book Antiqua" w:hAnsi="Book Antiqua"/>
        </w:rPr>
        <w:t>thru</w:t>
      </w:r>
      <w:r w:rsidR="00D84A09" w:rsidRPr="00467505">
        <w:rPr>
          <w:rFonts w:ascii="Book Antiqua" w:hAnsi="Book Antiqua"/>
        </w:rPr>
        <w:noBreakHyphen/>
      </w:r>
      <w:r w:rsidR="00AA1048" w:rsidRPr="00467505">
        <w:rPr>
          <w:rFonts w:ascii="Book Antiqua" w:hAnsi="Book Antiqua"/>
        </w:rPr>
        <w:t>cooling units.</w:t>
      </w:r>
      <w:r w:rsidR="00C835A5" w:rsidRPr="00467505">
        <w:rPr>
          <w:rFonts w:ascii="Book Antiqua" w:hAnsi="Book Antiqua"/>
        </w:rPr>
        <w:t xml:space="preserve"> </w:t>
      </w:r>
      <w:r w:rsidR="00AA1048" w:rsidRPr="00467505">
        <w:rPr>
          <w:rFonts w:ascii="Book Antiqua" w:hAnsi="Book Antiqua"/>
        </w:rPr>
        <w:t xml:space="preserve"> This suggests that many LSEs are relying on unspecified, short</w:t>
      </w:r>
      <w:r w:rsidR="00D84A09" w:rsidRPr="00467505">
        <w:rPr>
          <w:rFonts w:ascii="Book Antiqua" w:hAnsi="Book Antiqua"/>
        </w:rPr>
        <w:noBreakHyphen/>
      </w:r>
      <w:r w:rsidR="00AA1048" w:rsidRPr="00467505">
        <w:rPr>
          <w:rFonts w:ascii="Book Antiqua" w:hAnsi="Book Antiqua"/>
        </w:rPr>
        <w:t>term market purchases from existing natural gas generators to meet future projected reliability needs.</w:t>
      </w:r>
      <w:r w:rsidR="00C835A5" w:rsidRPr="00467505">
        <w:rPr>
          <w:rFonts w:ascii="Book Antiqua" w:hAnsi="Book Antiqua"/>
        </w:rPr>
        <w:t xml:space="preserve"> </w:t>
      </w:r>
      <w:r w:rsidR="00AA1048" w:rsidRPr="00467505">
        <w:rPr>
          <w:rFonts w:ascii="Book Antiqua" w:hAnsi="Book Antiqua"/>
        </w:rPr>
        <w:t xml:space="preserve"> PG&amp;E suggests that this is not a sustainable solution to maintaining the generators needed to ensure a reliable system in the future. </w:t>
      </w:r>
      <w:r w:rsidR="00C835A5" w:rsidRPr="00467505">
        <w:rPr>
          <w:rFonts w:ascii="Book Antiqua" w:hAnsi="Book Antiqua"/>
        </w:rPr>
        <w:t xml:space="preserve"> </w:t>
      </w:r>
      <w:r w:rsidR="00AA1048" w:rsidRPr="00467505">
        <w:rPr>
          <w:rFonts w:ascii="Book Antiqua" w:hAnsi="Book Antiqua"/>
        </w:rPr>
        <w:t>We agree, as discussed above in Section 5 on reliability.</w:t>
      </w:r>
    </w:p>
    <w:p w14:paraId="49434D71" w14:textId="77777777" w:rsidR="00313EFF" w:rsidRDefault="006521F8" w:rsidP="004C75AB">
      <w:pPr>
        <w:pStyle w:val="Heading2"/>
      </w:pPr>
      <w:bookmarkStart w:id="151" w:name="_Toc3803864"/>
      <w:r>
        <w:t>Planning Assumptions</w:t>
      </w:r>
      <w:bookmarkEnd w:id="151"/>
    </w:p>
    <w:p w14:paraId="35FECAF5" w14:textId="77777777" w:rsidR="006521F8" w:rsidRPr="00467505" w:rsidRDefault="00BF2A52" w:rsidP="006521F8">
      <w:pPr>
        <w:pStyle w:val="sub1"/>
        <w:rPr>
          <w:rFonts w:ascii="Book Antiqua" w:hAnsi="Book Antiqua"/>
        </w:rPr>
      </w:pPr>
      <w:r w:rsidRPr="00467505">
        <w:rPr>
          <w:rFonts w:ascii="Book Antiqua" w:hAnsi="Book Antiqua"/>
        </w:rPr>
        <w:t xml:space="preserve">In the area of planning assumptions, CEJA and Sierra Club, as well as PG&amp;E, commented that the majority of the LSEs did not engage in the comprehensive planning necessary for California to achieve its GHG and air </w:t>
      </w:r>
      <w:r w:rsidR="0046562E">
        <w:rPr>
          <w:rFonts w:ascii="Book Antiqua" w:hAnsi="Book Antiqua"/>
        </w:rPr>
        <w:t>pollutant</w:t>
      </w:r>
      <w:r w:rsidR="0046562E" w:rsidRPr="00467505">
        <w:rPr>
          <w:rFonts w:ascii="Book Antiqua" w:hAnsi="Book Antiqua"/>
        </w:rPr>
        <w:t xml:space="preserve"> </w:t>
      </w:r>
      <w:r w:rsidRPr="00467505">
        <w:rPr>
          <w:rFonts w:ascii="Book Antiqua" w:hAnsi="Book Antiqua"/>
        </w:rPr>
        <w:t xml:space="preserve">requirements and goals. </w:t>
      </w:r>
      <w:r w:rsidR="00C835A5" w:rsidRPr="00467505">
        <w:rPr>
          <w:rFonts w:ascii="Book Antiqua" w:hAnsi="Book Antiqua"/>
        </w:rPr>
        <w:t xml:space="preserve"> </w:t>
      </w:r>
      <w:r w:rsidRPr="00467505">
        <w:rPr>
          <w:rFonts w:ascii="Book Antiqua" w:hAnsi="Book Antiqua"/>
        </w:rPr>
        <w:t xml:space="preserve">In particular, they commented that it is unclear how the IRPs will provide assurance that California is on the path to meet its GHG and </w:t>
      </w:r>
      <w:r w:rsidR="0046562E">
        <w:rPr>
          <w:rFonts w:ascii="Book Antiqua" w:hAnsi="Book Antiqua"/>
        </w:rPr>
        <w:t xml:space="preserve">criteria </w:t>
      </w:r>
      <w:r w:rsidRPr="00467505">
        <w:rPr>
          <w:rFonts w:ascii="Book Antiqua" w:hAnsi="Book Antiqua"/>
        </w:rPr>
        <w:t xml:space="preserve">air </w:t>
      </w:r>
      <w:r w:rsidR="0046562E">
        <w:rPr>
          <w:rFonts w:ascii="Book Antiqua" w:hAnsi="Book Antiqua"/>
        </w:rPr>
        <w:t>pollutant</w:t>
      </w:r>
      <w:r w:rsidR="0046562E" w:rsidRPr="00467505">
        <w:rPr>
          <w:rFonts w:ascii="Book Antiqua" w:hAnsi="Book Antiqua"/>
        </w:rPr>
        <w:t xml:space="preserve"> </w:t>
      </w:r>
      <w:r w:rsidRPr="00467505">
        <w:rPr>
          <w:rFonts w:ascii="Book Antiqua" w:hAnsi="Book Antiqua"/>
        </w:rPr>
        <w:t>requirements when nearly all LSE stress how uncertain their assumptions are and that the types of resources procured are likely to change from their plans.</w:t>
      </w:r>
      <w:r w:rsidR="00C835A5" w:rsidRPr="00467505">
        <w:rPr>
          <w:rFonts w:ascii="Book Antiqua" w:hAnsi="Book Antiqua"/>
        </w:rPr>
        <w:t xml:space="preserve"> </w:t>
      </w:r>
      <w:r w:rsidRPr="00467505">
        <w:rPr>
          <w:rFonts w:ascii="Book Antiqua" w:hAnsi="Book Antiqua"/>
        </w:rPr>
        <w:t xml:space="preserve"> We agree that this will be an ongoing challenge, and is part of the reason for the iterative nature of the IRP process.</w:t>
      </w:r>
    </w:p>
    <w:p w14:paraId="0ABCE9DB" w14:textId="77777777" w:rsidR="00BF2A52" w:rsidRPr="00467505" w:rsidRDefault="00BF2A52" w:rsidP="006521F8">
      <w:pPr>
        <w:pStyle w:val="sub1"/>
        <w:rPr>
          <w:rFonts w:ascii="Book Antiqua" w:hAnsi="Book Antiqua"/>
        </w:rPr>
      </w:pPr>
      <w:r w:rsidRPr="00467505">
        <w:rPr>
          <w:rFonts w:ascii="Book Antiqua" w:hAnsi="Book Antiqua"/>
        </w:rPr>
        <w:t xml:space="preserve">TURN focused its comments in this area on the utilization by LSEs of a great deal of unspecified capacity and energy in the plans. </w:t>
      </w:r>
      <w:r w:rsidR="00C835A5" w:rsidRPr="00467505">
        <w:rPr>
          <w:rFonts w:ascii="Book Antiqua" w:hAnsi="Book Antiqua"/>
        </w:rPr>
        <w:t xml:space="preserve"> </w:t>
      </w:r>
      <w:r w:rsidRPr="00467505">
        <w:rPr>
          <w:rFonts w:ascii="Book Antiqua" w:hAnsi="Book Antiqua"/>
        </w:rPr>
        <w:t>TURN recommended that the Commission staff provide a summary of the amount of “unspecified” energy and capacity included in the 2030 LSE</w:t>
      </w:r>
      <w:r w:rsidR="00B03BBB">
        <w:rPr>
          <w:rFonts w:ascii="Book Antiqua" w:hAnsi="Book Antiqua"/>
        </w:rPr>
        <w:t xml:space="preserve"> </w:t>
      </w:r>
      <w:r w:rsidRPr="00467505">
        <w:rPr>
          <w:rFonts w:ascii="Book Antiqua" w:hAnsi="Book Antiqua"/>
        </w:rPr>
        <w:t xml:space="preserve">portfolios to assess whether such aggregate levels of unspecified capacity and energy will actually be available to LSEs. </w:t>
      </w:r>
      <w:r w:rsidR="00C835A5" w:rsidRPr="00467505">
        <w:rPr>
          <w:rFonts w:ascii="Book Antiqua" w:hAnsi="Book Antiqua"/>
        </w:rPr>
        <w:t xml:space="preserve"> </w:t>
      </w:r>
      <w:r w:rsidRPr="00467505">
        <w:rPr>
          <w:rFonts w:ascii="Book Antiqua" w:hAnsi="Book Antiqua"/>
        </w:rPr>
        <w:t>We intend to do this in the next IRP cycle, and will also consider placing limitations on the amount of unspecified energy and capacity that each LSE may include in its plan (see discussion in Section 5 on reliability above).</w:t>
      </w:r>
    </w:p>
    <w:p w14:paraId="0C6429AA" w14:textId="77777777" w:rsidR="00BF2A52" w:rsidRPr="00467505" w:rsidRDefault="00BF2A52" w:rsidP="006521F8">
      <w:pPr>
        <w:pStyle w:val="sub1"/>
        <w:rPr>
          <w:rFonts w:ascii="Book Antiqua" w:hAnsi="Book Antiqua"/>
        </w:rPr>
      </w:pPr>
      <w:r w:rsidRPr="00467505">
        <w:rPr>
          <w:rFonts w:ascii="Book Antiqua" w:hAnsi="Book Antiqua"/>
        </w:rPr>
        <w:t xml:space="preserve">Finally, Tiger suggests that the Commission hold a workshop with the aim of identifying IRP informational and analytical requirements that may be eliminated for ESPs without detracting from the Commission’s ability to meet its statutory requirements. </w:t>
      </w:r>
      <w:r w:rsidR="00C835A5" w:rsidRPr="00467505">
        <w:rPr>
          <w:rFonts w:ascii="Book Antiqua" w:hAnsi="Book Antiqua"/>
        </w:rPr>
        <w:t xml:space="preserve"> </w:t>
      </w:r>
      <w:r w:rsidR="005C7B61" w:rsidRPr="00467505">
        <w:rPr>
          <w:rFonts w:ascii="Book Antiqua" w:hAnsi="Book Antiqua"/>
        </w:rPr>
        <w:t xml:space="preserve">EDF Industrial also commented that some items could possibly be eliminated. </w:t>
      </w:r>
      <w:r w:rsidR="00C835A5" w:rsidRPr="00467505">
        <w:rPr>
          <w:rFonts w:ascii="Book Antiqua" w:hAnsi="Book Antiqua"/>
        </w:rPr>
        <w:t xml:space="preserve"> </w:t>
      </w:r>
      <w:r w:rsidRPr="00467505">
        <w:rPr>
          <w:rFonts w:ascii="Book Antiqua" w:hAnsi="Book Antiqua"/>
        </w:rPr>
        <w:t>We will consider this issue when we revisit the filing requirements for the next round of IRPs in the 2019</w:t>
      </w:r>
      <w:r w:rsidR="00D84A09" w:rsidRPr="00467505">
        <w:rPr>
          <w:rFonts w:ascii="Book Antiqua" w:hAnsi="Book Antiqua"/>
        </w:rPr>
        <w:noBreakHyphen/>
      </w:r>
      <w:r w:rsidRPr="00467505">
        <w:rPr>
          <w:rFonts w:ascii="Book Antiqua" w:hAnsi="Book Antiqua"/>
        </w:rPr>
        <w:t>2020 IRP cycle.</w:t>
      </w:r>
    </w:p>
    <w:p w14:paraId="799F0D96" w14:textId="77777777" w:rsidR="00313EFF" w:rsidRDefault="006521F8" w:rsidP="004C75AB">
      <w:pPr>
        <w:pStyle w:val="Heading2"/>
      </w:pPr>
      <w:bookmarkStart w:id="152" w:name="_Toc3803865"/>
      <w:r>
        <w:t>Regulatory Agency Coordination</w:t>
      </w:r>
      <w:bookmarkEnd w:id="152"/>
    </w:p>
    <w:p w14:paraId="65D9217C" w14:textId="77777777" w:rsidR="00D4333E" w:rsidRPr="00467505" w:rsidRDefault="000B76BF" w:rsidP="00313EFF">
      <w:pPr>
        <w:pStyle w:val="sub1"/>
        <w:rPr>
          <w:rFonts w:ascii="Book Antiqua" w:hAnsi="Book Antiqua"/>
        </w:rPr>
      </w:pPr>
      <w:r w:rsidRPr="00467505">
        <w:rPr>
          <w:rFonts w:ascii="Book Antiqua" w:hAnsi="Book Antiqua"/>
        </w:rPr>
        <w:t xml:space="preserve">Several parties commented that there are differences in GHG accounting assumptions and methodologies between the Commission, the CAISO, CARB, and the CEC. </w:t>
      </w:r>
      <w:r w:rsidR="00C835A5" w:rsidRPr="00467505">
        <w:rPr>
          <w:rFonts w:ascii="Book Antiqua" w:hAnsi="Book Antiqua"/>
        </w:rPr>
        <w:t xml:space="preserve"> </w:t>
      </w:r>
      <w:r w:rsidRPr="00467505">
        <w:rPr>
          <w:rFonts w:ascii="Book Antiqua" w:hAnsi="Book Antiqua"/>
        </w:rPr>
        <w:t>This can create confusion for LSEs and make it more difficult to monitor and assess the collective pro</w:t>
      </w:r>
      <w:r w:rsidR="00D4333E" w:rsidRPr="00467505">
        <w:rPr>
          <w:rFonts w:ascii="Book Antiqua" w:hAnsi="Book Antiqua"/>
        </w:rPr>
        <w:t>g</w:t>
      </w:r>
      <w:r w:rsidRPr="00467505">
        <w:rPr>
          <w:rFonts w:ascii="Book Antiqua" w:hAnsi="Book Antiqua"/>
        </w:rPr>
        <w:t xml:space="preserve">ress of LSEs and POUs toward achieving the state’s long term GHG reduction goals. </w:t>
      </w:r>
      <w:r w:rsidR="00C835A5" w:rsidRPr="00467505">
        <w:rPr>
          <w:rFonts w:ascii="Book Antiqua" w:hAnsi="Book Antiqua"/>
        </w:rPr>
        <w:t xml:space="preserve"> </w:t>
      </w:r>
      <w:r w:rsidR="00D4333E" w:rsidRPr="00467505">
        <w:rPr>
          <w:rFonts w:ascii="Book Antiqua" w:hAnsi="Book Antiqua"/>
        </w:rPr>
        <w:t xml:space="preserve">MCE, PCE, PG&amp;E, and Shell all pointed out the desire for consistency with respect to reporting requirements between the regulating agencies. </w:t>
      </w:r>
      <w:r w:rsidR="00C835A5" w:rsidRPr="00467505">
        <w:rPr>
          <w:rFonts w:ascii="Book Antiqua" w:hAnsi="Book Antiqua"/>
        </w:rPr>
        <w:t xml:space="preserve"> </w:t>
      </w:r>
      <w:r w:rsidR="00D4333E" w:rsidRPr="00467505">
        <w:rPr>
          <w:rFonts w:ascii="Book Antiqua" w:hAnsi="Book Antiqua"/>
        </w:rPr>
        <w:t xml:space="preserve">PG&amp;E suggests that the Commission and CEC hold a joint workshop to explain the differences between the Commission’s forecasting methodology and the CEC’s reporting accounting methodology, and also explore with stakeholders how to create more consistency between the two. </w:t>
      </w:r>
      <w:r w:rsidR="00C835A5" w:rsidRPr="00467505">
        <w:rPr>
          <w:rFonts w:ascii="Book Antiqua" w:hAnsi="Book Antiqua"/>
        </w:rPr>
        <w:t xml:space="preserve"> </w:t>
      </w:r>
      <w:r w:rsidR="00D4333E" w:rsidRPr="00467505">
        <w:rPr>
          <w:rFonts w:ascii="Book Antiqua" w:hAnsi="Book Antiqua"/>
        </w:rPr>
        <w:t>We will consider this in coordination with the CEC.</w:t>
      </w:r>
    </w:p>
    <w:p w14:paraId="55E684C3" w14:textId="77777777" w:rsidR="00D4333E" w:rsidRPr="00467505" w:rsidRDefault="00D4333E" w:rsidP="00313EFF">
      <w:pPr>
        <w:pStyle w:val="sub1"/>
        <w:rPr>
          <w:rFonts w:ascii="Book Antiqua" w:hAnsi="Book Antiqua"/>
        </w:rPr>
      </w:pPr>
      <w:r w:rsidRPr="00467505">
        <w:rPr>
          <w:rFonts w:ascii="Book Antiqua" w:hAnsi="Book Antiqua"/>
        </w:rPr>
        <w:t xml:space="preserve">Shell also suggested that the Commission and CEC consider consolidating with IRP other compliance filings such as the annual RPS compliance and load forecasts, at least in years when IRPs are filed. </w:t>
      </w:r>
      <w:r w:rsidR="00C835A5" w:rsidRPr="00467505">
        <w:rPr>
          <w:rFonts w:ascii="Book Antiqua" w:hAnsi="Book Antiqua"/>
        </w:rPr>
        <w:t xml:space="preserve"> </w:t>
      </w:r>
      <w:r w:rsidRPr="00467505">
        <w:rPr>
          <w:rFonts w:ascii="Book Antiqua" w:hAnsi="Book Antiqua"/>
        </w:rPr>
        <w:t xml:space="preserve">Shell is seeking consistency among the processes and also potential to eliminate the need to file the same datasets multiple times. </w:t>
      </w:r>
      <w:r w:rsidR="00C835A5" w:rsidRPr="00467505">
        <w:rPr>
          <w:rFonts w:ascii="Book Antiqua" w:hAnsi="Book Antiqua"/>
        </w:rPr>
        <w:t xml:space="preserve"> </w:t>
      </w:r>
      <w:r w:rsidRPr="00467505">
        <w:rPr>
          <w:rFonts w:ascii="Book Antiqua" w:hAnsi="Book Antiqua"/>
        </w:rPr>
        <w:t>This is another idea worth exploring in the next cycle of IRP.</w:t>
      </w:r>
    </w:p>
    <w:p w14:paraId="07800A34" w14:textId="77777777" w:rsidR="00313EFF" w:rsidRPr="00467505" w:rsidRDefault="00D4333E" w:rsidP="00313EFF">
      <w:pPr>
        <w:pStyle w:val="sub1"/>
        <w:rPr>
          <w:rFonts w:ascii="Book Antiqua" w:hAnsi="Book Antiqua"/>
        </w:rPr>
      </w:pPr>
      <w:r w:rsidRPr="00467505">
        <w:rPr>
          <w:rFonts w:ascii="Book Antiqua" w:hAnsi="Book Antiqua"/>
        </w:rPr>
        <w:t>TURN also suggeste</w:t>
      </w:r>
      <w:r w:rsidR="00C835A5" w:rsidRPr="00467505">
        <w:rPr>
          <w:rFonts w:ascii="Book Antiqua" w:hAnsi="Book Antiqua"/>
        </w:rPr>
        <w:t xml:space="preserve">d a focus on the potential for </w:t>
      </w:r>
      <w:r w:rsidRPr="00467505">
        <w:rPr>
          <w:rFonts w:ascii="Book Antiqua" w:hAnsi="Book Antiqua"/>
        </w:rPr>
        <w:t>“resource shuffling” and a multi</w:t>
      </w:r>
      <w:r w:rsidR="00D84A09" w:rsidRPr="00467505">
        <w:rPr>
          <w:rFonts w:ascii="Book Antiqua" w:hAnsi="Book Antiqua"/>
        </w:rPr>
        <w:noBreakHyphen/>
      </w:r>
      <w:r w:rsidRPr="00467505">
        <w:rPr>
          <w:rFonts w:ascii="Book Antiqua" w:hAnsi="Book Antiqua"/>
        </w:rPr>
        <w:t xml:space="preserve">agency approach to various compliance policies to minimize this potential. </w:t>
      </w:r>
      <w:r w:rsidR="00C835A5" w:rsidRPr="00467505">
        <w:rPr>
          <w:rFonts w:ascii="Book Antiqua" w:hAnsi="Book Antiqua"/>
        </w:rPr>
        <w:t xml:space="preserve"> </w:t>
      </w:r>
      <w:r w:rsidRPr="00467505">
        <w:rPr>
          <w:rFonts w:ascii="Book Antiqua" w:hAnsi="Book Antiqua"/>
        </w:rPr>
        <w:t xml:space="preserve">We also will explore this further in </w:t>
      </w:r>
      <w:r w:rsidR="0098769D">
        <w:rPr>
          <w:rFonts w:ascii="Book Antiqua" w:hAnsi="Book Antiqua"/>
        </w:rPr>
        <w:t xml:space="preserve">the </w:t>
      </w:r>
      <w:r w:rsidRPr="00467505">
        <w:rPr>
          <w:rFonts w:ascii="Book Antiqua" w:hAnsi="Book Antiqua"/>
        </w:rPr>
        <w:t>2019</w:t>
      </w:r>
      <w:r w:rsidR="0098769D">
        <w:rPr>
          <w:rFonts w:ascii="Book Antiqua" w:hAnsi="Book Antiqua"/>
        </w:rPr>
        <w:t>-2020 cycle of IRP</w:t>
      </w:r>
      <w:r w:rsidRPr="00467505">
        <w:rPr>
          <w:rFonts w:ascii="Book Antiqua" w:hAnsi="Book Antiqua"/>
        </w:rPr>
        <w:t xml:space="preserve">. </w:t>
      </w:r>
    </w:p>
    <w:p w14:paraId="56142CCE" w14:textId="77777777" w:rsidR="00313EFF" w:rsidRDefault="006521F8" w:rsidP="004C75AB">
      <w:pPr>
        <w:pStyle w:val="Heading2"/>
      </w:pPr>
      <w:bookmarkStart w:id="153" w:name="_Toc3803866"/>
      <w:r>
        <w:t>Resource Adequacy Coordination</w:t>
      </w:r>
      <w:bookmarkEnd w:id="153"/>
    </w:p>
    <w:p w14:paraId="5F07B25A" w14:textId="77777777" w:rsidR="006521F8" w:rsidRPr="00467505" w:rsidRDefault="005C7B61" w:rsidP="006521F8">
      <w:pPr>
        <w:pStyle w:val="sub1"/>
        <w:rPr>
          <w:rFonts w:ascii="Book Antiqua" w:hAnsi="Book Antiqua"/>
        </w:rPr>
      </w:pPr>
      <w:r w:rsidRPr="00467505">
        <w:rPr>
          <w:rFonts w:ascii="Book Antiqua" w:hAnsi="Book Antiqua"/>
        </w:rPr>
        <w:t xml:space="preserve">The large IOUs all also commented on the need for closer coordination on issues related to reliability, including with the resource adequacy requirements and process. </w:t>
      </w:r>
    </w:p>
    <w:p w14:paraId="45520687" w14:textId="77777777" w:rsidR="005C7B61" w:rsidRPr="00467505" w:rsidRDefault="005C7B61" w:rsidP="006521F8">
      <w:pPr>
        <w:pStyle w:val="sub1"/>
        <w:rPr>
          <w:rFonts w:ascii="Book Antiqua" w:hAnsi="Book Antiqua"/>
        </w:rPr>
      </w:pPr>
      <w:r w:rsidRPr="00467505">
        <w:rPr>
          <w:rFonts w:ascii="Book Antiqua" w:hAnsi="Book Antiqua"/>
        </w:rPr>
        <w:t xml:space="preserve">PG&amp;E commented that reliability is of paramount importance to the IRP process. </w:t>
      </w:r>
      <w:r w:rsidR="00C835A5" w:rsidRPr="00467505">
        <w:rPr>
          <w:rFonts w:ascii="Book Antiqua" w:hAnsi="Book Antiqua"/>
        </w:rPr>
        <w:t xml:space="preserve"> </w:t>
      </w:r>
      <w:r w:rsidRPr="00467505">
        <w:rPr>
          <w:rFonts w:ascii="Book Antiqua" w:hAnsi="Book Antiqua"/>
        </w:rPr>
        <w:t xml:space="preserve">However, they were concerned that the models used in the IRP are not sufficient to provide a comprehensive reliability assessment (including SERVM) and that usually we rely on the CAISO to provide this level of analysis in its TPP. </w:t>
      </w:r>
      <w:r w:rsidR="00C835A5" w:rsidRPr="00467505">
        <w:rPr>
          <w:rFonts w:ascii="Book Antiqua" w:hAnsi="Book Antiqua"/>
        </w:rPr>
        <w:t xml:space="preserve"> </w:t>
      </w:r>
      <w:r w:rsidR="009971A6" w:rsidRPr="00467505">
        <w:rPr>
          <w:rFonts w:ascii="Book Antiqua" w:hAnsi="Book Antiqua"/>
        </w:rPr>
        <w:t>PG&amp;E urged the Commission to give guidance on the standards for the system local, and flexible capacity needs assessments that should be applied in future LSE IRPs.</w:t>
      </w:r>
    </w:p>
    <w:p w14:paraId="76D14F18" w14:textId="77777777" w:rsidR="009971A6" w:rsidRPr="00467505" w:rsidRDefault="009971A6" w:rsidP="006521F8">
      <w:pPr>
        <w:pStyle w:val="sub1"/>
        <w:rPr>
          <w:rFonts w:ascii="Book Antiqua" w:hAnsi="Book Antiqua"/>
        </w:rPr>
      </w:pPr>
      <w:r w:rsidRPr="00467505">
        <w:rPr>
          <w:rFonts w:ascii="Book Antiqua" w:hAnsi="Book Antiqua"/>
        </w:rPr>
        <w:t xml:space="preserve">SCE urged the Commission to study the reliability effects of reductions in revenue for natural gas plants, the potential economic retirements of such plants, and the ability of the natural gas system to meet electric generation plant demand under the Commission’s RSP. </w:t>
      </w:r>
    </w:p>
    <w:p w14:paraId="56D434B1" w14:textId="77777777" w:rsidR="009971A6" w:rsidRPr="00467505" w:rsidRDefault="009971A6" w:rsidP="006521F8">
      <w:pPr>
        <w:pStyle w:val="sub1"/>
        <w:rPr>
          <w:rFonts w:ascii="Book Antiqua" w:hAnsi="Book Antiqua"/>
        </w:rPr>
      </w:pPr>
      <w:r w:rsidRPr="00467505">
        <w:rPr>
          <w:rFonts w:ascii="Book Antiqua" w:hAnsi="Book Antiqua"/>
        </w:rPr>
        <w:t xml:space="preserve">SDG&amp;E suggested that the Commission establish an accurate view of reliability needs as soon as possible and require the ESPs and CCAs to provide the associated information. </w:t>
      </w:r>
    </w:p>
    <w:p w14:paraId="25F65693" w14:textId="77777777" w:rsidR="009971A6" w:rsidRPr="00467505" w:rsidRDefault="00F93A31" w:rsidP="006521F8">
      <w:pPr>
        <w:pStyle w:val="sub1"/>
        <w:rPr>
          <w:rFonts w:ascii="Book Antiqua" w:hAnsi="Book Antiqua"/>
        </w:rPr>
      </w:pPr>
      <w:r>
        <w:rPr>
          <w:rFonts w:ascii="Book Antiqua" w:hAnsi="Book Antiqua"/>
        </w:rPr>
        <w:t xml:space="preserve">We agree that this initial IRP process signaled the need for closer coordination on reliability issues and resource adequacy. </w:t>
      </w:r>
      <w:r w:rsidR="009971A6" w:rsidRPr="00467505">
        <w:rPr>
          <w:rFonts w:ascii="Book Antiqua" w:hAnsi="Book Antiqua"/>
        </w:rPr>
        <w:t xml:space="preserve">We intend to address these questions during our “procurement track” discussed in Section 5 above. </w:t>
      </w:r>
    </w:p>
    <w:p w14:paraId="76640AEF" w14:textId="77777777" w:rsidR="009971A6" w:rsidRDefault="006521F8" w:rsidP="004C75AB">
      <w:pPr>
        <w:pStyle w:val="Heading2"/>
      </w:pPr>
      <w:bookmarkStart w:id="154" w:name="_Toc3803867"/>
      <w:r>
        <w:t>GHG Planning and Accounting</w:t>
      </w:r>
      <w:bookmarkEnd w:id="154"/>
    </w:p>
    <w:p w14:paraId="7704623D" w14:textId="77777777" w:rsidR="009971A6" w:rsidRPr="00467505" w:rsidRDefault="009971A6" w:rsidP="009971A6">
      <w:pPr>
        <w:pStyle w:val="sub1"/>
        <w:rPr>
          <w:rFonts w:ascii="Book Antiqua" w:hAnsi="Book Antiqua"/>
        </w:rPr>
      </w:pPr>
      <w:r w:rsidRPr="00467505">
        <w:rPr>
          <w:rFonts w:ascii="Book Antiqua" w:hAnsi="Book Antiqua"/>
        </w:rPr>
        <w:t>We note that none of the LSEs used the GHG Planning Price established in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for their portfolio planning, instead opting to use the LSE</w:t>
      </w:r>
      <w:r w:rsidR="00D84A09" w:rsidRPr="00467505">
        <w:rPr>
          <w:rFonts w:ascii="Book Antiqua" w:hAnsi="Book Antiqua"/>
        </w:rPr>
        <w:noBreakHyphen/>
      </w:r>
      <w:r w:rsidRPr="00467505">
        <w:rPr>
          <w:rFonts w:ascii="Book Antiqua" w:hAnsi="Book Antiqua"/>
        </w:rPr>
        <w:t xml:space="preserve">specific </w:t>
      </w:r>
      <w:r w:rsidR="0098769D">
        <w:rPr>
          <w:rFonts w:ascii="Book Antiqua" w:hAnsi="Book Antiqua"/>
        </w:rPr>
        <w:t xml:space="preserve">2030 </w:t>
      </w:r>
      <w:r w:rsidRPr="00467505">
        <w:rPr>
          <w:rFonts w:ascii="Book Antiqua" w:hAnsi="Book Antiqua"/>
        </w:rPr>
        <w:t xml:space="preserve">GHG benchmark, which more clearly aligns with the CNS methodology. </w:t>
      </w:r>
      <w:r w:rsidR="00C835A5" w:rsidRPr="00467505">
        <w:rPr>
          <w:rFonts w:ascii="Book Antiqua" w:hAnsi="Book Antiqua"/>
        </w:rPr>
        <w:t xml:space="preserve"> </w:t>
      </w:r>
      <w:r w:rsidRPr="00467505">
        <w:rPr>
          <w:rFonts w:ascii="Book Antiqua" w:hAnsi="Book Antiqua"/>
        </w:rPr>
        <w:t>While we intend to continue to calculate a GHG Planning Price for use in cost</w:t>
      </w:r>
      <w:r w:rsidR="00D84A09" w:rsidRPr="00467505">
        <w:rPr>
          <w:rFonts w:ascii="Book Antiqua" w:hAnsi="Book Antiqua"/>
        </w:rPr>
        <w:noBreakHyphen/>
      </w:r>
      <w:r w:rsidRPr="00467505">
        <w:rPr>
          <w:rFonts w:ascii="Book Antiqua" w:hAnsi="Book Antiqua"/>
        </w:rPr>
        <w:t xml:space="preserve">effectiveness testing and potentially other purposes, we will continue to give LSEs the option not to use it for their resource portfolio planning. </w:t>
      </w:r>
    </w:p>
    <w:p w14:paraId="7E39C241" w14:textId="77777777" w:rsidR="009971A6" w:rsidRPr="00467505" w:rsidRDefault="009971A6" w:rsidP="009971A6">
      <w:pPr>
        <w:pStyle w:val="sub1"/>
        <w:rPr>
          <w:rFonts w:ascii="Book Antiqua" w:hAnsi="Book Antiqua"/>
        </w:rPr>
      </w:pPr>
      <w:r w:rsidRPr="00467505">
        <w:rPr>
          <w:rFonts w:ascii="Book Antiqua" w:hAnsi="Book Antiqua"/>
        </w:rPr>
        <w:t>Meanwhile, specifically for the use of the CNS calculator, we recognize that clearer instructions are needed for LSEs for how to complete entries into the calculator, what fields can be modified, and what supporting information may be required.</w:t>
      </w:r>
      <w:r w:rsidR="00C835A5" w:rsidRPr="00467505">
        <w:rPr>
          <w:rFonts w:ascii="Book Antiqua" w:hAnsi="Book Antiqua"/>
        </w:rPr>
        <w:t xml:space="preserve"> </w:t>
      </w:r>
      <w:r w:rsidRPr="00467505">
        <w:rPr>
          <w:rFonts w:ascii="Book Antiqua" w:hAnsi="Book Antiqua"/>
        </w:rPr>
        <w:t xml:space="preserve"> We will explore this prior to the next IRP filing date, and also consider merging elements of the CNS calculator with other LSE data templates to help ensure consistency across filing materials.</w:t>
      </w:r>
    </w:p>
    <w:p w14:paraId="08DE40D0" w14:textId="77777777" w:rsidR="00047DEA" w:rsidRDefault="00646035" w:rsidP="009971A6">
      <w:pPr>
        <w:pStyle w:val="sub1"/>
        <w:rPr>
          <w:rFonts w:ascii="Book Antiqua" w:hAnsi="Book Antiqua"/>
        </w:rPr>
      </w:pPr>
      <w:r w:rsidRPr="00467505">
        <w:rPr>
          <w:rFonts w:ascii="Book Antiqua" w:hAnsi="Book Antiqua"/>
        </w:rPr>
        <w:t xml:space="preserve">CalCCA specifically noted that the CNS Calculator did not include a way to input </w:t>
      </w:r>
      <w:r w:rsidR="0098769D">
        <w:rPr>
          <w:rFonts w:ascii="Book Antiqua" w:hAnsi="Book Antiqua"/>
        </w:rPr>
        <w:t xml:space="preserve">energy-only </w:t>
      </w:r>
      <w:r w:rsidRPr="00467505">
        <w:rPr>
          <w:rFonts w:ascii="Book Antiqua" w:hAnsi="Book Antiqua"/>
        </w:rPr>
        <w:t xml:space="preserve">large hydro contracts, a way to </w:t>
      </w:r>
      <w:r w:rsidR="0098769D">
        <w:rPr>
          <w:rFonts w:ascii="Book Antiqua" w:hAnsi="Book Antiqua"/>
        </w:rPr>
        <w:t>enter</w:t>
      </w:r>
      <w:r w:rsidR="0098769D" w:rsidRPr="00467505">
        <w:rPr>
          <w:rFonts w:ascii="Book Antiqua" w:hAnsi="Book Antiqua"/>
        </w:rPr>
        <w:t xml:space="preserve"> </w:t>
      </w:r>
      <w:r w:rsidRPr="00467505">
        <w:rPr>
          <w:rFonts w:ascii="Book Antiqua" w:hAnsi="Book Antiqua"/>
        </w:rPr>
        <w:t xml:space="preserve">blocked and shaped conventional supply as a contracted resource, nor a way to </w:t>
      </w:r>
      <w:r w:rsidR="0098769D">
        <w:rPr>
          <w:rFonts w:ascii="Book Antiqua" w:hAnsi="Book Antiqua"/>
        </w:rPr>
        <w:t>represent</w:t>
      </w:r>
      <w:r w:rsidR="0098769D" w:rsidRPr="00467505">
        <w:rPr>
          <w:rFonts w:ascii="Book Antiqua" w:hAnsi="Book Antiqua"/>
        </w:rPr>
        <w:t xml:space="preserve"> </w:t>
      </w:r>
      <w:r w:rsidRPr="00467505">
        <w:rPr>
          <w:rFonts w:ascii="Book Antiqua" w:hAnsi="Book Antiqua"/>
        </w:rPr>
        <w:t>energy</w:t>
      </w:r>
      <w:r w:rsidR="00D84A09" w:rsidRPr="00467505">
        <w:rPr>
          <w:rFonts w:ascii="Book Antiqua" w:hAnsi="Book Antiqua"/>
        </w:rPr>
        <w:noBreakHyphen/>
      </w:r>
      <w:r w:rsidRPr="00467505">
        <w:rPr>
          <w:rFonts w:ascii="Book Antiqua" w:hAnsi="Book Antiqua"/>
        </w:rPr>
        <w:t>only contracts that specify deliveries in energy without specifying the nameplate capacity of the delivering resource.</w:t>
      </w:r>
      <w:r w:rsidR="00C835A5" w:rsidRPr="00467505">
        <w:rPr>
          <w:rFonts w:ascii="Book Antiqua" w:hAnsi="Book Antiqua"/>
        </w:rPr>
        <w:t xml:space="preserve"> </w:t>
      </w:r>
      <w:r w:rsidRPr="00467505">
        <w:rPr>
          <w:rFonts w:ascii="Book Antiqua" w:hAnsi="Book Antiqua"/>
        </w:rPr>
        <w:t xml:space="preserve"> Meanwhile, PG&amp;E and SCE pointed out that the tool did not incorporate emissions from minimum operating conditions. </w:t>
      </w:r>
      <w:r w:rsidR="00C835A5" w:rsidRPr="00467505">
        <w:rPr>
          <w:rFonts w:ascii="Book Antiqua" w:hAnsi="Book Antiqua"/>
        </w:rPr>
        <w:t xml:space="preserve"> </w:t>
      </w:r>
    </w:p>
    <w:p w14:paraId="51690F27" w14:textId="77777777" w:rsidR="00646035" w:rsidRPr="00467505" w:rsidRDefault="00646035" w:rsidP="009971A6">
      <w:pPr>
        <w:pStyle w:val="sub1"/>
        <w:rPr>
          <w:rFonts w:ascii="Book Antiqua" w:hAnsi="Book Antiqua"/>
        </w:rPr>
      </w:pPr>
      <w:r w:rsidRPr="00467505">
        <w:rPr>
          <w:rFonts w:ascii="Book Antiqua" w:hAnsi="Book Antiqua"/>
        </w:rPr>
        <w:t>With respect to emissions from CHP, Cal CCA noted that the CNS Calculator did not account for the existence of possible new CHP</w:t>
      </w:r>
      <w:r w:rsidR="00B03BBB">
        <w:rPr>
          <w:rFonts w:ascii="Book Antiqua" w:hAnsi="Book Antiqua"/>
        </w:rPr>
        <w:t xml:space="preserve"> </w:t>
      </w:r>
      <w:r w:rsidRPr="00467505">
        <w:rPr>
          <w:rFonts w:ascii="Book Antiqua" w:hAnsi="Book Antiqua"/>
        </w:rPr>
        <w:t xml:space="preserve">tariffs that would allow for curtailment within CCA geographic areas. </w:t>
      </w:r>
      <w:r w:rsidR="00F571CA" w:rsidRPr="00467505">
        <w:rPr>
          <w:rFonts w:ascii="Book Antiqua" w:hAnsi="Book Antiqua"/>
        </w:rPr>
        <w:t xml:space="preserve"> </w:t>
      </w:r>
      <w:r w:rsidRPr="00467505">
        <w:rPr>
          <w:rFonts w:ascii="Book Antiqua" w:hAnsi="Book Antiqua"/>
        </w:rPr>
        <w:t xml:space="preserve">SCE </w:t>
      </w:r>
      <w:r w:rsidR="00F26EC9" w:rsidRPr="00467505">
        <w:rPr>
          <w:rFonts w:ascii="Book Antiqua" w:hAnsi="Book Antiqua"/>
        </w:rPr>
        <w:t xml:space="preserve">also noted that though many LSEs do not have CHP contracts that extend out to 2030, there may very well be CHP operations that will be serving system load and contributing emissions in 2030, which would lead to a discrepancy in total GHG emissions from the sector. </w:t>
      </w:r>
      <w:r w:rsidRPr="00467505">
        <w:rPr>
          <w:rFonts w:ascii="Book Antiqua" w:hAnsi="Book Antiqua"/>
        </w:rPr>
        <w:t xml:space="preserve"> </w:t>
      </w:r>
    </w:p>
    <w:p w14:paraId="46772FB9" w14:textId="77777777" w:rsidR="00646035" w:rsidRDefault="00F26EC9" w:rsidP="009971A6">
      <w:pPr>
        <w:pStyle w:val="sub1"/>
        <w:rPr>
          <w:rFonts w:ascii="Book Antiqua" w:hAnsi="Book Antiqua"/>
        </w:rPr>
      </w:pPr>
      <w:r w:rsidRPr="00467505">
        <w:rPr>
          <w:rFonts w:ascii="Book Antiqua" w:hAnsi="Book Antiqua"/>
        </w:rPr>
        <w:t>All of these suggestions are</w:t>
      </w:r>
      <w:r w:rsidR="00646035" w:rsidRPr="00467505">
        <w:rPr>
          <w:rFonts w:ascii="Book Antiqua" w:hAnsi="Book Antiqua"/>
        </w:rPr>
        <w:t xml:space="preserve"> improvements we can consider in </w:t>
      </w:r>
      <w:r w:rsidRPr="00467505">
        <w:rPr>
          <w:rFonts w:ascii="Book Antiqua" w:hAnsi="Book Antiqua"/>
        </w:rPr>
        <w:t xml:space="preserve">developing </w:t>
      </w:r>
      <w:r w:rsidR="00646035" w:rsidRPr="00467505">
        <w:rPr>
          <w:rFonts w:ascii="Book Antiqua" w:hAnsi="Book Antiqua"/>
        </w:rPr>
        <w:t xml:space="preserve">the next version of the tool. </w:t>
      </w:r>
    </w:p>
    <w:p w14:paraId="656E9CE7" w14:textId="78602A54" w:rsidR="007B7704" w:rsidRPr="00467505" w:rsidRDefault="007B7704" w:rsidP="009971A6">
      <w:pPr>
        <w:pStyle w:val="sub1"/>
        <w:rPr>
          <w:rFonts w:ascii="Book Antiqua" w:hAnsi="Book Antiqua"/>
        </w:rPr>
      </w:pPr>
      <w:r>
        <w:rPr>
          <w:rFonts w:ascii="Book Antiqua" w:hAnsi="Book Antiqua"/>
        </w:rPr>
        <w:t xml:space="preserve">In addition, in response to comments from PacifiCorp, we acknowledge that the CNS Calculator tool is not appropriate for or applicable to LSEs who do not serve load within the CAISO footprint. </w:t>
      </w:r>
      <w:r w:rsidR="00872A78">
        <w:rPr>
          <w:rFonts w:ascii="Book Antiqua" w:hAnsi="Book Antiqua"/>
        </w:rPr>
        <w:t xml:space="preserve"> </w:t>
      </w:r>
      <w:r>
        <w:rPr>
          <w:rFonts w:ascii="Book Antiqua" w:hAnsi="Book Antiqua"/>
        </w:rPr>
        <w:t xml:space="preserve">Thus, those small number of LSEs should not be required to utilize the CNS Calculator and may use alternative means of estimating their GHG emissions, as suggested by PacifiCorp. </w:t>
      </w:r>
    </w:p>
    <w:p w14:paraId="5F863BCF" w14:textId="77777777" w:rsidR="009971A6" w:rsidRPr="00467505" w:rsidRDefault="009971A6" w:rsidP="009971A6">
      <w:pPr>
        <w:pStyle w:val="sub1"/>
        <w:rPr>
          <w:rFonts w:ascii="Book Antiqua" w:hAnsi="Book Antiqua"/>
        </w:rPr>
      </w:pPr>
      <w:r w:rsidRPr="00467505">
        <w:rPr>
          <w:rFonts w:ascii="Book Antiqua" w:hAnsi="Book Antiqua"/>
        </w:rPr>
        <w:t xml:space="preserve">In addition, Commission staff will continue to benchmark the modeled GHG emissions in RESOLVE, for the next IRP cycle against the actual GHG emissions reported by the CAISO for the previous year. </w:t>
      </w:r>
      <w:r w:rsidR="00F571CA" w:rsidRPr="00467505">
        <w:rPr>
          <w:rFonts w:ascii="Book Antiqua" w:hAnsi="Book Antiqua"/>
        </w:rPr>
        <w:t xml:space="preserve"> </w:t>
      </w:r>
      <w:r w:rsidRPr="00467505">
        <w:rPr>
          <w:rFonts w:ascii="Book Antiqua" w:hAnsi="Book Antiqua"/>
        </w:rPr>
        <w:t>This should help continuous improvement in methodologies</w:t>
      </w:r>
      <w:r w:rsidR="0098769D">
        <w:rPr>
          <w:rFonts w:ascii="Book Antiqua" w:hAnsi="Book Antiqua"/>
        </w:rPr>
        <w:t>, model functionality,</w:t>
      </w:r>
      <w:r w:rsidRPr="00467505">
        <w:rPr>
          <w:rFonts w:ascii="Book Antiqua" w:hAnsi="Book Antiqua"/>
        </w:rPr>
        <w:t xml:space="preserve"> and approach that can be applied in subsequent IRP cycles, and to help close the gap between the modeled and the actual emissions. </w:t>
      </w:r>
    </w:p>
    <w:p w14:paraId="3BB151A3" w14:textId="77777777" w:rsidR="009971A6" w:rsidRPr="00467505" w:rsidRDefault="009971A6" w:rsidP="009971A6">
      <w:pPr>
        <w:pStyle w:val="sub1"/>
        <w:rPr>
          <w:rFonts w:ascii="Book Antiqua" w:hAnsi="Book Antiqua"/>
        </w:rPr>
      </w:pPr>
      <w:r w:rsidRPr="00467505">
        <w:rPr>
          <w:rFonts w:ascii="Book Antiqua" w:hAnsi="Book Antiqua"/>
        </w:rPr>
        <w:t>SCE, CEJA, Sierra Club</w:t>
      </w:r>
      <w:r w:rsidR="00175C46" w:rsidRPr="00467505">
        <w:rPr>
          <w:rFonts w:ascii="Book Antiqua" w:hAnsi="Book Antiqua"/>
        </w:rPr>
        <w:t>, and POC</w:t>
      </w:r>
      <w:r w:rsidRPr="00467505">
        <w:rPr>
          <w:rFonts w:ascii="Book Antiqua" w:hAnsi="Book Antiqua"/>
        </w:rPr>
        <w:t xml:space="preserve"> also suggested that the Commission consider establishing a standard methodology, similar to the CNS calculator, for estimating air pollutant emissions attributable to the LSE portfolios. </w:t>
      </w:r>
      <w:r w:rsidR="00F571CA" w:rsidRPr="00467505">
        <w:rPr>
          <w:rFonts w:ascii="Book Antiqua" w:hAnsi="Book Antiqua"/>
        </w:rPr>
        <w:t xml:space="preserve"> </w:t>
      </w:r>
      <w:r w:rsidRPr="00467505">
        <w:rPr>
          <w:rFonts w:ascii="Book Antiqua" w:hAnsi="Book Antiqua"/>
        </w:rPr>
        <w:t xml:space="preserve">We will consider this for the next IRP cycle, subject to staff and consulting availability. </w:t>
      </w:r>
    </w:p>
    <w:p w14:paraId="1C95A119" w14:textId="77777777" w:rsidR="00175C46" w:rsidRDefault="00175C46" w:rsidP="009971A6">
      <w:pPr>
        <w:pStyle w:val="sub1"/>
        <w:rPr>
          <w:rFonts w:ascii="Book Antiqua" w:hAnsi="Book Antiqua"/>
        </w:rPr>
      </w:pPr>
      <w:r w:rsidRPr="00467505">
        <w:rPr>
          <w:rFonts w:ascii="Book Antiqua" w:hAnsi="Book Antiqua"/>
        </w:rPr>
        <w:t>PG&amp;E recommended that the Commission work with CARB as it implements AB 617 to design a comprehensive, multi</w:t>
      </w:r>
      <w:r w:rsidR="00D84A09" w:rsidRPr="00467505">
        <w:rPr>
          <w:rFonts w:ascii="Book Antiqua" w:hAnsi="Book Antiqua"/>
        </w:rPr>
        <w:noBreakHyphen/>
      </w:r>
      <w:r w:rsidRPr="00467505">
        <w:rPr>
          <w:rFonts w:ascii="Book Antiqua" w:hAnsi="Book Antiqua"/>
        </w:rPr>
        <w:t>sector approach to address air quality issues in the state’s disadvantaged communities using the most cost</w:t>
      </w:r>
      <w:r w:rsidR="00D84A09" w:rsidRPr="00467505">
        <w:rPr>
          <w:rFonts w:ascii="Book Antiqua" w:hAnsi="Book Antiqua"/>
        </w:rPr>
        <w:noBreakHyphen/>
      </w:r>
      <w:r w:rsidRPr="00467505">
        <w:rPr>
          <w:rFonts w:ascii="Book Antiqua" w:hAnsi="Book Antiqua"/>
        </w:rPr>
        <w:t>effective solutions across sectors, including consideration of utilizing zero or near</w:t>
      </w:r>
      <w:r w:rsidR="00D84A09" w:rsidRPr="00467505">
        <w:rPr>
          <w:rFonts w:ascii="Book Antiqua" w:hAnsi="Book Antiqua"/>
        </w:rPr>
        <w:noBreakHyphen/>
      </w:r>
      <w:r w:rsidRPr="00467505">
        <w:rPr>
          <w:rFonts w:ascii="Book Antiqua" w:hAnsi="Book Antiqua"/>
        </w:rPr>
        <w:t>zero</w:t>
      </w:r>
      <w:r w:rsidR="00D84A09" w:rsidRPr="00467505">
        <w:rPr>
          <w:rFonts w:ascii="Book Antiqua" w:hAnsi="Book Antiqua"/>
        </w:rPr>
        <w:noBreakHyphen/>
      </w:r>
      <w:r w:rsidRPr="00467505">
        <w:rPr>
          <w:rFonts w:ascii="Book Antiqua" w:hAnsi="Book Antiqua"/>
        </w:rPr>
        <w:t xml:space="preserve">emissions transportation technologies. </w:t>
      </w:r>
    </w:p>
    <w:p w14:paraId="33520F7A" w14:textId="77777777" w:rsidR="008659D8" w:rsidRDefault="008659D8" w:rsidP="009971A6">
      <w:pPr>
        <w:pStyle w:val="sub1"/>
        <w:rPr>
          <w:rFonts w:ascii="Book Antiqua" w:hAnsi="Book Antiqua"/>
        </w:rPr>
      </w:pPr>
      <w:r>
        <w:rPr>
          <w:rFonts w:ascii="Book Antiqua" w:hAnsi="Book Antiqua"/>
        </w:rPr>
        <w:t xml:space="preserve">Finally, in comments on the proposed decision, Cal Advocates suggested that the Commission should make a finding associated with each individual LSE’s IRP as to whether or not the IRP has met the filing requirements associated with the entity’s GHG obligations and would put them on a path to achieve their portion of the 2030 GHG goals. We </w:t>
      </w:r>
      <w:r w:rsidR="00C8305A">
        <w:rPr>
          <w:rFonts w:ascii="Book Antiqua" w:hAnsi="Book Antiqua"/>
        </w:rPr>
        <w:t xml:space="preserve">agree, and </w:t>
      </w:r>
      <w:r>
        <w:rPr>
          <w:rFonts w:ascii="Book Antiqua" w:hAnsi="Book Antiqua"/>
        </w:rPr>
        <w:t xml:space="preserve">will include this type of finding in future decisions similar to this one, </w:t>
      </w:r>
      <w:r w:rsidR="00C8305A">
        <w:rPr>
          <w:rFonts w:ascii="Book Antiqua" w:hAnsi="Book Antiqua"/>
        </w:rPr>
        <w:t xml:space="preserve">when </w:t>
      </w:r>
      <w:r>
        <w:rPr>
          <w:rFonts w:ascii="Book Antiqua" w:hAnsi="Book Antiqua"/>
        </w:rPr>
        <w:t xml:space="preserve">adopting the PSP and </w:t>
      </w:r>
      <w:r w:rsidR="00AD1526">
        <w:rPr>
          <w:rFonts w:ascii="Book Antiqua" w:hAnsi="Book Antiqua"/>
        </w:rPr>
        <w:t xml:space="preserve">approving or certifying the individual IRPs. </w:t>
      </w:r>
    </w:p>
    <w:p w14:paraId="6E289B87" w14:textId="77777777" w:rsidR="001D71B2" w:rsidRPr="00467505" w:rsidRDefault="001D71B2" w:rsidP="009971A6">
      <w:pPr>
        <w:pStyle w:val="sub1"/>
        <w:rPr>
          <w:rFonts w:ascii="Book Antiqua" w:hAnsi="Book Antiqua"/>
        </w:rPr>
      </w:pPr>
      <w:r>
        <w:rPr>
          <w:rFonts w:ascii="Book Antiqua" w:hAnsi="Book Antiqua"/>
        </w:rPr>
        <w:t xml:space="preserve">In addition, Cal Advocates suggests that each LSE should be required to file, in its individual IRP, a conforming portfolio that meets the GHG Benchmark. We will include this requirement as well for future individual IRP evaluation. </w:t>
      </w:r>
    </w:p>
    <w:p w14:paraId="26E36C93" w14:textId="77777777" w:rsidR="00D73CCA" w:rsidRDefault="006521F8" w:rsidP="004C75AB">
      <w:pPr>
        <w:pStyle w:val="Heading2"/>
      </w:pPr>
      <w:bookmarkStart w:id="155" w:name="_Toc3803868"/>
      <w:r>
        <w:t>Templates for Next IRP Cycle</w:t>
      </w:r>
      <w:bookmarkEnd w:id="155"/>
    </w:p>
    <w:p w14:paraId="7DC917D8" w14:textId="77777777" w:rsidR="00D73CCA" w:rsidRPr="00467505" w:rsidRDefault="00611BBC" w:rsidP="00D73CCA">
      <w:pPr>
        <w:pStyle w:val="sub1"/>
        <w:rPr>
          <w:rFonts w:ascii="Book Antiqua" w:hAnsi="Book Antiqua"/>
        </w:rPr>
      </w:pPr>
      <w:r w:rsidRPr="00467505">
        <w:rPr>
          <w:rFonts w:ascii="Book Antiqua" w:hAnsi="Book Antiqua"/>
        </w:rPr>
        <w:t xml:space="preserve">Several of the LSEs complained that the filing requirements for this cycle of the IRP process were onerous. </w:t>
      </w:r>
      <w:r w:rsidR="00F571CA" w:rsidRPr="00467505">
        <w:rPr>
          <w:rFonts w:ascii="Book Antiqua" w:hAnsi="Book Antiqua"/>
        </w:rPr>
        <w:t xml:space="preserve"> </w:t>
      </w:r>
      <w:r w:rsidRPr="00467505">
        <w:rPr>
          <w:rFonts w:ascii="Book Antiqua" w:hAnsi="Book Antiqua"/>
        </w:rPr>
        <w:t xml:space="preserve">EBCE suggested that Commission staff create data templates </w:t>
      </w:r>
      <w:r w:rsidR="0098769D">
        <w:rPr>
          <w:rFonts w:ascii="Book Antiqua" w:hAnsi="Book Antiqua"/>
        </w:rPr>
        <w:t>for reporting</w:t>
      </w:r>
      <w:r w:rsidR="0098769D" w:rsidRPr="00467505">
        <w:rPr>
          <w:rFonts w:ascii="Book Antiqua" w:hAnsi="Book Antiqua"/>
        </w:rPr>
        <w:t xml:space="preserve"> </w:t>
      </w:r>
      <w:r w:rsidRPr="00467505">
        <w:rPr>
          <w:rFonts w:ascii="Book Antiqua" w:hAnsi="Book Antiqua"/>
        </w:rPr>
        <w:t>items such as resource cost assumptions (i.e</w:t>
      </w:r>
      <w:r w:rsidRPr="006D5B14">
        <w:rPr>
          <w:rFonts w:ascii="Book Antiqua" w:hAnsi="Book Antiqua"/>
        </w:rPr>
        <w:t xml:space="preserve">., </w:t>
      </w:r>
      <w:r w:rsidR="006D5B14">
        <w:rPr>
          <w:rFonts w:ascii="Book Antiqua" w:hAnsi="Book Antiqua"/>
        </w:rPr>
        <w:t>renewable energy credit (</w:t>
      </w:r>
      <w:r w:rsidRPr="006D5B14">
        <w:rPr>
          <w:rFonts w:ascii="Book Antiqua" w:hAnsi="Book Antiqua"/>
        </w:rPr>
        <w:t>REC</w:t>
      </w:r>
      <w:r w:rsidR="006D5B14">
        <w:rPr>
          <w:rFonts w:ascii="Book Antiqua" w:hAnsi="Book Antiqua"/>
        </w:rPr>
        <w:t xml:space="preserve"> </w:t>
      </w:r>
      <w:r w:rsidR="003A7F82" w:rsidRPr="006D5B14">
        <w:rPr>
          <w:rFonts w:ascii="Book Antiqua" w:hAnsi="Book Antiqua"/>
        </w:rPr>
        <w:t>)</w:t>
      </w:r>
      <w:r w:rsidR="006D5B14">
        <w:rPr>
          <w:rFonts w:ascii="Book Antiqua" w:hAnsi="Book Antiqua"/>
        </w:rPr>
        <w:t>)</w:t>
      </w:r>
      <w:r w:rsidRPr="00467505">
        <w:rPr>
          <w:rFonts w:ascii="Book Antiqua" w:hAnsi="Book Antiqua"/>
        </w:rPr>
        <w:t xml:space="preserve"> costs, resource adequacy costs for local, system, and flexible products, CAISO market prices, and gas prices) to make the process of developing conforming data assumptions less onerous for LSEs. </w:t>
      </w:r>
      <w:r w:rsidR="00F571CA" w:rsidRPr="00467505">
        <w:rPr>
          <w:rFonts w:ascii="Book Antiqua" w:hAnsi="Book Antiqua"/>
        </w:rPr>
        <w:t xml:space="preserve"> </w:t>
      </w:r>
      <w:r w:rsidRPr="00467505">
        <w:rPr>
          <w:rFonts w:ascii="Book Antiqua" w:hAnsi="Book Antiqua"/>
        </w:rPr>
        <w:t xml:space="preserve">SBCE and PCE suggested improving harmonization between model input structure and actual contract structure. </w:t>
      </w:r>
      <w:r w:rsidR="00F571CA" w:rsidRPr="00467505">
        <w:rPr>
          <w:rFonts w:ascii="Book Antiqua" w:hAnsi="Book Antiqua"/>
        </w:rPr>
        <w:t xml:space="preserve"> </w:t>
      </w:r>
      <w:r w:rsidRPr="00467505">
        <w:rPr>
          <w:rFonts w:ascii="Book Antiqua" w:hAnsi="Book Antiqua"/>
        </w:rPr>
        <w:t>They stated that LSEs faced challenges translating information from specific contracts into the Commission</w:t>
      </w:r>
      <w:r w:rsidR="00D84A09" w:rsidRPr="00467505">
        <w:rPr>
          <w:rFonts w:ascii="Book Antiqua" w:hAnsi="Book Antiqua"/>
        </w:rPr>
        <w:noBreakHyphen/>
      </w:r>
      <w:r w:rsidRPr="00467505">
        <w:rPr>
          <w:rFonts w:ascii="Book Antiqua" w:hAnsi="Book Antiqua"/>
        </w:rPr>
        <w:t xml:space="preserve">provided templates and GHG calculator, and that the templates appeared to assume a specific type of contract which may or may not be applicable. </w:t>
      </w:r>
    </w:p>
    <w:p w14:paraId="26A4AE82" w14:textId="77777777" w:rsidR="00611BBC" w:rsidRPr="00467505" w:rsidRDefault="00611BBC" w:rsidP="00D73CCA">
      <w:pPr>
        <w:pStyle w:val="sub1"/>
        <w:rPr>
          <w:rFonts w:ascii="Book Antiqua" w:hAnsi="Book Antiqua"/>
        </w:rPr>
      </w:pPr>
      <w:r w:rsidRPr="00467505">
        <w:rPr>
          <w:rFonts w:ascii="Book Antiqua" w:hAnsi="Book Antiqua"/>
        </w:rPr>
        <w:t>SVCE also commented that the baseline and new resource templates required very high temporal and resource granularity.</w:t>
      </w:r>
      <w:r w:rsidR="00F571CA" w:rsidRPr="00467505">
        <w:rPr>
          <w:rFonts w:ascii="Book Antiqua" w:hAnsi="Book Antiqua"/>
        </w:rPr>
        <w:t xml:space="preserve"> </w:t>
      </w:r>
      <w:r w:rsidRPr="00467505">
        <w:rPr>
          <w:rFonts w:ascii="Book Antiqua" w:hAnsi="Book Antiqua"/>
        </w:rPr>
        <w:t xml:space="preserve"> However, future uncertainty meant that the Commission was requiring a </w:t>
      </w:r>
      <w:r w:rsidR="00D8450D" w:rsidRPr="00467505">
        <w:rPr>
          <w:rFonts w:ascii="Book Antiqua" w:hAnsi="Book Antiqua"/>
        </w:rPr>
        <w:t xml:space="preserve">level of rigor that is not appropriate given that uncertainty. </w:t>
      </w:r>
    </w:p>
    <w:p w14:paraId="16C78094" w14:textId="77777777" w:rsidR="00611BBC" w:rsidRPr="00467505" w:rsidRDefault="00611BBC" w:rsidP="00D73CCA">
      <w:pPr>
        <w:pStyle w:val="sub1"/>
        <w:rPr>
          <w:rFonts w:ascii="Book Antiqua" w:hAnsi="Book Antiqua"/>
        </w:rPr>
      </w:pPr>
      <w:r w:rsidRPr="00467505">
        <w:rPr>
          <w:rFonts w:ascii="Book Antiqua" w:hAnsi="Book Antiqua"/>
        </w:rPr>
        <w:t xml:space="preserve">We agree that the process could benefit from less ambiguous rules about how to enter planned procurement data into the templates for current and future contracts. </w:t>
      </w:r>
      <w:r w:rsidR="00F571CA" w:rsidRPr="00467505">
        <w:rPr>
          <w:rFonts w:ascii="Book Antiqua" w:hAnsi="Book Antiqua"/>
        </w:rPr>
        <w:t xml:space="preserve"> </w:t>
      </w:r>
      <w:r w:rsidR="00D8450D" w:rsidRPr="00467505">
        <w:rPr>
          <w:rFonts w:ascii="Book Antiqua" w:hAnsi="Book Antiqua"/>
        </w:rPr>
        <w:t>In addition, our templates can reflect more potential contractual arrangements tha</w:t>
      </w:r>
      <w:r w:rsidR="0070763B">
        <w:rPr>
          <w:rFonts w:ascii="Book Antiqua" w:hAnsi="Book Antiqua"/>
        </w:rPr>
        <w:t>n</w:t>
      </w:r>
      <w:r w:rsidR="00D8450D" w:rsidRPr="00467505">
        <w:rPr>
          <w:rFonts w:ascii="Book Antiqua" w:hAnsi="Book Antiqua"/>
        </w:rPr>
        <w:t xml:space="preserve"> were reflected in this first cycle. </w:t>
      </w:r>
      <w:r w:rsidR="00F571CA" w:rsidRPr="00467505">
        <w:rPr>
          <w:rFonts w:ascii="Book Antiqua" w:hAnsi="Book Antiqua"/>
        </w:rPr>
        <w:t xml:space="preserve"> </w:t>
      </w:r>
      <w:r w:rsidR="00D8450D" w:rsidRPr="00467505">
        <w:rPr>
          <w:rFonts w:ascii="Book Antiqua" w:hAnsi="Book Antiqua"/>
        </w:rPr>
        <w:t xml:space="preserve">In addition, potentially less detail could be required about future resource plans that are subject to change. </w:t>
      </w:r>
      <w:r w:rsidR="00F571CA" w:rsidRPr="00467505">
        <w:rPr>
          <w:rFonts w:ascii="Book Antiqua" w:hAnsi="Book Antiqua"/>
        </w:rPr>
        <w:t xml:space="preserve"> </w:t>
      </w:r>
      <w:r w:rsidRPr="00467505">
        <w:rPr>
          <w:rFonts w:ascii="Book Antiqua" w:hAnsi="Book Antiqua"/>
        </w:rPr>
        <w:t xml:space="preserve">Commission staff will endeavor to improve these templates in preparation for the next IRP submissions. </w:t>
      </w:r>
    </w:p>
    <w:p w14:paraId="7E9C6EF3" w14:textId="77777777" w:rsidR="00D92B86" w:rsidRPr="00467505" w:rsidRDefault="00883600" w:rsidP="002A4A80">
      <w:pPr>
        <w:pStyle w:val="sub1"/>
        <w:rPr>
          <w:rFonts w:ascii="Book Antiqua" w:hAnsi="Book Antiqua"/>
        </w:rPr>
      </w:pPr>
      <w:r w:rsidRPr="00467505">
        <w:rPr>
          <w:rFonts w:ascii="Book Antiqua" w:hAnsi="Book Antiqua"/>
        </w:rPr>
        <w:t xml:space="preserve">In addition, Commission staff have noted that the Alternative LSE Plans, intended to reduce the regulatory burden for smaller LSEs, provided limited value to the IRP process other than verification that the LSEs would achieve their GHG benchmarks. </w:t>
      </w:r>
      <w:r w:rsidR="00F571CA" w:rsidRPr="00467505">
        <w:rPr>
          <w:rFonts w:ascii="Book Antiqua" w:hAnsi="Book Antiqua"/>
        </w:rPr>
        <w:t xml:space="preserve"> </w:t>
      </w:r>
      <w:r w:rsidRPr="00467505">
        <w:rPr>
          <w:rFonts w:ascii="Book Antiqua" w:hAnsi="Book Antiqua"/>
        </w:rPr>
        <w:t>In the next cycle, we may consider either exempting smaller LSEs from filing IRPs at all, or for some, requiring them to file Standard Plans</w:t>
      </w:r>
      <w:r w:rsidR="00113BB5" w:rsidRPr="00467505">
        <w:rPr>
          <w:rFonts w:ascii="Book Antiqua" w:hAnsi="Book Antiqua"/>
        </w:rPr>
        <w:t xml:space="preserve"> like other LSEs</w:t>
      </w:r>
      <w:r w:rsidRPr="00467505">
        <w:rPr>
          <w:rFonts w:ascii="Book Antiqua" w:hAnsi="Book Antiqua"/>
        </w:rPr>
        <w:t xml:space="preserve">. </w:t>
      </w:r>
    </w:p>
    <w:p w14:paraId="52596187" w14:textId="77777777" w:rsidR="00AA78C6" w:rsidRPr="00AA78C6" w:rsidRDefault="00AA78C6" w:rsidP="00AA78C6">
      <w:pPr>
        <w:pStyle w:val="Heading1"/>
      </w:pPr>
      <w:bookmarkStart w:id="156" w:name="_Toc3803869"/>
      <w:r w:rsidRPr="00AA78C6">
        <w:t>Comments on Proposed Decision</w:t>
      </w:r>
      <w:bookmarkEnd w:id="139"/>
      <w:bookmarkEnd w:id="156"/>
    </w:p>
    <w:p w14:paraId="49FF5E9F" w14:textId="69E22CFF" w:rsidR="00715695" w:rsidRPr="00467505" w:rsidRDefault="004F64BE" w:rsidP="00BF38D0">
      <w:pPr>
        <w:pStyle w:val="standard"/>
        <w:rPr>
          <w:rFonts w:ascii="Book Antiqua" w:hAnsi="Book Antiqua"/>
        </w:rPr>
      </w:pPr>
      <w:r w:rsidRPr="00467505">
        <w:rPr>
          <w:rFonts w:ascii="Book Antiqua" w:hAnsi="Book Antiqua"/>
        </w:rPr>
        <w:t xml:space="preserve">The proposed decision of </w:t>
      </w:r>
      <w:r w:rsidR="00E45A6E">
        <w:rPr>
          <w:rFonts w:ascii="Book Antiqua" w:hAnsi="Book Antiqua"/>
        </w:rPr>
        <w:t>ALJ Fitch</w:t>
      </w:r>
      <w:r w:rsidR="00FE1522" w:rsidRPr="00467505">
        <w:rPr>
          <w:rFonts w:ascii="Book Antiqua" w:hAnsi="Book Antiqua"/>
        </w:rPr>
        <w:t xml:space="preserve"> </w:t>
      </w:r>
      <w:r w:rsidRPr="00467505">
        <w:rPr>
          <w:rFonts w:ascii="Book Antiqua" w:hAnsi="Book Antiqua"/>
        </w:rPr>
        <w:t xml:space="preserve">in this matter was mailed to the parties in accordance with Section 311 of the Public Utilities Code and comments were allowed under Rule 14.3 of the Commission’s Rules of Practice and Procedure.  Comments were filed </w:t>
      </w:r>
      <w:r w:rsidR="00F621C0">
        <w:rPr>
          <w:rFonts w:ascii="Book Antiqua" w:hAnsi="Book Antiqua"/>
        </w:rPr>
        <w:t xml:space="preserve">on or before April 8, 2019 </w:t>
      </w:r>
      <w:r w:rsidR="00FE1522" w:rsidRPr="00467505">
        <w:rPr>
          <w:rFonts w:ascii="Book Antiqua" w:hAnsi="Book Antiqua"/>
        </w:rPr>
        <w:t>by</w:t>
      </w:r>
      <w:r w:rsidR="00F621C0">
        <w:rPr>
          <w:rFonts w:ascii="Book Antiqua" w:hAnsi="Book Antiqua"/>
        </w:rPr>
        <w:t xml:space="preserve"> the following parties:</w:t>
      </w:r>
      <w:r w:rsidR="00872A78">
        <w:rPr>
          <w:rFonts w:ascii="Book Antiqua" w:hAnsi="Book Antiqua"/>
        </w:rPr>
        <w:t xml:space="preserve"> </w:t>
      </w:r>
      <w:r w:rsidR="00F621C0">
        <w:rPr>
          <w:rFonts w:ascii="Book Antiqua" w:hAnsi="Book Antiqua"/>
        </w:rPr>
        <w:t xml:space="preserve"> </w:t>
      </w:r>
      <w:r w:rsidR="008F387C">
        <w:rPr>
          <w:rFonts w:ascii="Book Antiqua" w:hAnsi="Book Antiqua"/>
        </w:rPr>
        <w:t xml:space="preserve">AWEA; Cal Advocates; Calpine; CAISO; CalCCA; CalWEA; CEJA and Sierra Club, jointly; CEERT; CESA; CCSF; CGNP; CLECA; DOW; EBCE and PCE, jointly; First Solar; FOE, NRDC, and CURE, jointly; GPI; GridLiance; IID; LSA; LS Power; Middle River; National Grid; NRG; Ormat; PacifiCorp; PG&amp;E; POC; Range; SCE; </w:t>
      </w:r>
      <w:r w:rsidR="00435D67">
        <w:rPr>
          <w:rFonts w:ascii="Book Antiqua" w:hAnsi="Book Antiqua"/>
        </w:rPr>
        <w:t xml:space="preserve">SDG&amp;E; SEIA; </w:t>
      </w:r>
      <w:r w:rsidR="008F387C">
        <w:rPr>
          <w:rFonts w:ascii="Book Antiqua" w:hAnsi="Book Antiqua"/>
        </w:rPr>
        <w:t xml:space="preserve">Shell; Solana; </w:t>
      </w:r>
      <w:r w:rsidR="00435D67">
        <w:rPr>
          <w:rFonts w:ascii="Book Antiqua" w:hAnsi="Book Antiqua"/>
        </w:rPr>
        <w:t>SWPG; TransWest; TURN; UCS and NRDC, jointly; WEM; and Wellhead</w:t>
      </w:r>
      <w:r w:rsidR="00FE1522" w:rsidRPr="00467505">
        <w:rPr>
          <w:rFonts w:ascii="Book Antiqua" w:hAnsi="Book Antiqua"/>
        </w:rPr>
        <w:t xml:space="preserve">.  </w:t>
      </w:r>
    </w:p>
    <w:p w14:paraId="64DDC6C9" w14:textId="05F389C4" w:rsidR="00D40DF8" w:rsidRDefault="00FE1522" w:rsidP="00152A24">
      <w:pPr>
        <w:pStyle w:val="standard"/>
        <w:rPr>
          <w:rFonts w:ascii="Book Antiqua" w:hAnsi="Book Antiqua"/>
        </w:rPr>
      </w:pPr>
      <w:r w:rsidRPr="00467505">
        <w:rPr>
          <w:rFonts w:ascii="Book Antiqua" w:hAnsi="Book Antiqua"/>
        </w:rPr>
        <w:t xml:space="preserve">Reply comments were filed on </w:t>
      </w:r>
      <w:r w:rsidR="00F621C0">
        <w:rPr>
          <w:rFonts w:ascii="Book Antiqua" w:hAnsi="Book Antiqua"/>
        </w:rPr>
        <w:t>or before April 15, 2019</w:t>
      </w:r>
      <w:r w:rsidR="00715695" w:rsidRPr="00467505">
        <w:rPr>
          <w:rFonts w:ascii="Book Antiqua" w:hAnsi="Book Antiqua"/>
        </w:rPr>
        <w:t xml:space="preserve"> </w:t>
      </w:r>
      <w:r w:rsidRPr="00467505">
        <w:rPr>
          <w:rFonts w:ascii="Book Antiqua" w:hAnsi="Book Antiqua"/>
        </w:rPr>
        <w:t xml:space="preserve">by </w:t>
      </w:r>
      <w:r w:rsidR="00F621C0">
        <w:rPr>
          <w:rFonts w:ascii="Book Antiqua" w:hAnsi="Book Antiqua"/>
        </w:rPr>
        <w:t>the following parties: AWEA; Cal Advocates; Calpine; CAISO; CalCCA; CEJA and Sierra Club, jointly; CEERT; CCSF; Eagle Crest; EDF; GPI; GridLiance; Hydrostor; IID; LSA; Ormat; POC; PG&amp;E; Reid; SCE; SDG&amp;E; and SJCE</w:t>
      </w:r>
      <w:r w:rsidR="00152A24" w:rsidRPr="00467505">
        <w:rPr>
          <w:rFonts w:ascii="Book Antiqua" w:hAnsi="Book Antiqua"/>
        </w:rPr>
        <w:t>.</w:t>
      </w:r>
    </w:p>
    <w:p w14:paraId="2B2002BC" w14:textId="77777777" w:rsidR="001777F8" w:rsidRDefault="001777F8" w:rsidP="00152A24">
      <w:pPr>
        <w:pStyle w:val="standard"/>
        <w:rPr>
          <w:rFonts w:ascii="Book Antiqua" w:hAnsi="Book Antiqua"/>
        </w:rPr>
      </w:pPr>
      <w:r>
        <w:rPr>
          <w:rFonts w:ascii="Book Antiqua" w:hAnsi="Book Antiqua"/>
        </w:rPr>
        <w:t xml:space="preserve">Because of the large number of parties and issues covered in this decision, this section primarily summarizes the changes made in response to specific comments from parties, but does not attempt to detail the </w:t>
      </w:r>
      <w:r w:rsidR="00597CBF">
        <w:rPr>
          <w:rFonts w:ascii="Book Antiqua" w:hAnsi="Book Antiqua"/>
        </w:rPr>
        <w:t>numerous issues covered in each set of comments.</w:t>
      </w:r>
    </w:p>
    <w:p w14:paraId="0615A77D" w14:textId="2587E4AA" w:rsidR="00597CBF" w:rsidRDefault="00597CBF" w:rsidP="00152A24">
      <w:pPr>
        <w:pStyle w:val="standard"/>
        <w:rPr>
          <w:rFonts w:ascii="Book Antiqua" w:hAnsi="Book Antiqua"/>
        </w:rPr>
      </w:pPr>
      <w:r>
        <w:rPr>
          <w:rFonts w:ascii="Book Antiqua" w:hAnsi="Book Antiqua"/>
        </w:rPr>
        <w:t xml:space="preserve">In general, the clear majority of parties supported most aspects of the proposed decision as written. </w:t>
      </w:r>
      <w:r w:rsidR="00872A78">
        <w:rPr>
          <w:rFonts w:ascii="Book Antiqua" w:hAnsi="Book Antiqua"/>
        </w:rPr>
        <w:t xml:space="preserve"> </w:t>
      </w:r>
      <w:r>
        <w:rPr>
          <w:rFonts w:ascii="Book Antiqua" w:hAnsi="Book Antiqua"/>
        </w:rPr>
        <w:t>In particular, there was strong support for rejecting the hybrid conforming portfolio as the preferred system portfolio, except among some parties representing CCAs</w:t>
      </w:r>
      <w:r w:rsidR="009821A2">
        <w:rPr>
          <w:rFonts w:ascii="Book Antiqua" w:hAnsi="Book Antiqua"/>
        </w:rPr>
        <w:t>, as well as LSA</w:t>
      </w:r>
      <w:r>
        <w:rPr>
          <w:rFonts w:ascii="Book Antiqua" w:hAnsi="Book Antiqua"/>
        </w:rPr>
        <w:t xml:space="preserve">. </w:t>
      </w:r>
      <w:r w:rsidR="00872A78">
        <w:rPr>
          <w:rFonts w:ascii="Book Antiqua" w:hAnsi="Book Antiqua"/>
        </w:rPr>
        <w:t xml:space="preserve"> </w:t>
      </w:r>
      <w:r>
        <w:rPr>
          <w:rFonts w:ascii="Book Antiqua" w:hAnsi="Book Antiqua"/>
        </w:rPr>
        <w:t>There was also strong support for the proposal to institute a “procurement track,” though</w:t>
      </w:r>
      <w:r w:rsidR="000F6240">
        <w:rPr>
          <w:rFonts w:ascii="Book Antiqua" w:hAnsi="Book Antiqua"/>
        </w:rPr>
        <w:t xml:space="preserve"> there was</w:t>
      </w:r>
      <w:r>
        <w:rPr>
          <w:rFonts w:ascii="Book Antiqua" w:hAnsi="Book Antiqua"/>
        </w:rPr>
        <w:t xml:space="preserve"> a lot of disagreement about how exactly that procurement track should be structured. </w:t>
      </w:r>
    </w:p>
    <w:p w14:paraId="07C71AF0" w14:textId="695C1FA7" w:rsidR="00597CBF" w:rsidRDefault="00597CBF" w:rsidP="00597CBF">
      <w:pPr>
        <w:pStyle w:val="standard"/>
        <w:rPr>
          <w:rFonts w:ascii="Book Antiqua" w:hAnsi="Book Antiqua"/>
        </w:rPr>
      </w:pPr>
      <w:r>
        <w:rPr>
          <w:rFonts w:ascii="Book Antiqua" w:hAnsi="Book Antiqua"/>
        </w:rPr>
        <w:t xml:space="preserve">We detail our response to this issue, as well as other comments raised by parties, and our recommended changes in response, below. </w:t>
      </w:r>
      <w:r w:rsidR="00872A78">
        <w:rPr>
          <w:rFonts w:ascii="Book Antiqua" w:hAnsi="Book Antiqua"/>
        </w:rPr>
        <w:t xml:space="preserve"> </w:t>
      </w:r>
      <w:r w:rsidR="00C12394">
        <w:rPr>
          <w:rFonts w:ascii="Book Antiqua" w:hAnsi="Book Antiqua"/>
        </w:rPr>
        <w:t>The changes described are in no particular order.</w:t>
      </w:r>
    </w:p>
    <w:p w14:paraId="7C612953" w14:textId="0E3737F7" w:rsidR="00865CC6" w:rsidRDefault="00865CC6" w:rsidP="00597CBF">
      <w:pPr>
        <w:pStyle w:val="standard"/>
        <w:rPr>
          <w:rFonts w:ascii="Book Antiqua" w:hAnsi="Book Antiqua"/>
        </w:rPr>
      </w:pPr>
      <w:r>
        <w:rPr>
          <w:rFonts w:ascii="Book Antiqua" w:hAnsi="Book Antiqua"/>
        </w:rPr>
        <w:t xml:space="preserve">First, with respect to the framing of the procurement track, we </w:t>
      </w:r>
      <w:r w:rsidR="00595E62">
        <w:rPr>
          <w:rFonts w:ascii="Book Antiqua" w:hAnsi="Book Antiqua"/>
        </w:rPr>
        <w:t xml:space="preserve">have made modifications in response to the comments of TURN to make clear that at least our initial focus will be on two aspects of procurement: </w:t>
      </w:r>
      <w:r w:rsidR="00872A78">
        <w:rPr>
          <w:rFonts w:ascii="Book Antiqua" w:hAnsi="Book Antiqua"/>
        </w:rPr>
        <w:t xml:space="preserve"> </w:t>
      </w:r>
      <w:r w:rsidR="00595E62">
        <w:rPr>
          <w:rFonts w:ascii="Book Antiqua" w:hAnsi="Book Antiqua"/>
        </w:rPr>
        <w:t xml:space="preserve">backstop procurement, in the event that there is a gap between the plans of individual LSEs and their actual procurement to comply with those plans; procurement that may require collective action, because an individual LSE or a small number of LSEs will be unlikely to be able to support development of a particular type of resource on their own. </w:t>
      </w:r>
    </w:p>
    <w:p w14:paraId="367B4193" w14:textId="776AC097" w:rsidR="00F40810" w:rsidRDefault="00F40810" w:rsidP="00597CBF">
      <w:pPr>
        <w:pStyle w:val="standard"/>
        <w:rPr>
          <w:rFonts w:ascii="Book Antiqua" w:hAnsi="Book Antiqua"/>
        </w:rPr>
      </w:pPr>
      <w:r>
        <w:rPr>
          <w:rFonts w:ascii="Book Antiqua" w:hAnsi="Book Antiqua"/>
        </w:rPr>
        <w:t xml:space="preserve">Numerous parties, including CCSF and Shell, also commented that any procurement activities related to natural gas plants should be coordinated with the resource adequacy proceeding. </w:t>
      </w:r>
      <w:r w:rsidR="00872A78">
        <w:rPr>
          <w:rFonts w:ascii="Book Antiqua" w:hAnsi="Book Antiqua"/>
        </w:rPr>
        <w:t xml:space="preserve"> </w:t>
      </w:r>
      <w:r>
        <w:rPr>
          <w:rFonts w:ascii="Book Antiqua" w:hAnsi="Book Antiqua"/>
        </w:rPr>
        <w:t xml:space="preserve">While we agree that coordination is important, we decline to remove consideration of natural gas procurement in the IRP context in favor of handling it only in the resource adequacy context, as was suggested by several parties in their comments, including CEERT, CEJA, and Sierra Club. </w:t>
      </w:r>
    </w:p>
    <w:p w14:paraId="318F77F3" w14:textId="556B5418" w:rsidR="00247AB3" w:rsidRDefault="00247AB3" w:rsidP="006D47AC">
      <w:pPr>
        <w:pStyle w:val="standard"/>
        <w:rPr>
          <w:rFonts w:ascii="Book Antiqua" w:hAnsi="Book Antiqua"/>
        </w:rPr>
      </w:pPr>
      <w:r>
        <w:rPr>
          <w:rFonts w:ascii="Book Antiqua" w:hAnsi="Book Antiqua"/>
        </w:rPr>
        <w:t xml:space="preserve">UCS and NRDC also commented that any attention to natural gas plants in the procurement track should await the conclusion of the analysis proposed for the next cycle of IRP related to retention of thermal generation. </w:t>
      </w:r>
      <w:r w:rsidR="00872A78">
        <w:rPr>
          <w:rFonts w:ascii="Book Antiqua" w:hAnsi="Book Antiqua"/>
        </w:rPr>
        <w:t xml:space="preserve"> </w:t>
      </w:r>
      <w:r w:rsidR="001A0F25">
        <w:rPr>
          <w:rFonts w:ascii="Book Antiqua" w:hAnsi="Book Antiqua"/>
        </w:rPr>
        <w:t xml:space="preserve">While we agree that longer-term decisions about the optimal level of natural gas resources to maintain on the system should await the results of the proposed analysis, there may be potential near-term and system-level natural gas retention </w:t>
      </w:r>
      <w:r w:rsidR="00A14590">
        <w:rPr>
          <w:rFonts w:ascii="Book Antiqua" w:hAnsi="Book Antiqua"/>
        </w:rPr>
        <w:t xml:space="preserve">or reliability </w:t>
      </w:r>
      <w:r w:rsidR="001A0F25">
        <w:rPr>
          <w:rFonts w:ascii="Book Antiqua" w:hAnsi="Book Antiqua"/>
        </w:rPr>
        <w:t>issues that can or should be addressed sooner</w:t>
      </w:r>
      <w:r w:rsidR="005D7C76">
        <w:rPr>
          <w:rFonts w:ascii="Book Antiqua" w:hAnsi="Book Antiqua"/>
        </w:rPr>
        <w:t>, based on current knowledge</w:t>
      </w:r>
      <w:r w:rsidR="001A0F25">
        <w:rPr>
          <w:rFonts w:ascii="Book Antiqua" w:hAnsi="Book Antiqua"/>
        </w:rPr>
        <w:t xml:space="preserve">. </w:t>
      </w:r>
    </w:p>
    <w:p w14:paraId="67F96D0E" w14:textId="77777777" w:rsidR="00033ABC" w:rsidRDefault="00033ABC" w:rsidP="006D47AC">
      <w:pPr>
        <w:pStyle w:val="standard"/>
        <w:rPr>
          <w:rFonts w:ascii="Book Antiqua" w:hAnsi="Book Antiqua"/>
        </w:rPr>
      </w:pPr>
      <w:r>
        <w:rPr>
          <w:rFonts w:ascii="Book Antiqua" w:hAnsi="Book Antiqua"/>
        </w:rPr>
        <w:t xml:space="preserve">CEJA and Sierra Club focused many of their comments on the fact that any attention to natural gas procurement should be focused on the need to minimize, or preferably eliminate, reliance on natural gas resources as soon as possible. We have modified the language on natural gas procurement to emphasize this priority, consistent with the state’s long-term goals. </w:t>
      </w:r>
    </w:p>
    <w:p w14:paraId="66D9B2BC" w14:textId="5D674591" w:rsidR="006D47AC" w:rsidRDefault="006D47AC" w:rsidP="006D47AC">
      <w:pPr>
        <w:pStyle w:val="standard"/>
        <w:rPr>
          <w:rFonts w:ascii="Book Antiqua" w:hAnsi="Book Antiqua"/>
        </w:rPr>
      </w:pPr>
      <w:r>
        <w:rPr>
          <w:rFonts w:ascii="Book Antiqua" w:hAnsi="Book Antiqua"/>
        </w:rPr>
        <w:t>In response to the comments of Range</w:t>
      </w:r>
      <w:r w:rsidR="000F6F12">
        <w:rPr>
          <w:rFonts w:ascii="Book Antiqua" w:hAnsi="Book Antiqua"/>
        </w:rPr>
        <w:t xml:space="preserve"> and LS Power</w:t>
      </w:r>
      <w:r>
        <w:rPr>
          <w:rFonts w:ascii="Book Antiqua" w:hAnsi="Book Antiqua"/>
        </w:rPr>
        <w:t xml:space="preserve">, we have also made edits to clarify that the aspects of the procurement track devoted to long-duration storage will not be presumed to include only pumped hydro resources, but in fact will be approached in a technology-neutral fashion. </w:t>
      </w:r>
      <w:r w:rsidR="00872A78">
        <w:rPr>
          <w:rFonts w:ascii="Book Antiqua" w:hAnsi="Book Antiqua"/>
        </w:rPr>
        <w:t xml:space="preserve"> </w:t>
      </w:r>
      <w:r>
        <w:rPr>
          <w:rFonts w:ascii="Book Antiqua" w:hAnsi="Book Antiqua"/>
        </w:rPr>
        <w:t xml:space="preserve">To enhance that understanding, we have removed the designation of long-duration storage as eight hours or more. </w:t>
      </w:r>
      <w:r w:rsidR="00872A78">
        <w:rPr>
          <w:rFonts w:ascii="Book Antiqua" w:hAnsi="Book Antiqua"/>
        </w:rPr>
        <w:t xml:space="preserve"> </w:t>
      </w:r>
      <w:r>
        <w:rPr>
          <w:rFonts w:ascii="Book Antiqua" w:hAnsi="Book Antiqua"/>
        </w:rPr>
        <w:t xml:space="preserve">The exact nature of the long-duration storage to be sought in the future will be explored further during the procurement track. </w:t>
      </w:r>
    </w:p>
    <w:p w14:paraId="48AAD1C7" w14:textId="77777777" w:rsidR="006D47AC" w:rsidRDefault="006D47AC" w:rsidP="00597CBF">
      <w:pPr>
        <w:pStyle w:val="standard"/>
        <w:rPr>
          <w:rFonts w:ascii="Book Antiqua" w:hAnsi="Book Antiqua"/>
        </w:rPr>
      </w:pPr>
      <w:r>
        <w:rPr>
          <w:rFonts w:ascii="Book Antiqua" w:hAnsi="Book Antiqua"/>
        </w:rPr>
        <w:t xml:space="preserve">Finally, with respect to the procurement track activities, in response to the comments of SCE and supported by CESA, we have included in the scope of the procurement track consideration of the type of trigger mechanism proposed earlier in the proceeding by SCE. </w:t>
      </w:r>
    </w:p>
    <w:p w14:paraId="5C3EA651" w14:textId="77777777" w:rsidR="00C12394" w:rsidRDefault="00C12394" w:rsidP="00597CBF">
      <w:pPr>
        <w:pStyle w:val="standard"/>
        <w:rPr>
          <w:rFonts w:ascii="Book Antiqua" w:hAnsi="Book Antiqua"/>
        </w:rPr>
      </w:pPr>
      <w:r>
        <w:rPr>
          <w:rFonts w:ascii="Book Antiqua" w:hAnsi="Book Antiqua"/>
        </w:rPr>
        <w:t>In response to CCSF’s comments, we have amended the requirement for a Tier 2 advice letter filing for those LSEs who individual IRPs were not approved or certified in this decision, such that the LSEs may file an appendix or supplement to their IRP with the missing information, and are not required to file a complete</w:t>
      </w:r>
      <w:r w:rsidR="00B812C0">
        <w:rPr>
          <w:rFonts w:ascii="Book Antiqua" w:hAnsi="Book Antiqua"/>
        </w:rPr>
        <w:t>ly new</w:t>
      </w:r>
      <w:r w:rsidR="00E00A93">
        <w:rPr>
          <w:rFonts w:ascii="Book Antiqua" w:hAnsi="Book Antiqua"/>
        </w:rPr>
        <w:t xml:space="preserve"> comprehensive</w:t>
      </w:r>
      <w:r>
        <w:rPr>
          <w:rFonts w:ascii="Book Antiqua" w:hAnsi="Book Antiqua"/>
        </w:rPr>
        <w:t xml:space="preserve"> IRP. </w:t>
      </w:r>
    </w:p>
    <w:p w14:paraId="6A7F6843" w14:textId="77777777" w:rsidR="007F0709" w:rsidRDefault="007F0709" w:rsidP="00597CBF">
      <w:pPr>
        <w:pStyle w:val="standard"/>
        <w:rPr>
          <w:rFonts w:ascii="Book Antiqua" w:hAnsi="Book Antiqua"/>
        </w:rPr>
      </w:pPr>
      <w:r>
        <w:rPr>
          <w:rFonts w:ascii="Book Antiqua" w:hAnsi="Book Antiqua"/>
        </w:rPr>
        <w:t>Also in response to CCSF, we make clear that the additional information required from LSEs serving load in PG&amp;E’s territory to address the energy needed to replace the output of Diablo Canyon is an issue to be included in the next individual IRPs due in 2020, not for the supplemental filings to the 2018 individual IRPs</w:t>
      </w:r>
      <w:r w:rsidR="0014759F">
        <w:rPr>
          <w:rFonts w:ascii="Book Antiqua" w:hAnsi="Book Antiqua"/>
        </w:rPr>
        <w:t xml:space="preserve"> required by June 14, 2019</w:t>
      </w:r>
      <w:r>
        <w:rPr>
          <w:rFonts w:ascii="Book Antiqua" w:hAnsi="Book Antiqua"/>
        </w:rPr>
        <w:t xml:space="preserve">. </w:t>
      </w:r>
    </w:p>
    <w:p w14:paraId="34CFAF54" w14:textId="5DE4A5D0" w:rsidR="00690AB6" w:rsidRDefault="00690AB6" w:rsidP="00597CBF">
      <w:pPr>
        <w:pStyle w:val="standard"/>
        <w:rPr>
          <w:rFonts w:ascii="Book Antiqua" w:hAnsi="Book Antiqua"/>
        </w:rPr>
      </w:pPr>
      <w:r>
        <w:rPr>
          <w:rFonts w:ascii="Book Antiqua" w:hAnsi="Book Antiqua"/>
        </w:rPr>
        <w:t xml:space="preserve">With respect to the requirement that each LSE serving load in PG&amp;E’s territory address </w:t>
      </w:r>
      <w:r w:rsidR="00293844">
        <w:rPr>
          <w:rFonts w:ascii="Book Antiqua" w:hAnsi="Book Antiqua"/>
        </w:rPr>
        <w:t xml:space="preserve">how they will plan for </w:t>
      </w:r>
      <w:r>
        <w:rPr>
          <w:rFonts w:ascii="Book Antiqua" w:hAnsi="Book Antiqua"/>
        </w:rPr>
        <w:t xml:space="preserve">Diablo Canyon replacement, Ormat’s comments also point out that the baseload nature of Diablo Canyon </w:t>
      </w:r>
      <w:r w:rsidR="0068609B">
        <w:rPr>
          <w:rFonts w:ascii="Book Antiqua" w:hAnsi="Book Antiqua"/>
        </w:rPr>
        <w:t xml:space="preserve">output </w:t>
      </w:r>
      <w:r>
        <w:rPr>
          <w:rFonts w:ascii="Book Antiqua" w:hAnsi="Book Antiqua"/>
        </w:rPr>
        <w:t xml:space="preserve">should be addressed. </w:t>
      </w:r>
      <w:r w:rsidR="00872A78">
        <w:rPr>
          <w:rFonts w:ascii="Book Antiqua" w:hAnsi="Book Antiqua"/>
        </w:rPr>
        <w:t xml:space="preserve"> </w:t>
      </w:r>
      <w:r>
        <w:rPr>
          <w:rFonts w:ascii="Book Antiqua" w:hAnsi="Book Antiqua"/>
        </w:rPr>
        <w:t xml:space="preserve">Thus, we have included a requirement that each LSE specifically address </w:t>
      </w:r>
      <w:r w:rsidR="00293844">
        <w:rPr>
          <w:rFonts w:ascii="Book Antiqua" w:hAnsi="Book Antiqua"/>
        </w:rPr>
        <w:t xml:space="preserve">how they will approach replacement of the </w:t>
      </w:r>
      <w:r>
        <w:rPr>
          <w:rFonts w:ascii="Book Antiqua" w:hAnsi="Book Antiqua"/>
        </w:rPr>
        <w:t>characteristics of Diablo Canyon’s output, including flexible baseload and/or firm low-emissions energy</w:t>
      </w:r>
      <w:r w:rsidR="00A21F0F">
        <w:rPr>
          <w:rFonts w:ascii="Book Antiqua" w:hAnsi="Book Antiqua"/>
        </w:rPr>
        <w:t>, in their plans beginning in 2020</w:t>
      </w:r>
      <w:r>
        <w:rPr>
          <w:rFonts w:ascii="Book Antiqua" w:hAnsi="Book Antiqua"/>
        </w:rPr>
        <w:t xml:space="preserve">. </w:t>
      </w:r>
    </w:p>
    <w:p w14:paraId="1E85ECF4" w14:textId="27229D14" w:rsidR="005D0B46" w:rsidRDefault="005D0B46" w:rsidP="00597CBF">
      <w:pPr>
        <w:pStyle w:val="standard"/>
        <w:rPr>
          <w:rFonts w:ascii="Book Antiqua" w:hAnsi="Book Antiqua"/>
        </w:rPr>
      </w:pPr>
      <w:r>
        <w:rPr>
          <w:rFonts w:ascii="Book Antiqua" w:hAnsi="Book Antiqua"/>
        </w:rPr>
        <w:t>We decline to make the change requested by the Joint Parties who filed the PFM of D.18-02-018</w:t>
      </w:r>
      <w:r w:rsidR="00165223">
        <w:rPr>
          <w:rFonts w:ascii="Book Antiqua" w:hAnsi="Book Antiqua"/>
        </w:rPr>
        <w:t>, as well as GPI,</w:t>
      </w:r>
      <w:r>
        <w:rPr>
          <w:rFonts w:ascii="Book Antiqua" w:hAnsi="Book Antiqua"/>
        </w:rPr>
        <w:t xml:space="preserve"> with respect to Diablo Canyon replacement energy, who requested that we explicitly include this issue in the procurement track of this proceeding. </w:t>
      </w:r>
      <w:r w:rsidR="00872A78">
        <w:rPr>
          <w:rFonts w:ascii="Book Antiqua" w:hAnsi="Book Antiqua"/>
        </w:rPr>
        <w:t xml:space="preserve"> </w:t>
      </w:r>
      <w:r>
        <w:rPr>
          <w:rFonts w:ascii="Book Antiqua" w:hAnsi="Book Antiqua"/>
        </w:rPr>
        <w:t xml:space="preserve">Our intention is to </w:t>
      </w:r>
      <w:r w:rsidR="00865CC6">
        <w:rPr>
          <w:rFonts w:ascii="Book Antiqua" w:hAnsi="Book Antiqua"/>
        </w:rPr>
        <w:t>ensure that</w:t>
      </w:r>
      <w:r>
        <w:rPr>
          <w:rFonts w:ascii="Book Antiqua" w:hAnsi="Book Antiqua"/>
        </w:rPr>
        <w:t xml:space="preserve"> the electric sector under our purview, as a whole,</w:t>
      </w:r>
      <w:r w:rsidR="00865CC6">
        <w:rPr>
          <w:rFonts w:ascii="Book Antiqua" w:hAnsi="Book Antiqua"/>
        </w:rPr>
        <w:t xml:space="preserve"> is</w:t>
      </w:r>
      <w:r>
        <w:rPr>
          <w:rFonts w:ascii="Book Antiqua" w:hAnsi="Book Antiqua"/>
        </w:rPr>
        <w:t xml:space="preserve"> on a trajectory to meet our 2030 target, without assigning explicit and prescriptive volumes of procurement to individual entities as a direct result of Diablo Canyon retirement. </w:t>
      </w:r>
      <w:r w:rsidR="00872A78">
        <w:rPr>
          <w:rFonts w:ascii="Book Antiqua" w:hAnsi="Book Antiqua"/>
        </w:rPr>
        <w:t xml:space="preserve"> </w:t>
      </w:r>
      <w:r>
        <w:rPr>
          <w:rFonts w:ascii="Book Antiqua" w:hAnsi="Book Antiqua"/>
        </w:rPr>
        <w:t xml:space="preserve">Since procurement in anticipation of this event is already occurring, </w:t>
      </w:r>
      <w:r w:rsidR="00165223">
        <w:rPr>
          <w:rFonts w:ascii="Book Antiqua" w:hAnsi="Book Antiqua"/>
        </w:rPr>
        <w:t xml:space="preserve">and though we acknowledge there may be an impact on emissions immediately following the retirement of </w:t>
      </w:r>
      <w:r w:rsidR="00865CC6">
        <w:rPr>
          <w:rFonts w:ascii="Book Antiqua" w:hAnsi="Book Antiqua"/>
        </w:rPr>
        <w:t xml:space="preserve">Diablo </w:t>
      </w:r>
      <w:r w:rsidR="00165223">
        <w:rPr>
          <w:rFonts w:ascii="Book Antiqua" w:hAnsi="Book Antiqua"/>
        </w:rPr>
        <w:t>Canyon, this event should</w:t>
      </w:r>
      <w:r>
        <w:rPr>
          <w:rFonts w:ascii="Book Antiqua" w:hAnsi="Book Antiqua"/>
        </w:rPr>
        <w:t xml:space="preserve"> not have a similar outcome to the unexpected retirement of SONGS. </w:t>
      </w:r>
    </w:p>
    <w:p w14:paraId="12E01267" w14:textId="75F0D7FD" w:rsidR="00820C84" w:rsidRDefault="00820C84" w:rsidP="00597CBF">
      <w:pPr>
        <w:pStyle w:val="standard"/>
        <w:rPr>
          <w:rFonts w:ascii="Book Antiqua" w:hAnsi="Book Antiqua"/>
        </w:rPr>
      </w:pPr>
      <w:r>
        <w:rPr>
          <w:rFonts w:ascii="Book Antiqua" w:hAnsi="Book Antiqua"/>
        </w:rPr>
        <w:t xml:space="preserve">In response to comments from PacifiCorp, we have amended the requirement for use of the CNS calculator to apply only to those LSEs whose territory is within the CAISO footprint. </w:t>
      </w:r>
      <w:r w:rsidR="00872A78">
        <w:rPr>
          <w:rFonts w:ascii="Book Antiqua" w:hAnsi="Book Antiqua"/>
        </w:rPr>
        <w:t xml:space="preserve"> </w:t>
      </w:r>
      <w:r w:rsidR="00865CC6">
        <w:rPr>
          <w:rFonts w:ascii="Book Antiqua" w:hAnsi="Book Antiqua"/>
        </w:rPr>
        <w:t>If it is located outside of the CAISO</w:t>
      </w:r>
      <w:r>
        <w:rPr>
          <w:rFonts w:ascii="Book Antiqua" w:hAnsi="Book Antiqua"/>
        </w:rPr>
        <w:t xml:space="preserve">, </w:t>
      </w:r>
      <w:r w:rsidR="00865CC6">
        <w:rPr>
          <w:rFonts w:ascii="Book Antiqua" w:hAnsi="Book Antiqua"/>
        </w:rPr>
        <w:t>an</w:t>
      </w:r>
      <w:r>
        <w:rPr>
          <w:rFonts w:ascii="Book Antiqua" w:hAnsi="Book Antiqua"/>
        </w:rPr>
        <w:t xml:space="preserve"> LSE may use alternative means of estimating its GHG emissions</w:t>
      </w:r>
      <w:r w:rsidR="00865CC6">
        <w:rPr>
          <w:rFonts w:ascii="Book Antiqua" w:hAnsi="Book Antiqua"/>
        </w:rPr>
        <w:t>, in consultation with Commission staff</w:t>
      </w:r>
      <w:r>
        <w:rPr>
          <w:rFonts w:ascii="Book Antiqua" w:hAnsi="Book Antiqua"/>
        </w:rPr>
        <w:t>.</w:t>
      </w:r>
    </w:p>
    <w:p w14:paraId="392EB104" w14:textId="77777777" w:rsidR="00597CBF" w:rsidRDefault="00AA79B0" w:rsidP="00152A24">
      <w:pPr>
        <w:pStyle w:val="standard"/>
        <w:rPr>
          <w:rFonts w:ascii="Book Antiqua" w:hAnsi="Book Antiqua"/>
        </w:rPr>
      </w:pPr>
      <w:r>
        <w:rPr>
          <w:rFonts w:ascii="Book Antiqua" w:hAnsi="Book Antiqua"/>
        </w:rPr>
        <w:t>In response to the comments of both Wellhead and First Solar, we have enhanced the findings and conclusions of the decision to make clear that hybrid technologies and renewables can bring potential value to the system for renewable integration</w:t>
      </w:r>
      <w:r w:rsidR="0068609B">
        <w:rPr>
          <w:rFonts w:ascii="Book Antiqua" w:hAnsi="Book Antiqua"/>
        </w:rPr>
        <w:t xml:space="preserve"> purposes</w:t>
      </w:r>
      <w:r>
        <w:rPr>
          <w:rFonts w:ascii="Book Antiqua" w:hAnsi="Book Antiqua"/>
        </w:rPr>
        <w:t xml:space="preserve">. </w:t>
      </w:r>
    </w:p>
    <w:p w14:paraId="4F49B7C0" w14:textId="58E72BE8" w:rsidR="00CE2E13" w:rsidRDefault="00744649" w:rsidP="00152A24">
      <w:pPr>
        <w:pStyle w:val="standard"/>
        <w:rPr>
          <w:rFonts w:ascii="Book Antiqua" w:hAnsi="Book Antiqua"/>
        </w:rPr>
      </w:pPr>
      <w:r>
        <w:rPr>
          <w:rFonts w:ascii="Book Antiqua" w:hAnsi="Book Antiqua"/>
        </w:rPr>
        <w:t>Next, a</w:t>
      </w:r>
      <w:r w:rsidR="00410093">
        <w:rPr>
          <w:rFonts w:ascii="Book Antiqua" w:hAnsi="Book Antiqua"/>
        </w:rPr>
        <w:t>ll of the large IOUs</w:t>
      </w:r>
      <w:r w:rsidR="00F72BF5">
        <w:rPr>
          <w:rFonts w:ascii="Book Antiqua" w:hAnsi="Book Antiqua"/>
        </w:rPr>
        <w:t>, as well as TURN, Sierra Club, and CEJA,</w:t>
      </w:r>
      <w:r w:rsidR="00410093">
        <w:rPr>
          <w:rFonts w:ascii="Book Antiqua" w:hAnsi="Book Antiqua"/>
        </w:rPr>
        <w:t xml:space="preserve"> requested that we commit to developing an enforcement mechanism sooner rather than later, particularly in light of the fact that one LSE failed to provide an IRP at all in this round. </w:t>
      </w:r>
      <w:r w:rsidR="00872A78">
        <w:rPr>
          <w:rFonts w:ascii="Book Antiqua" w:hAnsi="Book Antiqua"/>
        </w:rPr>
        <w:t xml:space="preserve"> </w:t>
      </w:r>
      <w:r w:rsidR="00410093">
        <w:rPr>
          <w:rFonts w:ascii="Book Antiqua" w:hAnsi="Book Antiqua"/>
        </w:rPr>
        <w:t xml:space="preserve">We have enhanced the language in this decision on this point, and intend to move forward with a citation program similar to the resource adequacy and RPS enforcement mechanisms quickly. </w:t>
      </w:r>
      <w:r w:rsidR="00872A78">
        <w:rPr>
          <w:rFonts w:ascii="Book Antiqua" w:hAnsi="Book Antiqua"/>
        </w:rPr>
        <w:t xml:space="preserve"> </w:t>
      </w:r>
      <w:r w:rsidR="00410093">
        <w:rPr>
          <w:rFonts w:ascii="Book Antiqua" w:hAnsi="Book Antiqua"/>
        </w:rPr>
        <w:t xml:space="preserve">However, we do not go as far as TURN would like to initiate enforcement against the non-filing LSE at this time, because that would divert time and focus in this proceeding itself; rather, the enforcement aspect will be developed through a staff-driven effort culminating in a </w:t>
      </w:r>
      <w:r w:rsidR="00913CD6">
        <w:rPr>
          <w:rFonts w:ascii="Book Antiqua" w:hAnsi="Book Antiqua"/>
        </w:rPr>
        <w:t xml:space="preserve">formal </w:t>
      </w:r>
      <w:r w:rsidR="00410093">
        <w:rPr>
          <w:rFonts w:ascii="Book Antiqua" w:hAnsi="Book Antiqua"/>
        </w:rPr>
        <w:t xml:space="preserve">resolution brought before the Commission. </w:t>
      </w:r>
    </w:p>
    <w:p w14:paraId="5A1B1DA9" w14:textId="378C52A0" w:rsidR="005B2956" w:rsidRDefault="005B2956" w:rsidP="005B2956">
      <w:pPr>
        <w:pStyle w:val="sub1"/>
        <w:rPr>
          <w:rFonts w:ascii="Book Antiqua" w:hAnsi="Book Antiqua"/>
        </w:rPr>
      </w:pPr>
      <w:r>
        <w:rPr>
          <w:rFonts w:ascii="Book Antiqua" w:hAnsi="Book Antiqua"/>
        </w:rPr>
        <w:t>Cal Advocates, in its comments, suggested that the Commission should make a finding associated with each individual LSE’s IRP as to whether or not the IRP has met the filing requirements associated with the entity’s GHG obligations and would put them on a path to achieve their portion of the 2030 GHG goals.</w:t>
      </w:r>
      <w:r w:rsidR="00872A78">
        <w:rPr>
          <w:rFonts w:ascii="Book Antiqua" w:hAnsi="Book Antiqua"/>
        </w:rPr>
        <w:t xml:space="preserve"> </w:t>
      </w:r>
      <w:r>
        <w:rPr>
          <w:rFonts w:ascii="Book Antiqua" w:hAnsi="Book Antiqua"/>
        </w:rPr>
        <w:t xml:space="preserve"> We have not included this explicit finding in this decision, but will include this type of finding in future decisions similar to this one, when adopting the PSP and approving or certifying the individual IRPs. </w:t>
      </w:r>
    </w:p>
    <w:p w14:paraId="5D4DBF39" w14:textId="701B20E8" w:rsidR="00FF315D" w:rsidRDefault="00FF315D" w:rsidP="005B2956">
      <w:pPr>
        <w:pStyle w:val="sub1"/>
        <w:rPr>
          <w:rFonts w:ascii="Book Antiqua" w:hAnsi="Book Antiqua"/>
        </w:rPr>
      </w:pPr>
      <w:r>
        <w:rPr>
          <w:rFonts w:ascii="Book Antiqua" w:hAnsi="Book Antiqua"/>
        </w:rPr>
        <w:t xml:space="preserve">The comments of </w:t>
      </w:r>
      <w:r w:rsidR="00BA43BD">
        <w:rPr>
          <w:rFonts w:ascii="Book Antiqua" w:hAnsi="Book Antiqua"/>
        </w:rPr>
        <w:t>GridLiance</w:t>
      </w:r>
      <w:r w:rsidR="00F72BF5">
        <w:rPr>
          <w:rFonts w:ascii="Book Antiqua" w:hAnsi="Book Antiqua"/>
        </w:rPr>
        <w:t xml:space="preserve"> and LSA</w:t>
      </w:r>
      <w:r w:rsidR="00BA43BD">
        <w:rPr>
          <w:rFonts w:ascii="Book Antiqua" w:hAnsi="Book Antiqua"/>
        </w:rPr>
        <w:t xml:space="preserve"> were critical of the late-stage updates that Commission staff made to the portfolios recommended in this decision based on new transmission availability data made available informally by the CAISO to the Commission. </w:t>
      </w:r>
      <w:r w:rsidR="00872A78">
        <w:rPr>
          <w:rFonts w:ascii="Book Antiqua" w:hAnsi="Book Antiqua"/>
        </w:rPr>
        <w:t xml:space="preserve"> </w:t>
      </w:r>
      <w:r w:rsidR="00BA43BD">
        <w:rPr>
          <w:rFonts w:ascii="Book Antiqua" w:hAnsi="Book Antiqua"/>
        </w:rPr>
        <w:t>We are sympathetic with those concerns, and have made modifications both to the description of the source of the transmission availability data, and to the description of a more desirable process for incorporating such data in the future.</w:t>
      </w:r>
      <w:r w:rsidR="00872A78">
        <w:rPr>
          <w:rFonts w:ascii="Book Antiqua" w:hAnsi="Book Antiqua"/>
        </w:rPr>
        <w:t xml:space="preserve"> </w:t>
      </w:r>
      <w:r w:rsidR="00BA43BD">
        <w:rPr>
          <w:rFonts w:ascii="Book Antiqua" w:hAnsi="Book Antiqua"/>
        </w:rPr>
        <w:t xml:space="preserve"> In particular, we intend to make additional improvements to the process for each IRP cycle, ideally utilizing one set of assumptions during each vintage of IRP analysis, </w:t>
      </w:r>
      <w:r w:rsidR="00865CC6">
        <w:rPr>
          <w:rFonts w:ascii="Book Antiqua" w:hAnsi="Book Antiqua"/>
        </w:rPr>
        <w:t>striving for</w:t>
      </w:r>
      <w:r w:rsidR="00BA43BD">
        <w:rPr>
          <w:rFonts w:ascii="Book Antiqua" w:hAnsi="Book Antiqua"/>
        </w:rPr>
        <w:t xml:space="preserve"> transparency and ability of stakeholders to comment on the assumptions and analysis conducted at each step. </w:t>
      </w:r>
      <w:r w:rsidR="00872A78">
        <w:rPr>
          <w:rFonts w:ascii="Book Antiqua" w:hAnsi="Book Antiqua"/>
        </w:rPr>
        <w:t xml:space="preserve"> </w:t>
      </w:r>
      <w:r w:rsidR="00BA43BD">
        <w:rPr>
          <w:rFonts w:ascii="Book Antiqua" w:hAnsi="Book Antiqua"/>
        </w:rPr>
        <w:t>There is a continuing tension between the desire to include the most up-to-date technical information and the desire to allow maximum stakeholder review and vetting.</w:t>
      </w:r>
      <w:r w:rsidR="00872A78">
        <w:rPr>
          <w:rFonts w:ascii="Book Antiqua" w:hAnsi="Book Antiqua"/>
        </w:rPr>
        <w:t xml:space="preserve"> </w:t>
      </w:r>
      <w:r w:rsidR="00BA43BD">
        <w:rPr>
          <w:rFonts w:ascii="Book Antiqua" w:hAnsi="Book Antiqua"/>
        </w:rPr>
        <w:t xml:space="preserve"> We will strive to improve our approach to these issues in future IRP cycles. </w:t>
      </w:r>
    </w:p>
    <w:p w14:paraId="0AADDDF4" w14:textId="402CF955" w:rsidR="00BA43BD" w:rsidRPr="00467505" w:rsidRDefault="00BA43BD" w:rsidP="005B2956">
      <w:pPr>
        <w:pStyle w:val="sub1"/>
        <w:rPr>
          <w:rFonts w:ascii="Book Antiqua" w:hAnsi="Book Antiqua"/>
        </w:rPr>
      </w:pPr>
      <w:r>
        <w:rPr>
          <w:rFonts w:ascii="Book Antiqua" w:hAnsi="Book Antiqua"/>
        </w:rPr>
        <w:t xml:space="preserve">A similar set of issues was raised by First Solar, SEIA, and CEERT in comments on the proposed decision with respect to the adjustments made by Commission staff to allocate certain renewable resources as energy-only instead of fully deliverable, as part of the optimal portfolio. </w:t>
      </w:r>
      <w:r w:rsidR="00872A78">
        <w:rPr>
          <w:rFonts w:ascii="Book Antiqua" w:hAnsi="Book Antiqua"/>
        </w:rPr>
        <w:t xml:space="preserve"> </w:t>
      </w:r>
      <w:r>
        <w:rPr>
          <w:rFonts w:ascii="Book Antiqua" w:hAnsi="Book Antiqua"/>
        </w:rPr>
        <w:t>SEIA correctly points out that the deliverability status of a project may affect its position in the market and its ability to be financed.</w:t>
      </w:r>
      <w:r w:rsidR="00872A78">
        <w:rPr>
          <w:rFonts w:ascii="Book Antiqua" w:hAnsi="Book Antiqua"/>
        </w:rPr>
        <w:t xml:space="preserve"> </w:t>
      </w:r>
      <w:r>
        <w:rPr>
          <w:rFonts w:ascii="Book Antiqua" w:hAnsi="Book Antiqua"/>
        </w:rPr>
        <w:t xml:space="preserve"> All of these parties also argue that part of the purpose of the portfolio development is to analyze the transmission needed to support the generation.</w:t>
      </w:r>
      <w:r w:rsidR="00872A78">
        <w:rPr>
          <w:rFonts w:ascii="Book Antiqua" w:hAnsi="Book Antiqua"/>
        </w:rPr>
        <w:t xml:space="preserve"> </w:t>
      </w:r>
      <w:r>
        <w:rPr>
          <w:rFonts w:ascii="Book Antiqua" w:hAnsi="Book Antiqua"/>
        </w:rPr>
        <w:t xml:space="preserve"> This is also related to the quality of information received in the individual IRPs, since in the round it was difficult to tell how firm the choices of some LSEs might be. </w:t>
      </w:r>
      <w:r w:rsidR="00872A78">
        <w:rPr>
          <w:rFonts w:ascii="Book Antiqua" w:hAnsi="Book Antiqua"/>
        </w:rPr>
        <w:t xml:space="preserve"> </w:t>
      </w:r>
      <w:r>
        <w:rPr>
          <w:rFonts w:ascii="Book Antiqua" w:hAnsi="Book Antiqua"/>
        </w:rPr>
        <w:t xml:space="preserve">While we do not adjust the portfolio adopted in this decision to account for these uncertainties in this round, we commit to improving this aspect of the analysis for the next IRP cycle such that deliverability status adjustments by staff are minimized or eliminated. </w:t>
      </w:r>
    </w:p>
    <w:p w14:paraId="4B2890DD" w14:textId="1C07D899" w:rsidR="00114A09" w:rsidRPr="00467505" w:rsidRDefault="00114A09" w:rsidP="00114A09">
      <w:pPr>
        <w:pStyle w:val="sub2"/>
        <w:rPr>
          <w:rFonts w:ascii="Book Antiqua" w:hAnsi="Book Antiqua"/>
        </w:rPr>
      </w:pPr>
      <w:r>
        <w:rPr>
          <w:rFonts w:ascii="Book Antiqua" w:hAnsi="Book Antiqua"/>
        </w:rPr>
        <w:t xml:space="preserve">Some parties including the CAISO, EBCE, and PCE, suggested that the Commission should continue to conduct reliability analysis on the portfolio adopted in this decision. </w:t>
      </w:r>
      <w:r w:rsidR="00872A78">
        <w:rPr>
          <w:rFonts w:ascii="Book Antiqua" w:hAnsi="Book Antiqua"/>
        </w:rPr>
        <w:t xml:space="preserve"> </w:t>
      </w:r>
      <w:r>
        <w:rPr>
          <w:rFonts w:ascii="Book Antiqua" w:hAnsi="Book Antiqua"/>
        </w:rPr>
        <w:t xml:space="preserve">We decline to commit to this step. Instead, we prefer to focus attention and resources on development of the optimal portfolio for the next IRP cycle, focusing on improving the assumptions and analysis for the next generation of modeling. </w:t>
      </w:r>
      <w:r w:rsidR="00872A78">
        <w:rPr>
          <w:rFonts w:ascii="Book Antiqua" w:hAnsi="Book Antiqua"/>
        </w:rPr>
        <w:t xml:space="preserve"> </w:t>
      </w:r>
      <w:r w:rsidR="007D1342">
        <w:rPr>
          <w:rFonts w:ascii="Book Antiqua" w:hAnsi="Book Antiqua"/>
        </w:rPr>
        <w:t>In addition, as already stated elsewhere in this decision, Commission staff will spend more time and attention in the next IRP cycle on model calibration</w:t>
      </w:r>
      <w:r w:rsidR="0068609B">
        <w:rPr>
          <w:rFonts w:ascii="Book Antiqua" w:hAnsi="Book Antiqua"/>
        </w:rPr>
        <w:t>,</w:t>
      </w:r>
      <w:r w:rsidR="007D1342">
        <w:rPr>
          <w:rFonts w:ascii="Book Antiqua" w:hAnsi="Book Antiqua"/>
        </w:rPr>
        <w:t xml:space="preserve"> </w:t>
      </w:r>
      <w:r w:rsidR="0068609B">
        <w:rPr>
          <w:rFonts w:ascii="Book Antiqua" w:hAnsi="Book Antiqua"/>
        </w:rPr>
        <w:t xml:space="preserve">and vetting the results with parties, </w:t>
      </w:r>
      <w:r w:rsidR="007D1342">
        <w:rPr>
          <w:rFonts w:ascii="Book Antiqua" w:hAnsi="Book Antiqua"/>
        </w:rPr>
        <w:t>prior to recommending the next optimal portfolio.</w:t>
      </w:r>
    </w:p>
    <w:p w14:paraId="6E4A431A" w14:textId="7A663477" w:rsidR="001669C2" w:rsidRDefault="001669C2" w:rsidP="00152A24">
      <w:pPr>
        <w:pStyle w:val="standard"/>
        <w:rPr>
          <w:rFonts w:ascii="Book Antiqua" w:hAnsi="Book Antiqua"/>
        </w:rPr>
      </w:pPr>
      <w:r>
        <w:rPr>
          <w:rFonts w:ascii="Book Antiqua" w:hAnsi="Book Antiqua"/>
        </w:rPr>
        <w:t xml:space="preserve">Numerous parties also commented that the PSP adopted in this decision should not be used as the basis for any procurement resulting from the procurement track. </w:t>
      </w:r>
      <w:r w:rsidR="00872A78">
        <w:rPr>
          <w:rFonts w:ascii="Book Antiqua" w:hAnsi="Book Antiqua"/>
        </w:rPr>
        <w:t xml:space="preserve"> </w:t>
      </w:r>
      <w:r>
        <w:rPr>
          <w:rFonts w:ascii="Book Antiqua" w:hAnsi="Book Antiqua"/>
        </w:rPr>
        <w:t>While we agree that the portfolio we adopt here may not be perfect, it can certainly serve as the basis for at least some procurement decision-making, as there is likely no-regrets procurement that could be conducted in the near term without necessarily addressing all of the resources identified in this PSP</w:t>
      </w:r>
      <w:r w:rsidR="0068609B">
        <w:rPr>
          <w:rFonts w:ascii="Book Antiqua" w:hAnsi="Book Antiqua"/>
        </w:rPr>
        <w:t xml:space="preserve"> as needed all the way through 2030</w:t>
      </w:r>
      <w:r>
        <w:rPr>
          <w:rFonts w:ascii="Book Antiqua" w:hAnsi="Book Antiqua"/>
        </w:rPr>
        <w:t xml:space="preserve">. </w:t>
      </w:r>
      <w:r w:rsidR="00872A78">
        <w:rPr>
          <w:rFonts w:ascii="Book Antiqua" w:hAnsi="Book Antiqua"/>
        </w:rPr>
        <w:t xml:space="preserve"> </w:t>
      </w:r>
      <w:r w:rsidR="00100443">
        <w:rPr>
          <w:rFonts w:ascii="Book Antiqua" w:hAnsi="Book Antiqua"/>
        </w:rPr>
        <w:t xml:space="preserve">The portfolio adopted here is still the best-available analysis to support any procurement actions, </w:t>
      </w:r>
      <w:r w:rsidR="009255F0">
        <w:rPr>
          <w:rFonts w:ascii="Book Antiqua" w:hAnsi="Book Antiqua"/>
        </w:rPr>
        <w:t xml:space="preserve">especially with respect to the new resources needed, </w:t>
      </w:r>
      <w:r w:rsidR="00100443">
        <w:rPr>
          <w:rFonts w:ascii="Book Antiqua" w:hAnsi="Book Antiqua"/>
        </w:rPr>
        <w:t>at least until such time as the Commission analyzes and adopts a subsequent portfolio.</w:t>
      </w:r>
      <w:r w:rsidR="00872A78">
        <w:rPr>
          <w:rFonts w:ascii="Book Antiqua" w:hAnsi="Book Antiqua"/>
        </w:rPr>
        <w:t xml:space="preserve"> </w:t>
      </w:r>
      <w:r w:rsidR="00100443">
        <w:rPr>
          <w:rFonts w:ascii="Book Antiqua" w:hAnsi="Book Antiqua"/>
        </w:rPr>
        <w:t xml:space="preserve"> </w:t>
      </w:r>
      <w:r w:rsidR="00B90133">
        <w:rPr>
          <w:rFonts w:ascii="Book Antiqua" w:hAnsi="Book Antiqua"/>
        </w:rPr>
        <w:t xml:space="preserve">This may also depend, at least in part, on coordination with the RPS program and any gaps that may exist between RPS compliance and the portfolio identified as optimal by </w:t>
      </w:r>
      <w:r w:rsidR="00312E83">
        <w:rPr>
          <w:rFonts w:ascii="Book Antiqua" w:hAnsi="Book Antiqua"/>
        </w:rPr>
        <w:t xml:space="preserve">the IRP process. </w:t>
      </w:r>
      <w:r w:rsidR="00872A78">
        <w:rPr>
          <w:rFonts w:ascii="Book Antiqua" w:hAnsi="Book Antiqua"/>
        </w:rPr>
        <w:t xml:space="preserve"> </w:t>
      </w:r>
      <w:r w:rsidR="0068609B">
        <w:rPr>
          <w:rFonts w:ascii="Book Antiqua" w:hAnsi="Book Antiqua"/>
        </w:rPr>
        <w:t>Coordination with resource adequacy requirements will also be important</w:t>
      </w:r>
      <w:r w:rsidR="007F649D">
        <w:rPr>
          <w:rFonts w:ascii="Book Antiqua" w:hAnsi="Book Antiqua"/>
        </w:rPr>
        <w:t xml:space="preserve">, and those needs and analyses may also augment the information </w:t>
      </w:r>
      <w:r w:rsidR="00744649">
        <w:rPr>
          <w:rFonts w:ascii="Book Antiqua" w:hAnsi="Book Antiqua"/>
        </w:rPr>
        <w:t xml:space="preserve">available </w:t>
      </w:r>
      <w:r w:rsidR="007F649D">
        <w:rPr>
          <w:rFonts w:ascii="Book Antiqua" w:hAnsi="Book Antiqua"/>
        </w:rPr>
        <w:t>from the portfolio adopted in this decision</w:t>
      </w:r>
      <w:r w:rsidR="0068609B">
        <w:rPr>
          <w:rFonts w:ascii="Book Antiqua" w:hAnsi="Book Antiqua"/>
        </w:rPr>
        <w:t xml:space="preserve">. </w:t>
      </w:r>
    </w:p>
    <w:p w14:paraId="31FD2DF6" w14:textId="3E90C956" w:rsidR="00AA79B0" w:rsidRDefault="00AA79B0" w:rsidP="0068609B">
      <w:pPr>
        <w:pStyle w:val="standard"/>
        <w:rPr>
          <w:rFonts w:ascii="Book Antiqua" w:hAnsi="Book Antiqua"/>
        </w:rPr>
      </w:pPr>
      <w:r>
        <w:rPr>
          <w:rFonts w:ascii="Book Antiqua" w:hAnsi="Book Antiqua"/>
        </w:rPr>
        <w:t>CalCCA requested that we remove reference to the fact that all system resources are needed at the present time for renewable integration.</w:t>
      </w:r>
      <w:r w:rsidR="00872A78">
        <w:rPr>
          <w:rFonts w:ascii="Book Antiqua" w:hAnsi="Book Antiqua"/>
        </w:rPr>
        <w:t xml:space="preserve"> </w:t>
      </w:r>
      <w:r>
        <w:rPr>
          <w:rFonts w:ascii="Book Antiqua" w:hAnsi="Book Antiqua"/>
        </w:rPr>
        <w:t xml:space="preserve"> We decline to make this change, because it is now more important than ever that we acknowledge that all types of resources currently on the system are working together to make possible integration of more and more renewables over time. </w:t>
      </w:r>
      <w:r w:rsidR="00872A78">
        <w:rPr>
          <w:rFonts w:ascii="Book Antiqua" w:hAnsi="Book Antiqua"/>
        </w:rPr>
        <w:t xml:space="preserve"> </w:t>
      </w:r>
      <w:r>
        <w:rPr>
          <w:rFonts w:ascii="Book Antiqua" w:hAnsi="Book Antiqua"/>
        </w:rPr>
        <w:t xml:space="preserve">This is not to say that every individual resource is needed as a renewable integration resource; for example, there may be a lower optimal level of natural gas resources needed than currently contracted, as additional analysis proposed for the next IRP cycle is designed to address. </w:t>
      </w:r>
      <w:r w:rsidR="00872A78">
        <w:rPr>
          <w:rFonts w:ascii="Book Antiqua" w:hAnsi="Book Antiqua"/>
        </w:rPr>
        <w:t xml:space="preserve"> </w:t>
      </w:r>
      <w:r>
        <w:rPr>
          <w:rFonts w:ascii="Book Antiqua" w:hAnsi="Book Antiqua"/>
        </w:rPr>
        <w:t xml:space="preserve">However, the renewable integration characteristics of all of the </w:t>
      </w:r>
      <w:r w:rsidRPr="005261E2">
        <w:rPr>
          <w:rFonts w:ascii="Book Antiqua" w:hAnsi="Book Antiqua"/>
          <w:i/>
        </w:rPr>
        <w:t>types</w:t>
      </w:r>
      <w:r>
        <w:rPr>
          <w:rFonts w:ascii="Book Antiqua" w:hAnsi="Book Antiqua"/>
        </w:rPr>
        <w:t xml:space="preserve"> of resources involved in the current system, including both supply and demand-side resources, are necessary to accomplish renewable integration currently, because renewables are the new resources being bought most frequently, particularly by CCAs.</w:t>
      </w:r>
    </w:p>
    <w:p w14:paraId="58D91766" w14:textId="77777777" w:rsidR="00E855FB" w:rsidRPr="00467505" w:rsidRDefault="00E855FB" w:rsidP="0068609B">
      <w:pPr>
        <w:pStyle w:val="standard"/>
        <w:rPr>
          <w:rFonts w:ascii="Book Antiqua" w:hAnsi="Book Antiqua"/>
        </w:rPr>
      </w:pPr>
      <w:r>
        <w:rPr>
          <w:rFonts w:ascii="Book Antiqua" w:hAnsi="Book Antiqua"/>
        </w:rPr>
        <w:t xml:space="preserve">In sum, we appreciate the thoughtful and careful comments by parties in response to this proposed decision, and have made numerous improvements in response. </w:t>
      </w:r>
    </w:p>
    <w:p w14:paraId="1B638683" w14:textId="77777777" w:rsidR="00AA78C6" w:rsidRPr="00AA78C6" w:rsidRDefault="00AA78C6" w:rsidP="00AA78C6">
      <w:pPr>
        <w:pStyle w:val="Heading1"/>
      </w:pPr>
      <w:bookmarkStart w:id="157" w:name="_Toc474157900"/>
      <w:bookmarkStart w:id="158" w:name="_Toc3803870"/>
      <w:r w:rsidRPr="00AA78C6">
        <w:t>Assignment of Proceeding</w:t>
      </w:r>
      <w:bookmarkEnd w:id="157"/>
      <w:bookmarkEnd w:id="158"/>
    </w:p>
    <w:p w14:paraId="542C1CFD" w14:textId="77777777" w:rsidR="00AA78C6" w:rsidRPr="00467505" w:rsidRDefault="00F438AD" w:rsidP="00AA78C6">
      <w:pPr>
        <w:pStyle w:val="standard"/>
        <w:rPr>
          <w:rFonts w:ascii="Book Antiqua" w:hAnsi="Book Antiqua"/>
        </w:rPr>
      </w:pPr>
      <w:r w:rsidRPr="00467505">
        <w:rPr>
          <w:rFonts w:ascii="Book Antiqua" w:hAnsi="Book Antiqua"/>
        </w:rPr>
        <w:t>Liane M. Randolph</w:t>
      </w:r>
      <w:r w:rsidR="00AA78C6" w:rsidRPr="00467505">
        <w:rPr>
          <w:rFonts w:ascii="Book Antiqua" w:hAnsi="Book Antiqua"/>
        </w:rPr>
        <w:t xml:space="preserve"> is the assigned Commissioner and Julie A. Fitch </w:t>
      </w:r>
      <w:r w:rsidRPr="00467505">
        <w:rPr>
          <w:rFonts w:ascii="Book Antiqua" w:hAnsi="Book Antiqua"/>
        </w:rPr>
        <w:t xml:space="preserve">is the </w:t>
      </w:r>
      <w:r w:rsidR="00AA78C6" w:rsidRPr="00467505">
        <w:rPr>
          <w:rFonts w:ascii="Book Antiqua" w:hAnsi="Book Antiqua"/>
        </w:rPr>
        <w:t>assigned ALJ in this proceeding.</w:t>
      </w:r>
    </w:p>
    <w:p w14:paraId="3B61081A" w14:textId="77777777" w:rsidR="00AA78C6" w:rsidRPr="00AA78C6" w:rsidRDefault="00AA78C6" w:rsidP="00AA78C6">
      <w:pPr>
        <w:pStyle w:val="dummy"/>
      </w:pPr>
      <w:bookmarkStart w:id="159" w:name="_Toc3803871"/>
      <w:r w:rsidRPr="00AA78C6">
        <w:t>Findings of Fact</w:t>
      </w:r>
      <w:bookmarkEnd w:id="159"/>
    </w:p>
    <w:p w14:paraId="1480A065" w14:textId="77777777" w:rsidR="00AA78C6" w:rsidRPr="00467505" w:rsidRDefault="003876C9" w:rsidP="00D84A09">
      <w:pPr>
        <w:pStyle w:val="standard"/>
        <w:numPr>
          <w:ilvl w:val="0"/>
          <w:numId w:val="1"/>
        </w:numPr>
        <w:ind w:firstLine="360"/>
        <w:rPr>
          <w:rFonts w:ascii="Book Antiqua" w:hAnsi="Book Antiqua"/>
        </w:rPr>
      </w:pPr>
      <w:r w:rsidRPr="00467505">
        <w:rPr>
          <w:rFonts w:ascii="Book Antiqua" w:hAnsi="Book Antiqua"/>
        </w:rPr>
        <w:t>All LSEs required by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to file an individual IRP </w:t>
      </w:r>
      <w:r w:rsidR="008E7A02" w:rsidRPr="00467505">
        <w:rPr>
          <w:rFonts w:ascii="Book Antiqua" w:hAnsi="Book Antiqua"/>
        </w:rPr>
        <w:t xml:space="preserve">or documentation substantiating eligibility for an exemption </w:t>
      </w:r>
      <w:r w:rsidRPr="00467505">
        <w:rPr>
          <w:rFonts w:ascii="Book Antiqua" w:hAnsi="Book Antiqua"/>
        </w:rPr>
        <w:t>did so, with the exception of Commercial Energy</w:t>
      </w:r>
      <w:r w:rsidR="0098769D">
        <w:rPr>
          <w:rFonts w:ascii="Book Antiqua" w:hAnsi="Book Antiqua"/>
        </w:rPr>
        <w:t xml:space="preserve"> of California</w:t>
      </w:r>
      <w:r w:rsidRPr="00467505">
        <w:rPr>
          <w:rFonts w:ascii="Book Antiqua" w:hAnsi="Book Antiqua"/>
        </w:rPr>
        <w:t>, an ESP</w:t>
      </w:r>
      <w:r w:rsidR="00AA78C6" w:rsidRPr="00467505">
        <w:rPr>
          <w:rFonts w:ascii="Book Antiqua" w:hAnsi="Book Antiqua"/>
        </w:rPr>
        <w:t xml:space="preserve">. </w:t>
      </w:r>
    </w:p>
    <w:p w14:paraId="2595F917" w14:textId="77777777" w:rsidR="008E7A02" w:rsidRPr="00467505" w:rsidRDefault="008E7A02" w:rsidP="00D84A09">
      <w:pPr>
        <w:pStyle w:val="standard"/>
        <w:numPr>
          <w:ilvl w:val="0"/>
          <w:numId w:val="1"/>
        </w:numPr>
        <w:ind w:firstLine="360"/>
        <w:rPr>
          <w:rFonts w:ascii="Book Antiqua" w:hAnsi="Book Antiqua"/>
        </w:rPr>
      </w:pPr>
      <w:r w:rsidRPr="00467505">
        <w:rPr>
          <w:rFonts w:ascii="Book Antiqua" w:hAnsi="Book Antiqua"/>
        </w:rPr>
        <w:t xml:space="preserve">The following entities provided the appropriate information to justify an exemption from filing an individual IRP: </w:t>
      </w:r>
      <w:r w:rsidR="004731C2" w:rsidRPr="00467505">
        <w:rPr>
          <w:rFonts w:ascii="Book Antiqua" w:hAnsi="Book Antiqua"/>
        </w:rPr>
        <w:t xml:space="preserve"> </w:t>
      </w:r>
      <w:r w:rsidRPr="00467505">
        <w:rPr>
          <w:rFonts w:ascii="Book Antiqua" w:hAnsi="Book Antiqua"/>
        </w:rPr>
        <w:t xml:space="preserve">Anza Electric Cooperative, EnergyCal USA (dba YEP Energy), Gexa Energy California, Liberty Power Delaware, Liberty Power Holdings, Plumas Sierra Cooperative, Praxair Plainfield, Surprise Valley Electric Cooperative, and </w:t>
      </w:r>
      <w:r w:rsidR="00DA7A72">
        <w:rPr>
          <w:rFonts w:ascii="Book Antiqua" w:hAnsi="Book Antiqua"/>
        </w:rPr>
        <w:t>VEA</w:t>
      </w:r>
      <w:r w:rsidRPr="00467505">
        <w:rPr>
          <w:rFonts w:ascii="Book Antiqua" w:hAnsi="Book Antiqua"/>
        </w:rPr>
        <w:t>.</w:t>
      </w:r>
    </w:p>
    <w:p w14:paraId="0581BC41" w14:textId="77777777" w:rsidR="003876C9" w:rsidRPr="00467505" w:rsidRDefault="008E7A02" w:rsidP="00D84A09">
      <w:pPr>
        <w:pStyle w:val="standard"/>
        <w:numPr>
          <w:ilvl w:val="0"/>
          <w:numId w:val="1"/>
        </w:numPr>
        <w:ind w:firstLine="360"/>
        <w:rPr>
          <w:rFonts w:ascii="Book Antiqua" w:hAnsi="Book Antiqua"/>
        </w:rPr>
      </w:pPr>
      <w:r w:rsidRPr="00467505">
        <w:rPr>
          <w:rFonts w:ascii="Book Antiqua" w:hAnsi="Book Antiqua"/>
        </w:rPr>
        <w:t>The individual IRP filings of the following IOUs provided all of the information required by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to an adequate degree:</w:t>
      </w:r>
      <w:r w:rsidR="004731C2" w:rsidRPr="00467505">
        <w:rPr>
          <w:rFonts w:ascii="Book Antiqua" w:hAnsi="Book Antiqua"/>
        </w:rPr>
        <w:t xml:space="preserve"> </w:t>
      </w:r>
      <w:r w:rsidRPr="00467505">
        <w:rPr>
          <w:rFonts w:ascii="Book Antiqua" w:hAnsi="Book Antiqua"/>
        </w:rPr>
        <w:t xml:space="preserve"> Bear Valley Electric Service, Liberty Utilities, Pacific Gas and Electric, Paci</w:t>
      </w:r>
      <w:r w:rsidR="00ED72F0" w:rsidRPr="00467505">
        <w:rPr>
          <w:rFonts w:ascii="Book Antiqua" w:hAnsi="Book Antiqua"/>
        </w:rPr>
        <w:t>fi</w:t>
      </w:r>
      <w:r w:rsidRPr="00467505">
        <w:rPr>
          <w:rFonts w:ascii="Book Antiqua" w:hAnsi="Book Antiqua"/>
        </w:rPr>
        <w:t xml:space="preserve">Corp, San Diego Gas &amp; Electric, and Southern California Edison. </w:t>
      </w:r>
    </w:p>
    <w:p w14:paraId="5D1FB55F" w14:textId="77777777" w:rsidR="005C0724" w:rsidRPr="00467505" w:rsidRDefault="008E7A02" w:rsidP="00D84A09">
      <w:pPr>
        <w:pStyle w:val="standard"/>
        <w:numPr>
          <w:ilvl w:val="0"/>
          <w:numId w:val="1"/>
        </w:numPr>
        <w:ind w:firstLine="360"/>
        <w:rPr>
          <w:rFonts w:ascii="Book Antiqua" w:hAnsi="Book Antiqua"/>
        </w:rPr>
      </w:pPr>
      <w:r w:rsidRPr="00467505">
        <w:rPr>
          <w:rFonts w:ascii="Book Antiqua" w:hAnsi="Book Antiqua"/>
        </w:rPr>
        <w:t>The individual IRP filings of the following ESPs provided all of the information required by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to an adequate degree: 3 Phases Renewables, Ager</w:t>
      </w:r>
      <w:r w:rsidR="00421B35" w:rsidRPr="00467505">
        <w:rPr>
          <w:rFonts w:ascii="Book Antiqua" w:hAnsi="Book Antiqua"/>
        </w:rPr>
        <w:t>a</w:t>
      </w:r>
      <w:r w:rsidRPr="00467505">
        <w:rPr>
          <w:rFonts w:ascii="Book Antiqua" w:hAnsi="Book Antiqua"/>
        </w:rPr>
        <w:t xml:space="preserve"> Energy, American PowerNet Management, Calpine Energy Solutions, Calpine PowerAmerica CA, Direct Energy Business, EDF Industrial Power Services, Just Energy Solutions, Regents of the University of California, and Tiger Natural Gas.</w:t>
      </w:r>
    </w:p>
    <w:p w14:paraId="247DDA5A" w14:textId="77777777" w:rsidR="008E7A02" w:rsidRPr="00467505" w:rsidRDefault="008E7A02" w:rsidP="00D84A09">
      <w:pPr>
        <w:pStyle w:val="standard"/>
        <w:numPr>
          <w:ilvl w:val="0"/>
          <w:numId w:val="1"/>
        </w:numPr>
        <w:ind w:firstLine="360"/>
        <w:rPr>
          <w:rFonts w:ascii="Book Antiqua" w:hAnsi="Book Antiqua"/>
        </w:rPr>
      </w:pPr>
      <w:r w:rsidRPr="00467505">
        <w:rPr>
          <w:rFonts w:ascii="Book Antiqua" w:hAnsi="Book Antiqua"/>
        </w:rPr>
        <w:t>The individual IRP filings of the following CCAs provided all of the information required by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to an adequate degree: </w:t>
      </w:r>
      <w:r w:rsidR="00DC47F2" w:rsidRPr="00467505">
        <w:rPr>
          <w:rFonts w:ascii="Book Antiqua" w:hAnsi="Book Antiqua"/>
        </w:rPr>
        <w:t xml:space="preserve"> </w:t>
      </w:r>
      <w:r w:rsidRPr="00467505">
        <w:rPr>
          <w:rFonts w:ascii="Book Antiqua" w:hAnsi="Book Antiqua"/>
        </w:rPr>
        <w:t xml:space="preserve">Desert Community Energy, Peninsula Clean Energy Authority, Redwood Coast Energy Authority, and Solana Energy Alliance. </w:t>
      </w:r>
    </w:p>
    <w:p w14:paraId="0B2E6433" w14:textId="77777777" w:rsidR="008E7A02" w:rsidRPr="00467505" w:rsidRDefault="008E7A02" w:rsidP="00D84A09">
      <w:pPr>
        <w:pStyle w:val="standard"/>
        <w:numPr>
          <w:ilvl w:val="0"/>
          <w:numId w:val="1"/>
        </w:numPr>
        <w:ind w:firstLine="360"/>
        <w:rPr>
          <w:rFonts w:ascii="Book Antiqua" w:hAnsi="Book Antiqua"/>
        </w:rPr>
      </w:pPr>
      <w:r w:rsidRPr="00467505">
        <w:rPr>
          <w:rFonts w:ascii="Book Antiqua" w:hAnsi="Book Antiqua"/>
        </w:rPr>
        <w:t xml:space="preserve">The following </w:t>
      </w:r>
      <w:r w:rsidR="00E50F54" w:rsidRPr="00467505">
        <w:rPr>
          <w:rFonts w:ascii="Book Antiqua" w:hAnsi="Book Antiqua"/>
        </w:rPr>
        <w:t>ESPs</w:t>
      </w:r>
      <w:r w:rsidRPr="00467505">
        <w:rPr>
          <w:rFonts w:ascii="Book Antiqua" w:hAnsi="Book Antiqua"/>
        </w:rPr>
        <w:t xml:space="preserve"> included inadequate information on criteria pollutants associated with generation used to serve their loads in their individual IRPs, as required by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w:t>
      </w:r>
      <w:r w:rsidR="00DC47F2" w:rsidRPr="00467505">
        <w:rPr>
          <w:rFonts w:ascii="Book Antiqua" w:hAnsi="Book Antiqua"/>
        </w:rPr>
        <w:t xml:space="preserve"> </w:t>
      </w:r>
      <w:r w:rsidRPr="00467505">
        <w:rPr>
          <w:rFonts w:ascii="Book Antiqua" w:hAnsi="Book Antiqua"/>
        </w:rPr>
        <w:t>Constellation NewEnergy</w:t>
      </w:r>
      <w:r w:rsidR="00E50F54" w:rsidRPr="00467505">
        <w:rPr>
          <w:rFonts w:ascii="Book Antiqua" w:hAnsi="Book Antiqua"/>
        </w:rPr>
        <w:t xml:space="preserve"> and </w:t>
      </w:r>
      <w:r w:rsidRPr="00467505">
        <w:rPr>
          <w:rFonts w:ascii="Book Antiqua" w:hAnsi="Book Antiqua"/>
        </w:rPr>
        <w:t>Shell Energy.</w:t>
      </w:r>
    </w:p>
    <w:p w14:paraId="0DC6A02B" w14:textId="77777777" w:rsidR="00E50F54" w:rsidRPr="00467505" w:rsidRDefault="00E50F54" w:rsidP="00D84A09">
      <w:pPr>
        <w:pStyle w:val="standard"/>
        <w:numPr>
          <w:ilvl w:val="0"/>
          <w:numId w:val="1"/>
        </w:numPr>
        <w:ind w:firstLine="360"/>
        <w:rPr>
          <w:rFonts w:ascii="Book Antiqua" w:hAnsi="Book Antiqua"/>
        </w:rPr>
      </w:pPr>
      <w:r w:rsidRPr="00467505">
        <w:rPr>
          <w:rFonts w:ascii="Book Antiqua" w:hAnsi="Book Antiqua"/>
        </w:rPr>
        <w:t>The following CCAs included inadequate information on criteria pollutants associated with generation used to serve their loads in their individual IRPs, as required by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w:t>
      </w:r>
      <w:r w:rsidR="00DC47F2" w:rsidRPr="00467505">
        <w:rPr>
          <w:rFonts w:ascii="Book Antiqua" w:hAnsi="Book Antiqua"/>
        </w:rPr>
        <w:t xml:space="preserve"> </w:t>
      </w:r>
      <w:r w:rsidRPr="00467505">
        <w:rPr>
          <w:rFonts w:ascii="Book Antiqua" w:hAnsi="Book Antiqua"/>
        </w:rPr>
        <w:t>Apple Valley Choice Energy, Clean Power Alliance of Southern California, CleanPower San Francisco, East Bay Community Energy, King City Community Power, Lancaster Choice Energy, Marin Clean Energy, Monterey Bay Clean Power Authority, Pico Rivera Innovative Municipal Energy, Pilot Power Group, Pioneer Community Energy, Rancho Mirage Energy Authority, San Jacinto Power, San Jose Clean Energy, Silicon Valley Clean Energy Authority, Sonoma Clean Power Authority, and Valley Clean Energy Alliance.</w:t>
      </w:r>
    </w:p>
    <w:p w14:paraId="17FB4879" w14:textId="77777777" w:rsidR="008E7A02" w:rsidRPr="00467505" w:rsidRDefault="007002CF" w:rsidP="00D84A09">
      <w:pPr>
        <w:pStyle w:val="standard"/>
        <w:numPr>
          <w:ilvl w:val="0"/>
          <w:numId w:val="1"/>
        </w:numPr>
        <w:ind w:firstLine="360"/>
        <w:rPr>
          <w:rFonts w:ascii="Book Antiqua" w:hAnsi="Book Antiqua"/>
        </w:rPr>
      </w:pPr>
      <w:r w:rsidRPr="00467505">
        <w:rPr>
          <w:rFonts w:ascii="Book Antiqua" w:hAnsi="Book Antiqua"/>
        </w:rPr>
        <w:t>Additional information about criteria pollutants associated with serving load is a required part of the</w:t>
      </w:r>
      <w:r w:rsidR="00ED72F0" w:rsidRPr="00467505">
        <w:rPr>
          <w:rFonts w:ascii="Book Antiqua" w:hAnsi="Book Antiqua"/>
        </w:rPr>
        <w:t xml:space="preserve"> Commission’s responsibility to ensure compliance with Public Utilities Code Section 454.52 (a)(1)(H).</w:t>
      </w:r>
    </w:p>
    <w:p w14:paraId="1E17FBF0" w14:textId="77777777" w:rsidR="00EE75BC" w:rsidRPr="00467505" w:rsidRDefault="0057208A" w:rsidP="00D84A09">
      <w:pPr>
        <w:pStyle w:val="standard"/>
        <w:numPr>
          <w:ilvl w:val="0"/>
          <w:numId w:val="1"/>
        </w:numPr>
        <w:ind w:firstLine="360"/>
        <w:rPr>
          <w:rFonts w:ascii="Book Antiqua" w:hAnsi="Book Antiqua"/>
        </w:rPr>
      </w:pPr>
      <w:r w:rsidRPr="00467505">
        <w:rPr>
          <w:rFonts w:ascii="Book Antiqua" w:hAnsi="Book Antiqua"/>
        </w:rPr>
        <w:t>Liberty Utilities (CalPeco Electric) in its individual IRP sought authorization to solicit energy resources on a short</w:t>
      </w:r>
      <w:r w:rsidR="0098769D">
        <w:rPr>
          <w:rFonts w:ascii="Book Antiqua" w:hAnsi="Book Antiqua"/>
        </w:rPr>
        <w:t>-</w:t>
      </w:r>
      <w:r w:rsidRPr="00467505">
        <w:rPr>
          <w:rFonts w:ascii="Book Antiqua" w:hAnsi="Book Antiqua"/>
        </w:rPr>
        <w:t xml:space="preserve">term basis to replace the full requirements contract that it previously had with NV Energy, delivering a combination of </w:t>
      </w:r>
      <w:r w:rsidR="007E4539" w:rsidRPr="00467505">
        <w:rPr>
          <w:rFonts w:ascii="Book Antiqua" w:hAnsi="Book Antiqua"/>
        </w:rPr>
        <w:t>renewable and non</w:t>
      </w:r>
      <w:r w:rsidR="00D84A09" w:rsidRPr="00467505">
        <w:rPr>
          <w:rFonts w:ascii="Book Antiqua" w:hAnsi="Book Antiqua"/>
        </w:rPr>
        <w:noBreakHyphen/>
      </w:r>
      <w:r w:rsidR="007E4539" w:rsidRPr="00467505">
        <w:rPr>
          <w:rFonts w:ascii="Book Antiqua" w:hAnsi="Book Antiqua"/>
        </w:rPr>
        <w:t>renewable power to serve its load.</w:t>
      </w:r>
      <w:r w:rsidR="00D84A09" w:rsidRPr="00467505">
        <w:rPr>
          <w:rFonts w:ascii="Book Antiqua" w:hAnsi="Book Antiqua"/>
        </w:rPr>
        <w:t xml:space="preserve"> </w:t>
      </w:r>
      <w:r w:rsidR="007E4539" w:rsidRPr="00467505">
        <w:rPr>
          <w:rFonts w:ascii="Book Antiqua" w:hAnsi="Book Antiqua"/>
        </w:rPr>
        <w:t xml:space="preserve"> In </w:t>
      </w:r>
      <w:r w:rsidR="00D84A09" w:rsidRPr="00467505">
        <w:rPr>
          <w:rFonts w:ascii="Book Antiqua" w:hAnsi="Book Antiqua"/>
        </w:rPr>
        <w:t>D.19</w:t>
      </w:r>
      <w:r w:rsidR="00D84A09" w:rsidRPr="00467505">
        <w:rPr>
          <w:rFonts w:ascii="Book Antiqua" w:hAnsi="Book Antiqua"/>
        </w:rPr>
        <w:noBreakHyphen/>
      </w:r>
      <w:r w:rsidR="00EE75BC" w:rsidRPr="00467505">
        <w:rPr>
          <w:rFonts w:ascii="Book Antiqua" w:hAnsi="Book Antiqua"/>
        </w:rPr>
        <w:t>02</w:t>
      </w:r>
      <w:r w:rsidR="00D84A09" w:rsidRPr="00467505">
        <w:rPr>
          <w:rFonts w:ascii="Book Antiqua" w:hAnsi="Book Antiqua"/>
        </w:rPr>
        <w:noBreakHyphen/>
      </w:r>
      <w:r w:rsidR="00EE75BC" w:rsidRPr="00467505">
        <w:rPr>
          <w:rFonts w:ascii="Book Antiqua" w:hAnsi="Book Antiqua"/>
        </w:rPr>
        <w:t>007 in the RPS proceeding, the Commission handled the renewable</w:t>
      </w:r>
      <w:r w:rsidR="00D84A09" w:rsidRPr="00467505">
        <w:rPr>
          <w:rFonts w:ascii="Book Antiqua" w:hAnsi="Book Antiqua"/>
        </w:rPr>
        <w:noBreakHyphen/>
      </w:r>
      <w:r w:rsidR="00EE75BC" w:rsidRPr="00467505">
        <w:rPr>
          <w:rFonts w:ascii="Book Antiqua" w:hAnsi="Book Antiqua"/>
        </w:rPr>
        <w:t xml:space="preserve">related portions of Liberty Utilities’ request. </w:t>
      </w:r>
      <w:r w:rsidR="00F571CA" w:rsidRPr="00467505">
        <w:rPr>
          <w:rFonts w:ascii="Book Antiqua" w:hAnsi="Book Antiqua"/>
        </w:rPr>
        <w:t xml:space="preserve"> </w:t>
      </w:r>
      <w:r w:rsidR="00EE75BC" w:rsidRPr="00467505">
        <w:rPr>
          <w:rFonts w:ascii="Book Antiqua" w:hAnsi="Book Antiqua"/>
        </w:rPr>
        <w:t>The non</w:t>
      </w:r>
      <w:r w:rsidR="00D84A09" w:rsidRPr="00467505">
        <w:rPr>
          <w:rFonts w:ascii="Book Antiqua" w:hAnsi="Book Antiqua"/>
        </w:rPr>
        <w:noBreakHyphen/>
      </w:r>
      <w:r w:rsidR="00EE75BC" w:rsidRPr="00467505">
        <w:rPr>
          <w:rFonts w:ascii="Book Antiqua" w:hAnsi="Book Antiqua"/>
        </w:rPr>
        <w:t>renewable portion of the request for short</w:t>
      </w:r>
      <w:r w:rsidR="00D84A09" w:rsidRPr="00467505">
        <w:rPr>
          <w:rFonts w:ascii="Book Antiqua" w:hAnsi="Book Antiqua"/>
        </w:rPr>
        <w:noBreakHyphen/>
      </w:r>
      <w:r w:rsidR="00EE75BC" w:rsidRPr="00467505">
        <w:rPr>
          <w:rFonts w:ascii="Book Antiqua" w:hAnsi="Book Antiqua"/>
        </w:rPr>
        <w:t xml:space="preserve">term bridging authority is reasonable. </w:t>
      </w:r>
    </w:p>
    <w:p w14:paraId="1928DF96" w14:textId="77777777" w:rsidR="0057208A" w:rsidRPr="00467505" w:rsidRDefault="00EE75BC" w:rsidP="00D84A09">
      <w:pPr>
        <w:pStyle w:val="standard"/>
        <w:numPr>
          <w:ilvl w:val="0"/>
          <w:numId w:val="1"/>
        </w:numPr>
        <w:ind w:firstLine="230"/>
        <w:rPr>
          <w:rFonts w:ascii="Book Antiqua" w:hAnsi="Book Antiqua"/>
        </w:rPr>
      </w:pPr>
      <w:r w:rsidRPr="00467505">
        <w:rPr>
          <w:rFonts w:ascii="Book Antiqua" w:hAnsi="Book Antiqua"/>
        </w:rPr>
        <w:t>Liberty Utilities (CalPeco Electric) does not currently operate with a bundled procurement plan structure similar to the larger IOUs and thus must typically handle cost recovery requests via individual applications.</w:t>
      </w:r>
    </w:p>
    <w:p w14:paraId="50163636" w14:textId="77777777" w:rsidR="00AA367D" w:rsidRPr="00467505" w:rsidRDefault="00AA367D" w:rsidP="00D84A09">
      <w:pPr>
        <w:pStyle w:val="standard"/>
        <w:numPr>
          <w:ilvl w:val="0"/>
          <w:numId w:val="1"/>
        </w:numPr>
        <w:ind w:firstLine="230"/>
        <w:rPr>
          <w:rFonts w:ascii="Book Antiqua" w:hAnsi="Book Antiqua"/>
        </w:rPr>
      </w:pPr>
      <w:r w:rsidRPr="00467505">
        <w:rPr>
          <w:rFonts w:ascii="Book Antiqua" w:hAnsi="Book Antiqua"/>
        </w:rPr>
        <w:t>Commission staff analysis to aggregate the portfolios included in the individual LSE IRPs and check their feasibility, including adjustments where resource potential or transmission availability in particular geographic areas was exceeded, was reasonable and necessary.</w:t>
      </w:r>
    </w:p>
    <w:p w14:paraId="7F2AA2B6" w14:textId="77777777" w:rsidR="00AA367D" w:rsidRPr="00467505" w:rsidRDefault="00AA367D" w:rsidP="00D84A09">
      <w:pPr>
        <w:pStyle w:val="standard"/>
        <w:numPr>
          <w:ilvl w:val="0"/>
          <w:numId w:val="1"/>
        </w:numPr>
        <w:ind w:firstLine="230"/>
        <w:rPr>
          <w:rFonts w:ascii="Book Antiqua" w:hAnsi="Book Antiqua"/>
        </w:rPr>
      </w:pPr>
      <w:r w:rsidRPr="00467505">
        <w:rPr>
          <w:rFonts w:ascii="Book Antiqua" w:hAnsi="Book Antiqua"/>
        </w:rPr>
        <w:t xml:space="preserve">In the 2018 IRPs of many LSEs, we were unable to distinguish </w:t>
      </w:r>
      <w:r w:rsidR="009A7EE9">
        <w:rPr>
          <w:rFonts w:ascii="Book Antiqua" w:hAnsi="Book Antiqua"/>
        </w:rPr>
        <w:t xml:space="preserve">between </w:t>
      </w:r>
      <w:r w:rsidRPr="00467505">
        <w:rPr>
          <w:rFonts w:ascii="Book Antiqua" w:hAnsi="Book Antiqua"/>
        </w:rPr>
        <w:t xml:space="preserve">resources that represented existing contractual obligations </w:t>
      </w:r>
      <w:r w:rsidR="0070763B">
        <w:rPr>
          <w:rFonts w:ascii="Book Antiqua" w:hAnsi="Book Antiqua"/>
        </w:rPr>
        <w:t>and</w:t>
      </w:r>
      <w:r w:rsidR="0070763B" w:rsidRPr="00467505">
        <w:rPr>
          <w:rFonts w:ascii="Book Antiqua" w:hAnsi="Book Antiqua"/>
        </w:rPr>
        <w:t xml:space="preserve"> </w:t>
      </w:r>
      <w:r w:rsidRPr="00467505">
        <w:rPr>
          <w:rFonts w:ascii="Book Antiqua" w:hAnsi="Book Antiqua"/>
        </w:rPr>
        <w:t>gener</w:t>
      </w:r>
      <w:r w:rsidR="00381032" w:rsidRPr="00467505">
        <w:rPr>
          <w:rFonts w:ascii="Book Antiqua" w:hAnsi="Book Antiqua"/>
        </w:rPr>
        <w:t>ic</w:t>
      </w:r>
      <w:r w:rsidRPr="00467505">
        <w:rPr>
          <w:rFonts w:ascii="Book Antiqua" w:hAnsi="Book Antiqua"/>
        </w:rPr>
        <w:t xml:space="preserve"> aspirational choices </w:t>
      </w:r>
      <w:r w:rsidR="00381032" w:rsidRPr="00467505">
        <w:rPr>
          <w:rFonts w:ascii="Book Antiqua" w:hAnsi="Book Antiqua"/>
        </w:rPr>
        <w:t xml:space="preserve">made </w:t>
      </w:r>
      <w:r w:rsidRPr="00467505">
        <w:rPr>
          <w:rFonts w:ascii="Book Antiqua" w:hAnsi="Book Antiqua"/>
        </w:rPr>
        <w:t xml:space="preserve">by LSEs to round out their portfolios. </w:t>
      </w:r>
    </w:p>
    <w:p w14:paraId="21B10BF1" w14:textId="77777777" w:rsidR="00743BD8" w:rsidRPr="00467505" w:rsidRDefault="00743BD8" w:rsidP="00D84A09">
      <w:pPr>
        <w:pStyle w:val="standard"/>
        <w:numPr>
          <w:ilvl w:val="0"/>
          <w:numId w:val="1"/>
        </w:numPr>
        <w:ind w:firstLine="230"/>
        <w:rPr>
          <w:rFonts w:ascii="Book Antiqua" w:hAnsi="Book Antiqua"/>
        </w:rPr>
      </w:pPr>
      <w:r w:rsidRPr="00467505">
        <w:rPr>
          <w:rFonts w:ascii="Book Antiqua" w:hAnsi="Book Antiqua"/>
        </w:rPr>
        <w:t>The Commission’s primary responsibility, in implementing the provisions of Public Utilities Code Sections 454.51 and 454.52, is to ensure an electric resource portfolio, for the aggregated LSEs within its purview, that meets the state’s GHG emissions, reliability, and cost requirements</w:t>
      </w:r>
      <w:r w:rsidR="0098769D">
        <w:rPr>
          <w:rFonts w:ascii="Book Antiqua" w:hAnsi="Book Antiqua"/>
        </w:rPr>
        <w:t>, as well as other state goals</w:t>
      </w:r>
      <w:r w:rsidRPr="00467505">
        <w:rPr>
          <w:rFonts w:ascii="Book Antiqua" w:hAnsi="Book Antiqua"/>
        </w:rPr>
        <w:t xml:space="preserve">. </w:t>
      </w:r>
    </w:p>
    <w:p w14:paraId="2023DEB7" w14:textId="77777777" w:rsidR="00743BD8" w:rsidRPr="00467505" w:rsidRDefault="00743BD8" w:rsidP="00D84A09">
      <w:pPr>
        <w:pStyle w:val="standard"/>
        <w:numPr>
          <w:ilvl w:val="0"/>
          <w:numId w:val="1"/>
        </w:numPr>
        <w:ind w:firstLine="230"/>
        <w:rPr>
          <w:rFonts w:ascii="Book Antiqua" w:hAnsi="Book Antiqua"/>
        </w:rPr>
      </w:pPr>
      <w:r w:rsidRPr="00467505">
        <w:rPr>
          <w:rFonts w:ascii="Book Antiqua" w:hAnsi="Book Antiqua"/>
        </w:rPr>
        <w:t>The aggregated LSE IRP resources, referred to herein as the hybrid conforming portfolio</w:t>
      </w:r>
      <w:r w:rsidR="00C36C48" w:rsidRPr="00467505">
        <w:rPr>
          <w:rFonts w:ascii="Book Antiqua" w:hAnsi="Book Antiqua"/>
        </w:rPr>
        <w:t xml:space="preserve"> (HCP)</w:t>
      </w:r>
      <w:r w:rsidRPr="00467505">
        <w:rPr>
          <w:rFonts w:ascii="Book Antiqua" w:hAnsi="Book Antiqua"/>
        </w:rPr>
        <w:t>, did not meet the CARB or Commission GHG emissions target for the electric sector for 2030, and was also less reliable than the RSP adopted in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w:t>
      </w:r>
      <w:r w:rsidR="0070763B">
        <w:rPr>
          <w:rFonts w:ascii="Book Antiqua" w:hAnsi="Book Antiqua"/>
        </w:rPr>
        <w:t>, as updated with the 2017 IEPR assumptions</w:t>
      </w:r>
      <w:r w:rsidRPr="00467505">
        <w:rPr>
          <w:rFonts w:ascii="Book Antiqua" w:hAnsi="Book Antiqua"/>
        </w:rPr>
        <w:t xml:space="preserve">. </w:t>
      </w:r>
    </w:p>
    <w:p w14:paraId="1B23D4DF" w14:textId="77777777" w:rsidR="00C36C48" w:rsidRPr="00467505" w:rsidRDefault="00C36C48" w:rsidP="00D84A09">
      <w:pPr>
        <w:pStyle w:val="standard"/>
        <w:numPr>
          <w:ilvl w:val="0"/>
          <w:numId w:val="1"/>
        </w:numPr>
        <w:ind w:firstLine="230"/>
        <w:rPr>
          <w:rFonts w:ascii="Book Antiqua" w:hAnsi="Book Antiqua"/>
        </w:rPr>
      </w:pPr>
      <w:r w:rsidRPr="00467505">
        <w:rPr>
          <w:rFonts w:ascii="Book Antiqua" w:hAnsi="Book Antiqua"/>
        </w:rPr>
        <w:t>The HCP did not achieve the 60</w:t>
      </w:r>
      <w:r w:rsidR="00D0161E" w:rsidRPr="00467505">
        <w:rPr>
          <w:rFonts w:ascii="Book Antiqua" w:hAnsi="Book Antiqua"/>
        </w:rPr>
        <w:t>%</w:t>
      </w:r>
      <w:r w:rsidRPr="00467505">
        <w:rPr>
          <w:rFonts w:ascii="Book Antiqua" w:hAnsi="Book Antiqua"/>
        </w:rPr>
        <w:t xml:space="preserve"> RPS requirement in 2030.</w:t>
      </w:r>
    </w:p>
    <w:p w14:paraId="48AA1FF1" w14:textId="77777777" w:rsidR="00743BD8" w:rsidRPr="00467505" w:rsidRDefault="00743BD8" w:rsidP="00D84A09">
      <w:pPr>
        <w:pStyle w:val="standard"/>
        <w:numPr>
          <w:ilvl w:val="0"/>
          <w:numId w:val="1"/>
        </w:numPr>
        <w:ind w:firstLine="230"/>
        <w:rPr>
          <w:rFonts w:ascii="Book Antiqua" w:hAnsi="Book Antiqua"/>
        </w:rPr>
      </w:pPr>
      <w:r w:rsidRPr="00467505">
        <w:rPr>
          <w:rFonts w:ascii="Book Antiqua" w:hAnsi="Book Antiqua"/>
        </w:rPr>
        <w:t>All of the LSEs collectively</w:t>
      </w:r>
      <w:r w:rsidR="004143BD">
        <w:rPr>
          <w:rFonts w:ascii="Book Antiqua" w:hAnsi="Book Antiqua"/>
        </w:rPr>
        <w:t>, as represented by the HCP,</w:t>
      </w:r>
      <w:r w:rsidRPr="00467505">
        <w:rPr>
          <w:rFonts w:ascii="Book Antiqua" w:hAnsi="Book Antiqua"/>
        </w:rPr>
        <w:t xml:space="preserve"> showed a deficiency in the area of reliability and renewable integration resources necessary to </w:t>
      </w:r>
      <w:r w:rsidR="00C36C48" w:rsidRPr="00467505">
        <w:rPr>
          <w:rFonts w:ascii="Book Antiqua" w:hAnsi="Book Antiqua"/>
        </w:rPr>
        <w:t>achieve the 2030 GHG or reliability needs of the system.</w:t>
      </w:r>
    </w:p>
    <w:p w14:paraId="41982B7B" w14:textId="77777777" w:rsidR="00B85B95" w:rsidRPr="00467505" w:rsidRDefault="00B85B95" w:rsidP="00D84A09">
      <w:pPr>
        <w:pStyle w:val="standard"/>
        <w:numPr>
          <w:ilvl w:val="0"/>
          <w:numId w:val="1"/>
        </w:numPr>
        <w:ind w:firstLine="230"/>
        <w:rPr>
          <w:rFonts w:ascii="Book Antiqua" w:hAnsi="Book Antiqua"/>
        </w:rPr>
      </w:pPr>
      <w:r w:rsidRPr="00467505">
        <w:rPr>
          <w:rFonts w:ascii="Book Antiqua" w:hAnsi="Book Antiqua"/>
        </w:rPr>
        <w:t>The HCP included less geothermal energy than the RSP</w:t>
      </w:r>
      <w:r w:rsidR="0070763B">
        <w:rPr>
          <w:rFonts w:ascii="Book Antiqua" w:hAnsi="Book Antiqua"/>
        </w:rPr>
        <w:t xml:space="preserve"> with 2017 IEPR assumptions</w:t>
      </w:r>
      <w:r w:rsidRPr="00467505">
        <w:rPr>
          <w:rFonts w:ascii="Book Antiqua" w:hAnsi="Book Antiqua"/>
        </w:rPr>
        <w:t>, resulting in less high capacity factor renewable energy.</w:t>
      </w:r>
    </w:p>
    <w:p w14:paraId="05C8D9BD" w14:textId="68E6EF54" w:rsidR="00B85B95" w:rsidRPr="00467505" w:rsidRDefault="00B85B95" w:rsidP="00D84A09">
      <w:pPr>
        <w:pStyle w:val="standard"/>
        <w:numPr>
          <w:ilvl w:val="0"/>
          <w:numId w:val="1"/>
        </w:numPr>
        <w:ind w:firstLine="230"/>
        <w:rPr>
          <w:rFonts w:ascii="Book Antiqua" w:hAnsi="Book Antiqua"/>
        </w:rPr>
      </w:pPr>
      <w:r w:rsidRPr="00467505">
        <w:rPr>
          <w:rFonts w:ascii="Book Antiqua" w:hAnsi="Book Antiqua"/>
        </w:rPr>
        <w:t>The HCP had more renewable capacity but produced less renewable energy than the RSP</w:t>
      </w:r>
      <w:r w:rsidR="0070763B">
        <w:rPr>
          <w:rFonts w:ascii="Book Antiqua" w:hAnsi="Book Antiqua"/>
        </w:rPr>
        <w:t xml:space="preserve"> with 2017 IEPR assumptions</w:t>
      </w:r>
      <w:r w:rsidRPr="00467505">
        <w:rPr>
          <w:rFonts w:ascii="Book Antiqua" w:hAnsi="Book Antiqua"/>
        </w:rPr>
        <w:t>.</w:t>
      </w:r>
    </w:p>
    <w:p w14:paraId="0555E927" w14:textId="77777777" w:rsidR="00B85B95" w:rsidRPr="00467505" w:rsidRDefault="00B85B95" w:rsidP="00D84A09">
      <w:pPr>
        <w:pStyle w:val="standard"/>
        <w:numPr>
          <w:ilvl w:val="0"/>
          <w:numId w:val="1"/>
        </w:numPr>
        <w:ind w:firstLine="230"/>
        <w:rPr>
          <w:rFonts w:ascii="Book Antiqua" w:hAnsi="Book Antiqua"/>
        </w:rPr>
      </w:pPr>
      <w:r w:rsidRPr="00467505">
        <w:rPr>
          <w:rFonts w:ascii="Book Antiqua" w:hAnsi="Book Antiqua"/>
        </w:rPr>
        <w:t>The HCP contains longer duration batteries but less capacity overall than the RSP</w:t>
      </w:r>
      <w:r w:rsidR="0070763B">
        <w:rPr>
          <w:rFonts w:ascii="Book Antiqua" w:hAnsi="Book Antiqua"/>
        </w:rPr>
        <w:t xml:space="preserve"> with 2017 IEPR assumptions</w:t>
      </w:r>
      <w:r w:rsidRPr="00467505">
        <w:rPr>
          <w:rFonts w:ascii="Book Antiqua" w:hAnsi="Book Antiqua"/>
        </w:rPr>
        <w:t xml:space="preserve">. </w:t>
      </w:r>
    </w:p>
    <w:p w14:paraId="4BDE2734" w14:textId="77777777" w:rsidR="00B85B95" w:rsidRPr="00467505" w:rsidRDefault="00B85B95" w:rsidP="00D84A09">
      <w:pPr>
        <w:pStyle w:val="standard"/>
        <w:numPr>
          <w:ilvl w:val="0"/>
          <w:numId w:val="1"/>
        </w:numPr>
        <w:ind w:firstLine="230"/>
        <w:rPr>
          <w:rFonts w:ascii="Book Antiqua" w:hAnsi="Book Antiqua"/>
        </w:rPr>
      </w:pPr>
      <w:r w:rsidRPr="00467505">
        <w:rPr>
          <w:rFonts w:ascii="Book Antiqua" w:hAnsi="Book Antiqua"/>
        </w:rPr>
        <w:t>The RSP adopted in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with adjustments updated to reflect the 2017 IEPR assumptions, is a reasonable alternative for adoption as the PSP</w:t>
      </w:r>
      <w:r w:rsidR="004143BD">
        <w:rPr>
          <w:rFonts w:ascii="Book Antiqua" w:hAnsi="Book Antiqua"/>
        </w:rPr>
        <w:t xml:space="preserve"> </w:t>
      </w:r>
      <w:r w:rsidR="006221CD">
        <w:rPr>
          <w:rFonts w:ascii="Book Antiqua" w:hAnsi="Book Antiqua"/>
        </w:rPr>
        <w:t>for the 2017-2018 cycle</w:t>
      </w:r>
      <w:r w:rsidRPr="00467505">
        <w:rPr>
          <w:rFonts w:ascii="Book Antiqua" w:hAnsi="Book Antiqua"/>
        </w:rPr>
        <w:t>, but its main shortcoming is in the assumption that natural gas resources would exist in perpetuity.</w:t>
      </w:r>
    </w:p>
    <w:p w14:paraId="2492CBE9" w14:textId="77777777" w:rsidR="00B85B95" w:rsidRPr="00467505" w:rsidRDefault="00B85B95" w:rsidP="00D84A09">
      <w:pPr>
        <w:pStyle w:val="standard"/>
        <w:numPr>
          <w:ilvl w:val="0"/>
          <w:numId w:val="1"/>
        </w:numPr>
        <w:ind w:firstLine="230"/>
        <w:rPr>
          <w:rFonts w:ascii="Book Antiqua" w:hAnsi="Book Antiqua"/>
        </w:rPr>
      </w:pPr>
      <w:r w:rsidRPr="00467505">
        <w:rPr>
          <w:rFonts w:ascii="Book Antiqua" w:hAnsi="Book Antiqua"/>
        </w:rPr>
        <w:t xml:space="preserve">It is possible to infer based on analyses </w:t>
      </w:r>
      <w:r w:rsidR="004143BD">
        <w:rPr>
          <w:rFonts w:ascii="Book Antiqua" w:hAnsi="Book Antiqua"/>
        </w:rPr>
        <w:t xml:space="preserve">of the year 2030 </w:t>
      </w:r>
      <w:r w:rsidRPr="00467505">
        <w:rPr>
          <w:rFonts w:ascii="Book Antiqua" w:hAnsi="Book Antiqua"/>
        </w:rPr>
        <w:t>conducted by Commission staff, CAISO, and SCE, that the RSP adopted in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with adjustments updated to reflect the 2017 IEPR assumptions and inc</w:t>
      </w:r>
      <w:r w:rsidR="00D84A09" w:rsidRPr="00467505">
        <w:rPr>
          <w:rFonts w:ascii="Book Antiqua" w:hAnsi="Book Antiqua"/>
        </w:rPr>
        <w:t>luding a new assumption of a 40</w:t>
      </w:r>
      <w:r w:rsidR="00D84A09" w:rsidRPr="00467505">
        <w:rPr>
          <w:rFonts w:ascii="Book Antiqua" w:hAnsi="Book Antiqua"/>
        </w:rPr>
        <w:noBreakHyphen/>
      </w:r>
      <w:r w:rsidRPr="00467505">
        <w:rPr>
          <w:rFonts w:ascii="Book Antiqua" w:hAnsi="Book Antiqua"/>
        </w:rPr>
        <w:t>year life for natural gas resources, would represent a more reliable portfolio than the HCP</w:t>
      </w:r>
      <w:r w:rsidR="004143BD">
        <w:rPr>
          <w:rFonts w:ascii="Book Antiqua" w:hAnsi="Book Antiqua"/>
        </w:rPr>
        <w:t xml:space="preserve"> in the 2017-2018 IRP cycle</w:t>
      </w:r>
      <w:r w:rsidRPr="00467505">
        <w:rPr>
          <w:rFonts w:ascii="Book Antiqua" w:hAnsi="Book Antiqua"/>
        </w:rPr>
        <w:t>.</w:t>
      </w:r>
    </w:p>
    <w:p w14:paraId="2EA57134" w14:textId="77777777" w:rsidR="00B85B95" w:rsidRPr="00467505" w:rsidRDefault="00B85B95" w:rsidP="00D84A09">
      <w:pPr>
        <w:pStyle w:val="standard"/>
        <w:numPr>
          <w:ilvl w:val="0"/>
          <w:numId w:val="1"/>
        </w:numPr>
        <w:ind w:firstLine="230"/>
        <w:rPr>
          <w:rFonts w:ascii="Book Antiqua" w:hAnsi="Book Antiqua"/>
        </w:rPr>
      </w:pPr>
      <w:r w:rsidRPr="00467505">
        <w:rPr>
          <w:rFonts w:ascii="Book Antiqua" w:hAnsi="Book Antiqua"/>
        </w:rPr>
        <w:t>The RSP, with adjustments updated to reflect the 2017 IEPR assumptions and including a new assumption of a 40</w:t>
      </w:r>
      <w:r w:rsidR="00D84A09" w:rsidRPr="00467505">
        <w:rPr>
          <w:rFonts w:ascii="Book Antiqua" w:hAnsi="Book Antiqua"/>
        </w:rPr>
        <w:noBreakHyphen/>
      </w:r>
      <w:r w:rsidRPr="00467505">
        <w:rPr>
          <w:rFonts w:ascii="Book Antiqua" w:hAnsi="Book Antiqua"/>
        </w:rPr>
        <w:t>year life for natural gas resources, would meet the RPS requirements in 2030</w:t>
      </w:r>
      <w:r w:rsidR="0098769D">
        <w:rPr>
          <w:rFonts w:ascii="Book Antiqua" w:hAnsi="Book Antiqua"/>
        </w:rPr>
        <w:t xml:space="preserve"> and the Commission’s target for the electric sector of 42 MMT of GHG emissions by 2030</w:t>
      </w:r>
      <w:r w:rsidRPr="00467505">
        <w:rPr>
          <w:rFonts w:ascii="Book Antiqua" w:hAnsi="Book Antiqua"/>
        </w:rPr>
        <w:t xml:space="preserve">. </w:t>
      </w:r>
    </w:p>
    <w:p w14:paraId="1BF49D47" w14:textId="7E784C7E" w:rsidR="00B85B95" w:rsidRPr="00467505" w:rsidRDefault="00B85B95" w:rsidP="00D84A09">
      <w:pPr>
        <w:pStyle w:val="standard"/>
        <w:numPr>
          <w:ilvl w:val="0"/>
          <w:numId w:val="1"/>
        </w:numPr>
        <w:ind w:firstLine="230"/>
        <w:rPr>
          <w:rFonts w:ascii="Book Antiqua" w:hAnsi="Book Antiqua"/>
        </w:rPr>
      </w:pPr>
      <w:r w:rsidRPr="00467505">
        <w:rPr>
          <w:rFonts w:ascii="Book Antiqua" w:hAnsi="Book Antiqua"/>
        </w:rPr>
        <w:t xml:space="preserve">Each year the CAISO’s TPP </w:t>
      </w:r>
      <w:r w:rsidR="005A5518">
        <w:rPr>
          <w:rFonts w:ascii="Book Antiqua" w:hAnsi="Book Antiqua"/>
        </w:rPr>
        <w:t xml:space="preserve">studies, as well as its GIDAP studies, </w:t>
      </w:r>
      <w:r w:rsidRPr="00467505">
        <w:rPr>
          <w:rFonts w:ascii="Book Antiqua" w:hAnsi="Book Antiqua"/>
        </w:rPr>
        <w:t>produce updated information on transmission availability and cost of upgrades.</w:t>
      </w:r>
    </w:p>
    <w:p w14:paraId="124267EA" w14:textId="77777777" w:rsidR="006E70C9" w:rsidRPr="00467505" w:rsidRDefault="006E70C9" w:rsidP="00D84A09">
      <w:pPr>
        <w:pStyle w:val="standard"/>
        <w:numPr>
          <w:ilvl w:val="0"/>
          <w:numId w:val="1"/>
        </w:numPr>
        <w:ind w:firstLine="230"/>
        <w:rPr>
          <w:rFonts w:ascii="Book Antiqua" w:hAnsi="Book Antiqua"/>
        </w:rPr>
      </w:pPr>
      <w:r w:rsidRPr="00467505">
        <w:rPr>
          <w:rFonts w:ascii="Book Antiqua" w:hAnsi="Book Antiqua"/>
        </w:rPr>
        <w:t>Study of two distinct portfolio choices as policy</w:t>
      </w:r>
      <w:r w:rsidR="00D84A09" w:rsidRPr="00467505">
        <w:rPr>
          <w:rFonts w:ascii="Book Antiqua" w:hAnsi="Book Antiqua"/>
        </w:rPr>
        <w:noBreakHyphen/>
      </w:r>
      <w:r w:rsidRPr="00467505">
        <w:rPr>
          <w:rFonts w:ascii="Book Antiqua" w:hAnsi="Book Antiqua"/>
        </w:rPr>
        <w:t>driven sensitivities in the CAISO’s TPP in 2019</w:t>
      </w:r>
      <w:r w:rsidR="00D84A09" w:rsidRPr="00467505">
        <w:rPr>
          <w:rFonts w:ascii="Book Antiqua" w:hAnsi="Book Antiqua"/>
        </w:rPr>
        <w:noBreakHyphen/>
      </w:r>
      <w:r w:rsidRPr="00467505">
        <w:rPr>
          <w:rFonts w:ascii="Book Antiqua" w:hAnsi="Book Antiqua"/>
        </w:rPr>
        <w:t>20 would provide valuable information for future planning activities.</w:t>
      </w:r>
      <w:r w:rsidR="00F571CA" w:rsidRPr="00467505">
        <w:rPr>
          <w:rFonts w:ascii="Book Antiqua" w:hAnsi="Book Antiqua"/>
        </w:rPr>
        <w:t xml:space="preserve"> </w:t>
      </w:r>
      <w:r w:rsidRPr="00467505">
        <w:rPr>
          <w:rFonts w:ascii="Book Antiqua" w:hAnsi="Book Antiqua"/>
        </w:rPr>
        <w:t xml:space="preserve"> Those two </w:t>
      </w:r>
      <w:r w:rsidR="003A7AA2" w:rsidRPr="00467505">
        <w:rPr>
          <w:rFonts w:ascii="Book Antiqua" w:hAnsi="Book Antiqua"/>
        </w:rPr>
        <w:t>choices are a heavily in</w:t>
      </w:r>
      <w:r w:rsidR="00D84A09" w:rsidRPr="00467505">
        <w:rPr>
          <w:rFonts w:ascii="Book Antiqua" w:hAnsi="Book Antiqua"/>
        </w:rPr>
        <w:noBreakHyphen/>
      </w:r>
      <w:r w:rsidR="003A7AA2" w:rsidRPr="00467505">
        <w:rPr>
          <w:rFonts w:ascii="Book Antiqua" w:hAnsi="Book Antiqua"/>
        </w:rPr>
        <w:t>state renewable development portfolio and a portfolio based more heavily on out</w:t>
      </w:r>
      <w:r w:rsidR="00D84A09" w:rsidRPr="00467505">
        <w:rPr>
          <w:rFonts w:ascii="Book Antiqua" w:hAnsi="Book Antiqua"/>
        </w:rPr>
        <w:noBreakHyphen/>
      </w:r>
      <w:r w:rsidR="003A7AA2" w:rsidRPr="00467505">
        <w:rPr>
          <w:rFonts w:ascii="Book Antiqua" w:hAnsi="Book Antiqua"/>
        </w:rPr>
        <w:t>of</w:t>
      </w:r>
      <w:r w:rsidR="00D84A09" w:rsidRPr="00467505">
        <w:rPr>
          <w:rFonts w:ascii="Book Antiqua" w:hAnsi="Book Antiqua"/>
        </w:rPr>
        <w:noBreakHyphen/>
      </w:r>
      <w:r w:rsidR="003A7AA2" w:rsidRPr="00467505">
        <w:rPr>
          <w:rFonts w:ascii="Book Antiqua" w:hAnsi="Book Antiqua"/>
        </w:rPr>
        <w:t>state renewable development, primarily wind from New Mexico and Wyoming.</w:t>
      </w:r>
    </w:p>
    <w:p w14:paraId="18993B8D" w14:textId="418D25A9" w:rsidR="003A7AA2" w:rsidRPr="00467505" w:rsidRDefault="003D062F" w:rsidP="00D84A09">
      <w:pPr>
        <w:pStyle w:val="standard"/>
        <w:numPr>
          <w:ilvl w:val="0"/>
          <w:numId w:val="1"/>
        </w:numPr>
        <w:ind w:firstLine="230"/>
        <w:rPr>
          <w:rFonts w:ascii="Book Antiqua" w:hAnsi="Book Antiqua"/>
        </w:rPr>
      </w:pPr>
      <w:r w:rsidRPr="00467505">
        <w:rPr>
          <w:rFonts w:ascii="Book Antiqua" w:hAnsi="Book Antiqua"/>
        </w:rPr>
        <w:t xml:space="preserve">The IRP process is not just an advisory planning exercise. </w:t>
      </w:r>
      <w:r w:rsidR="00F571CA" w:rsidRPr="00467505">
        <w:rPr>
          <w:rFonts w:ascii="Book Antiqua" w:hAnsi="Book Antiqua"/>
        </w:rPr>
        <w:t xml:space="preserve"> </w:t>
      </w:r>
      <w:r w:rsidRPr="00467505">
        <w:rPr>
          <w:rFonts w:ascii="Book Antiqua" w:hAnsi="Book Antiqua"/>
        </w:rPr>
        <w:t xml:space="preserve">Procurement is likely to be required from the IRP process in the near future. </w:t>
      </w:r>
      <w:r w:rsidR="00872A78">
        <w:rPr>
          <w:rFonts w:ascii="Book Antiqua" w:hAnsi="Book Antiqua"/>
        </w:rPr>
        <w:t xml:space="preserve"> </w:t>
      </w:r>
      <w:r w:rsidR="00C10E71">
        <w:rPr>
          <w:rFonts w:ascii="Book Antiqua" w:hAnsi="Book Antiqua"/>
        </w:rPr>
        <w:t xml:space="preserve">The bi-annual IRP process provided a snapshot of each LSE’s progress toward meeting the 2030 GHG emissions goal. </w:t>
      </w:r>
      <w:r w:rsidR="00872A78">
        <w:rPr>
          <w:rFonts w:ascii="Book Antiqua" w:hAnsi="Book Antiqua"/>
        </w:rPr>
        <w:t xml:space="preserve"> </w:t>
      </w:r>
      <w:r w:rsidR="00C10E71">
        <w:rPr>
          <w:rFonts w:ascii="Book Antiqua" w:hAnsi="Book Antiqua"/>
        </w:rPr>
        <w:t xml:space="preserve">Identified deficiencies provide an opportunity for the Commission to send a signal for additional procurement. </w:t>
      </w:r>
    </w:p>
    <w:p w14:paraId="498E44E6" w14:textId="77777777" w:rsidR="003D062F" w:rsidRDefault="003D062F" w:rsidP="00D84A09">
      <w:pPr>
        <w:pStyle w:val="standard"/>
        <w:numPr>
          <w:ilvl w:val="0"/>
          <w:numId w:val="1"/>
        </w:numPr>
        <w:ind w:firstLine="230"/>
        <w:rPr>
          <w:rFonts w:ascii="Book Antiqua" w:hAnsi="Book Antiqua"/>
        </w:rPr>
      </w:pPr>
      <w:r w:rsidRPr="00467505">
        <w:rPr>
          <w:rFonts w:ascii="Book Antiqua" w:hAnsi="Book Antiqua"/>
        </w:rPr>
        <w:t xml:space="preserve">Reliability and cost considerations are coequal goals </w:t>
      </w:r>
      <w:r w:rsidR="00B03BBB">
        <w:rPr>
          <w:rFonts w:ascii="Book Antiqua" w:hAnsi="Book Antiqua"/>
        </w:rPr>
        <w:t xml:space="preserve">with </w:t>
      </w:r>
      <w:r w:rsidRPr="00467505">
        <w:rPr>
          <w:rFonts w:ascii="Book Antiqua" w:hAnsi="Book Antiqua"/>
        </w:rPr>
        <w:t xml:space="preserve">the GHG emissions goals in IRP, and are integral to a successful IRP process. </w:t>
      </w:r>
    </w:p>
    <w:p w14:paraId="71F5F9A1" w14:textId="77777777" w:rsidR="00CB33D2" w:rsidRPr="00467505" w:rsidRDefault="00CB33D2" w:rsidP="00D84A09">
      <w:pPr>
        <w:pStyle w:val="standard"/>
        <w:numPr>
          <w:ilvl w:val="0"/>
          <w:numId w:val="1"/>
        </w:numPr>
        <w:ind w:firstLine="230"/>
        <w:rPr>
          <w:rFonts w:ascii="Book Antiqua" w:hAnsi="Book Antiqua"/>
        </w:rPr>
      </w:pPr>
      <w:r>
        <w:rPr>
          <w:rFonts w:ascii="Book Antiqua" w:hAnsi="Book Antiqua"/>
        </w:rPr>
        <w:t>D.18-02-018 required LSEs to create a conforming portfolio to the RSP by utilizing either the GHG Planning Price or their GHG Emissions Benchmark.</w:t>
      </w:r>
    </w:p>
    <w:p w14:paraId="047679AC" w14:textId="77777777" w:rsidR="003D062F" w:rsidRPr="00467505" w:rsidRDefault="003D062F" w:rsidP="00D84A09">
      <w:pPr>
        <w:pStyle w:val="standard"/>
        <w:numPr>
          <w:ilvl w:val="0"/>
          <w:numId w:val="1"/>
        </w:numPr>
        <w:ind w:firstLine="230"/>
        <w:rPr>
          <w:rFonts w:ascii="Book Antiqua" w:hAnsi="Book Antiqua"/>
        </w:rPr>
      </w:pPr>
      <w:r w:rsidRPr="00467505">
        <w:rPr>
          <w:rFonts w:ascii="Book Antiqua" w:hAnsi="Book Antiqua"/>
        </w:rPr>
        <w:t>The IRP process is intended to be integrated, with focus on renewable and non</w:t>
      </w:r>
      <w:r w:rsidR="00D84A09" w:rsidRPr="00467505">
        <w:rPr>
          <w:rFonts w:ascii="Book Antiqua" w:hAnsi="Book Antiqua"/>
        </w:rPr>
        <w:noBreakHyphen/>
      </w:r>
      <w:r w:rsidRPr="00467505">
        <w:rPr>
          <w:rFonts w:ascii="Book Antiqua" w:hAnsi="Book Antiqua"/>
        </w:rPr>
        <w:t xml:space="preserve">renewable resources, as well as existing and new resources. </w:t>
      </w:r>
    </w:p>
    <w:p w14:paraId="5026696A" w14:textId="77777777" w:rsidR="003D062F" w:rsidRPr="00467505" w:rsidRDefault="003D062F" w:rsidP="00D84A09">
      <w:pPr>
        <w:pStyle w:val="standard"/>
        <w:numPr>
          <w:ilvl w:val="0"/>
          <w:numId w:val="1"/>
        </w:numPr>
        <w:ind w:firstLine="230"/>
        <w:rPr>
          <w:rFonts w:ascii="Book Antiqua" w:hAnsi="Book Antiqua"/>
        </w:rPr>
      </w:pPr>
      <w:r w:rsidRPr="00467505">
        <w:rPr>
          <w:rFonts w:ascii="Book Antiqua" w:hAnsi="Book Antiqua"/>
        </w:rPr>
        <w:t>The IRP proceeding is the only venue where the Commission comprehensively examines environmental, reliability, and cost issues for all LSEs.</w:t>
      </w:r>
    </w:p>
    <w:p w14:paraId="6CA6EE9B" w14:textId="77777777" w:rsidR="003D062F" w:rsidRPr="00467505" w:rsidRDefault="003D062F" w:rsidP="00D84A09">
      <w:pPr>
        <w:pStyle w:val="standard"/>
        <w:numPr>
          <w:ilvl w:val="0"/>
          <w:numId w:val="1"/>
        </w:numPr>
        <w:ind w:firstLine="230"/>
        <w:rPr>
          <w:rFonts w:ascii="Book Antiqua" w:hAnsi="Book Antiqua"/>
        </w:rPr>
      </w:pPr>
      <w:r w:rsidRPr="00467505">
        <w:rPr>
          <w:rFonts w:ascii="Book Antiqua" w:hAnsi="Book Antiqua"/>
        </w:rPr>
        <w:t>CCAs, because of load migration, are likely to be the entities acquiring the most electricity resources between now and 2030.</w:t>
      </w:r>
    </w:p>
    <w:p w14:paraId="5B1CAE1D" w14:textId="77777777" w:rsidR="003D062F" w:rsidRPr="00467505" w:rsidRDefault="003D062F" w:rsidP="00D84A09">
      <w:pPr>
        <w:pStyle w:val="standard"/>
        <w:numPr>
          <w:ilvl w:val="0"/>
          <w:numId w:val="1"/>
        </w:numPr>
        <w:ind w:firstLine="230"/>
        <w:rPr>
          <w:rFonts w:ascii="Book Antiqua" w:hAnsi="Book Antiqua"/>
        </w:rPr>
      </w:pPr>
      <w:r w:rsidRPr="00467505">
        <w:rPr>
          <w:rFonts w:ascii="Book Antiqua" w:hAnsi="Book Antiqua"/>
        </w:rPr>
        <w:t>The IRP filings of the majority of the CCAs were focused heavily, if not exclusively, on the acquisition of renewable and storage resources.</w:t>
      </w:r>
    </w:p>
    <w:p w14:paraId="76506779" w14:textId="77777777" w:rsidR="003D062F" w:rsidRPr="00467505" w:rsidRDefault="004E55C6" w:rsidP="00D84A09">
      <w:pPr>
        <w:pStyle w:val="standard"/>
        <w:numPr>
          <w:ilvl w:val="0"/>
          <w:numId w:val="1"/>
        </w:numPr>
        <w:ind w:firstLine="230"/>
        <w:rPr>
          <w:rFonts w:ascii="Book Antiqua" w:hAnsi="Book Antiqua"/>
        </w:rPr>
      </w:pPr>
      <w:r w:rsidRPr="00467505">
        <w:rPr>
          <w:rFonts w:ascii="Book Antiqua" w:hAnsi="Book Antiqua"/>
        </w:rPr>
        <w:t xml:space="preserve">Renewable and storage resources </w:t>
      </w:r>
      <w:r w:rsidR="0098769D">
        <w:rPr>
          <w:rFonts w:ascii="Book Antiqua" w:hAnsi="Book Antiqua"/>
        </w:rPr>
        <w:t xml:space="preserve">alone </w:t>
      </w:r>
      <w:r w:rsidRPr="00467505">
        <w:rPr>
          <w:rFonts w:ascii="Book Antiqua" w:hAnsi="Book Antiqua"/>
        </w:rPr>
        <w:t>are not sufficient, at present, based on existing technologies and costs, to provide enough renewable integration services to result in electric system reliability at the system level.</w:t>
      </w:r>
    </w:p>
    <w:p w14:paraId="059E7E1A" w14:textId="0D238C03" w:rsidR="00776FF8" w:rsidRPr="00467505" w:rsidRDefault="00776FF8" w:rsidP="00D84A09">
      <w:pPr>
        <w:pStyle w:val="standard"/>
        <w:numPr>
          <w:ilvl w:val="0"/>
          <w:numId w:val="1"/>
        </w:numPr>
        <w:ind w:firstLine="230"/>
        <w:rPr>
          <w:rFonts w:ascii="Book Antiqua" w:hAnsi="Book Antiqua"/>
        </w:rPr>
      </w:pPr>
      <w:r w:rsidRPr="00467505">
        <w:rPr>
          <w:rFonts w:ascii="Book Antiqua" w:hAnsi="Book Antiqua"/>
        </w:rPr>
        <w:t xml:space="preserve">Currently, all </w:t>
      </w:r>
      <w:r w:rsidR="004158D5">
        <w:rPr>
          <w:rFonts w:ascii="Book Antiqua" w:hAnsi="Book Antiqua"/>
        </w:rPr>
        <w:t xml:space="preserve">types of </w:t>
      </w:r>
      <w:r w:rsidR="009821A2">
        <w:rPr>
          <w:rFonts w:ascii="Book Antiqua" w:hAnsi="Book Antiqua"/>
        </w:rPr>
        <w:t xml:space="preserve">electricity </w:t>
      </w:r>
      <w:r w:rsidRPr="00467505">
        <w:rPr>
          <w:rFonts w:ascii="Book Antiqua" w:hAnsi="Book Antiqua"/>
        </w:rPr>
        <w:t>resources available on the CAISO system are needed for renewable integration</w:t>
      </w:r>
      <w:r w:rsidR="009821A2">
        <w:rPr>
          <w:rFonts w:ascii="Book Antiqua" w:hAnsi="Book Antiqua"/>
        </w:rPr>
        <w:t>, though not necessarily in current quantities</w:t>
      </w:r>
      <w:r w:rsidRPr="00467505">
        <w:rPr>
          <w:rFonts w:ascii="Book Antiqua" w:hAnsi="Book Antiqua"/>
        </w:rPr>
        <w:t xml:space="preserve">. </w:t>
      </w:r>
    </w:p>
    <w:p w14:paraId="2C5869B6" w14:textId="77777777" w:rsidR="004E55C6" w:rsidRPr="00467505" w:rsidRDefault="005316D7" w:rsidP="00D84A09">
      <w:pPr>
        <w:pStyle w:val="standard"/>
        <w:numPr>
          <w:ilvl w:val="0"/>
          <w:numId w:val="1"/>
        </w:numPr>
        <w:ind w:firstLine="230"/>
        <w:rPr>
          <w:rFonts w:ascii="Book Antiqua" w:hAnsi="Book Antiqua"/>
        </w:rPr>
      </w:pPr>
      <w:r w:rsidRPr="00467505">
        <w:rPr>
          <w:rFonts w:ascii="Book Antiqua" w:hAnsi="Book Antiqua"/>
        </w:rPr>
        <w:t xml:space="preserve">Some natural gas generation resources will </w:t>
      </w:r>
      <w:r w:rsidR="00776FF8" w:rsidRPr="00467505">
        <w:rPr>
          <w:rFonts w:ascii="Book Antiqua" w:hAnsi="Book Antiqua"/>
        </w:rPr>
        <w:t xml:space="preserve">still </w:t>
      </w:r>
      <w:r w:rsidRPr="00467505">
        <w:rPr>
          <w:rFonts w:ascii="Book Antiqua" w:hAnsi="Book Antiqua"/>
        </w:rPr>
        <w:t xml:space="preserve">be needed to preserve system reliability in 2030. </w:t>
      </w:r>
      <w:r w:rsidR="00F571CA" w:rsidRPr="00467505">
        <w:rPr>
          <w:rFonts w:ascii="Book Antiqua" w:hAnsi="Book Antiqua"/>
        </w:rPr>
        <w:t xml:space="preserve"> </w:t>
      </w:r>
      <w:r w:rsidRPr="00467505">
        <w:rPr>
          <w:rFonts w:ascii="Book Antiqua" w:hAnsi="Book Antiqua"/>
        </w:rPr>
        <w:t>The Commission is in the process of continuing to study the likely amount of such resources</w:t>
      </w:r>
      <w:r w:rsidR="00BB21AE" w:rsidRPr="00467505">
        <w:rPr>
          <w:rFonts w:ascii="Book Antiqua" w:hAnsi="Book Antiqua"/>
        </w:rPr>
        <w:t xml:space="preserve"> needed to remain online</w:t>
      </w:r>
      <w:r w:rsidRPr="00467505">
        <w:rPr>
          <w:rFonts w:ascii="Book Antiqua" w:hAnsi="Book Antiqua"/>
        </w:rPr>
        <w:t>.</w:t>
      </w:r>
    </w:p>
    <w:p w14:paraId="56DC42C8" w14:textId="682F5B1F" w:rsidR="00776FF8" w:rsidRPr="00467505" w:rsidRDefault="00776FF8" w:rsidP="00D84A09">
      <w:pPr>
        <w:pStyle w:val="standard"/>
        <w:numPr>
          <w:ilvl w:val="0"/>
          <w:numId w:val="1"/>
        </w:numPr>
        <w:ind w:firstLine="230"/>
        <w:rPr>
          <w:rFonts w:ascii="Book Antiqua" w:hAnsi="Book Antiqua"/>
        </w:rPr>
      </w:pPr>
      <w:r w:rsidRPr="00467505">
        <w:rPr>
          <w:rFonts w:ascii="Book Antiqua" w:hAnsi="Book Antiqua"/>
        </w:rPr>
        <w:t>Renewable resources</w:t>
      </w:r>
      <w:r w:rsidR="00B87253" w:rsidRPr="00467505">
        <w:rPr>
          <w:rFonts w:ascii="Book Antiqua" w:hAnsi="Book Antiqua"/>
        </w:rPr>
        <w:t xml:space="preserve"> and hybrid </w:t>
      </w:r>
      <w:r w:rsidR="00CD67B5">
        <w:rPr>
          <w:rFonts w:ascii="Book Antiqua" w:hAnsi="Book Antiqua"/>
        </w:rPr>
        <w:t>technologies</w:t>
      </w:r>
      <w:r w:rsidR="00663CE9">
        <w:rPr>
          <w:rFonts w:ascii="Book Antiqua" w:hAnsi="Book Antiqua"/>
        </w:rPr>
        <w:t>, including storage combined with both renewables and fossil-fueled generation,</w:t>
      </w:r>
      <w:r w:rsidRPr="00467505">
        <w:rPr>
          <w:rFonts w:ascii="Book Antiqua" w:hAnsi="Book Antiqua"/>
        </w:rPr>
        <w:t xml:space="preserve"> may be able to provide additional ramping</w:t>
      </w:r>
      <w:r w:rsidR="00D23BBB">
        <w:rPr>
          <w:rFonts w:ascii="Book Antiqua" w:hAnsi="Book Antiqua"/>
        </w:rPr>
        <w:t>,</w:t>
      </w:r>
      <w:r w:rsidRPr="00467505">
        <w:rPr>
          <w:rFonts w:ascii="Book Antiqua" w:hAnsi="Book Antiqua"/>
        </w:rPr>
        <w:t xml:space="preserve"> load following</w:t>
      </w:r>
      <w:r w:rsidR="00D23BBB">
        <w:rPr>
          <w:rFonts w:ascii="Book Antiqua" w:hAnsi="Book Antiqua"/>
        </w:rPr>
        <w:t>, and ancillary</w:t>
      </w:r>
      <w:r w:rsidRPr="00467505">
        <w:rPr>
          <w:rFonts w:ascii="Book Antiqua" w:hAnsi="Book Antiqua"/>
        </w:rPr>
        <w:t xml:space="preserve"> services to decrease renewable integration challenges at the system level.</w:t>
      </w:r>
    </w:p>
    <w:p w14:paraId="5AFAE06D" w14:textId="77777777" w:rsidR="005316D7" w:rsidRPr="00467505" w:rsidRDefault="00776FF8" w:rsidP="00D84A09">
      <w:pPr>
        <w:pStyle w:val="standard"/>
        <w:numPr>
          <w:ilvl w:val="0"/>
          <w:numId w:val="1"/>
        </w:numPr>
        <w:ind w:firstLine="230"/>
        <w:rPr>
          <w:rFonts w:ascii="Book Antiqua" w:hAnsi="Book Antiqua"/>
        </w:rPr>
      </w:pPr>
      <w:r w:rsidRPr="00467505">
        <w:rPr>
          <w:rFonts w:ascii="Book Antiqua" w:hAnsi="Book Antiqua"/>
        </w:rPr>
        <w:t>The Commission has the authority to order long</w:t>
      </w:r>
      <w:r w:rsidR="00D84A09" w:rsidRPr="00467505">
        <w:rPr>
          <w:rFonts w:ascii="Book Antiqua" w:hAnsi="Book Antiqua"/>
        </w:rPr>
        <w:noBreakHyphen/>
      </w:r>
      <w:r w:rsidRPr="00467505">
        <w:rPr>
          <w:rFonts w:ascii="Book Antiqua" w:hAnsi="Book Antiqua"/>
        </w:rPr>
        <w:t xml:space="preserve">term procurement of renewable integration resources </w:t>
      </w:r>
      <w:r w:rsidR="00B03BBB">
        <w:rPr>
          <w:rFonts w:ascii="Book Antiqua" w:hAnsi="Book Antiqua"/>
        </w:rPr>
        <w:t>by</w:t>
      </w:r>
      <w:r w:rsidR="00B03BBB" w:rsidRPr="00467505">
        <w:rPr>
          <w:rFonts w:ascii="Book Antiqua" w:hAnsi="Book Antiqua"/>
        </w:rPr>
        <w:t xml:space="preserve"> </w:t>
      </w:r>
      <w:r w:rsidRPr="00467505">
        <w:rPr>
          <w:rFonts w:ascii="Book Antiqua" w:hAnsi="Book Antiqua"/>
        </w:rPr>
        <w:t xml:space="preserve">CCAs, </w:t>
      </w:r>
      <w:r w:rsidR="00B03BBB">
        <w:rPr>
          <w:rFonts w:ascii="Book Antiqua" w:hAnsi="Book Antiqua"/>
        </w:rPr>
        <w:t xml:space="preserve">provided </w:t>
      </w:r>
      <w:r w:rsidRPr="00467505">
        <w:rPr>
          <w:rFonts w:ascii="Book Antiqua" w:hAnsi="Book Antiqua"/>
        </w:rPr>
        <w:t xml:space="preserve">in Section 454.51(d) of the Public Utilities Code. </w:t>
      </w:r>
    </w:p>
    <w:p w14:paraId="65809368" w14:textId="77777777" w:rsidR="00776FF8" w:rsidRPr="00467505" w:rsidRDefault="00404203" w:rsidP="00D84A09">
      <w:pPr>
        <w:pStyle w:val="standard"/>
        <w:numPr>
          <w:ilvl w:val="0"/>
          <w:numId w:val="1"/>
        </w:numPr>
        <w:ind w:firstLine="230"/>
        <w:rPr>
          <w:rFonts w:ascii="Book Antiqua" w:hAnsi="Book Antiqua"/>
        </w:rPr>
      </w:pPr>
      <w:r w:rsidRPr="00467505">
        <w:rPr>
          <w:rFonts w:ascii="Book Antiqua" w:hAnsi="Book Antiqua"/>
        </w:rPr>
        <w:t>FOE, NRDC, CURE, and PG&amp;E filed a Joint Petition for Modification of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seeking direction on replacement power for the Diablo Canyon Power Plant, with its two units set to retire in 2024 and 2025. </w:t>
      </w:r>
    </w:p>
    <w:p w14:paraId="10A3E682" w14:textId="77777777" w:rsidR="001D2D90" w:rsidRPr="00467505" w:rsidRDefault="001D2D90" w:rsidP="00D84A09">
      <w:pPr>
        <w:pStyle w:val="standard"/>
        <w:numPr>
          <w:ilvl w:val="0"/>
          <w:numId w:val="1"/>
        </w:numPr>
        <w:ind w:firstLine="230"/>
        <w:rPr>
          <w:rFonts w:ascii="Book Antiqua" w:hAnsi="Book Antiqua"/>
        </w:rPr>
      </w:pPr>
      <w:r w:rsidRPr="00467505">
        <w:rPr>
          <w:rFonts w:ascii="Book Antiqua" w:hAnsi="Book Antiqua"/>
        </w:rPr>
        <w:t>SB 1090 (Monning, 2018) required the Commission to ensure that the IRPs are designed to avoid any increase in emissions of GHGs as a result of the retirement of Diablo Canyon.</w:t>
      </w:r>
    </w:p>
    <w:p w14:paraId="7ACEC803" w14:textId="77777777" w:rsidR="00D67F7F" w:rsidRPr="00467505" w:rsidRDefault="00D67F7F" w:rsidP="00D84A09">
      <w:pPr>
        <w:pStyle w:val="standard"/>
        <w:numPr>
          <w:ilvl w:val="0"/>
          <w:numId w:val="1"/>
        </w:numPr>
        <w:ind w:firstLine="230"/>
        <w:rPr>
          <w:rFonts w:ascii="Book Antiqua" w:hAnsi="Book Antiqua"/>
        </w:rPr>
      </w:pPr>
      <w:r w:rsidRPr="00467505">
        <w:rPr>
          <w:rFonts w:ascii="Book Antiqua" w:hAnsi="Book Antiqua"/>
        </w:rPr>
        <w:t>The RSP adopted in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as well as the PSP recommended in this decision, puts the electric sector on a trajectory to satisfy the 2030 GHG emissions target even with the retirement of Diablo Canyon. </w:t>
      </w:r>
    </w:p>
    <w:p w14:paraId="69DC2388" w14:textId="77777777" w:rsidR="0032795E" w:rsidRPr="00467505" w:rsidRDefault="0032795E" w:rsidP="00D84A09">
      <w:pPr>
        <w:pStyle w:val="standard"/>
        <w:numPr>
          <w:ilvl w:val="0"/>
          <w:numId w:val="1"/>
        </w:numPr>
        <w:ind w:firstLine="230"/>
        <w:rPr>
          <w:rFonts w:ascii="Book Antiqua" w:hAnsi="Book Antiqua"/>
        </w:rPr>
      </w:pPr>
      <w:r w:rsidRPr="00467505">
        <w:rPr>
          <w:rFonts w:ascii="Book Antiqua" w:hAnsi="Book Antiqua"/>
        </w:rPr>
        <w:t xml:space="preserve">The retirement of Diablo Canyon will not prevent the electric sector from meeting its portion of the statewide GHG emissions reductions between now and 2030. </w:t>
      </w:r>
    </w:p>
    <w:p w14:paraId="3D4C0FC4" w14:textId="77777777" w:rsidR="00AA78C6" w:rsidRPr="00AA78C6" w:rsidRDefault="00AA78C6" w:rsidP="00AA78C6">
      <w:pPr>
        <w:pStyle w:val="dummy"/>
      </w:pPr>
      <w:bookmarkStart w:id="160" w:name="_Toc3803872"/>
      <w:r w:rsidRPr="00AA78C6">
        <w:t>Conclusions of Law</w:t>
      </w:r>
      <w:bookmarkEnd w:id="160"/>
    </w:p>
    <w:p w14:paraId="2A05B99B" w14:textId="77777777" w:rsidR="005C0724" w:rsidRPr="00467505" w:rsidRDefault="00FF79E5" w:rsidP="00D84A09">
      <w:pPr>
        <w:pStyle w:val="standard"/>
        <w:numPr>
          <w:ilvl w:val="0"/>
          <w:numId w:val="7"/>
        </w:numPr>
        <w:ind w:firstLine="360"/>
        <w:rPr>
          <w:rFonts w:ascii="Book Antiqua" w:hAnsi="Book Antiqua"/>
        </w:rPr>
      </w:pPr>
      <w:r w:rsidRPr="00467505">
        <w:rPr>
          <w:rFonts w:ascii="Book Antiqua" w:hAnsi="Book Antiqua"/>
        </w:rPr>
        <w:t xml:space="preserve">The Commission should approve the request for exemption from filing an individual IRP in 2018 </w:t>
      </w:r>
      <w:r w:rsidR="006E29EA" w:rsidRPr="00467505">
        <w:rPr>
          <w:rFonts w:ascii="Book Antiqua" w:hAnsi="Book Antiqua"/>
        </w:rPr>
        <w:t xml:space="preserve">for the following entities: </w:t>
      </w:r>
      <w:r w:rsidR="00DC47F2" w:rsidRPr="00467505">
        <w:rPr>
          <w:rFonts w:ascii="Book Antiqua" w:hAnsi="Book Antiqua"/>
        </w:rPr>
        <w:t xml:space="preserve"> </w:t>
      </w:r>
      <w:r w:rsidR="006E29EA" w:rsidRPr="00467505">
        <w:rPr>
          <w:rFonts w:ascii="Book Antiqua" w:hAnsi="Book Antiqua"/>
        </w:rPr>
        <w:t xml:space="preserve">Anza Electric Cooperative, EnergyCal USA (dba YEP Energy), Gexa Energy California, Liberty Power Delaware, Liberty Power Holdings, Plumas Sierra Cooperative, Praxair Plainfield, Surprise Valley Electric Cooperative, and </w:t>
      </w:r>
      <w:r w:rsidR="00DA7A72">
        <w:rPr>
          <w:rFonts w:ascii="Book Antiqua" w:hAnsi="Book Antiqua"/>
        </w:rPr>
        <w:t>VEA</w:t>
      </w:r>
      <w:r w:rsidR="006E29EA" w:rsidRPr="00467505">
        <w:rPr>
          <w:rFonts w:ascii="Book Antiqua" w:hAnsi="Book Antiqua"/>
        </w:rPr>
        <w:t>.</w:t>
      </w:r>
    </w:p>
    <w:p w14:paraId="38AE3C43" w14:textId="77777777" w:rsidR="00774EFE" w:rsidRPr="00467505" w:rsidRDefault="00774EFE" w:rsidP="00D84A09">
      <w:pPr>
        <w:pStyle w:val="standard"/>
        <w:numPr>
          <w:ilvl w:val="0"/>
          <w:numId w:val="7"/>
        </w:numPr>
        <w:ind w:firstLine="360"/>
        <w:rPr>
          <w:rFonts w:ascii="Book Antiqua" w:hAnsi="Book Antiqua"/>
        </w:rPr>
      </w:pPr>
      <w:r w:rsidRPr="00467505">
        <w:rPr>
          <w:rFonts w:ascii="Book Antiqua" w:hAnsi="Book Antiqua"/>
        </w:rPr>
        <w:t xml:space="preserve">The Commission should approve the individual IRPs of the following IOUs: </w:t>
      </w:r>
      <w:r w:rsidR="00DC47F2" w:rsidRPr="00467505">
        <w:rPr>
          <w:rFonts w:ascii="Book Antiqua" w:hAnsi="Book Antiqua"/>
        </w:rPr>
        <w:t xml:space="preserve"> </w:t>
      </w:r>
      <w:r w:rsidRPr="00467505">
        <w:rPr>
          <w:rFonts w:ascii="Book Antiqua" w:hAnsi="Book Antiqua"/>
        </w:rPr>
        <w:t>Bear Valley Electric Service, Liberty Utilities, Pacific Gas and Electric, Paci</w:t>
      </w:r>
      <w:r w:rsidR="00ED72F0" w:rsidRPr="00467505">
        <w:rPr>
          <w:rFonts w:ascii="Book Antiqua" w:hAnsi="Book Antiqua"/>
        </w:rPr>
        <w:t>fi</w:t>
      </w:r>
      <w:r w:rsidRPr="00467505">
        <w:rPr>
          <w:rFonts w:ascii="Book Antiqua" w:hAnsi="Book Antiqua"/>
        </w:rPr>
        <w:t xml:space="preserve">Corp, San Diego Gas &amp; Electric, and Southern California Edison. </w:t>
      </w:r>
    </w:p>
    <w:p w14:paraId="0F4A9EB9" w14:textId="77777777" w:rsidR="00774EFE" w:rsidRPr="00467505" w:rsidRDefault="00774EFE" w:rsidP="00D84A09">
      <w:pPr>
        <w:pStyle w:val="standard"/>
        <w:numPr>
          <w:ilvl w:val="0"/>
          <w:numId w:val="7"/>
        </w:numPr>
        <w:ind w:firstLine="360"/>
        <w:rPr>
          <w:rFonts w:ascii="Book Antiqua" w:hAnsi="Book Antiqua"/>
        </w:rPr>
      </w:pPr>
      <w:r w:rsidRPr="00467505">
        <w:rPr>
          <w:rFonts w:ascii="Book Antiqua" w:hAnsi="Book Antiqua"/>
        </w:rPr>
        <w:t>The Commission should approve the individual IRPs of the following ESPs: 3 Phases Renewables, Ager</w:t>
      </w:r>
      <w:r w:rsidR="00421B35" w:rsidRPr="00467505">
        <w:rPr>
          <w:rFonts w:ascii="Book Antiqua" w:hAnsi="Book Antiqua"/>
        </w:rPr>
        <w:t>a</w:t>
      </w:r>
      <w:r w:rsidRPr="00467505">
        <w:rPr>
          <w:rFonts w:ascii="Book Antiqua" w:hAnsi="Book Antiqua"/>
        </w:rPr>
        <w:t xml:space="preserve"> Energy, American PowerNet Management, Calpine Energy Solutions, Calpine PowerAmerica CA, Direct Energy Business, EDF Industrial Power Services, Just Energy Solutions, Regents of the University of California, and Tiger Natural Gas.</w:t>
      </w:r>
    </w:p>
    <w:p w14:paraId="3CB7E484" w14:textId="77777777" w:rsidR="00774EFE" w:rsidRPr="00467505" w:rsidRDefault="00774EFE" w:rsidP="00D84A09">
      <w:pPr>
        <w:pStyle w:val="standard"/>
        <w:numPr>
          <w:ilvl w:val="0"/>
          <w:numId w:val="7"/>
        </w:numPr>
        <w:ind w:firstLine="360"/>
        <w:rPr>
          <w:rFonts w:ascii="Book Antiqua" w:hAnsi="Book Antiqua"/>
        </w:rPr>
      </w:pPr>
      <w:r w:rsidRPr="00467505">
        <w:rPr>
          <w:rFonts w:ascii="Book Antiqua" w:hAnsi="Book Antiqua"/>
        </w:rPr>
        <w:t xml:space="preserve">The Commission should certify the individual IRPs of the following CCAs: </w:t>
      </w:r>
      <w:r w:rsidR="00DC47F2" w:rsidRPr="00467505">
        <w:rPr>
          <w:rFonts w:ascii="Book Antiqua" w:hAnsi="Book Antiqua"/>
        </w:rPr>
        <w:t xml:space="preserve"> </w:t>
      </w:r>
      <w:r w:rsidRPr="00467505">
        <w:rPr>
          <w:rFonts w:ascii="Book Antiqua" w:hAnsi="Book Antiqua"/>
        </w:rPr>
        <w:t xml:space="preserve">Desert Community Energy, Peninsula Clean Energy Authority, Redwood Coast Energy Authority, and Solana Energy Alliance. </w:t>
      </w:r>
    </w:p>
    <w:p w14:paraId="75C67677" w14:textId="77777777" w:rsidR="006E29EA" w:rsidRPr="00467505" w:rsidRDefault="00992E8A" w:rsidP="00D84A09">
      <w:pPr>
        <w:pStyle w:val="standard"/>
        <w:numPr>
          <w:ilvl w:val="0"/>
          <w:numId w:val="7"/>
        </w:numPr>
        <w:ind w:firstLine="360"/>
        <w:rPr>
          <w:rFonts w:ascii="Book Antiqua" w:hAnsi="Book Antiqua"/>
        </w:rPr>
      </w:pPr>
      <w:r w:rsidRPr="00467505">
        <w:rPr>
          <w:rFonts w:ascii="Book Antiqua" w:hAnsi="Book Antiqua"/>
        </w:rPr>
        <w:t xml:space="preserve">The Commission should not approve the individual IRPs of the following ESPs, pending them resubmitting information about the criteria pollutant emissions associated with generation to serve their load: </w:t>
      </w:r>
      <w:r w:rsidR="00DC47F2" w:rsidRPr="00467505">
        <w:rPr>
          <w:rFonts w:ascii="Book Antiqua" w:hAnsi="Book Antiqua"/>
        </w:rPr>
        <w:t xml:space="preserve"> </w:t>
      </w:r>
      <w:r w:rsidRPr="00467505">
        <w:rPr>
          <w:rFonts w:ascii="Book Antiqua" w:hAnsi="Book Antiqua"/>
        </w:rPr>
        <w:t>Constellation NewEnergy and Shell Energy.</w:t>
      </w:r>
    </w:p>
    <w:p w14:paraId="59BB9D41" w14:textId="77777777" w:rsidR="00992E8A" w:rsidRPr="00467505" w:rsidRDefault="00992E8A" w:rsidP="00D84A09">
      <w:pPr>
        <w:pStyle w:val="standard"/>
        <w:numPr>
          <w:ilvl w:val="0"/>
          <w:numId w:val="7"/>
        </w:numPr>
        <w:ind w:firstLine="360"/>
        <w:rPr>
          <w:rFonts w:ascii="Book Antiqua" w:hAnsi="Book Antiqua"/>
        </w:rPr>
      </w:pPr>
      <w:r w:rsidRPr="00467505">
        <w:rPr>
          <w:rFonts w:ascii="Book Antiqua" w:hAnsi="Book Antiqua"/>
        </w:rPr>
        <w:t xml:space="preserve">The Commission should not certify the individual IRPs of the following CCAs, pending them resubmitting information about the criteria pollutant emissions associated with generation to serve their load: </w:t>
      </w:r>
      <w:r w:rsidR="00DC47F2" w:rsidRPr="00467505">
        <w:rPr>
          <w:rFonts w:ascii="Book Antiqua" w:hAnsi="Book Antiqua"/>
        </w:rPr>
        <w:t xml:space="preserve"> </w:t>
      </w:r>
      <w:r w:rsidRPr="00467505">
        <w:rPr>
          <w:rFonts w:ascii="Book Antiqua" w:hAnsi="Book Antiqua"/>
        </w:rPr>
        <w:t>Apple Valley Choice Energy, Clean Power Alliance of Southern California, CleanPower San Francisco, East Bay Community Energy, King City Community Power, Lancaster Choice Energy, Marin Clean Energy, Monterey Bay Clean Power Authority, Pico Rivera Innovative Municipal Energy, Pilot Power Group, Pioneer Community Energy, Rancho Mirage Energy Authority, San Jacinto Power, San Jose Clean Energy, Silicon Valley Clean Energy Authority, Sonoma Clean Power Authority, and Valley Clean Energy Alliance.</w:t>
      </w:r>
    </w:p>
    <w:p w14:paraId="0D8CA15B" w14:textId="5EEAAA85" w:rsidR="00992E8A" w:rsidRPr="00467505" w:rsidRDefault="007002CF" w:rsidP="00D84A09">
      <w:pPr>
        <w:pStyle w:val="standard"/>
        <w:numPr>
          <w:ilvl w:val="0"/>
          <w:numId w:val="7"/>
        </w:numPr>
        <w:ind w:firstLine="360"/>
        <w:rPr>
          <w:rFonts w:ascii="Book Antiqua" w:hAnsi="Book Antiqua"/>
        </w:rPr>
      </w:pPr>
      <w:r w:rsidRPr="00467505">
        <w:rPr>
          <w:rFonts w:ascii="Book Antiqua" w:hAnsi="Book Antiqua"/>
        </w:rPr>
        <w:t xml:space="preserve">The Commission should require </w:t>
      </w:r>
      <w:r w:rsidR="00ED72F0" w:rsidRPr="00467505">
        <w:rPr>
          <w:rFonts w:ascii="Book Antiqua" w:hAnsi="Book Antiqua"/>
        </w:rPr>
        <w:t xml:space="preserve">the entities </w:t>
      </w:r>
      <w:r w:rsidR="00B03BBB">
        <w:rPr>
          <w:rFonts w:ascii="Book Antiqua" w:hAnsi="Book Antiqua"/>
        </w:rPr>
        <w:t>that</w:t>
      </w:r>
      <w:r w:rsidR="00B03BBB" w:rsidRPr="00467505">
        <w:rPr>
          <w:rFonts w:ascii="Book Antiqua" w:hAnsi="Book Antiqua"/>
        </w:rPr>
        <w:t xml:space="preserve"> </w:t>
      </w:r>
      <w:r w:rsidR="00ED72F0" w:rsidRPr="00467505">
        <w:rPr>
          <w:rFonts w:ascii="Book Antiqua" w:hAnsi="Book Antiqua"/>
        </w:rPr>
        <w:t xml:space="preserve">did not provide adequate information about criteria pollutants associated with serving their load to refile </w:t>
      </w:r>
      <w:r w:rsidR="00C12394">
        <w:rPr>
          <w:rFonts w:ascii="Book Antiqua" w:hAnsi="Book Antiqua"/>
        </w:rPr>
        <w:t xml:space="preserve">this supplemental information associated with </w:t>
      </w:r>
      <w:r w:rsidR="00ED72F0" w:rsidRPr="00467505">
        <w:rPr>
          <w:rFonts w:ascii="Book Antiqua" w:hAnsi="Book Antiqua"/>
        </w:rPr>
        <w:t>their individual IRPs via Tier 2 Advice Letter by no later than June 1</w:t>
      </w:r>
      <w:r w:rsidR="0024405E">
        <w:rPr>
          <w:rFonts w:ascii="Book Antiqua" w:hAnsi="Book Antiqua"/>
        </w:rPr>
        <w:t>4</w:t>
      </w:r>
      <w:r w:rsidR="00ED72F0" w:rsidRPr="00467505">
        <w:rPr>
          <w:rFonts w:ascii="Book Antiqua" w:hAnsi="Book Antiqua"/>
        </w:rPr>
        <w:t>, 2019.</w:t>
      </w:r>
      <w:r w:rsidR="00C12394">
        <w:rPr>
          <w:rFonts w:ascii="Book Antiqua" w:hAnsi="Book Antiqua"/>
        </w:rPr>
        <w:t xml:space="preserve"> </w:t>
      </w:r>
      <w:r w:rsidR="00872A78">
        <w:rPr>
          <w:rFonts w:ascii="Book Antiqua" w:hAnsi="Book Antiqua"/>
        </w:rPr>
        <w:t xml:space="preserve"> </w:t>
      </w:r>
      <w:r w:rsidR="00C12394">
        <w:rPr>
          <w:rFonts w:ascii="Book Antiqua" w:hAnsi="Book Antiqua"/>
        </w:rPr>
        <w:t xml:space="preserve">The information may be filed as an appendix or supplement to the August 2018 individual IRPs. </w:t>
      </w:r>
    </w:p>
    <w:p w14:paraId="6716D242" w14:textId="77777777" w:rsidR="0057208A" w:rsidRPr="00467505" w:rsidRDefault="00EE75BC" w:rsidP="00D84A09">
      <w:pPr>
        <w:pStyle w:val="standard"/>
        <w:numPr>
          <w:ilvl w:val="0"/>
          <w:numId w:val="7"/>
        </w:numPr>
        <w:ind w:firstLine="360"/>
        <w:rPr>
          <w:rFonts w:ascii="Book Antiqua" w:hAnsi="Book Antiqua"/>
        </w:rPr>
      </w:pPr>
      <w:r w:rsidRPr="00467505">
        <w:rPr>
          <w:rFonts w:ascii="Book Antiqua" w:hAnsi="Book Antiqua"/>
        </w:rPr>
        <w:t>The Commission should approve the request of Liberty Utilities (CalPeco Electric) to conduct a solicitation for replacement power in a short</w:t>
      </w:r>
      <w:r w:rsidR="00D84A09" w:rsidRPr="00467505">
        <w:rPr>
          <w:rFonts w:ascii="Book Antiqua" w:hAnsi="Book Antiqua"/>
        </w:rPr>
        <w:noBreakHyphen/>
      </w:r>
      <w:r w:rsidRPr="00467505">
        <w:rPr>
          <w:rFonts w:ascii="Book Antiqua" w:hAnsi="Book Antiqua"/>
        </w:rPr>
        <w:t xml:space="preserve">term bridging arrangement and file the resulting contract(s) as a Tier 2 Advice Letter, with cost allocation details to be handled in its next upcoming energy cost adjustment clause proceeding. </w:t>
      </w:r>
    </w:p>
    <w:p w14:paraId="718D22A3" w14:textId="13304543" w:rsidR="00381032" w:rsidRPr="00467505" w:rsidRDefault="00381032" w:rsidP="00D84A09">
      <w:pPr>
        <w:pStyle w:val="standard"/>
        <w:numPr>
          <w:ilvl w:val="0"/>
          <w:numId w:val="7"/>
        </w:numPr>
        <w:ind w:firstLine="360"/>
        <w:rPr>
          <w:rFonts w:ascii="Book Antiqua" w:hAnsi="Book Antiqua"/>
        </w:rPr>
      </w:pPr>
      <w:r w:rsidRPr="00467505">
        <w:rPr>
          <w:rFonts w:ascii="Book Antiqua" w:hAnsi="Book Antiqua"/>
        </w:rPr>
        <w:t xml:space="preserve">The Commission should require LSEs in their individual IRPs </w:t>
      </w:r>
      <w:r w:rsidR="00334071" w:rsidRPr="00467505">
        <w:rPr>
          <w:rFonts w:ascii="Book Antiqua" w:hAnsi="Book Antiqua"/>
        </w:rPr>
        <w:t xml:space="preserve">in the future </w:t>
      </w:r>
      <w:r w:rsidRPr="00467505">
        <w:rPr>
          <w:rFonts w:ascii="Book Antiqua" w:hAnsi="Book Antiqua"/>
        </w:rPr>
        <w:t>to distinguish</w:t>
      </w:r>
      <w:r w:rsidR="00334071" w:rsidRPr="00467505">
        <w:rPr>
          <w:rFonts w:ascii="Book Antiqua" w:hAnsi="Book Antiqua"/>
        </w:rPr>
        <w:t xml:space="preserve"> contractual obligations and development status of individual resource choices within their portfolios.</w:t>
      </w:r>
      <w:r w:rsidR="00F571CA" w:rsidRPr="00467505">
        <w:rPr>
          <w:rFonts w:ascii="Book Antiqua" w:hAnsi="Book Antiqua"/>
        </w:rPr>
        <w:t xml:space="preserve"> </w:t>
      </w:r>
      <w:r w:rsidR="00334071" w:rsidRPr="00467505">
        <w:rPr>
          <w:rFonts w:ascii="Book Antiqua" w:hAnsi="Book Antiqua"/>
        </w:rPr>
        <w:t xml:space="preserve"> LSEs should also be required to provide </w:t>
      </w:r>
      <w:r w:rsidR="00D20449">
        <w:rPr>
          <w:rFonts w:ascii="Book Antiqua" w:hAnsi="Book Antiqua"/>
        </w:rPr>
        <w:t xml:space="preserve">the first round of </w:t>
      </w:r>
      <w:r w:rsidR="00334071" w:rsidRPr="00467505">
        <w:rPr>
          <w:rFonts w:ascii="Book Antiqua" w:hAnsi="Book Antiqua"/>
        </w:rPr>
        <w:t xml:space="preserve">this information to Commission staff no later than </w:t>
      </w:r>
      <w:r w:rsidR="00D20449">
        <w:rPr>
          <w:rFonts w:ascii="Book Antiqua" w:hAnsi="Book Antiqua"/>
        </w:rPr>
        <w:t>August</w:t>
      </w:r>
      <w:r w:rsidR="00D20449" w:rsidRPr="00467505">
        <w:rPr>
          <w:rFonts w:ascii="Book Antiqua" w:hAnsi="Book Antiqua"/>
        </w:rPr>
        <w:t xml:space="preserve"> </w:t>
      </w:r>
      <w:r w:rsidR="00334071" w:rsidRPr="00467505">
        <w:rPr>
          <w:rFonts w:ascii="Book Antiqua" w:hAnsi="Book Antiqua"/>
        </w:rPr>
        <w:t>1</w:t>
      </w:r>
      <w:r w:rsidR="00D20449">
        <w:rPr>
          <w:rFonts w:ascii="Book Antiqua" w:hAnsi="Book Antiqua"/>
        </w:rPr>
        <w:t>6</w:t>
      </w:r>
      <w:r w:rsidR="00334071" w:rsidRPr="00467505">
        <w:rPr>
          <w:rFonts w:ascii="Book Antiqua" w:hAnsi="Book Antiqua"/>
        </w:rPr>
        <w:t xml:space="preserve">, 2019. </w:t>
      </w:r>
      <w:r w:rsidR="00F571CA" w:rsidRPr="00467505">
        <w:rPr>
          <w:rFonts w:ascii="Book Antiqua" w:hAnsi="Book Antiqua"/>
        </w:rPr>
        <w:t xml:space="preserve"> </w:t>
      </w:r>
      <w:r w:rsidR="00334071" w:rsidRPr="00467505">
        <w:rPr>
          <w:rFonts w:ascii="Book Antiqua" w:hAnsi="Book Antiqua"/>
        </w:rPr>
        <w:t>Such information may be filed confidentially, subject to the Commission’s confidentiality rules, if requested by the individual LSE.</w:t>
      </w:r>
    </w:p>
    <w:p w14:paraId="4E76C04C" w14:textId="77777777" w:rsidR="00DB23D2" w:rsidRPr="00467505" w:rsidRDefault="00DB23D2" w:rsidP="00D84A09">
      <w:pPr>
        <w:pStyle w:val="standard"/>
        <w:numPr>
          <w:ilvl w:val="0"/>
          <w:numId w:val="7"/>
        </w:numPr>
        <w:ind w:firstLine="230"/>
        <w:rPr>
          <w:rFonts w:ascii="Book Antiqua" w:hAnsi="Book Antiqua"/>
        </w:rPr>
      </w:pPr>
      <w:r w:rsidRPr="00467505">
        <w:rPr>
          <w:rFonts w:ascii="Book Antiqua" w:hAnsi="Book Antiqua"/>
        </w:rPr>
        <w:t>The Commission should not adopt the hybrid conforming portfolio as the preferred system plan, because it does not meet the GHG emissions goals or the RPS requirements in 2030, and also represents a less reliable portfolio than the RSP adopted in D.18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w:t>
      </w:r>
      <w:r w:rsidR="0070763B">
        <w:rPr>
          <w:rFonts w:ascii="Book Antiqua" w:hAnsi="Book Antiqua"/>
        </w:rPr>
        <w:t>, as updated to reflect the 2017 IEPR assumptions</w:t>
      </w:r>
      <w:r w:rsidRPr="00467505">
        <w:rPr>
          <w:rFonts w:ascii="Book Antiqua" w:hAnsi="Book Antiqua"/>
        </w:rPr>
        <w:t>.</w:t>
      </w:r>
    </w:p>
    <w:p w14:paraId="3CBC11D4" w14:textId="77777777" w:rsidR="00DB23D2" w:rsidRPr="00467505" w:rsidRDefault="00DB23D2" w:rsidP="00D84A09">
      <w:pPr>
        <w:pStyle w:val="standard"/>
        <w:numPr>
          <w:ilvl w:val="0"/>
          <w:numId w:val="7"/>
        </w:numPr>
        <w:ind w:firstLine="230"/>
        <w:rPr>
          <w:rFonts w:ascii="Book Antiqua" w:hAnsi="Book Antiqua"/>
        </w:rPr>
      </w:pPr>
      <w:r w:rsidRPr="00467505">
        <w:rPr>
          <w:rFonts w:ascii="Book Antiqua" w:hAnsi="Book Antiqua"/>
        </w:rPr>
        <w:t xml:space="preserve">The Commission </w:t>
      </w:r>
      <w:r w:rsidR="00A07763" w:rsidRPr="00467505">
        <w:rPr>
          <w:rFonts w:ascii="Book Antiqua" w:hAnsi="Book Antiqua"/>
        </w:rPr>
        <w:t>should update the RSP adopted in D.18</w:t>
      </w:r>
      <w:r w:rsidR="00D84A09" w:rsidRPr="00467505">
        <w:rPr>
          <w:rFonts w:ascii="Book Antiqua" w:hAnsi="Book Antiqua"/>
        </w:rPr>
        <w:noBreakHyphen/>
      </w:r>
      <w:r w:rsidR="00A07763" w:rsidRPr="00467505">
        <w:rPr>
          <w:rFonts w:ascii="Book Antiqua" w:hAnsi="Book Antiqua"/>
        </w:rPr>
        <w:t>02</w:t>
      </w:r>
      <w:r w:rsidR="00D84A09" w:rsidRPr="00467505">
        <w:rPr>
          <w:rFonts w:ascii="Book Antiqua" w:hAnsi="Book Antiqua"/>
        </w:rPr>
        <w:noBreakHyphen/>
      </w:r>
      <w:r w:rsidR="00A07763" w:rsidRPr="00467505">
        <w:rPr>
          <w:rFonts w:ascii="Book Antiqua" w:hAnsi="Book Antiqua"/>
        </w:rPr>
        <w:t>018, with adjustments to reflect the 2017 IEPR assumptions and including an assumption of a 40</w:t>
      </w:r>
      <w:r w:rsidR="00D84A09" w:rsidRPr="00467505">
        <w:rPr>
          <w:rFonts w:ascii="Book Antiqua" w:hAnsi="Book Antiqua"/>
        </w:rPr>
        <w:noBreakHyphen/>
      </w:r>
      <w:r w:rsidR="00A07763" w:rsidRPr="00467505">
        <w:rPr>
          <w:rFonts w:ascii="Book Antiqua" w:hAnsi="Book Antiqua"/>
        </w:rPr>
        <w:t>year life for fossil</w:t>
      </w:r>
      <w:r w:rsidR="00D84A09" w:rsidRPr="00467505">
        <w:rPr>
          <w:rFonts w:ascii="Book Antiqua" w:hAnsi="Book Antiqua"/>
        </w:rPr>
        <w:noBreakHyphen/>
      </w:r>
      <w:r w:rsidR="00A07763" w:rsidRPr="00467505">
        <w:rPr>
          <w:rFonts w:ascii="Book Antiqua" w:hAnsi="Book Antiqua"/>
        </w:rPr>
        <w:t>fueled resources.</w:t>
      </w:r>
    </w:p>
    <w:p w14:paraId="1604D347" w14:textId="77777777" w:rsidR="00A07763" w:rsidRPr="00467505" w:rsidRDefault="00A07763" w:rsidP="00D84A09">
      <w:pPr>
        <w:pStyle w:val="standard"/>
        <w:numPr>
          <w:ilvl w:val="0"/>
          <w:numId w:val="7"/>
        </w:numPr>
        <w:ind w:firstLine="230"/>
        <w:rPr>
          <w:rFonts w:ascii="Book Antiqua" w:hAnsi="Book Antiqua"/>
        </w:rPr>
      </w:pPr>
      <w:r w:rsidRPr="00467505">
        <w:rPr>
          <w:rFonts w:ascii="Book Antiqua" w:hAnsi="Book Antiqua"/>
        </w:rPr>
        <w:t>The updated RSP, with adjustments to reflect the 2017 IEPR assumptions, including an assumption of a 40</w:t>
      </w:r>
      <w:r w:rsidR="00D84A09" w:rsidRPr="00467505">
        <w:rPr>
          <w:rFonts w:ascii="Book Antiqua" w:hAnsi="Book Antiqua"/>
        </w:rPr>
        <w:noBreakHyphen/>
      </w:r>
      <w:r w:rsidRPr="00467505">
        <w:rPr>
          <w:rFonts w:ascii="Book Antiqua" w:hAnsi="Book Antiqua"/>
        </w:rPr>
        <w:t>year life for fossil</w:t>
      </w:r>
      <w:r w:rsidR="00D84A09" w:rsidRPr="00467505">
        <w:rPr>
          <w:rFonts w:ascii="Book Antiqua" w:hAnsi="Book Antiqua"/>
        </w:rPr>
        <w:noBreakHyphen/>
      </w:r>
      <w:r w:rsidRPr="00467505">
        <w:rPr>
          <w:rFonts w:ascii="Book Antiqua" w:hAnsi="Book Antiqua"/>
        </w:rPr>
        <w:t>fueled resources, and reflecting the most updated information about transmission availability and cost of upgrades gleaned from the most recent TPP, should be adopted as the preferred system plan for 2019.</w:t>
      </w:r>
    </w:p>
    <w:p w14:paraId="5229F56D" w14:textId="77777777" w:rsidR="00ED0450" w:rsidRPr="00467505" w:rsidRDefault="00ED0450" w:rsidP="00D84A09">
      <w:pPr>
        <w:pStyle w:val="standard"/>
        <w:numPr>
          <w:ilvl w:val="0"/>
          <w:numId w:val="7"/>
        </w:numPr>
        <w:ind w:firstLine="230"/>
        <w:rPr>
          <w:rFonts w:ascii="Book Antiqua" w:hAnsi="Book Antiqua"/>
        </w:rPr>
      </w:pPr>
      <w:r w:rsidRPr="00467505">
        <w:rPr>
          <w:rFonts w:ascii="Book Antiqua" w:hAnsi="Book Antiqua"/>
        </w:rPr>
        <w:t xml:space="preserve">The Commission should recommend to the CAISO that </w:t>
      </w:r>
      <w:r w:rsidR="00B03BBB" w:rsidRPr="00467505">
        <w:rPr>
          <w:rFonts w:ascii="Book Antiqua" w:hAnsi="Book Antiqua"/>
        </w:rPr>
        <w:t xml:space="preserve">the PSP adopted in this decision </w:t>
      </w:r>
      <w:r w:rsidR="00B03BBB">
        <w:rPr>
          <w:rFonts w:ascii="Book Antiqua" w:hAnsi="Book Antiqua"/>
        </w:rPr>
        <w:t xml:space="preserve">should be </w:t>
      </w:r>
      <w:r w:rsidRPr="00467505">
        <w:rPr>
          <w:rFonts w:ascii="Book Antiqua" w:hAnsi="Book Antiqua"/>
        </w:rPr>
        <w:t>its reliability base case and policy</w:t>
      </w:r>
      <w:r w:rsidR="00D84A09" w:rsidRPr="00467505">
        <w:rPr>
          <w:rFonts w:ascii="Book Antiqua" w:hAnsi="Book Antiqua"/>
        </w:rPr>
        <w:noBreakHyphen/>
      </w:r>
      <w:r w:rsidRPr="00467505">
        <w:rPr>
          <w:rFonts w:ascii="Book Antiqua" w:hAnsi="Book Antiqua"/>
        </w:rPr>
        <w:t>driven base case for its 2019</w:t>
      </w:r>
      <w:r w:rsidR="00D84A09" w:rsidRPr="00467505">
        <w:rPr>
          <w:rFonts w:ascii="Book Antiqua" w:hAnsi="Book Antiqua"/>
        </w:rPr>
        <w:noBreakHyphen/>
      </w:r>
      <w:r w:rsidRPr="00467505">
        <w:rPr>
          <w:rFonts w:ascii="Book Antiqua" w:hAnsi="Book Antiqua"/>
        </w:rPr>
        <w:t>20 TPP.</w:t>
      </w:r>
    </w:p>
    <w:p w14:paraId="2EB93E00" w14:textId="77777777" w:rsidR="00ED0450" w:rsidRPr="00467505" w:rsidRDefault="00ED0450" w:rsidP="00D84A09">
      <w:pPr>
        <w:pStyle w:val="standard"/>
        <w:numPr>
          <w:ilvl w:val="0"/>
          <w:numId w:val="7"/>
        </w:numPr>
        <w:ind w:firstLine="230"/>
        <w:rPr>
          <w:rFonts w:ascii="Book Antiqua" w:hAnsi="Book Antiqua"/>
        </w:rPr>
      </w:pPr>
      <w:r w:rsidRPr="00467505">
        <w:rPr>
          <w:rFonts w:ascii="Book Antiqua" w:hAnsi="Book Antiqua"/>
        </w:rPr>
        <w:t>The Commission should recommend that the CAISO study, as its policy</w:t>
      </w:r>
      <w:r w:rsidR="00D84A09" w:rsidRPr="00467505">
        <w:rPr>
          <w:rFonts w:ascii="Book Antiqua" w:hAnsi="Book Antiqua"/>
        </w:rPr>
        <w:noBreakHyphen/>
      </w:r>
      <w:r w:rsidRPr="00467505">
        <w:rPr>
          <w:rFonts w:ascii="Book Antiqua" w:hAnsi="Book Antiqua"/>
        </w:rPr>
        <w:t xml:space="preserve">driven sensitivity cases, two distinct portfolios representing: </w:t>
      </w:r>
      <w:r w:rsidR="00DC47F2" w:rsidRPr="00467505">
        <w:rPr>
          <w:rFonts w:ascii="Book Antiqua" w:hAnsi="Book Antiqua"/>
        </w:rPr>
        <w:t xml:space="preserve"> </w:t>
      </w:r>
      <w:r w:rsidRPr="00467505">
        <w:rPr>
          <w:rFonts w:ascii="Book Antiqua" w:hAnsi="Book Antiqua"/>
        </w:rPr>
        <w:t>a heavily in</w:t>
      </w:r>
      <w:r w:rsidR="00D84A09" w:rsidRPr="00467505">
        <w:rPr>
          <w:rFonts w:ascii="Book Antiqua" w:hAnsi="Book Antiqua"/>
        </w:rPr>
        <w:noBreakHyphen/>
      </w:r>
      <w:r w:rsidRPr="00467505">
        <w:rPr>
          <w:rFonts w:ascii="Book Antiqua" w:hAnsi="Book Antiqua"/>
        </w:rPr>
        <w:t>state renewable development future and a portfolio based on reliance on out</w:t>
      </w:r>
      <w:r w:rsidR="00D84A09" w:rsidRPr="00467505">
        <w:rPr>
          <w:rFonts w:ascii="Book Antiqua" w:hAnsi="Book Antiqua"/>
        </w:rPr>
        <w:noBreakHyphen/>
      </w:r>
      <w:r w:rsidRPr="00467505">
        <w:rPr>
          <w:rFonts w:ascii="Book Antiqua" w:hAnsi="Book Antiqua"/>
        </w:rPr>
        <w:t>of</w:t>
      </w:r>
      <w:r w:rsidR="00D84A09" w:rsidRPr="00467505">
        <w:rPr>
          <w:rFonts w:ascii="Book Antiqua" w:hAnsi="Book Antiqua"/>
        </w:rPr>
        <w:noBreakHyphen/>
      </w:r>
      <w:r w:rsidRPr="00467505">
        <w:rPr>
          <w:rFonts w:ascii="Book Antiqua" w:hAnsi="Book Antiqua"/>
        </w:rPr>
        <w:t xml:space="preserve">state wind, primarily from New Mexico and Wyoming. </w:t>
      </w:r>
    </w:p>
    <w:p w14:paraId="138C52F4" w14:textId="77777777" w:rsidR="003D062F" w:rsidRDefault="003D062F" w:rsidP="00D84A09">
      <w:pPr>
        <w:pStyle w:val="standard"/>
        <w:numPr>
          <w:ilvl w:val="0"/>
          <w:numId w:val="7"/>
        </w:numPr>
        <w:ind w:firstLine="230"/>
        <w:rPr>
          <w:rFonts w:ascii="Book Antiqua" w:hAnsi="Book Antiqua"/>
        </w:rPr>
      </w:pPr>
      <w:r w:rsidRPr="00467505">
        <w:rPr>
          <w:rFonts w:ascii="Book Antiqua" w:hAnsi="Book Antiqua"/>
        </w:rPr>
        <w:t>The Commission should continue to examine GHG emissions, reliability, and cost issues</w:t>
      </w:r>
      <w:r w:rsidR="00F72BF5">
        <w:rPr>
          <w:rFonts w:ascii="Book Antiqua" w:hAnsi="Book Antiqua"/>
        </w:rPr>
        <w:t>, as well as criteria pollutants and impacts on disadvantaged communities,</w:t>
      </w:r>
      <w:r w:rsidRPr="00467505">
        <w:rPr>
          <w:rFonts w:ascii="Book Antiqua" w:hAnsi="Book Antiqua"/>
        </w:rPr>
        <w:t xml:space="preserve"> on an integrated basis in the IRP process. </w:t>
      </w:r>
    </w:p>
    <w:p w14:paraId="09572306" w14:textId="77777777" w:rsidR="00CB33D2" w:rsidRPr="00467505" w:rsidRDefault="00CB33D2" w:rsidP="00D84A09">
      <w:pPr>
        <w:pStyle w:val="standard"/>
        <w:numPr>
          <w:ilvl w:val="0"/>
          <w:numId w:val="7"/>
        </w:numPr>
        <w:ind w:firstLine="230"/>
        <w:rPr>
          <w:rFonts w:ascii="Book Antiqua" w:hAnsi="Book Antiqua"/>
        </w:rPr>
      </w:pPr>
      <w:r>
        <w:rPr>
          <w:rFonts w:ascii="Book Antiqua" w:hAnsi="Book Antiqua"/>
        </w:rPr>
        <w:t>The Commission should require each LSE to comply with Conclusion of Law 27 and Ordering Paragraphs 12 or 14 of D.18-02-018 in the next IRP cycle by submitting a conforming portfolio that utilizes either the GHG Planning Price or meet</w:t>
      </w:r>
      <w:r w:rsidR="00776A7F">
        <w:rPr>
          <w:rFonts w:ascii="Book Antiqua" w:hAnsi="Book Antiqua"/>
        </w:rPr>
        <w:t>s</w:t>
      </w:r>
      <w:r>
        <w:rPr>
          <w:rFonts w:ascii="Book Antiqua" w:hAnsi="Book Antiqua"/>
        </w:rPr>
        <w:t xml:space="preserve"> the LSE’s individual GHG Benchmark. </w:t>
      </w:r>
    </w:p>
    <w:p w14:paraId="6EE7627C" w14:textId="77777777" w:rsidR="003D062F" w:rsidRPr="00467505" w:rsidRDefault="003D062F" w:rsidP="00D84A09">
      <w:pPr>
        <w:pStyle w:val="standard"/>
        <w:numPr>
          <w:ilvl w:val="0"/>
          <w:numId w:val="7"/>
        </w:numPr>
        <w:ind w:firstLine="230"/>
        <w:rPr>
          <w:rFonts w:ascii="Book Antiqua" w:hAnsi="Book Antiqua"/>
        </w:rPr>
      </w:pPr>
      <w:r w:rsidRPr="00467505">
        <w:rPr>
          <w:rFonts w:ascii="Book Antiqua" w:hAnsi="Book Antiqua"/>
        </w:rPr>
        <w:t>The IRP process should continue to focus on all types of resources, including renewables and non</w:t>
      </w:r>
      <w:r w:rsidR="00D84A09" w:rsidRPr="00467505">
        <w:rPr>
          <w:rFonts w:ascii="Book Antiqua" w:hAnsi="Book Antiqua"/>
        </w:rPr>
        <w:noBreakHyphen/>
      </w:r>
      <w:r w:rsidRPr="00467505">
        <w:rPr>
          <w:rFonts w:ascii="Book Antiqua" w:hAnsi="Book Antiqua"/>
        </w:rPr>
        <w:t xml:space="preserve">renewables, as well as existing and new resources, </w:t>
      </w:r>
      <w:r w:rsidR="009821A2">
        <w:rPr>
          <w:rFonts w:ascii="Book Antiqua" w:hAnsi="Book Antiqua"/>
        </w:rPr>
        <w:t>including transmission</w:t>
      </w:r>
      <w:r w:rsidR="00744649">
        <w:rPr>
          <w:rFonts w:ascii="Book Antiqua" w:hAnsi="Book Antiqua"/>
        </w:rPr>
        <w:t xml:space="preserve"> and demand-side resources</w:t>
      </w:r>
      <w:r w:rsidR="009821A2">
        <w:rPr>
          <w:rFonts w:ascii="Book Antiqua" w:hAnsi="Book Antiqua"/>
        </w:rPr>
        <w:t xml:space="preserve">, </w:t>
      </w:r>
      <w:r w:rsidRPr="00467505">
        <w:rPr>
          <w:rFonts w:ascii="Book Antiqua" w:hAnsi="Book Antiqua"/>
        </w:rPr>
        <w:t>in an integrated manner.</w:t>
      </w:r>
    </w:p>
    <w:p w14:paraId="3DBA2FED" w14:textId="0561AAEA" w:rsidR="003D062F" w:rsidRPr="00467505" w:rsidRDefault="00DB48CD" w:rsidP="00D84A09">
      <w:pPr>
        <w:pStyle w:val="standard"/>
        <w:numPr>
          <w:ilvl w:val="0"/>
          <w:numId w:val="7"/>
        </w:numPr>
        <w:ind w:firstLine="230"/>
        <w:rPr>
          <w:rFonts w:ascii="Book Antiqua" w:hAnsi="Book Antiqua"/>
        </w:rPr>
      </w:pPr>
      <w:r w:rsidRPr="00467505">
        <w:rPr>
          <w:rFonts w:ascii="Book Antiqua" w:hAnsi="Book Antiqua"/>
        </w:rPr>
        <w:t xml:space="preserve">The Commission should continue to explore the ability of </w:t>
      </w:r>
      <w:r w:rsidR="00D23BBB">
        <w:rPr>
          <w:rFonts w:ascii="Book Antiqua" w:hAnsi="Book Antiqua"/>
        </w:rPr>
        <w:t xml:space="preserve">and facilitate the development of new generating, non-generating, </w:t>
      </w:r>
      <w:r w:rsidR="00B87253" w:rsidRPr="00467505">
        <w:rPr>
          <w:rFonts w:ascii="Book Antiqua" w:hAnsi="Book Antiqua"/>
        </w:rPr>
        <w:t xml:space="preserve">and hybrid technologies </w:t>
      </w:r>
      <w:r w:rsidRPr="00467505">
        <w:rPr>
          <w:rFonts w:ascii="Book Antiqua" w:hAnsi="Book Antiqua"/>
        </w:rPr>
        <w:t>to provide ramping</w:t>
      </w:r>
      <w:r w:rsidR="00D23BBB">
        <w:rPr>
          <w:rFonts w:ascii="Book Antiqua" w:hAnsi="Book Antiqua"/>
        </w:rPr>
        <w:t>,</w:t>
      </w:r>
      <w:r w:rsidRPr="00467505">
        <w:rPr>
          <w:rFonts w:ascii="Book Antiqua" w:hAnsi="Book Antiqua"/>
        </w:rPr>
        <w:t xml:space="preserve"> load following</w:t>
      </w:r>
      <w:r w:rsidR="00D23BBB">
        <w:rPr>
          <w:rFonts w:ascii="Book Antiqua" w:hAnsi="Book Antiqua"/>
        </w:rPr>
        <w:t>, hourly or intra-hour renewable integration, and ancillary</w:t>
      </w:r>
      <w:r w:rsidRPr="00467505">
        <w:rPr>
          <w:rFonts w:ascii="Book Antiqua" w:hAnsi="Book Antiqua"/>
        </w:rPr>
        <w:t xml:space="preserve"> service</w:t>
      </w:r>
      <w:r w:rsidR="00D23BBB">
        <w:rPr>
          <w:rFonts w:ascii="Book Antiqua" w:hAnsi="Book Antiqua"/>
        </w:rPr>
        <w:t>s</w:t>
      </w:r>
      <w:r w:rsidRPr="00467505">
        <w:rPr>
          <w:rFonts w:ascii="Book Antiqua" w:hAnsi="Book Antiqua"/>
        </w:rPr>
        <w:t xml:space="preserve"> to decrease renewable integration challenges.</w:t>
      </w:r>
    </w:p>
    <w:p w14:paraId="2ACD5AC2" w14:textId="77777777" w:rsidR="00DB48CD" w:rsidRPr="00467505" w:rsidRDefault="00DB48CD" w:rsidP="00D84A09">
      <w:pPr>
        <w:pStyle w:val="standard"/>
        <w:numPr>
          <w:ilvl w:val="0"/>
          <w:numId w:val="7"/>
        </w:numPr>
        <w:ind w:firstLine="230"/>
        <w:rPr>
          <w:rFonts w:ascii="Book Antiqua" w:hAnsi="Book Antiqua"/>
        </w:rPr>
      </w:pPr>
      <w:r w:rsidRPr="00467505">
        <w:rPr>
          <w:rFonts w:ascii="Book Antiqua" w:hAnsi="Book Antiqua"/>
        </w:rPr>
        <w:t>The Commission should consider exercising its authority to requir</w:t>
      </w:r>
      <w:r w:rsidR="00B03BBB">
        <w:rPr>
          <w:rFonts w:ascii="Book Antiqua" w:hAnsi="Book Antiqua"/>
        </w:rPr>
        <w:t>e</w:t>
      </w:r>
      <w:r w:rsidRPr="00467505">
        <w:rPr>
          <w:rFonts w:ascii="Book Antiqua" w:hAnsi="Book Antiqua"/>
        </w:rPr>
        <w:t xml:space="preserve"> long</w:t>
      </w:r>
      <w:r w:rsidR="00D84A09" w:rsidRPr="00467505">
        <w:rPr>
          <w:rFonts w:ascii="Book Antiqua" w:hAnsi="Book Antiqua"/>
        </w:rPr>
        <w:noBreakHyphen/>
      </w:r>
      <w:r w:rsidRPr="00467505">
        <w:rPr>
          <w:rFonts w:ascii="Book Antiqua" w:hAnsi="Book Antiqua"/>
        </w:rPr>
        <w:t>term commitments to renewable integration resources by CCAs in a new “procurement track” of this IRP proceeding.</w:t>
      </w:r>
    </w:p>
    <w:p w14:paraId="231F9F24" w14:textId="3DF5A6E2" w:rsidR="00B87253" w:rsidRDefault="00B87253" w:rsidP="00872A78">
      <w:pPr>
        <w:pStyle w:val="sub3"/>
        <w:numPr>
          <w:ilvl w:val="0"/>
          <w:numId w:val="7"/>
        </w:numPr>
        <w:ind w:right="720" w:firstLine="230"/>
        <w:rPr>
          <w:rFonts w:ascii="Book Antiqua" w:hAnsi="Book Antiqua"/>
        </w:rPr>
      </w:pPr>
      <w:r w:rsidRPr="004D0B98">
        <w:rPr>
          <w:rFonts w:ascii="Book Antiqua" w:hAnsi="Book Antiqua"/>
        </w:rPr>
        <w:t xml:space="preserve">The Commission should focus a procurement track of the IRP proceeding on the following types of resources: </w:t>
      </w:r>
      <w:r w:rsidR="00DC47F2" w:rsidRPr="004D0B98">
        <w:rPr>
          <w:rFonts w:ascii="Book Antiqua" w:hAnsi="Book Antiqua"/>
        </w:rPr>
        <w:t xml:space="preserve"> </w:t>
      </w:r>
      <w:r w:rsidR="004D0B98">
        <w:rPr>
          <w:rFonts w:ascii="Book Antiqua" w:hAnsi="Book Antiqua"/>
        </w:rPr>
        <w:t>d</w:t>
      </w:r>
      <w:r w:rsidR="004D0B98" w:rsidRPr="004D0B98">
        <w:rPr>
          <w:rFonts w:ascii="Book Antiqua" w:hAnsi="Book Antiqua"/>
        </w:rPr>
        <w:t>iverse renewable resources in the near term</w:t>
      </w:r>
      <w:r w:rsidR="00C501B3">
        <w:rPr>
          <w:rFonts w:ascii="Book Antiqua" w:hAnsi="Book Antiqua"/>
        </w:rPr>
        <w:t>, to reduce reliance on fossil-fueled generation and</w:t>
      </w:r>
      <w:r w:rsidR="004D0B98" w:rsidRPr="004D0B98">
        <w:rPr>
          <w:rFonts w:ascii="Book Antiqua" w:hAnsi="Book Antiqua"/>
        </w:rPr>
        <w:t xml:space="preserve"> at levels sufficient to reach the 2030 optimized portfolio, in coordination with the RPS program</w:t>
      </w:r>
      <w:r w:rsidR="004D0B98">
        <w:rPr>
          <w:rFonts w:ascii="Book Antiqua" w:hAnsi="Book Antiqua"/>
        </w:rPr>
        <w:t xml:space="preserve">; </w:t>
      </w:r>
      <w:r w:rsidRPr="004D0B98">
        <w:rPr>
          <w:rFonts w:ascii="Book Antiqua" w:hAnsi="Book Antiqua"/>
        </w:rPr>
        <w:t>near</w:t>
      </w:r>
      <w:r w:rsidR="00D84A09" w:rsidRPr="004D0B98">
        <w:rPr>
          <w:rFonts w:ascii="Book Antiqua" w:hAnsi="Book Antiqua"/>
        </w:rPr>
        <w:noBreakHyphen/>
      </w:r>
      <w:r w:rsidRPr="004D0B98">
        <w:rPr>
          <w:rFonts w:ascii="Book Antiqua" w:hAnsi="Book Antiqua"/>
        </w:rPr>
        <w:t>term resources with load following and hourly or intra</w:t>
      </w:r>
      <w:r w:rsidR="00D84A09" w:rsidRPr="004D0B98">
        <w:rPr>
          <w:rFonts w:ascii="Book Antiqua" w:hAnsi="Book Antiqua"/>
        </w:rPr>
        <w:noBreakHyphen/>
      </w:r>
      <w:r w:rsidRPr="004D0B98">
        <w:rPr>
          <w:rFonts w:ascii="Book Antiqua" w:hAnsi="Book Antiqua"/>
        </w:rPr>
        <w:t>hour renewable integration capabilities</w:t>
      </w:r>
      <w:r w:rsidR="004D0B98">
        <w:rPr>
          <w:rFonts w:ascii="Book Antiqua" w:hAnsi="Book Antiqua"/>
        </w:rPr>
        <w:t>;</w:t>
      </w:r>
      <w:r w:rsidRPr="004D0B98">
        <w:rPr>
          <w:rFonts w:ascii="Book Antiqua" w:hAnsi="Book Antiqua"/>
        </w:rPr>
        <w:t xml:space="preserve"> existing natural gas resources</w:t>
      </w:r>
      <w:r w:rsidR="00C501B3">
        <w:rPr>
          <w:rFonts w:ascii="Book Antiqua" w:hAnsi="Book Antiqua"/>
        </w:rPr>
        <w:t xml:space="preserve"> at minimal levels consistent with reliability needs</w:t>
      </w:r>
      <w:r w:rsidR="004D0B98">
        <w:rPr>
          <w:rFonts w:ascii="Book Antiqua" w:hAnsi="Book Antiqua"/>
        </w:rPr>
        <w:t>;</w:t>
      </w:r>
      <w:r w:rsidRPr="004D0B98">
        <w:rPr>
          <w:rFonts w:ascii="Book Antiqua" w:hAnsi="Book Antiqua"/>
        </w:rPr>
        <w:t xml:space="preserve"> and long</w:t>
      </w:r>
      <w:r w:rsidR="00D84A09" w:rsidRPr="004D0B98">
        <w:rPr>
          <w:rFonts w:ascii="Book Antiqua" w:hAnsi="Book Antiqua"/>
        </w:rPr>
        <w:noBreakHyphen/>
      </w:r>
      <w:r w:rsidRPr="004D0B98">
        <w:rPr>
          <w:rFonts w:ascii="Book Antiqua" w:hAnsi="Book Antiqua"/>
        </w:rPr>
        <w:t>duration storage resources</w:t>
      </w:r>
      <w:r w:rsidR="00535C22">
        <w:rPr>
          <w:rFonts w:ascii="Book Antiqua" w:hAnsi="Book Antiqua"/>
        </w:rPr>
        <w:t>, approached in a technology-neutral manner</w:t>
      </w:r>
      <w:r w:rsidRPr="004D0B98">
        <w:rPr>
          <w:rFonts w:ascii="Book Antiqua" w:hAnsi="Book Antiqua"/>
        </w:rPr>
        <w:t>.</w:t>
      </w:r>
    </w:p>
    <w:p w14:paraId="0F28F9AE" w14:textId="77777777" w:rsidR="00183B23" w:rsidRDefault="00183B23" w:rsidP="00872A78">
      <w:pPr>
        <w:pStyle w:val="sub3"/>
        <w:numPr>
          <w:ilvl w:val="0"/>
          <w:numId w:val="7"/>
        </w:numPr>
        <w:ind w:right="720" w:firstLine="230"/>
        <w:rPr>
          <w:rFonts w:ascii="Book Antiqua" w:hAnsi="Book Antiqua"/>
        </w:rPr>
      </w:pPr>
      <w:r>
        <w:rPr>
          <w:rFonts w:ascii="Book Antiqua" w:hAnsi="Book Antiqua"/>
        </w:rPr>
        <w:t xml:space="preserve">The procurement track, in the near term, should focus on backstop procurement </w:t>
      </w:r>
      <w:r w:rsidR="00AB0EF7">
        <w:rPr>
          <w:rFonts w:ascii="Book Antiqua" w:hAnsi="Book Antiqua"/>
        </w:rPr>
        <w:t xml:space="preserve">needed, </w:t>
      </w:r>
      <w:r>
        <w:rPr>
          <w:rFonts w:ascii="Book Antiqua" w:hAnsi="Book Antiqua"/>
        </w:rPr>
        <w:t>in the event that individual LSEs fail to procure the necessary resources to serve their load and/or committed to in their individual IRPs</w:t>
      </w:r>
      <w:r w:rsidR="00317BB8">
        <w:rPr>
          <w:rFonts w:ascii="Book Antiqua" w:hAnsi="Book Antiqua"/>
        </w:rPr>
        <w:t>, as well as</w:t>
      </w:r>
      <w:r>
        <w:rPr>
          <w:rFonts w:ascii="Book Antiqua" w:hAnsi="Book Antiqua"/>
        </w:rPr>
        <w:t xml:space="preserve"> procurement that may require collective action by multiple LSEs.</w:t>
      </w:r>
    </w:p>
    <w:p w14:paraId="31FF3445" w14:textId="77777777" w:rsidR="0081574C" w:rsidRDefault="0081574C" w:rsidP="00872A78">
      <w:pPr>
        <w:pStyle w:val="sub3"/>
        <w:numPr>
          <w:ilvl w:val="0"/>
          <w:numId w:val="7"/>
        </w:numPr>
        <w:ind w:right="720" w:firstLine="230"/>
        <w:rPr>
          <w:rFonts w:ascii="Book Antiqua" w:hAnsi="Book Antiqua"/>
        </w:rPr>
      </w:pPr>
      <w:r>
        <w:rPr>
          <w:rFonts w:ascii="Book Antiqua" w:hAnsi="Book Antiqua"/>
        </w:rPr>
        <w:t xml:space="preserve">The procurement track should also consider development of a type of trigger mechanism for procurement activities, with consideration of the proposal already made by SCE in the proceeding or another similar approach. </w:t>
      </w:r>
    </w:p>
    <w:p w14:paraId="26850D6A" w14:textId="77777777" w:rsidR="00C10E71" w:rsidRPr="004D0B98" w:rsidRDefault="00C10E71" w:rsidP="00872A78">
      <w:pPr>
        <w:pStyle w:val="sub3"/>
        <w:numPr>
          <w:ilvl w:val="0"/>
          <w:numId w:val="7"/>
        </w:numPr>
        <w:ind w:right="720" w:firstLine="230"/>
        <w:rPr>
          <w:rFonts w:ascii="Book Antiqua" w:hAnsi="Book Antiqua"/>
        </w:rPr>
      </w:pPr>
      <w:r>
        <w:rPr>
          <w:rFonts w:ascii="Book Antiqua" w:hAnsi="Book Antiqua"/>
        </w:rPr>
        <w:t xml:space="preserve">The Commission should coordinate the procurement track with consideration of a central procurement entity in the context of the resource adequacy proceeding and program. </w:t>
      </w:r>
    </w:p>
    <w:p w14:paraId="596066E2" w14:textId="77777777" w:rsidR="00B85309" w:rsidRPr="00467505" w:rsidRDefault="00B85309" w:rsidP="00872A78">
      <w:pPr>
        <w:pStyle w:val="standard"/>
        <w:numPr>
          <w:ilvl w:val="0"/>
          <w:numId w:val="7"/>
        </w:numPr>
        <w:ind w:firstLine="230"/>
        <w:rPr>
          <w:rFonts w:ascii="Book Antiqua" w:hAnsi="Book Antiqua"/>
        </w:rPr>
      </w:pPr>
      <w:r w:rsidRPr="00467505">
        <w:rPr>
          <w:rFonts w:ascii="Book Antiqua" w:hAnsi="Book Antiqua"/>
        </w:rPr>
        <w:t xml:space="preserve">The Commission should maintain its focus on keeping California control over the electricity resource choices to serve load in the state in the retail energy markets. </w:t>
      </w:r>
    </w:p>
    <w:p w14:paraId="6257E1F6" w14:textId="77777777" w:rsidR="000A36EF" w:rsidRPr="00467505" w:rsidRDefault="000A36EF" w:rsidP="00D84A09">
      <w:pPr>
        <w:pStyle w:val="standard"/>
        <w:numPr>
          <w:ilvl w:val="0"/>
          <w:numId w:val="7"/>
        </w:numPr>
        <w:ind w:firstLine="230"/>
        <w:rPr>
          <w:rFonts w:ascii="Book Antiqua" w:hAnsi="Book Antiqua"/>
        </w:rPr>
      </w:pPr>
      <w:r w:rsidRPr="00467505">
        <w:rPr>
          <w:rFonts w:ascii="Book Antiqua" w:hAnsi="Book Antiqua"/>
        </w:rPr>
        <w:t xml:space="preserve">The Commission should continue to utilize an assumption of 2024 and 2025 for retirement of the Diablo Canyon nuclear units in its GHG analysis for meeting the electric sector emissions targets by 2030. </w:t>
      </w:r>
    </w:p>
    <w:p w14:paraId="60848FDA" w14:textId="140FF28A" w:rsidR="000A36EF" w:rsidRDefault="000A36EF" w:rsidP="00D84A09">
      <w:pPr>
        <w:pStyle w:val="standard"/>
        <w:numPr>
          <w:ilvl w:val="0"/>
          <w:numId w:val="7"/>
        </w:numPr>
        <w:ind w:firstLine="230"/>
        <w:rPr>
          <w:rFonts w:ascii="Book Antiqua" w:hAnsi="Book Antiqua"/>
        </w:rPr>
      </w:pPr>
      <w:r w:rsidRPr="00467505">
        <w:rPr>
          <w:rFonts w:ascii="Book Antiqua" w:hAnsi="Book Antiqua"/>
        </w:rPr>
        <w:t>The Commission should require each LSE serving load within the PG&amp;E territory to explicitly address in its individual IRP</w:t>
      </w:r>
      <w:r w:rsidR="00EB4E8B">
        <w:rPr>
          <w:rFonts w:ascii="Book Antiqua" w:hAnsi="Book Antiqua"/>
        </w:rPr>
        <w:t xml:space="preserve"> beginning in 2020</w:t>
      </w:r>
      <w:r w:rsidRPr="00467505">
        <w:rPr>
          <w:rFonts w:ascii="Book Antiqua" w:hAnsi="Book Antiqua"/>
        </w:rPr>
        <w:t xml:space="preserve"> its plans to </w:t>
      </w:r>
      <w:r w:rsidR="00EB4E8B">
        <w:rPr>
          <w:rFonts w:ascii="Book Antiqua" w:hAnsi="Book Antiqua"/>
        </w:rPr>
        <w:t>replace the energy associated with</w:t>
      </w:r>
      <w:r w:rsidR="00EB4E8B" w:rsidRPr="00467505">
        <w:rPr>
          <w:rFonts w:ascii="Book Antiqua" w:hAnsi="Book Antiqua"/>
        </w:rPr>
        <w:t xml:space="preserve"> </w:t>
      </w:r>
      <w:r w:rsidRPr="00467505">
        <w:rPr>
          <w:rFonts w:ascii="Book Antiqua" w:hAnsi="Book Antiqua"/>
        </w:rPr>
        <w:t>the retirement of Diablo Canyon.</w:t>
      </w:r>
      <w:r w:rsidR="00EB4E8B">
        <w:rPr>
          <w:rFonts w:ascii="Book Antiqua" w:hAnsi="Book Antiqua"/>
        </w:rPr>
        <w:t xml:space="preserve"> </w:t>
      </w:r>
      <w:r w:rsidR="00872A78">
        <w:rPr>
          <w:rFonts w:ascii="Book Antiqua" w:hAnsi="Book Antiqua"/>
        </w:rPr>
        <w:t xml:space="preserve"> </w:t>
      </w:r>
      <w:r w:rsidR="00EB4E8B">
        <w:rPr>
          <w:rFonts w:ascii="Book Antiqua" w:hAnsi="Book Antiqua"/>
        </w:rPr>
        <w:t xml:space="preserve">Each individual plan should also detail the LSE’s approach to replacing the characteristics of Diablo Canyon output, particularly flexible baseload </w:t>
      </w:r>
      <w:r w:rsidR="00AB0EF7">
        <w:rPr>
          <w:rFonts w:ascii="Book Antiqua" w:hAnsi="Book Antiqua"/>
        </w:rPr>
        <w:t>and/</w:t>
      </w:r>
      <w:r w:rsidR="00EB4E8B">
        <w:rPr>
          <w:rFonts w:ascii="Book Antiqua" w:hAnsi="Book Antiqua"/>
        </w:rPr>
        <w:t xml:space="preserve">or firm low-emissions energy. </w:t>
      </w:r>
    </w:p>
    <w:p w14:paraId="588F9734" w14:textId="7D5E0269" w:rsidR="000128F8" w:rsidRDefault="000128F8" w:rsidP="00D84A09">
      <w:pPr>
        <w:pStyle w:val="standard"/>
        <w:numPr>
          <w:ilvl w:val="0"/>
          <w:numId w:val="7"/>
        </w:numPr>
        <w:ind w:firstLine="230"/>
        <w:rPr>
          <w:rFonts w:ascii="Book Antiqua" w:hAnsi="Book Antiqua"/>
        </w:rPr>
      </w:pPr>
      <w:r>
        <w:rPr>
          <w:rFonts w:ascii="Book Antiqua" w:hAnsi="Book Antiqua"/>
        </w:rPr>
        <w:t xml:space="preserve">The Commission should implement a citation program to ensure compliance with Public Utilities Code Sections 454.51 and 454.52. </w:t>
      </w:r>
    </w:p>
    <w:p w14:paraId="17A88D25" w14:textId="77777777" w:rsidR="00D85400" w:rsidRDefault="00D85400" w:rsidP="00D84A09">
      <w:pPr>
        <w:pStyle w:val="standard"/>
        <w:numPr>
          <w:ilvl w:val="0"/>
          <w:numId w:val="7"/>
        </w:numPr>
        <w:ind w:firstLine="230"/>
        <w:rPr>
          <w:rFonts w:ascii="Book Antiqua" w:hAnsi="Book Antiqua"/>
        </w:rPr>
      </w:pPr>
      <w:r>
        <w:rPr>
          <w:rFonts w:ascii="Book Antiqua" w:hAnsi="Book Antiqua"/>
        </w:rPr>
        <w:t xml:space="preserve">The Commission should, in future decisions adopting a PSP and approving or certifying individual LSE IRPs, include a finding as to whether the LSE has met its GHG benchmark or other indicator of its GHG emissions reduction responsibility. </w:t>
      </w:r>
    </w:p>
    <w:p w14:paraId="383B8375" w14:textId="77777777" w:rsidR="001D71B2" w:rsidRPr="00467505" w:rsidRDefault="001D71B2" w:rsidP="00D84A09">
      <w:pPr>
        <w:pStyle w:val="standard"/>
        <w:numPr>
          <w:ilvl w:val="0"/>
          <w:numId w:val="7"/>
        </w:numPr>
        <w:ind w:firstLine="230"/>
        <w:rPr>
          <w:rFonts w:ascii="Book Antiqua" w:hAnsi="Book Antiqua"/>
        </w:rPr>
      </w:pPr>
      <w:r>
        <w:rPr>
          <w:rFonts w:ascii="Book Antiqua" w:hAnsi="Book Antiqua"/>
        </w:rPr>
        <w:t xml:space="preserve">The Commission should require that all LSEs include, in their individual IRPs, conforming portfolios that ensure that they will meet their individual GHG benchmarks. </w:t>
      </w:r>
    </w:p>
    <w:p w14:paraId="5E2EF020" w14:textId="77777777" w:rsidR="00C31396" w:rsidRPr="00467505" w:rsidRDefault="00C31396" w:rsidP="00D84A09">
      <w:pPr>
        <w:pStyle w:val="standard"/>
        <w:numPr>
          <w:ilvl w:val="0"/>
          <w:numId w:val="7"/>
        </w:numPr>
        <w:ind w:firstLine="230"/>
        <w:rPr>
          <w:rFonts w:ascii="Book Antiqua" w:hAnsi="Book Antiqua"/>
        </w:rPr>
      </w:pPr>
      <w:r w:rsidRPr="00467505">
        <w:rPr>
          <w:rFonts w:ascii="Book Antiqua" w:hAnsi="Book Antiqua"/>
        </w:rPr>
        <w:t>It is reasonable to grant the September 12, 2018 motion of Cal Advocates to file its initial comments under seal.</w:t>
      </w:r>
    </w:p>
    <w:p w14:paraId="49BEE68C" w14:textId="77777777" w:rsidR="00C31396" w:rsidRPr="00467505" w:rsidRDefault="00C31396" w:rsidP="00D84A09">
      <w:pPr>
        <w:pStyle w:val="standard"/>
        <w:numPr>
          <w:ilvl w:val="0"/>
          <w:numId w:val="7"/>
        </w:numPr>
        <w:ind w:firstLine="230"/>
        <w:rPr>
          <w:rFonts w:ascii="Book Antiqua" w:hAnsi="Book Antiqua"/>
        </w:rPr>
      </w:pPr>
      <w:r w:rsidRPr="00467505">
        <w:rPr>
          <w:rFonts w:ascii="Book Antiqua" w:hAnsi="Book Antiqua"/>
        </w:rPr>
        <w:t>It is reasonable to grant the January 31, 2019 motion of SCE to file its comments on the PSP under seal.</w:t>
      </w:r>
    </w:p>
    <w:p w14:paraId="3B9F6A6B" w14:textId="77777777" w:rsidR="006F64E9" w:rsidRPr="006F64E9" w:rsidRDefault="006F64E9" w:rsidP="00551037">
      <w:pPr>
        <w:pStyle w:val="standard"/>
        <w:widowControl w:val="0"/>
        <w:spacing w:line="240" w:lineRule="auto"/>
        <w:rPr>
          <w:b/>
        </w:rPr>
      </w:pPr>
    </w:p>
    <w:p w14:paraId="6DC25160" w14:textId="77777777" w:rsidR="00AA78C6" w:rsidRPr="00AA78C6" w:rsidRDefault="00AA78C6" w:rsidP="00FA31A8">
      <w:pPr>
        <w:pStyle w:val="mainex"/>
        <w:keepNext/>
      </w:pPr>
      <w:bookmarkStart w:id="161" w:name="_Toc3803873"/>
      <w:r w:rsidRPr="00AA78C6">
        <w:t>ORDER</w:t>
      </w:r>
      <w:bookmarkEnd w:id="161"/>
    </w:p>
    <w:p w14:paraId="52B8CD27" w14:textId="77777777" w:rsidR="00AA78C6" w:rsidRPr="00AA78C6" w:rsidRDefault="00AA78C6" w:rsidP="00FA31A8">
      <w:pPr>
        <w:pStyle w:val="standard"/>
        <w:keepNext/>
        <w:spacing w:line="240" w:lineRule="auto"/>
        <w:rPr>
          <w:b/>
        </w:rPr>
      </w:pPr>
    </w:p>
    <w:p w14:paraId="16A345FC" w14:textId="77777777" w:rsidR="00AA78C6" w:rsidRPr="00AA78C6" w:rsidRDefault="00AA78C6" w:rsidP="00FA31A8">
      <w:pPr>
        <w:pStyle w:val="standard"/>
        <w:keepNext/>
        <w:rPr>
          <w:b/>
        </w:rPr>
      </w:pPr>
      <w:r w:rsidRPr="00AA78C6">
        <w:rPr>
          <w:b/>
        </w:rPr>
        <w:t xml:space="preserve">IT IS ORDERED </w:t>
      </w:r>
      <w:r w:rsidRPr="00AA78C6">
        <w:t>that</w:t>
      </w:r>
      <w:r w:rsidRPr="00AA78C6">
        <w:rPr>
          <w:b/>
        </w:rPr>
        <w:t>:</w:t>
      </w:r>
    </w:p>
    <w:p w14:paraId="10C08ED8" w14:textId="77777777" w:rsidR="00ED72F0" w:rsidRPr="00467505" w:rsidRDefault="00ED72F0" w:rsidP="00D84A09">
      <w:pPr>
        <w:pStyle w:val="standard"/>
        <w:numPr>
          <w:ilvl w:val="0"/>
          <w:numId w:val="2"/>
        </w:numPr>
        <w:ind w:firstLine="360"/>
        <w:rPr>
          <w:rFonts w:ascii="Book Antiqua" w:hAnsi="Book Antiqua"/>
        </w:rPr>
      </w:pPr>
      <w:r w:rsidRPr="00467505">
        <w:rPr>
          <w:rFonts w:ascii="Book Antiqua" w:hAnsi="Book Antiqua"/>
        </w:rPr>
        <w:t>The following load serving entities are approved as exempt from the requirement in Decision 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to file an individual integrated resource plan in 2018: </w:t>
      </w:r>
      <w:r w:rsidR="00DC47F2" w:rsidRPr="00467505">
        <w:rPr>
          <w:rFonts w:ascii="Book Antiqua" w:hAnsi="Book Antiqua"/>
        </w:rPr>
        <w:t xml:space="preserve"> </w:t>
      </w:r>
      <w:r w:rsidRPr="00467505">
        <w:rPr>
          <w:rFonts w:ascii="Book Antiqua" w:hAnsi="Book Antiqua"/>
        </w:rPr>
        <w:t>Anza Electric Cooperative, EnergyCal USA (doing business as YEP Energy), Gexa Energy California, Liberty Power Delaware, Liberty Power Holdings, Plumas Sierra Cooperative, Praxair Plainfield, Surprise Valley Electric Cooperative, and Valley Electric Association.</w:t>
      </w:r>
    </w:p>
    <w:p w14:paraId="4634B415" w14:textId="77777777" w:rsidR="00152A24" w:rsidRPr="00467505" w:rsidRDefault="00ED72F0" w:rsidP="00D84A09">
      <w:pPr>
        <w:pStyle w:val="standard"/>
        <w:numPr>
          <w:ilvl w:val="0"/>
          <w:numId w:val="2"/>
        </w:numPr>
        <w:ind w:firstLine="360"/>
        <w:rPr>
          <w:rFonts w:ascii="Book Antiqua" w:hAnsi="Book Antiqua"/>
        </w:rPr>
      </w:pPr>
      <w:r w:rsidRPr="00467505">
        <w:rPr>
          <w:rFonts w:ascii="Book Antiqua" w:hAnsi="Book Antiqua"/>
        </w:rPr>
        <w:t>The individual integrated resource plans filed in 2018 in compliance with Decision 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are hereby approved for the following investor</w:t>
      </w:r>
      <w:r w:rsidR="00D84A09" w:rsidRPr="00467505">
        <w:rPr>
          <w:rFonts w:ascii="Book Antiqua" w:hAnsi="Book Antiqua"/>
        </w:rPr>
        <w:noBreakHyphen/>
      </w:r>
      <w:r w:rsidRPr="00467505">
        <w:rPr>
          <w:rFonts w:ascii="Book Antiqua" w:hAnsi="Book Antiqua"/>
        </w:rPr>
        <w:t xml:space="preserve">owned utilities: </w:t>
      </w:r>
      <w:r w:rsidR="00DC47F2" w:rsidRPr="00467505">
        <w:rPr>
          <w:rFonts w:ascii="Book Antiqua" w:hAnsi="Book Antiqua"/>
        </w:rPr>
        <w:t xml:space="preserve"> </w:t>
      </w:r>
      <w:r w:rsidRPr="00467505">
        <w:rPr>
          <w:rFonts w:ascii="Book Antiqua" w:hAnsi="Book Antiqua"/>
        </w:rPr>
        <w:t>Bear Valley Electric Service, Liberty Utilities, Pacific Gas and Electric, PacifiCorp, San Diego Gas &amp; Electric, and Southern California Edison</w:t>
      </w:r>
      <w:r w:rsidR="00FA32DC" w:rsidRPr="00467505">
        <w:rPr>
          <w:rFonts w:ascii="Book Antiqua" w:hAnsi="Book Antiqua"/>
        </w:rPr>
        <w:t>.</w:t>
      </w:r>
    </w:p>
    <w:p w14:paraId="6EED6BA2" w14:textId="77777777" w:rsidR="00421B35" w:rsidRPr="00467505" w:rsidRDefault="00421B35" w:rsidP="00D84A09">
      <w:pPr>
        <w:pStyle w:val="standard"/>
        <w:numPr>
          <w:ilvl w:val="0"/>
          <w:numId w:val="2"/>
        </w:numPr>
        <w:ind w:firstLine="360"/>
        <w:rPr>
          <w:rFonts w:ascii="Book Antiqua" w:hAnsi="Book Antiqua"/>
        </w:rPr>
      </w:pPr>
      <w:r w:rsidRPr="00467505">
        <w:rPr>
          <w:rFonts w:ascii="Book Antiqua" w:hAnsi="Book Antiqua"/>
        </w:rPr>
        <w:t>The individual integrated resource plans filed in 2018 in compliance with Decision 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are hereby approved for the following electric service providers: 3 Phases Renewables, Agera Energy, American PowerNet Management, Calpine Energy Solutions, Calpine PowerAmerica CA, Direct Energy Business, EDF Industrial Power Services, Just Energy Solutions, Regents of the University of California, and Tiger Natural Gas.</w:t>
      </w:r>
    </w:p>
    <w:p w14:paraId="2547162C" w14:textId="77777777" w:rsidR="005A4A20" w:rsidRPr="00467505" w:rsidRDefault="00026A78" w:rsidP="00D84A09">
      <w:pPr>
        <w:pStyle w:val="standard"/>
        <w:numPr>
          <w:ilvl w:val="0"/>
          <w:numId w:val="2"/>
        </w:numPr>
        <w:ind w:firstLine="360"/>
        <w:rPr>
          <w:rFonts w:ascii="Book Antiqua" w:hAnsi="Book Antiqua"/>
        </w:rPr>
      </w:pPr>
      <w:r w:rsidRPr="00467505">
        <w:rPr>
          <w:rFonts w:ascii="Book Antiqua" w:hAnsi="Book Antiqua"/>
        </w:rPr>
        <w:t>The individual integrated resource plans filed in 2018 in compliance with Decision 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 xml:space="preserve">018 are hereby certified for the following community choice aggregators: </w:t>
      </w:r>
      <w:r w:rsidR="00DC47F2" w:rsidRPr="00467505">
        <w:rPr>
          <w:rFonts w:ascii="Book Antiqua" w:hAnsi="Book Antiqua"/>
        </w:rPr>
        <w:t xml:space="preserve"> </w:t>
      </w:r>
      <w:r w:rsidRPr="00467505">
        <w:rPr>
          <w:rFonts w:ascii="Book Antiqua" w:hAnsi="Book Antiqua"/>
        </w:rPr>
        <w:t>Desert Community Energy, Peninsula Clean Energy Authority, Redwood Coast Energy Authority, and Solana Energy Alliance.</w:t>
      </w:r>
    </w:p>
    <w:p w14:paraId="332A5440" w14:textId="30B46EAB" w:rsidR="00026A78" w:rsidRPr="00467505" w:rsidRDefault="00F30443" w:rsidP="00D84A09">
      <w:pPr>
        <w:pStyle w:val="standard"/>
        <w:numPr>
          <w:ilvl w:val="0"/>
          <w:numId w:val="2"/>
        </w:numPr>
        <w:ind w:firstLine="360"/>
        <w:rPr>
          <w:rFonts w:ascii="Book Antiqua" w:hAnsi="Book Antiqua"/>
        </w:rPr>
      </w:pPr>
      <w:r w:rsidRPr="00467505">
        <w:rPr>
          <w:rFonts w:ascii="Book Antiqua" w:hAnsi="Book Antiqua"/>
        </w:rPr>
        <w:t>The following electric service providers</w:t>
      </w:r>
      <w:r w:rsidR="000128F8">
        <w:rPr>
          <w:rFonts w:ascii="Book Antiqua" w:hAnsi="Book Antiqua"/>
        </w:rPr>
        <w:t>’ individual integrated resource plans (IRPs) are not approved in this decision and they</w:t>
      </w:r>
      <w:r w:rsidRPr="00467505">
        <w:rPr>
          <w:rFonts w:ascii="Book Antiqua" w:hAnsi="Book Antiqua"/>
        </w:rPr>
        <w:t xml:space="preserve"> shall file supplemental numerical information about the criteria pollutant emissions (nitrous oxides and particulate matter) associated with serving the load in their portfolios, in at least the four study years of 2018, 2022, 2026, and 2030, via a Tier 2 Advice Letter no later than June 1</w:t>
      </w:r>
      <w:r w:rsidR="0024405E">
        <w:rPr>
          <w:rFonts w:ascii="Book Antiqua" w:hAnsi="Book Antiqua"/>
        </w:rPr>
        <w:t>4</w:t>
      </w:r>
      <w:r w:rsidRPr="00467505">
        <w:rPr>
          <w:rFonts w:ascii="Book Antiqua" w:hAnsi="Book Antiqua"/>
        </w:rPr>
        <w:t xml:space="preserve">, 2019: </w:t>
      </w:r>
      <w:r w:rsidR="00DC47F2" w:rsidRPr="00467505">
        <w:rPr>
          <w:rFonts w:ascii="Book Antiqua" w:hAnsi="Book Antiqua"/>
        </w:rPr>
        <w:t xml:space="preserve"> </w:t>
      </w:r>
      <w:r w:rsidRPr="00467505">
        <w:rPr>
          <w:rFonts w:ascii="Book Antiqua" w:hAnsi="Book Antiqua"/>
        </w:rPr>
        <w:t>Constellation NewEnergy and Shell Energy.</w:t>
      </w:r>
    </w:p>
    <w:p w14:paraId="79EEF2EA" w14:textId="6D13313F" w:rsidR="00B87253" w:rsidRPr="00467505" w:rsidRDefault="00F30443" w:rsidP="00D84A09">
      <w:pPr>
        <w:pStyle w:val="standard"/>
        <w:numPr>
          <w:ilvl w:val="0"/>
          <w:numId w:val="2"/>
        </w:numPr>
        <w:ind w:firstLine="360"/>
        <w:rPr>
          <w:rFonts w:ascii="Book Antiqua" w:hAnsi="Book Antiqua"/>
        </w:rPr>
      </w:pPr>
      <w:r w:rsidRPr="00467505">
        <w:rPr>
          <w:rFonts w:ascii="Book Antiqua" w:hAnsi="Book Antiqua"/>
        </w:rPr>
        <w:t>The following community choice aggregators</w:t>
      </w:r>
      <w:r w:rsidR="00240A78">
        <w:rPr>
          <w:rFonts w:ascii="Book Antiqua" w:hAnsi="Book Antiqua"/>
        </w:rPr>
        <w:t>’ individual integrated resource plans (IRPs) are not certified in this decision and they</w:t>
      </w:r>
      <w:r w:rsidRPr="00467505">
        <w:rPr>
          <w:rFonts w:ascii="Book Antiqua" w:hAnsi="Book Antiqua"/>
        </w:rPr>
        <w:t xml:space="preserve"> shall file supplemental numerical information about the criteria pollutant emissions (nitrous oxides and particulate matter) associated with serving the load in their portfolios, in at least the four study years of 2018, 2022, 2026, and 2030, via a Tier 2 Advice Letter no later than June 1</w:t>
      </w:r>
      <w:r w:rsidR="0024405E">
        <w:rPr>
          <w:rFonts w:ascii="Book Antiqua" w:hAnsi="Book Antiqua"/>
        </w:rPr>
        <w:t>4</w:t>
      </w:r>
      <w:r w:rsidRPr="00467505">
        <w:rPr>
          <w:rFonts w:ascii="Book Antiqua" w:hAnsi="Book Antiqua"/>
        </w:rPr>
        <w:t xml:space="preserve">, 2019: </w:t>
      </w:r>
      <w:r w:rsidR="00DC47F2" w:rsidRPr="00467505">
        <w:rPr>
          <w:rFonts w:ascii="Book Antiqua" w:hAnsi="Book Antiqua"/>
        </w:rPr>
        <w:t xml:space="preserve"> </w:t>
      </w:r>
      <w:r w:rsidRPr="00467505">
        <w:rPr>
          <w:rFonts w:ascii="Book Antiqua" w:hAnsi="Book Antiqua"/>
        </w:rPr>
        <w:t>Apple Valley Choice Energy, Clean Power Alliance of Southern California, CleanPower San Francisco, East Bay Community Energy, King City Community Power, Lancaster Choice Energy, Marin Clean Energy, Monterey Bay Clean Power Authority, Pico Rivera Innovative Municipal Energy, Pilot Power Group, Pioneer Community Energy, Rancho Mirage Energy Authority, San Jacinto Power, San Jose Clean Energy, Silicon Valley Clean Energy Authority, Sonoma Clean Power Authority, and Valley Clean Energy Alliance.</w:t>
      </w:r>
    </w:p>
    <w:p w14:paraId="5EE9E8C7" w14:textId="77777777" w:rsidR="00F30443" w:rsidRPr="00467505" w:rsidRDefault="00EE75BC" w:rsidP="00D84A09">
      <w:pPr>
        <w:pStyle w:val="standard"/>
        <w:numPr>
          <w:ilvl w:val="0"/>
          <w:numId w:val="2"/>
        </w:numPr>
        <w:ind w:firstLine="360"/>
        <w:rPr>
          <w:rFonts w:ascii="Book Antiqua" w:hAnsi="Book Antiqua"/>
        </w:rPr>
      </w:pPr>
      <w:r w:rsidRPr="00467505">
        <w:rPr>
          <w:rFonts w:ascii="Book Antiqua" w:hAnsi="Book Antiqua"/>
        </w:rPr>
        <w:t>Liberty Utilities (CalPeco Electric) is authorized to conduct a solicitation for short</w:t>
      </w:r>
      <w:r w:rsidR="00D84A09" w:rsidRPr="00467505">
        <w:rPr>
          <w:rFonts w:ascii="Book Antiqua" w:hAnsi="Book Antiqua"/>
        </w:rPr>
        <w:noBreakHyphen/>
      </w:r>
      <w:r w:rsidRPr="00467505">
        <w:rPr>
          <w:rFonts w:ascii="Book Antiqua" w:hAnsi="Book Antiqua"/>
        </w:rPr>
        <w:t xml:space="preserve">term electricity resources and file the resulting contract(s) as Tier 2 Advice Letters for Commission consideration. </w:t>
      </w:r>
      <w:r w:rsidR="00F571CA" w:rsidRPr="00467505">
        <w:rPr>
          <w:rFonts w:ascii="Book Antiqua" w:hAnsi="Book Antiqua"/>
        </w:rPr>
        <w:t xml:space="preserve"> </w:t>
      </w:r>
      <w:r w:rsidRPr="00467505">
        <w:rPr>
          <w:rFonts w:ascii="Book Antiqua" w:hAnsi="Book Antiqua"/>
        </w:rPr>
        <w:t>The resulting cost allocation issues, if any, may be handled in its next upcoming energy cost adjustment clause proceeding.</w:t>
      </w:r>
    </w:p>
    <w:p w14:paraId="4E93F82D" w14:textId="21C50359" w:rsidR="00EE75BC" w:rsidRPr="00467505" w:rsidRDefault="00334071" w:rsidP="00D84A09">
      <w:pPr>
        <w:pStyle w:val="standard"/>
        <w:numPr>
          <w:ilvl w:val="0"/>
          <w:numId w:val="2"/>
        </w:numPr>
        <w:ind w:firstLine="360"/>
        <w:rPr>
          <w:rFonts w:ascii="Book Antiqua" w:hAnsi="Book Antiqua"/>
        </w:rPr>
      </w:pPr>
      <w:r w:rsidRPr="00467505">
        <w:rPr>
          <w:rFonts w:ascii="Book Antiqua" w:hAnsi="Book Antiqua"/>
        </w:rPr>
        <w:t>All load</w:t>
      </w:r>
      <w:r w:rsidR="00D84A09" w:rsidRPr="00467505">
        <w:rPr>
          <w:rFonts w:ascii="Book Antiqua" w:hAnsi="Book Antiqua"/>
        </w:rPr>
        <w:noBreakHyphen/>
      </w:r>
      <w:r w:rsidRPr="00467505">
        <w:rPr>
          <w:rFonts w:ascii="Book Antiqua" w:hAnsi="Book Antiqua"/>
        </w:rPr>
        <w:t xml:space="preserve">serving entities shall provide, by </w:t>
      </w:r>
      <w:r w:rsidR="00D20449">
        <w:rPr>
          <w:rFonts w:ascii="Book Antiqua" w:hAnsi="Book Antiqua"/>
        </w:rPr>
        <w:t>August</w:t>
      </w:r>
      <w:r w:rsidR="00D20449" w:rsidRPr="00467505">
        <w:rPr>
          <w:rFonts w:ascii="Book Antiqua" w:hAnsi="Book Antiqua"/>
        </w:rPr>
        <w:t xml:space="preserve"> </w:t>
      </w:r>
      <w:r w:rsidRPr="00467505">
        <w:rPr>
          <w:rFonts w:ascii="Book Antiqua" w:hAnsi="Book Antiqua"/>
        </w:rPr>
        <w:t>1</w:t>
      </w:r>
      <w:r w:rsidR="00D20449">
        <w:rPr>
          <w:rFonts w:ascii="Book Antiqua" w:hAnsi="Book Antiqua"/>
        </w:rPr>
        <w:t>6</w:t>
      </w:r>
      <w:r w:rsidRPr="00467505">
        <w:rPr>
          <w:rFonts w:ascii="Book Antiqua" w:hAnsi="Book Antiqua"/>
        </w:rPr>
        <w:t>, 2019 informally to Commission staff and thereafter in each subsequent individual integrated resource plan filed, detailed information about the contractual status and development status of each individual electricity resource included in their portfolio</w:t>
      </w:r>
      <w:r w:rsidR="00955016">
        <w:rPr>
          <w:rFonts w:ascii="Book Antiqua" w:hAnsi="Book Antiqua"/>
        </w:rPr>
        <w:t>s</w:t>
      </w:r>
      <w:r w:rsidRPr="00467505">
        <w:rPr>
          <w:rFonts w:ascii="Book Antiqua" w:hAnsi="Book Antiqua"/>
        </w:rPr>
        <w:t xml:space="preserve">. </w:t>
      </w:r>
    </w:p>
    <w:p w14:paraId="1DA4C70B" w14:textId="77777777" w:rsidR="00A07763" w:rsidRPr="00467505" w:rsidRDefault="00A07763" w:rsidP="00D84A09">
      <w:pPr>
        <w:pStyle w:val="standard"/>
        <w:numPr>
          <w:ilvl w:val="0"/>
          <w:numId w:val="2"/>
        </w:numPr>
        <w:ind w:firstLine="360"/>
        <w:rPr>
          <w:rFonts w:ascii="Book Antiqua" w:hAnsi="Book Antiqua"/>
        </w:rPr>
      </w:pPr>
      <w:r w:rsidRPr="00467505">
        <w:rPr>
          <w:rFonts w:ascii="Book Antiqua" w:hAnsi="Book Antiqua"/>
        </w:rPr>
        <w:t xml:space="preserve">The Preferred System Portfolio shall be based on the Reference System </w:t>
      </w:r>
      <w:r w:rsidR="00955016">
        <w:rPr>
          <w:rFonts w:ascii="Book Antiqua" w:hAnsi="Book Antiqua"/>
        </w:rPr>
        <w:t>Portfolio</w:t>
      </w:r>
      <w:r w:rsidR="00955016" w:rsidRPr="00467505">
        <w:rPr>
          <w:rFonts w:ascii="Book Antiqua" w:hAnsi="Book Antiqua"/>
        </w:rPr>
        <w:t xml:space="preserve"> </w:t>
      </w:r>
      <w:r w:rsidRPr="00467505">
        <w:rPr>
          <w:rFonts w:ascii="Book Antiqua" w:hAnsi="Book Antiqua"/>
        </w:rPr>
        <w:t>adopted in Decision 18</w:t>
      </w:r>
      <w:r w:rsidR="00D84A09" w:rsidRPr="00467505">
        <w:rPr>
          <w:rFonts w:ascii="Book Antiqua" w:hAnsi="Book Antiqua"/>
        </w:rPr>
        <w:noBreakHyphen/>
      </w:r>
      <w:r w:rsidRPr="00467505">
        <w:rPr>
          <w:rFonts w:ascii="Book Antiqua" w:hAnsi="Book Antiqua"/>
        </w:rPr>
        <w:t>02</w:t>
      </w:r>
      <w:r w:rsidR="00D84A09" w:rsidRPr="00467505">
        <w:rPr>
          <w:rFonts w:ascii="Book Antiqua" w:hAnsi="Book Antiqua"/>
        </w:rPr>
        <w:noBreakHyphen/>
      </w:r>
      <w:r w:rsidRPr="00467505">
        <w:rPr>
          <w:rFonts w:ascii="Book Antiqua" w:hAnsi="Book Antiqua"/>
        </w:rPr>
        <w:t>018, updated with adjustments to reflect the 2017 Integrated Energy Policy Report assumptions, utilizing a 40</w:t>
      </w:r>
      <w:r w:rsidR="00D84A09" w:rsidRPr="00467505">
        <w:rPr>
          <w:rFonts w:ascii="Book Antiqua" w:hAnsi="Book Antiqua"/>
        </w:rPr>
        <w:noBreakHyphen/>
      </w:r>
      <w:r w:rsidRPr="00467505">
        <w:rPr>
          <w:rFonts w:ascii="Book Antiqua" w:hAnsi="Book Antiqua"/>
        </w:rPr>
        <w:t>year life assumption for fossil</w:t>
      </w:r>
      <w:r w:rsidR="00D84A09" w:rsidRPr="00467505">
        <w:rPr>
          <w:rFonts w:ascii="Book Antiqua" w:hAnsi="Book Antiqua"/>
        </w:rPr>
        <w:noBreakHyphen/>
      </w:r>
      <w:r w:rsidRPr="00467505">
        <w:rPr>
          <w:rFonts w:ascii="Book Antiqua" w:hAnsi="Book Antiqua"/>
        </w:rPr>
        <w:t>fueled generation, and updated with the most recent transmission cost and availability information from the California Independent System Operator’s 2018</w:t>
      </w:r>
      <w:r w:rsidR="00D84A09" w:rsidRPr="00467505">
        <w:rPr>
          <w:rFonts w:ascii="Book Antiqua" w:hAnsi="Book Antiqua"/>
        </w:rPr>
        <w:noBreakHyphen/>
      </w:r>
      <w:r w:rsidRPr="00467505">
        <w:rPr>
          <w:rFonts w:ascii="Book Antiqua" w:hAnsi="Book Antiqua"/>
        </w:rPr>
        <w:t>19 Transmission Planning Process</w:t>
      </w:r>
      <w:r w:rsidR="00317BB8">
        <w:rPr>
          <w:rFonts w:ascii="Book Antiqua" w:hAnsi="Book Antiqua"/>
        </w:rPr>
        <w:t xml:space="preserve"> and Generation Interconnection Deliverability Allocation Procedures studies</w:t>
      </w:r>
      <w:r w:rsidRPr="00467505">
        <w:rPr>
          <w:rFonts w:ascii="Book Antiqua" w:hAnsi="Book Antiqua"/>
        </w:rPr>
        <w:t xml:space="preserve">. </w:t>
      </w:r>
    </w:p>
    <w:p w14:paraId="5574ABAA" w14:textId="77777777" w:rsidR="008A67C2" w:rsidRPr="00D07949" w:rsidRDefault="00615F1F" w:rsidP="00D07949">
      <w:pPr>
        <w:pStyle w:val="standard"/>
        <w:numPr>
          <w:ilvl w:val="0"/>
          <w:numId w:val="2"/>
        </w:numPr>
        <w:ind w:firstLine="230"/>
        <w:rPr>
          <w:rFonts w:ascii="Book Antiqua" w:hAnsi="Book Antiqua"/>
        </w:rPr>
      </w:pPr>
      <w:r w:rsidRPr="00183531">
        <w:rPr>
          <w:rFonts w:ascii="Book Antiqua" w:hAnsi="Book Antiqua"/>
        </w:rPr>
        <w:t xml:space="preserve">The Commission transmits to the California Independent System Operator </w:t>
      </w:r>
      <w:r w:rsidR="00412E73">
        <w:rPr>
          <w:rFonts w:ascii="Book Antiqua" w:hAnsi="Book Antiqua"/>
        </w:rPr>
        <w:t xml:space="preserve">(CAISO) </w:t>
      </w:r>
      <w:r w:rsidRPr="00183531">
        <w:rPr>
          <w:rFonts w:ascii="Book Antiqua" w:hAnsi="Book Antiqua"/>
        </w:rPr>
        <w:t>for use in its 2018</w:t>
      </w:r>
      <w:r w:rsidR="00D84A09" w:rsidRPr="00183531">
        <w:rPr>
          <w:rFonts w:ascii="Book Antiqua" w:hAnsi="Book Antiqua"/>
        </w:rPr>
        <w:noBreakHyphen/>
      </w:r>
      <w:r w:rsidRPr="00183531">
        <w:rPr>
          <w:rFonts w:ascii="Book Antiqua" w:hAnsi="Book Antiqua"/>
        </w:rPr>
        <w:t>19 Transmission Planning Proce</w:t>
      </w:r>
      <w:r w:rsidRPr="00412E73">
        <w:rPr>
          <w:rFonts w:ascii="Book Antiqua" w:hAnsi="Book Antiqua"/>
        </w:rPr>
        <w:t>ss</w:t>
      </w:r>
      <w:r w:rsidR="00412E73">
        <w:rPr>
          <w:rFonts w:ascii="Book Antiqua" w:hAnsi="Book Antiqua"/>
        </w:rPr>
        <w:t xml:space="preserve"> (TPP)</w:t>
      </w:r>
      <w:r w:rsidRPr="00412E73">
        <w:rPr>
          <w:rFonts w:ascii="Book Antiqua" w:hAnsi="Book Antiqua"/>
        </w:rPr>
        <w:t xml:space="preserve"> the Preferred System Portfolio adopted in Ordering Paragraph </w:t>
      </w:r>
      <w:r w:rsidR="00B03BBB" w:rsidRPr="00412E73">
        <w:rPr>
          <w:rFonts w:ascii="Book Antiqua" w:hAnsi="Book Antiqua"/>
        </w:rPr>
        <w:t>9</w:t>
      </w:r>
      <w:r w:rsidRPr="00412E73">
        <w:rPr>
          <w:rFonts w:ascii="Book Antiqua" w:hAnsi="Book Antiqua"/>
        </w:rPr>
        <w:t xml:space="preserve"> above, as both the reliability base case and the policy</w:t>
      </w:r>
      <w:r w:rsidR="00D84A09" w:rsidRPr="00412E73">
        <w:rPr>
          <w:rFonts w:ascii="Book Antiqua" w:hAnsi="Book Antiqua"/>
        </w:rPr>
        <w:noBreakHyphen/>
      </w:r>
      <w:r w:rsidRPr="00412E73">
        <w:rPr>
          <w:rFonts w:ascii="Book Antiqua" w:hAnsi="Book Antiqua"/>
        </w:rPr>
        <w:t>driven base case.</w:t>
      </w:r>
      <w:r w:rsidR="00183531">
        <w:rPr>
          <w:rFonts w:ascii="Book Antiqua" w:hAnsi="Book Antiqua"/>
        </w:rPr>
        <w:t xml:space="preserve">  </w:t>
      </w:r>
      <w:r w:rsidRPr="00183531">
        <w:rPr>
          <w:rFonts w:ascii="Book Antiqua" w:hAnsi="Book Antiqua"/>
        </w:rPr>
        <w:t xml:space="preserve">The Commission </w:t>
      </w:r>
      <w:r w:rsidR="00412E73">
        <w:rPr>
          <w:rFonts w:ascii="Book Antiqua" w:hAnsi="Book Antiqua"/>
        </w:rPr>
        <w:t xml:space="preserve">also </w:t>
      </w:r>
      <w:r w:rsidRPr="00183531">
        <w:rPr>
          <w:rFonts w:ascii="Book Antiqua" w:hAnsi="Book Antiqua"/>
        </w:rPr>
        <w:t xml:space="preserve">transmits to the </w:t>
      </w:r>
      <w:r w:rsidR="00412E73">
        <w:rPr>
          <w:rFonts w:ascii="Book Antiqua" w:hAnsi="Book Antiqua"/>
        </w:rPr>
        <w:t>CAISO</w:t>
      </w:r>
      <w:r w:rsidRPr="00183531">
        <w:rPr>
          <w:rFonts w:ascii="Book Antiqua" w:hAnsi="Book Antiqua"/>
        </w:rPr>
        <w:t xml:space="preserve"> for use in its 2018</w:t>
      </w:r>
      <w:r w:rsidR="00D84A09" w:rsidRPr="00412E73">
        <w:rPr>
          <w:rFonts w:ascii="Book Antiqua" w:hAnsi="Book Antiqua"/>
        </w:rPr>
        <w:noBreakHyphen/>
      </w:r>
      <w:r w:rsidRPr="00412E73">
        <w:rPr>
          <w:rFonts w:ascii="Book Antiqua" w:hAnsi="Book Antiqua"/>
        </w:rPr>
        <w:t xml:space="preserve">19 </w:t>
      </w:r>
      <w:r w:rsidR="00412E73">
        <w:rPr>
          <w:rFonts w:ascii="Book Antiqua" w:hAnsi="Book Antiqua"/>
        </w:rPr>
        <w:t>TPP</w:t>
      </w:r>
      <w:r w:rsidRPr="00412E73">
        <w:rPr>
          <w:rFonts w:ascii="Book Antiqua" w:hAnsi="Book Antiqua"/>
        </w:rPr>
        <w:t xml:space="preserve"> two distinct portfolios for study as policy</w:t>
      </w:r>
      <w:r w:rsidR="00D84A09" w:rsidRPr="00412E73">
        <w:rPr>
          <w:rFonts w:ascii="Book Antiqua" w:hAnsi="Book Antiqua"/>
        </w:rPr>
        <w:noBreakHyphen/>
      </w:r>
      <w:r w:rsidRPr="00412E73">
        <w:rPr>
          <w:rFonts w:ascii="Book Antiqua" w:hAnsi="Book Antiqua"/>
        </w:rPr>
        <w:t xml:space="preserve">driven sensitivities: </w:t>
      </w:r>
      <w:r w:rsidR="00DC47F2" w:rsidRPr="00412E73">
        <w:rPr>
          <w:rFonts w:ascii="Book Antiqua" w:hAnsi="Book Antiqua"/>
        </w:rPr>
        <w:t xml:space="preserve"> </w:t>
      </w:r>
      <w:r w:rsidRPr="00412E73">
        <w:rPr>
          <w:rFonts w:ascii="Book Antiqua" w:hAnsi="Book Antiqua"/>
        </w:rPr>
        <w:t>one portfolio representing heavily in</w:t>
      </w:r>
      <w:r w:rsidR="00D84A09" w:rsidRPr="00412E73">
        <w:rPr>
          <w:rFonts w:ascii="Book Antiqua" w:hAnsi="Book Antiqua"/>
        </w:rPr>
        <w:noBreakHyphen/>
      </w:r>
      <w:r w:rsidRPr="00412E73">
        <w:rPr>
          <w:rFonts w:ascii="Book Antiqua" w:hAnsi="Book Antiqua"/>
        </w:rPr>
        <w:t>state development of renewables and another representing reliance on out</w:t>
      </w:r>
      <w:r w:rsidR="00D84A09" w:rsidRPr="00412E73">
        <w:rPr>
          <w:rFonts w:ascii="Book Antiqua" w:hAnsi="Book Antiqua"/>
        </w:rPr>
        <w:noBreakHyphen/>
      </w:r>
      <w:r w:rsidRPr="00412E73">
        <w:rPr>
          <w:rFonts w:ascii="Book Antiqua" w:hAnsi="Book Antiqua"/>
        </w:rPr>
        <w:t>of</w:t>
      </w:r>
      <w:r w:rsidR="00D84A09" w:rsidRPr="00412E73">
        <w:rPr>
          <w:rFonts w:ascii="Book Antiqua" w:hAnsi="Book Antiqua"/>
        </w:rPr>
        <w:noBreakHyphen/>
      </w:r>
      <w:r w:rsidRPr="00412E73">
        <w:rPr>
          <w:rFonts w:ascii="Book Antiqua" w:hAnsi="Book Antiqua"/>
        </w:rPr>
        <w:t xml:space="preserve">state renewables, primarily wind from New Mexico and Wyoming. </w:t>
      </w:r>
      <w:r w:rsidR="00F571CA" w:rsidRPr="00412E73">
        <w:rPr>
          <w:rFonts w:ascii="Book Antiqua" w:hAnsi="Book Antiqua"/>
        </w:rPr>
        <w:t xml:space="preserve"> </w:t>
      </w:r>
      <w:r w:rsidR="00412E73">
        <w:rPr>
          <w:rFonts w:ascii="Book Antiqua" w:hAnsi="Book Antiqua"/>
        </w:rPr>
        <w:t>All</w:t>
      </w:r>
      <w:r w:rsidR="00412E73" w:rsidRPr="00412E73">
        <w:rPr>
          <w:rFonts w:ascii="Book Antiqua" w:hAnsi="Book Antiqua"/>
        </w:rPr>
        <w:t xml:space="preserve"> </w:t>
      </w:r>
      <w:r w:rsidRPr="00412E73">
        <w:rPr>
          <w:rFonts w:ascii="Book Antiqua" w:hAnsi="Book Antiqua"/>
        </w:rPr>
        <w:t xml:space="preserve">portfolios are available at: </w:t>
      </w:r>
      <w:r>
        <w:t>http://www.cpuc.ca.gov/General.aspx?id=6442460548</w:t>
      </w:r>
      <w:r w:rsidR="008A67C2" w:rsidRPr="00D07949">
        <w:rPr>
          <w:rFonts w:ascii="Book Antiqua" w:hAnsi="Book Antiqua"/>
        </w:rPr>
        <w:t xml:space="preserve">. </w:t>
      </w:r>
    </w:p>
    <w:p w14:paraId="77EA7B36" w14:textId="410D0677" w:rsidR="00B87253" w:rsidRPr="00D07949" w:rsidRDefault="00B87253" w:rsidP="00152B2B">
      <w:pPr>
        <w:pStyle w:val="standard"/>
        <w:numPr>
          <w:ilvl w:val="0"/>
          <w:numId w:val="2"/>
        </w:numPr>
        <w:ind w:right="720" w:firstLine="230"/>
        <w:rPr>
          <w:rFonts w:ascii="Book Antiqua" w:hAnsi="Book Antiqua"/>
        </w:rPr>
      </w:pPr>
      <w:r w:rsidRPr="008A67C2">
        <w:rPr>
          <w:rFonts w:ascii="Book Antiqua" w:hAnsi="Book Antiqua"/>
        </w:rPr>
        <w:t xml:space="preserve">The Commission hereby institutes a procurement track, </w:t>
      </w:r>
      <w:r w:rsidR="004143BD">
        <w:rPr>
          <w:rFonts w:ascii="Book Antiqua" w:hAnsi="Book Antiqua"/>
        </w:rPr>
        <w:t>to be informed by</w:t>
      </w:r>
      <w:r w:rsidR="004143BD" w:rsidRPr="008A67C2">
        <w:rPr>
          <w:rFonts w:ascii="Book Antiqua" w:hAnsi="Book Antiqua"/>
        </w:rPr>
        <w:t xml:space="preserve"> </w:t>
      </w:r>
      <w:r w:rsidRPr="008A67C2">
        <w:rPr>
          <w:rFonts w:ascii="Book Antiqua" w:hAnsi="Book Antiqua"/>
        </w:rPr>
        <w:t>the planning activities in this proceeding</w:t>
      </w:r>
      <w:r w:rsidR="00183B23">
        <w:rPr>
          <w:rFonts w:ascii="Book Antiqua" w:hAnsi="Book Antiqua"/>
        </w:rPr>
        <w:t>.</w:t>
      </w:r>
      <w:r w:rsidR="00152B2B">
        <w:rPr>
          <w:rFonts w:ascii="Book Antiqua" w:hAnsi="Book Antiqua"/>
        </w:rPr>
        <w:t xml:space="preserve"> </w:t>
      </w:r>
      <w:r w:rsidR="00183B23">
        <w:rPr>
          <w:rFonts w:ascii="Book Antiqua" w:hAnsi="Book Antiqua"/>
        </w:rPr>
        <w:t xml:space="preserve"> The procurement track will, in the near term, focus on backstop procurement when individual load-serving entities (LSEs) fail to secure the appropriate resources to serve their load or to meet the commitments outlined in their individual integrated resource plans, as well as procurement that may require collective action by multiple LSEs.</w:t>
      </w:r>
      <w:r w:rsidR="00152B2B">
        <w:rPr>
          <w:rFonts w:ascii="Book Antiqua" w:hAnsi="Book Antiqua"/>
        </w:rPr>
        <w:t xml:space="preserve"> </w:t>
      </w:r>
      <w:r w:rsidR="00183B23">
        <w:rPr>
          <w:rFonts w:ascii="Book Antiqua" w:hAnsi="Book Antiqua"/>
        </w:rPr>
        <w:t xml:space="preserve"> The procurement track will</w:t>
      </w:r>
      <w:r w:rsidRPr="008A67C2">
        <w:rPr>
          <w:rFonts w:ascii="Book Antiqua" w:hAnsi="Book Antiqua"/>
        </w:rPr>
        <w:t xml:space="preserve"> evaluate the need for the following types of resources: </w:t>
      </w:r>
      <w:r w:rsidR="00DC47F2" w:rsidRPr="00183531">
        <w:rPr>
          <w:rFonts w:ascii="Book Antiqua" w:hAnsi="Book Antiqua"/>
        </w:rPr>
        <w:t xml:space="preserve"> </w:t>
      </w:r>
      <w:r w:rsidR="004D0B98" w:rsidRPr="00183531">
        <w:rPr>
          <w:rFonts w:ascii="Book Antiqua" w:hAnsi="Book Antiqua"/>
        </w:rPr>
        <w:t>diverse renewable resources in t</w:t>
      </w:r>
      <w:r w:rsidR="004D0B98" w:rsidRPr="00412E73">
        <w:rPr>
          <w:rFonts w:ascii="Book Antiqua" w:hAnsi="Book Antiqua"/>
        </w:rPr>
        <w:t>he near term</w:t>
      </w:r>
      <w:r w:rsidR="00C501B3">
        <w:rPr>
          <w:rFonts w:ascii="Book Antiqua" w:hAnsi="Book Antiqua"/>
        </w:rPr>
        <w:t>, to reduce reliance on fossil-fueled generation and</w:t>
      </w:r>
      <w:r w:rsidR="004D0B98" w:rsidRPr="00412E73">
        <w:rPr>
          <w:rFonts w:ascii="Book Antiqua" w:hAnsi="Book Antiqua"/>
        </w:rPr>
        <w:t xml:space="preserve"> at levels sufficien</w:t>
      </w:r>
      <w:r w:rsidR="004D0B98" w:rsidRPr="00F4263D">
        <w:rPr>
          <w:rFonts w:ascii="Book Antiqua" w:hAnsi="Book Antiqua"/>
        </w:rPr>
        <w:t>t to reach the 2030 optimized portfolio, in coordination with the RPS program</w:t>
      </w:r>
      <w:r w:rsidR="004D0B98" w:rsidRPr="00404B4B">
        <w:rPr>
          <w:rFonts w:ascii="Book Antiqua" w:hAnsi="Book Antiqua"/>
        </w:rPr>
        <w:t xml:space="preserve">; </w:t>
      </w:r>
      <w:r w:rsidRPr="00404B4B">
        <w:rPr>
          <w:rFonts w:ascii="Book Antiqua" w:hAnsi="Book Antiqua"/>
        </w:rPr>
        <w:t>near</w:t>
      </w:r>
      <w:r w:rsidR="00D84A09" w:rsidRPr="00404B4B">
        <w:rPr>
          <w:rFonts w:ascii="Book Antiqua" w:hAnsi="Book Antiqua"/>
        </w:rPr>
        <w:noBreakHyphen/>
      </w:r>
      <w:r w:rsidRPr="00404B4B">
        <w:rPr>
          <w:rFonts w:ascii="Book Antiqua" w:hAnsi="Book Antiqua"/>
        </w:rPr>
        <w:t>term resources with load following and hourly or intra</w:t>
      </w:r>
      <w:r w:rsidR="00D84A09" w:rsidRPr="00404B4B">
        <w:rPr>
          <w:rFonts w:ascii="Book Antiqua" w:hAnsi="Book Antiqua"/>
        </w:rPr>
        <w:noBreakHyphen/>
      </w:r>
      <w:r w:rsidRPr="00404B4B">
        <w:rPr>
          <w:rFonts w:ascii="Book Antiqua" w:hAnsi="Book Antiqua"/>
        </w:rPr>
        <w:t>hour renewable integration capabilities</w:t>
      </w:r>
      <w:r w:rsidR="004D0B98" w:rsidRPr="00404B4B">
        <w:rPr>
          <w:rFonts w:ascii="Book Antiqua" w:hAnsi="Book Antiqua"/>
        </w:rPr>
        <w:t>;</w:t>
      </w:r>
      <w:r w:rsidRPr="00404B4B">
        <w:rPr>
          <w:rFonts w:ascii="Book Antiqua" w:hAnsi="Book Antiqua"/>
        </w:rPr>
        <w:t xml:space="preserve"> existing natural gas resources</w:t>
      </w:r>
      <w:r w:rsidR="00C501B3">
        <w:rPr>
          <w:rFonts w:ascii="Book Antiqua" w:hAnsi="Book Antiqua"/>
        </w:rPr>
        <w:t xml:space="preserve"> at minimal levels consistent with reliability needs</w:t>
      </w:r>
      <w:r w:rsidR="004D0B98" w:rsidRPr="00404B4B">
        <w:rPr>
          <w:rFonts w:ascii="Book Antiqua" w:hAnsi="Book Antiqua"/>
        </w:rPr>
        <w:t>;</w:t>
      </w:r>
      <w:r w:rsidRPr="00404B4B">
        <w:rPr>
          <w:rFonts w:ascii="Book Antiqua" w:hAnsi="Book Antiqua"/>
        </w:rPr>
        <w:t xml:space="preserve"> and long</w:t>
      </w:r>
      <w:r w:rsidR="00D84A09" w:rsidRPr="00404B4B">
        <w:rPr>
          <w:rFonts w:ascii="Book Antiqua" w:hAnsi="Book Antiqua"/>
        </w:rPr>
        <w:noBreakHyphen/>
      </w:r>
      <w:r w:rsidRPr="00404B4B">
        <w:rPr>
          <w:rFonts w:ascii="Book Antiqua" w:hAnsi="Book Antiqua"/>
        </w:rPr>
        <w:t>duration storage res</w:t>
      </w:r>
      <w:r w:rsidRPr="00D07949">
        <w:rPr>
          <w:rFonts w:ascii="Book Antiqua" w:hAnsi="Book Antiqua"/>
        </w:rPr>
        <w:t>ources</w:t>
      </w:r>
      <w:r w:rsidR="00535C22">
        <w:rPr>
          <w:rFonts w:ascii="Book Antiqua" w:hAnsi="Book Antiqua"/>
        </w:rPr>
        <w:t>, approached in a technology-neutral manner</w:t>
      </w:r>
      <w:r w:rsidRPr="00D07949">
        <w:rPr>
          <w:rFonts w:ascii="Book Antiqua" w:hAnsi="Book Antiqua"/>
        </w:rPr>
        <w:t>.</w:t>
      </w:r>
      <w:r w:rsidR="00152B2B">
        <w:rPr>
          <w:rFonts w:ascii="Book Antiqua" w:hAnsi="Book Antiqua"/>
        </w:rPr>
        <w:t xml:space="preserve"> </w:t>
      </w:r>
      <w:r w:rsidR="00D632A1">
        <w:rPr>
          <w:rFonts w:ascii="Book Antiqua" w:hAnsi="Book Antiqua"/>
        </w:rPr>
        <w:t xml:space="preserve"> This track will examine resource types as well as the optimal locations for procuring these resources.</w:t>
      </w:r>
      <w:r w:rsidR="00D61C96">
        <w:rPr>
          <w:rFonts w:ascii="Book Antiqua" w:hAnsi="Book Antiqua"/>
        </w:rPr>
        <w:t xml:space="preserve"> In addition, the track will examine procurement trigger mecha</w:t>
      </w:r>
      <w:r w:rsidR="00D23474">
        <w:rPr>
          <w:rFonts w:ascii="Book Antiqua" w:hAnsi="Book Antiqua"/>
        </w:rPr>
        <w:t xml:space="preserve">nisms, </w:t>
      </w:r>
      <w:r w:rsidR="00BC315D">
        <w:rPr>
          <w:rFonts w:ascii="Book Antiqua" w:hAnsi="Book Antiqua"/>
        </w:rPr>
        <w:t>which may</w:t>
      </w:r>
      <w:r w:rsidR="00D23474">
        <w:rPr>
          <w:rFonts w:ascii="Book Antiqua" w:hAnsi="Book Antiqua"/>
        </w:rPr>
        <w:t xml:space="preserve"> be instituted when certain market conditions are met.</w:t>
      </w:r>
    </w:p>
    <w:p w14:paraId="7985BA61" w14:textId="2BBDDEF2" w:rsidR="00B87253" w:rsidRDefault="00FF7CFB" w:rsidP="00152B2B">
      <w:pPr>
        <w:pStyle w:val="standard"/>
        <w:numPr>
          <w:ilvl w:val="0"/>
          <w:numId w:val="2"/>
        </w:numPr>
        <w:ind w:firstLine="230"/>
        <w:rPr>
          <w:rFonts w:ascii="Book Antiqua" w:hAnsi="Book Antiqua"/>
        </w:rPr>
      </w:pPr>
      <w:r w:rsidRPr="00467505">
        <w:rPr>
          <w:rFonts w:ascii="Book Antiqua" w:hAnsi="Book Antiqua"/>
        </w:rPr>
        <w:t>All entities serving load within the territory of Pacific Gas and Electric Company shall include in each individual integrated resource plan filed</w:t>
      </w:r>
      <w:r w:rsidR="00FA32DC" w:rsidRPr="00467505">
        <w:rPr>
          <w:rFonts w:ascii="Book Antiqua" w:hAnsi="Book Antiqua"/>
        </w:rPr>
        <w:t xml:space="preserve"> </w:t>
      </w:r>
      <w:r w:rsidR="002D6C00">
        <w:rPr>
          <w:rFonts w:ascii="Book Antiqua" w:hAnsi="Book Antiqua"/>
        </w:rPr>
        <w:t>beginning in 2020</w:t>
      </w:r>
      <w:r w:rsidRPr="00467505">
        <w:rPr>
          <w:rFonts w:ascii="Book Antiqua" w:hAnsi="Book Antiqua"/>
        </w:rPr>
        <w:t xml:space="preserve"> a section describing its plans to address the retirement of the Diablo Canyon Generation Plant</w:t>
      </w:r>
      <w:r w:rsidR="002D6C00">
        <w:rPr>
          <w:rFonts w:ascii="Book Antiqua" w:hAnsi="Book Antiqua"/>
        </w:rPr>
        <w:t xml:space="preserve"> and the characteristics of its energy output, including flexible baseload and/or firm low-emission energy</w:t>
      </w:r>
      <w:r w:rsidRPr="00467505">
        <w:rPr>
          <w:rFonts w:ascii="Book Antiqua" w:hAnsi="Book Antiqua"/>
        </w:rPr>
        <w:t xml:space="preserve">. </w:t>
      </w:r>
    </w:p>
    <w:p w14:paraId="1A4C0D82" w14:textId="77777777" w:rsidR="009D32A3" w:rsidRPr="00467505" w:rsidRDefault="009D32A3" w:rsidP="00D84A09">
      <w:pPr>
        <w:pStyle w:val="standard"/>
        <w:numPr>
          <w:ilvl w:val="0"/>
          <w:numId w:val="2"/>
        </w:numPr>
        <w:ind w:firstLine="230"/>
        <w:rPr>
          <w:rFonts w:ascii="Book Antiqua" w:hAnsi="Book Antiqua"/>
        </w:rPr>
      </w:pPr>
      <w:r>
        <w:rPr>
          <w:rFonts w:ascii="Book Antiqua" w:hAnsi="Book Antiqua"/>
        </w:rPr>
        <w:t>Each load-serving entity, in its individual integrated resource plan filed beginning in 2020, shall ensure that it submits at least one conforming portfolio designed to accomplish meeting its individual greenhouse gas emissions benchmark</w:t>
      </w:r>
      <w:r w:rsidR="004F27E3">
        <w:rPr>
          <w:rFonts w:ascii="Book Antiqua" w:hAnsi="Book Antiqua"/>
        </w:rPr>
        <w:t xml:space="preserve"> set by the Commission</w:t>
      </w:r>
      <w:r>
        <w:rPr>
          <w:rFonts w:ascii="Book Antiqua" w:hAnsi="Book Antiqua"/>
        </w:rPr>
        <w:t xml:space="preserve">. </w:t>
      </w:r>
    </w:p>
    <w:p w14:paraId="72AEE7D9" w14:textId="77777777" w:rsidR="00C31396" w:rsidRPr="00467505" w:rsidRDefault="00C31396" w:rsidP="00D84A09">
      <w:pPr>
        <w:pStyle w:val="standard"/>
        <w:numPr>
          <w:ilvl w:val="0"/>
          <w:numId w:val="2"/>
        </w:numPr>
        <w:ind w:firstLine="230"/>
        <w:rPr>
          <w:rFonts w:ascii="Book Antiqua" w:hAnsi="Book Antiqua"/>
        </w:rPr>
      </w:pPr>
      <w:r w:rsidRPr="00467505">
        <w:rPr>
          <w:rFonts w:ascii="Book Antiqua" w:hAnsi="Book Antiqua"/>
        </w:rPr>
        <w:t>The September 12, 2018 motion of the Public Advocate</w:t>
      </w:r>
      <w:r w:rsidR="00B03BBB">
        <w:rPr>
          <w:rFonts w:ascii="Book Antiqua" w:hAnsi="Book Antiqua"/>
        </w:rPr>
        <w:t>s at</w:t>
      </w:r>
      <w:r w:rsidRPr="00467505">
        <w:rPr>
          <w:rFonts w:ascii="Book Antiqua" w:hAnsi="Book Antiqua"/>
        </w:rPr>
        <w:t xml:space="preserve"> the California Public Utilities Commission to file its comments under seal is granted.</w:t>
      </w:r>
    </w:p>
    <w:p w14:paraId="3B0175CE" w14:textId="77777777" w:rsidR="00C31396" w:rsidRPr="00467505" w:rsidRDefault="00C31396" w:rsidP="00AC61BF">
      <w:pPr>
        <w:pStyle w:val="standard"/>
        <w:keepNext/>
        <w:keepLines/>
        <w:numPr>
          <w:ilvl w:val="0"/>
          <w:numId w:val="2"/>
        </w:numPr>
        <w:ind w:firstLine="230"/>
        <w:rPr>
          <w:rFonts w:ascii="Book Antiqua" w:hAnsi="Book Antiqua"/>
        </w:rPr>
      </w:pPr>
      <w:r w:rsidRPr="00467505">
        <w:rPr>
          <w:rFonts w:ascii="Book Antiqua" w:hAnsi="Book Antiqua"/>
        </w:rPr>
        <w:t>The January 31, 2019 motion of Southern California Edison Company to file its comments on the Preferred System Portfolio under seal is granted.</w:t>
      </w:r>
    </w:p>
    <w:bookmarkEnd w:id="26"/>
    <w:p w14:paraId="421130FC" w14:textId="77777777" w:rsidR="009337D2" w:rsidRPr="00467505" w:rsidRDefault="009337D2" w:rsidP="00AC61BF">
      <w:pPr>
        <w:pStyle w:val="standard"/>
        <w:keepNext/>
        <w:keepLines/>
        <w:rPr>
          <w:rFonts w:ascii="Book Antiqua" w:hAnsi="Book Antiqua"/>
        </w:rPr>
      </w:pPr>
      <w:r w:rsidRPr="00467505">
        <w:rPr>
          <w:rFonts w:ascii="Book Antiqua" w:hAnsi="Book Antiqua"/>
        </w:rPr>
        <w:t>This order is effective today.</w:t>
      </w:r>
    </w:p>
    <w:p w14:paraId="28910286" w14:textId="70F67A72" w:rsidR="00152A24" w:rsidRPr="00467505" w:rsidRDefault="00CC6683" w:rsidP="00152A24">
      <w:pPr>
        <w:pStyle w:val="standard"/>
        <w:rPr>
          <w:rFonts w:ascii="Book Antiqua" w:hAnsi="Book Antiqua"/>
        </w:rPr>
      </w:pPr>
      <w:r w:rsidRPr="00467505">
        <w:rPr>
          <w:rFonts w:ascii="Book Antiqua" w:hAnsi="Book Antiqua"/>
        </w:rPr>
        <w:t xml:space="preserve">Dated </w:t>
      </w:r>
      <w:r w:rsidR="00152A24" w:rsidRPr="00467505">
        <w:rPr>
          <w:rFonts w:ascii="Book Antiqua" w:hAnsi="Book Antiqua"/>
        </w:rPr>
        <w:t>__________________</w:t>
      </w:r>
      <w:r w:rsidR="009337D2" w:rsidRPr="00467505">
        <w:rPr>
          <w:rFonts w:ascii="Book Antiqua" w:hAnsi="Book Antiqua"/>
        </w:rPr>
        <w:t>, at San Francisco, California</w:t>
      </w:r>
      <w:r w:rsidR="00BC6500">
        <w:rPr>
          <w:rFonts w:ascii="Book Antiqua" w:hAnsi="Book Antiqua"/>
        </w:rPr>
        <w:t>.</w:t>
      </w:r>
    </w:p>
    <w:p w14:paraId="615541C2" w14:textId="77777777" w:rsidR="00BA7917" w:rsidRDefault="00BA7917" w:rsidP="00D90591">
      <w:pPr>
        <w:tabs>
          <w:tab w:val="right" w:pos="10260"/>
        </w:tabs>
        <w:spacing w:after="200" w:line="276" w:lineRule="auto"/>
        <w:rPr>
          <w:rFonts w:ascii="Book Antiqua" w:eastAsiaTheme="minorHAnsi" w:hAnsi="Book Antiqua" w:cstheme="minorBidi"/>
          <w:sz w:val="22"/>
          <w:szCs w:val="22"/>
        </w:rPr>
      </w:pPr>
      <w:r>
        <w:rPr>
          <w:rFonts w:ascii="Book Antiqua" w:eastAsiaTheme="minorHAnsi" w:hAnsi="Book Antiqua" w:cstheme="minorBidi"/>
          <w:sz w:val="22"/>
          <w:szCs w:val="22"/>
        </w:rPr>
        <w:t xml:space="preserve">Attachment 1: </w:t>
      </w:r>
    </w:p>
    <w:p w14:paraId="7417917C" w14:textId="3E3E4275" w:rsidR="00BA7917" w:rsidRDefault="00BA7917" w:rsidP="00BA7917">
      <w:pPr>
        <w:tabs>
          <w:tab w:val="right" w:pos="10260"/>
        </w:tabs>
        <w:spacing w:after="480" w:line="276" w:lineRule="auto"/>
        <w:rPr>
          <w:rFonts w:ascii="Book Antiqua" w:eastAsiaTheme="minorHAnsi" w:hAnsi="Book Antiqua" w:cstheme="minorBidi"/>
          <w:sz w:val="22"/>
          <w:szCs w:val="22"/>
        </w:rPr>
      </w:pPr>
      <w:hyperlink r:id="rId18" w:history="1">
        <w:r w:rsidRPr="00BA7917">
          <w:rPr>
            <w:rStyle w:val="Hyperlink"/>
          </w:rPr>
          <w:t>R1602007 Fitch Agenda Dec Rev. 1 3-7-19 (Redline Version).pdf</w:t>
        </w:r>
      </w:hyperlink>
    </w:p>
    <w:p w14:paraId="75885320" w14:textId="77777777" w:rsidR="00BA7917" w:rsidRPr="00BA7917" w:rsidRDefault="00BA7917" w:rsidP="00BA7917">
      <w:pPr>
        <w:tabs>
          <w:tab w:val="right" w:pos="10260"/>
        </w:tabs>
        <w:spacing w:after="480" w:line="276" w:lineRule="auto"/>
        <w:rPr>
          <w:rFonts w:ascii="Book Antiqua" w:eastAsiaTheme="minorHAnsi" w:hAnsi="Book Antiqua" w:cstheme="minorBidi"/>
          <w:sz w:val="22"/>
          <w:szCs w:val="22"/>
        </w:rPr>
      </w:pPr>
    </w:p>
    <w:sectPr w:rsidR="00BA7917" w:rsidRPr="00BA7917" w:rsidSect="00D90591">
      <w:headerReference w:type="default" r:id="rId19"/>
      <w:footerReference w:type="default" r:id="rId20"/>
      <w:headerReference w:type="first" r:id="rId21"/>
      <w:footerReference w:type="first" r:id="rId22"/>
      <w:footnotePr>
        <w:numRestart w:val="eachSect"/>
      </w:footnotePr>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285F0" w14:textId="77777777" w:rsidR="00B47C0E" w:rsidRDefault="00B47C0E">
      <w:r>
        <w:separator/>
      </w:r>
    </w:p>
  </w:endnote>
  <w:endnote w:type="continuationSeparator" w:id="0">
    <w:p w14:paraId="0AFD2FE3" w14:textId="77777777" w:rsidR="00B47C0E" w:rsidRDefault="00B4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96DCD" w14:textId="77777777" w:rsidR="000E00E5" w:rsidRDefault="000E00E5" w:rsidP="00427A11">
    <w:pPr>
      <w:pStyle w:val="Footer"/>
      <w:tabs>
        <w:tab w:val="clear" w:pos="4320"/>
        <w:tab w:val="center" w:pos="4680"/>
      </w:tabs>
      <w:ind w:left="1440"/>
      <w:jc w:val="left"/>
    </w:pPr>
    <w:r>
      <w:t xml:space="preserve"> </w:t>
    </w:r>
    <w:r>
      <w:tab/>
    </w:r>
    <w:r>
      <w:noBreakHyphen/>
      <w:t xml:space="preserve"> </w:t>
    </w:r>
    <w:sdt>
      <w:sdtPr>
        <w:id w:val="-7671653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A7917">
          <w:rPr>
            <w:noProof/>
          </w:rPr>
          <w:t>ii</w:t>
        </w:r>
        <w:r>
          <w:rPr>
            <w:noProof/>
          </w:rPr>
          <w:fldChar w:fldCharType="end"/>
        </w:r>
        <w:r>
          <w:rPr>
            <w:noProof/>
          </w:rPr>
          <w:t xml:space="preserve"> </w:t>
        </w:r>
        <w:r>
          <w:rPr>
            <w:noProof/>
          </w:rPr>
          <w:noBreakHyphen/>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991462"/>
      <w:docPartObj>
        <w:docPartGallery w:val="Page Numbers (Bottom of Page)"/>
        <w:docPartUnique/>
      </w:docPartObj>
    </w:sdtPr>
    <w:sdtEndPr>
      <w:rPr>
        <w:noProof/>
        <w:sz w:val="2"/>
      </w:rPr>
    </w:sdtEndPr>
    <w:sdtContent>
      <w:p w14:paraId="72C56745" w14:textId="03EB22B7" w:rsidR="000E00E5" w:rsidRPr="0077144A" w:rsidRDefault="000E00E5" w:rsidP="0059671C">
        <w:pPr>
          <w:pStyle w:val="Footer"/>
          <w:jc w:val="left"/>
          <w:rPr>
            <w:sz w:val="2"/>
          </w:rPr>
        </w:pPr>
        <w:r>
          <w:rPr>
            <w:rFonts w:ascii="Tahoma" w:hAnsi="Tahoma" w:cs="Tahoma"/>
            <w:sz w:val="17"/>
            <w:szCs w:val="17"/>
          </w:rPr>
          <w:t>284786020</w:t>
        </w:r>
        <w:r>
          <w:rPr>
            <w:rFonts w:ascii="Tahoma" w:hAnsi="Tahoma" w:cs="Tahoma"/>
            <w:sz w:val="17"/>
            <w:szCs w:val="17"/>
          </w:rPr>
          <w:tab/>
        </w:r>
        <w:r>
          <w:t xml:space="preserve"> </w:t>
        </w:r>
        <w:r>
          <w:noBreakHyphen/>
          <w:t xml:space="preserve"> </w:t>
        </w:r>
        <w:r>
          <w:fldChar w:fldCharType="begin"/>
        </w:r>
        <w:r>
          <w:instrText xml:space="preserve"> PAGE   \* MERGEFORMAT </w:instrText>
        </w:r>
        <w:r>
          <w:fldChar w:fldCharType="separate"/>
        </w:r>
        <w:r w:rsidR="00BA7917">
          <w:rPr>
            <w:noProof/>
          </w:rPr>
          <w:t>1</w:t>
        </w:r>
        <w:r>
          <w:rPr>
            <w:noProof/>
          </w:rPr>
          <w:fldChar w:fldCharType="end"/>
        </w:r>
        <w:r>
          <w:rPr>
            <w:noProof/>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019A6" w14:textId="77777777" w:rsidR="000E00E5" w:rsidRPr="00AC1C85" w:rsidRDefault="000E00E5" w:rsidP="00AC1C85">
    <w:pPr>
      <w:pStyle w:val="Footer"/>
      <w:tabs>
        <w:tab w:val="clear" w:pos="4320"/>
        <w:tab w:val="center" w:pos="4680"/>
      </w:tabs>
      <w:jc w:val="left"/>
    </w:pPr>
    <w:r>
      <w:tab/>
    </w:r>
    <w:r>
      <w:noBreakHyphen/>
      <w:t xml:space="preserve"> i </w:t>
    </w:r>
    <w:r>
      <w:noBreakHyphen/>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7C2EB" w14:textId="77777777" w:rsidR="000E00E5" w:rsidRDefault="000E00E5" w:rsidP="00715695">
    <w:pPr>
      <w:pStyle w:val="Footer"/>
    </w:pPr>
    <w:r>
      <w:noBreakHyphen/>
      <w:t xml:space="preserve"> </w:t>
    </w:r>
    <w:r w:rsidRPr="00AF7DF9">
      <w:fldChar w:fldCharType="begin"/>
    </w:r>
    <w:r w:rsidRPr="00AF7DF9">
      <w:instrText xml:space="preserve"> PAGE  \* Arabic  \* MERGEFORMAT </w:instrText>
    </w:r>
    <w:r w:rsidRPr="00AF7DF9">
      <w:fldChar w:fldCharType="separate"/>
    </w:r>
    <w:r w:rsidR="0002186B">
      <w:rPr>
        <w:noProof/>
      </w:rPr>
      <w:t>181</w:t>
    </w:r>
    <w:r w:rsidRPr="00AF7DF9">
      <w:fldChar w:fldCharType="end"/>
    </w:r>
    <w:r>
      <w:t xml:space="preserve"> </w:t>
    </w:r>
    <w:r>
      <w:noBreakHyphen/>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256423"/>
      <w:docPartObj>
        <w:docPartGallery w:val="Page Numbers (Bottom of Page)"/>
        <w:docPartUnique/>
      </w:docPartObj>
    </w:sdtPr>
    <w:sdtEndPr>
      <w:rPr>
        <w:noProof/>
      </w:rPr>
    </w:sdtEndPr>
    <w:sdtContent>
      <w:p w14:paraId="07154ABC" w14:textId="77777777" w:rsidR="000E00E5" w:rsidRPr="00AC1C85" w:rsidRDefault="000E00E5" w:rsidP="00D90591">
        <w:pPr>
          <w:pStyle w:val="Footer"/>
        </w:pPr>
        <w:r>
          <w:noBreakHyphen/>
          <w:t xml:space="preserve"> </w:t>
        </w:r>
        <w:r>
          <w:fldChar w:fldCharType="begin"/>
        </w:r>
        <w:r>
          <w:instrText xml:space="preserve"> PAGE   \* MERGEFORMAT </w:instrText>
        </w:r>
        <w:r>
          <w:fldChar w:fldCharType="separate"/>
        </w:r>
        <w:r w:rsidR="0002186B">
          <w:rPr>
            <w:noProof/>
          </w:rPr>
          <w:t>2</w:t>
        </w:r>
        <w:r>
          <w:rPr>
            <w:noProof/>
          </w:rPr>
          <w:fldChar w:fldCharType="end"/>
        </w:r>
        <w:r>
          <w:rPr>
            <w:noProof/>
          </w:rPr>
          <w:t xml:space="preserve"> </w:t>
        </w:r>
        <w:r>
          <w:rPr>
            <w:noProof/>
          </w:rPr>
          <w:noBreakHyphen/>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5E504" w14:textId="77777777" w:rsidR="00B47C0E" w:rsidRDefault="00B47C0E">
      <w:r>
        <w:separator/>
      </w:r>
    </w:p>
  </w:footnote>
  <w:footnote w:type="continuationSeparator" w:id="0">
    <w:p w14:paraId="3D471B59" w14:textId="77777777" w:rsidR="00B47C0E" w:rsidRDefault="00B47C0E">
      <w:r>
        <w:continuationSeparator/>
      </w:r>
    </w:p>
  </w:footnote>
  <w:footnote w:type="continuationNotice" w:id="1">
    <w:p w14:paraId="1583034B" w14:textId="77777777" w:rsidR="00B47C0E" w:rsidRDefault="00B47C0E">
      <w:pPr>
        <w:rPr>
          <w:sz w:val="22"/>
        </w:rPr>
      </w:pPr>
    </w:p>
    <w:p w14:paraId="5E21FFA1" w14:textId="77777777" w:rsidR="00B47C0E" w:rsidRDefault="00B47C0E">
      <w:pPr>
        <w:jc w:val="right"/>
        <w:rPr>
          <w:sz w:val="22"/>
        </w:rPr>
      </w:pPr>
      <w:r>
        <w:rPr>
          <w:i/>
          <w:sz w:val="22"/>
        </w:rPr>
        <w:t>Footnote continued on next page</w:t>
      </w:r>
    </w:p>
  </w:footnote>
  <w:footnote w:id="2">
    <w:p w14:paraId="3C952C75" w14:textId="77777777" w:rsidR="000E00E5" w:rsidRPr="00D149D6" w:rsidRDefault="000E00E5" w:rsidP="0035024D">
      <w:pPr>
        <w:pStyle w:val="FootnoteText"/>
        <w:rPr>
          <w:rFonts w:ascii="Book Antiqua" w:hAnsi="Book Antiqua"/>
          <w:sz w:val="22"/>
          <w:szCs w:val="22"/>
        </w:rPr>
      </w:pPr>
      <w:r w:rsidRPr="00D149D6">
        <w:rPr>
          <w:rStyle w:val="FootnoteReference"/>
          <w:rFonts w:ascii="Book Antiqua" w:hAnsi="Book Antiqua"/>
          <w:sz w:val="22"/>
          <w:szCs w:val="22"/>
        </w:rPr>
        <w:footnoteRef/>
      </w:r>
      <w:r w:rsidRPr="00D149D6">
        <w:rPr>
          <w:rFonts w:ascii="Book Antiqua" w:hAnsi="Book Antiqua"/>
          <w:sz w:val="22"/>
          <w:szCs w:val="22"/>
        </w:rPr>
        <w:t xml:space="preserve">  Senate Bill 854 (Stats. 2018, Ch. 51) amended Pub. Util. Code § 309.5(a) so that the Office of Ratepayer Advocates (ORA) is now named the Public Advocates Office of the Public Utilities Commission.  We will refer to this party as Cal Advocates, though many of their filings in this proceeding were filed under the name ORA.</w:t>
      </w:r>
    </w:p>
  </w:footnote>
  <w:footnote w:id="3">
    <w:p w14:paraId="41D76922" w14:textId="77777777" w:rsidR="000E00E5" w:rsidRPr="00D149D6" w:rsidRDefault="000E00E5">
      <w:pPr>
        <w:pStyle w:val="FootnoteText"/>
        <w:rPr>
          <w:rFonts w:ascii="Book Antiqua" w:hAnsi="Book Antiqua"/>
          <w:sz w:val="22"/>
          <w:szCs w:val="22"/>
        </w:rPr>
      </w:pPr>
      <w:r w:rsidRPr="00D149D6">
        <w:rPr>
          <w:rStyle w:val="FootnoteReference"/>
          <w:rFonts w:ascii="Book Antiqua" w:hAnsi="Book Antiqua"/>
          <w:sz w:val="22"/>
          <w:szCs w:val="22"/>
        </w:rPr>
        <w:footnoteRef/>
      </w:r>
      <w:r w:rsidRPr="00D149D6">
        <w:rPr>
          <w:rFonts w:ascii="Book Antiqua" w:hAnsi="Book Antiqua"/>
          <w:sz w:val="22"/>
          <w:szCs w:val="22"/>
        </w:rPr>
        <w:t xml:space="preserve">  Available at:  </w:t>
      </w:r>
      <w:r>
        <w:t>http://cpuc.ca.gov/irp/filingtemplates/</w:t>
      </w:r>
      <w:r w:rsidRPr="00D149D6">
        <w:rPr>
          <w:rFonts w:ascii="Book Antiqua" w:hAnsi="Book Antiqua"/>
          <w:sz w:val="22"/>
          <w:szCs w:val="22"/>
        </w:rPr>
        <w:t xml:space="preserve"> </w:t>
      </w:r>
    </w:p>
  </w:footnote>
  <w:footnote w:id="4">
    <w:p w14:paraId="7FE91504" w14:textId="77777777" w:rsidR="000E00E5" w:rsidRDefault="000E00E5">
      <w:pPr>
        <w:pStyle w:val="FootnoteText"/>
      </w:pPr>
      <w:r>
        <w:rPr>
          <w:rStyle w:val="FootnoteReference"/>
        </w:rPr>
        <w:footnoteRef/>
      </w:r>
      <w:r>
        <w:t xml:space="preserve"> A “conforming portfolio” was defined in D.18-02-018 as a portfolio </w:t>
      </w:r>
      <w:r w:rsidRPr="00F15738">
        <w:t>demonstrat</w:t>
      </w:r>
      <w:r>
        <w:t>ing</w:t>
      </w:r>
      <w:r w:rsidRPr="00F15738">
        <w:t xml:space="preserve"> consistency with the reference system portfolio by 1) either using the GHG Planning Price or the LSE Specific 2030 GHG emissions benchmark and 2) using input assumptions matching those used in developing the reference system portfolio, with updating to reflect the latest IEPR assumptions.</w:t>
      </w:r>
      <w:r>
        <w:t xml:space="preserve"> LSEs were also invited to submit “alternative” or “preferred” portfolios that utilized different assumptions, as specified by the LSE.</w:t>
      </w:r>
    </w:p>
  </w:footnote>
  <w:footnote w:id="5">
    <w:p w14:paraId="2BD8283A" w14:textId="77777777" w:rsidR="000E00E5" w:rsidRDefault="000E00E5">
      <w:pPr>
        <w:pStyle w:val="FootnoteText"/>
      </w:pPr>
      <w:r>
        <w:rPr>
          <w:rStyle w:val="FootnoteReference"/>
        </w:rPr>
        <w:footnoteRef/>
      </w:r>
      <w:r>
        <w:t xml:space="preserve"> This data is available at http://www.cpuc.ca.gov/General.aspx?id=6442459406 </w:t>
      </w:r>
    </w:p>
  </w:footnote>
  <w:footnote w:id="6">
    <w:p w14:paraId="1E8BF098" w14:textId="77777777" w:rsidR="000E00E5" w:rsidRPr="00D149D6" w:rsidRDefault="000E00E5">
      <w:pPr>
        <w:pStyle w:val="FootnoteText"/>
        <w:rPr>
          <w:rFonts w:ascii="Book Antiqua" w:hAnsi="Book Antiqua"/>
          <w:sz w:val="22"/>
          <w:szCs w:val="22"/>
        </w:rPr>
      </w:pPr>
      <w:r w:rsidRPr="00D149D6">
        <w:rPr>
          <w:rStyle w:val="FootnoteReference"/>
          <w:rFonts w:ascii="Book Antiqua" w:hAnsi="Book Antiqua"/>
          <w:sz w:val="22"/>
          <w:szCs w:val="22"/>
        </w:rPr>
        <w:footnoteRef/>
      </w:r>
      <w:r w:rsidRPr="00D149D6">
        <w:rPr>
          <w:rFonts w:ascii="Book Antiqua" w:hAnsi="Book Antiqua"/>
          <w:sz w:val="22"/>
          <w:szCs w:val="22"/>
        </w:rPr>
        <w:t xml:space="preserve">  AVCE, CPA, EBCE, Lancaster, SDG&amp;E, </w:t>
      </w:r>
      <w:r>
        <w:rPr>
          <w:rFonts w:ascii="Book Antiqua" w:hAnsi="Book Antiqua"/>
          <w:sz w:val="22"/>
          <w:szCs w:val="22"/>
        </w:rPr>
        <w:t>SJCE</w:t>
      </w:r>
      <w:r w:rsidRPr="006D5B14">
        <w:rPr>
          <w:rFonts w:ascii="Book Antiqua" w:hAnsi="Book Antiqua"/>
          <w:sz w:val="22"/>
          <w:szCs w:val="22"/>
        </w:rPr>
        <w:t>, and Solana.</w:t>
      </w:r>
    </w:p>
  </w:footnote>
  <w:footnote w:id="7">
    <w:p w14:paraId="7999C18B" w14:textId="77777777" w:rsidR="000E00E5" w:rsidRPr="00D149D6" w:rsidRDefault="000E00E5" w:rsidP="00BD702C">
      <w:pPr>
        <w:pStyle w:val="FootnoteText"/>
        <w:rPr>
          <w:rFonts w:ascii="Book Antiqua" w:hAnsi="Book Antiqua"/>
          <w:sz w:val="22"/>
          <w:szCs w:val="22"/>
        </w:rPr>
      </w:pPr>
      <w:r w:rsidRPr="00D149D6">
        <w:rPr>
          <w:rStyle w:val="FootnoteReference"/>
          <w:rFonts w:ascii="Book Antiqua" w:hAnsi="Book Antiqua"/>
          <w:sz w:val="22"/>
          <w:szCs w:val="22"/>
        </w:rPr>
        <w:footnoteRef/>
      </w:r>
      <w:r w:rsidRPr="00D149D6">
        <w:rPr>
          <w:rFonts w:ascii="Book Antiqua" w:hAnsi="Book Antiqua"/>
          <w:sz w:val="22"/>
          <w:szCs w:val="22"/>
        </w:rPr>
        <w:t xml:space="preserve">  An asset</w:t>
      </w:r>
      <w:r w:rsidRPr="00D149D6">
        <w:rPr>
          <w:rFonts w:ascii="Book Antiqua" w:hAnsi="Book Antiqua"/>
          <w:sz w:val="22"/>
          <w:szCs w:val="22"/>
        </w:rPr>
        <w:noBreakHyphen/>
        <w:t>controlling supplier (ACS) is a specific type of electric power entity approved and registered by the California Air Resources Board under the Regulation for the Mandatory Reporting of Greenhouse Gas Emissions (MRR).  For each reporting year, CARB publishes emission factors for all approved ACSs pursuant to section 95111(b)(3).  ACS emissions factors tend to range from 0.01 to 0.05 tCO2e/MWh.</w:t>
      </w:r>
    </w:p>
  </w:footnote>
  <w:footnote w:id="8">
    <w:p w14:paraId="1AA2F8E5" w14:textId="77777777" w:rsidR="000E00E5" w:rsidRPr="00466C4B" w:rsidRDefault="000E00E5" w:rsidP="009317C2">
      <w:pPr>
        <w:pStyle w:val="FootnoteText"/>
        <w:rPr>
          <w:sz w:val="22"/>
          <w:szCs w:val="22"/>
        </w:rPr>
      </w:pPr>
      <w:r w:rsidRPr="00466C4B">
        <w:rPr>
          <w:rStyle w:val="FootnoteReference"/>
          <w:sz w:val="22"/>
          <w:szCs w:val="22"/>
        </w:rPr>
        <w:footnoteRef/>
      </w:r>
      <w:r w:rsidRPr="00466C4B">
        <w:rPr>
          <w:sz w:val="22"/>
          <w:szCs w:val="22"/>
        </w:rPr>
        <w:t xml:space="preserve">  Thus, when new resources are mentioned throughout this ruling, this refers to planned new resources that may or may not actually be built in the future. </w:t>
      </w:r>
    </w:p>
  </w:footnote>
  <w:footnote w:id="9">
    <w:p w14:paraId="7933255B" w14:textId="322EA9B2" w:rsidR="000E00E5" w:rsidRDefault="000E00E5">
      <w:pPr>
        <w:pStyle w:val="FootnoteText"/>
      </w:pPr>
      <w:r>
        <w:rPr>
          <w:rStyle w:val="FootnoteReference"/>
        </w:rPr>
        <w:footnoteRef/>
      </w:r>
      <w:r>
        <w:t xml:space="preserve"> </w:t>
      </w:r>
      <w:r w:rsidR="00B5384C">
        <w:t xml:space="preserve"> </w:t>
      </w:r>
      <w:r w:rsidRPr="00B5384C">
        <w:rPr>
          <w:i/>
        </w:rPr>
        <w:t>See</w:t>
      </w:r>
      <w:r>
        <w:t xml:space="preserve"> Attachment A of the January 11, 2019 ALJ ruling in this proceeding for more detail on these metrics and results.</w:t>
      </w:r>
    </w:p>
  </w:footnote>
  <w:footnote w:id="10">
    <w:p w14:paraId="3A2D0ECB" w14:textId="77777777" w:rsidR="000E00E5" w:rsidRPr="001A7699" w:rsidRDefault="000E00E5">
      <w:pPr>
        <w:pStyle w:val="FootnoteText"/>
        <w:rPr>
          <w:rFonts w:ascii="Book Antiqua" w:hAnsi="Book Antiqua"/>
          <w:sz w:val="22"/>
          <w:szCs w:val="22"/>
        </w:rPr>
      </w:pPr>
      <w:r w:rsidRPr="001A7699">
        <w:rPr>
          <w:rStyle w:val="FootnoteReference"/>
          <w:rFonts w:ascii="Book Antiqua" w:hAnsi="Book Antiqua"/>
          <w:sz w:val="22"/>
          <w:szCs w:val="22"/>
        </w:rPr>
        <w:footnoteRef/>
      </w:r>
      <w:r w:rsidRPr="001A7699">
        <w:rPr>
          <w:rFonts w:ascii="Book Antiqua" w:hAnsi="Book Antiqua"/>
          <w:sz w:val="22"/>
          <w:szCs w:val="22"/>
        </w:rPr>
        <w:t xml:space="preserve">  </w:t>
      </w:r>
      <w:r w:rsidRPr="001A7699">
        <w:rPr>
          <w:rFonts w:ascii="Book Antiqua" w:hAnsi="Book Antiqua"/>
          <w:i/>
          <w:sz w:val="22"/>
          <w:szCs w:val="22"/>
        </w:rPr>
        <w:t>See</w:t>
      </w:r>
      <w:r w:rsidRPr="001A7699">
        <w:rPr>
          <w:rFonts w:ascii="Book Antiqua" w:hAnsi="Book Antiqua"/>
          <w:sz w:val="22"/>
          <w:szCs w:val="22"/>
        </w:rPr>
        <w:t>, for example, the August 1, 2018 IRP filed by MCE, at 4</w:t>
      </w:r>
      <w:r w:rsidRPr="001A7699">
        <w:rPr>
          <w:rFonts w:ascii="Book Antiqua" w:hAnsi="Book Antiqua"/>
          <w:sz w:val="22"/>
          <w:szCs w:val="22"/>
        </w:rPr>
        <w:noBreakHyphen/>
        <w:t xml:space="preserve">6, available at the following link:  </w:t>
      </w:r>
      <w:r>
        <w:t>https://www.mcecleanenergy.org/wpcontent/uploads/2018/08/MCE_LSEStandardPlan_20180801.pdf</w:t>
      </w:r>
      <w:r w:rsidRPr="001A7699">
        <w:rPr>
          <w:rFonts w:ascii="Book Antiqua" w:hAnsi="Book Antiqua"/>
          <w:sz w:val="22"/>
          <w:szCs w:val="22"/>
        </w:rPr>
        <w:t>.</w:t>
      </w:r>
    </w:p>
  </w:footnote>
  <w:footnote w:id="11">
    <w:p w14:paraId="6D9D499A" w14:textId="6D28A5F3" w:rsidR="000E00E5" w:rsidRDefault="000E00E5">
      <w:pPr>
        <w:pStyle w:val="FootnoteText"/>
      </w:pPr>
      <w:r>
        <w:rPr>
          <w:rStyle w:val="FootnoteReference"/>
        </w:rPr>
        <w:footnoteRef/>
      </w:r>
      <w:r>
        <w:t xml:space="preserve"> </w:t>
      </w:r>
      <w:r w:rsidR="0066676F">
        <w:t xml:space="preserve"> </w:t>
      </w:r>
      <w:r>
        <w:t xml:space="preserve">It should be noted that the individual IRPs were submitted prior to SB 100 becoming law. </w:t>
      </w:r>
    </w:p>
  </w:footnote>
  <w:footnote w:id="12">
    <w:p w14:paraId="461D7A34" w14:textId="3E368608" w:rsidR="000E00E5" w:rsidRDefault="000E00E5">
      <w:pPr>
        <w:pStyle w:val="FootnoteText"/>
      </w:pPr>
      <w:r>
        <w:rPr>
          <w:rStyle w:val="FootnoteReference"/>
        </w:rPr>
        <w:footnoteRef/>
      </w:r>
      <w:r>
        <w:t xml:space="preserve"> </w:t>
      </w:r>
      <w:r w:rsidR="0066676F">
        <w:t xml:space="preserve"> </w:t>
      </w:r>
      <w:r>
        <w:t xml:space="preserve">The analysis was only an approximation in RESOLVE because existing contract information was not used to extend the life of resources that still had contracts in place at age 40. </w:t>
      </w:r>
      <w:r w:rsidR="00A52514">
        <w:t xml:space="preserve"> </w:t>
      </w:r>
      <w:r>
        <w:t xml:space="preserve">SERVM modeling, on the other hand, used this contract information and therefore implementation of the 40-year lifetime assumptions in SERVM resulted in moderately less total retirement. </w:t>
      </w:r>
    </w:p>
  </w:footnote>
  <w:footnote w:id="13">
    <w:p w14:paraId="73E5EE09" w14:textId="1AEBF0A6" w:rsidR="000E00E5" w:rsidRDefault="000E00E5">
      <w:pPr>
        <w:pStyle w:val="FootnoteText"/>
      </w:pPr>
      <w:r>
        <w:rPr>
          <w:rStyle w:val="FootnoteReference"/>
        </w:rPr>
        <w:footnoteRef/>
      </w:r>
      <w:r>
        <w:t xml:space="preserve"> </w:t>
      </w:r>
      <w:r w:rsidR="0066676F">
        <w:t xml:space="preserve"> </w:t>
      </w:r>
      <w:r>
        <w:t>Inclusion of the 40-year lifetime assumptions as a RESOLVE input resulted in a moderately reoptimized new build, hence the small differences in mix of renewables and storage for the two RSP cases compared in Table 4.</w:t>
      </w:r>
    </w:p>
  </w:footnote>
  <w:footnote w:id="14">
    <w:p w14:paraId="56E9C49B" w14:textId="6A6F2B27" w:rsidR="000E00E5" w:rsidRDefault="000E00E5">
      <w:pPr>
        <w:pStyle w:val="FootnoteText"/>
      </w:pPr>
      <w:r>
        <w:rPr>
          <w:rStyle w:val="FootnoteReference"/>
        </w:rPr>
        <w:footnoteRef/>
      </w:r>
      <w:r>
        <w:t xml:space="preserve"> </w:t>
      </w:r>
      <w:r w:rsidR="0066676F">
        <w:t xml:space="preserve"> </w:t>
      </w:r>
      <w:r>
        <w:t>Total Costs here is the sum of new fixed costs from resources and transmission upgrades, as well as operating costs.</w:t>
      </w:r>
      <w:r w:rsidR="00A52514">
        <w:t xml:space="preserve"> </w:t>
      </w:r>
      <w:r>
        <w:t xml:space="preserve"> It does not include other baseline costs that are </w:t>
      </w:r>
      <w:r w:rsidR="00A52514">
        <w:t>the same across all portfolios.</w:t>
      </w:r>
    </w:p>
  </w:footnote>
  <w:footnote w:id="15">
    <w:p w14:paraId="61285987" w14:textId="3E8ABDE9" w:rsidR="000E00E5" w:rsidRDefault="000E00E5">
      <w:pPr>
        <w:pStyle w:val="FootnoteText"/>
      </w:pPr>
      <w:r>
        <w:rPr>
          <w:rStyle w:val="FootnoteReference"/>
        </w:rPr>
        <w:footnoteRef/>
      </w:r>
      <w:r>
        <w:t xml:space="preserve"> </w:t>
      </w:r>
      <w:r w:rsidRPr="0066676F">
        <w:rPr>
          <w:i/>
        </w:rPr>
        <w:t>See</w:t>
      </w:r>
      <w:r>
        <w:t xml:space="preserve">, for example, CalCCA’s listing of projects under development, available here: </w:t>
      </w:r>
      <w:r w:rsidR="0066676F">
        <w:t xml:space="preserve"> </w:t>
      </w:r>
      <w:r>
        <w:t>https://cal-cca.org/wp-content/uploads/2018/11/CCA-Renewable-Energy-Map-web-1.pdf</w:t>
      </w:r>
      <w:r w:rsidR="0066676F">
        <w:t xml:space="preserve">. </w:t>
      </w:r>
    </w:p>
  </w:footnote>
  <w:footnote w:id="16">
    <w:p w14:paraId="63FF8D79" w14:textId="77777777" w:rsidR="000E00E5" w:rsidRPr="00D84A09" w:rsidRDefault="000E00E5">
      <w:pPr>
        <w:pStyle w:val="FootnoteText"/>
        <w:rPr>
          <w:sz w:val="22"/>
          <w:szCs w:val="22"/>
        </w:rPr>
      </w:pPr>
      <w:r w:rsidRPr="00D84A09">
        <w:rPr>
          <w:rStyle w:val="FootnoteReference"/>
          <w:sz w:val="22"/>
          <w:szCs w:val="22"/>
        </w:rPr>
        <w:footnoteRef/>
      </w:r>
      <w:r w:rsidRPr="00D84A09">
        <w:rPr>
          <w:sz w:val="22"/>
          <w:szCs w:val="22"/>
        </w:rPr>
        <w:t xml:space="preserve">  </w:t>
      </w:r>
      <w:r w:rsidRPr="00D84A09">
        <w:rPr>
          <w:i/>
          <w:sz w:val="22"/>
          <w:szCs w:val="22"/>
        </w:rPr>
        <w:t>See</w:t>
      </w:r>
      <w:r w:rsidRPr="00D84A09">
        <w:rPr>
          <w:sz w:val="22"/>
          <w:szCs w:val="22"/>
        </w:rPr>
        <w:t xml:space="preserve"> D.19</w:t>
      </w:r>
      <w:r>
        <w:rPr>
          <w:sz w:val="22"/>
          <w:szCs w:val="22"/>
        </w:rPr>
        <w:noBreakHyphen/>
      </w:r>
      <w:r w:rsidRPr="00D84A09">
        <w:rPr>
          <w:sz w:val="22"/>
          <w:szCs w:val="22"/>
        </w:rPr>
        <w:t>02</w:t>
      </w:r>
      <w:r>
        <w:rPr>
          <w:sz w:val="22"/>
          <w:szCs w:val="22"/>
        </w:rPr>
        <w:noBreakHyphen/>
      </w:r>
      <w:r w:rsidRPr="00D84A09">
        <w:rPr>
          <w:sz w:val="22"/>
          <w:szCs w:val="22"/>
        </w:rPr>
        <w:t xml:space="preserve">022. </w:t>
      </w:r>
    </w:p>
  </w:footnote>
  <w:footnote w:id="17">
    <w:p w14:paraId="5DE33758" w14:textId="77777777" w:rsidR="000E00E5" w:rsidRPr="00D84A09" w:rsidRDefault="000E00E5" w:rsidP="00313EFF">
      <w:pPr>
        <w:pStyle w:val="FootnoteText"/>
        <w:rPr>
          <w:sz w:val="22"/>
          <w:szCs w:val="22"/>
        </w:rPr>
      </w:pPr>
      <w:r w:rsidRPr="00D84A09">
        <w:rPr>
          <w:rStyle w:val="FootnoteReference"/>
          <w:sz w:val="22"/>
          <w:szCs w:val="22"/>
        </w:rPr>
        <w:footnoteRef/>
      </w:r>
      <w:r w:rsidRPr="00D84A09">
        <w:rPr>
          <w:sz w:val="22"/>
          <w:szCs w:val="22"/>
        </w:rPr>
        <w:t xml:space="preserve">  </w:t>
      </w:r>
      <w:r w:rsidRPr="00D84A09">
        <w:rPr>
          <w:i/>
          <w:sz w:val="22"/>
          <w:szCs w:val="22"/>
        </w:rPr>
        <w:t>See</w:t>
      </w:r>
      <w:r w:rsidRPr="00D84A09">
        <w:rPr>
          <w:sz w:val="22"/>
          <w:szCs w:val="22"/>
        </w:rPr>
        <w:t xml:space="preserve"> Public Utilities Code Section 454.51(d). </w:t>
      </w:r>
    </w:p>
  </w:footnote>
  <w:footnote w:id="18">
    <w:p w14:paraId="70CF0362" w14:textId="77777777" w:rsidR="000E00E5" w:rsidRPr="00D84A09" w:rsidRDefault="000E00E5" w:rsidP="00FF2105">
      <w:pPr>
        <w:pStyle w:val="FootnoteText"/>
        <w:rPr>
          <w:sz w:val="22"/>
          <w:szCs w:val="22"/>
        </w:rPr>
      </w:pPr>
      <w:r w:rsidRPr="00D84A09">
        <w:rPr>
          <w:rStyle w:val="FootnoteReference"/>
          <w:sz w:val="22"/>
          <w:szCs w:val="22"/>
        </w:rPr>
        <w:footnoteRef/>
      </w:r>
      <w:r w:rsidRPr="00D84A09">
        <w:rPr>
          <w:sz w:val="22"/>
          <w:szCs w:val="22"/>
        </w:rPr>
        <w:t xml:space="preserve">  </w:t>
      </w:r>
      <w:r w:rsidRPr="00D84A09">
        <w:rPr>
          <w:i/>
          <w:sz w:val="22"/>
          <w:szCs w:val="22"/>
        </w:rPr>
        <w:t>See</w:t>
      </w:r>
      <w:r w:rsidRPr="00D84A09">
        <w:rPr>
          <w:sz w:val="22"/>
          <w:szCs w:val="22"/>
        </w:rPr>
        <w:t xml:space="preserve"> Public Utilities Code Section 712.7(b). </w:t>
      </w:r>
    </w:p>
  </w:footnote>
  <w:footnote w:id="19">
    <w:p w14:paraId="50C1AD54" w14:textId="77777777" w:rsidR="000E00E5" w:rsidRPr="00467505" w:rsidRDefault="000E00E5" w:rsidP="00FF2105">
      <w:pPr>
        <w:pStyle w:val="FootnoteText"/>
        <w:rPr>
          <w:rFonts w:ascii="Book Antiqua" w:hAnsi="Book Antiqua"/>
          <w:sz w:val="22"/>
          <w:szCs w:val="22"/>
        </w:rPr>
      </w:pPr>
      <w:r w:rsidRPr="00467505">
        <w:rPr>
          <w:rStyle w:val="FootnoteReference"/>
          <w:rFonts w:ascii="Book Antiqua" w:hAnsi="Book Antiqua"/>
          <w:sz w:val="22"/>
          <w:szCs w:val="22"/>
        </w:rPr>
        <w:footnoteRef/>
      </w:r>
      <w:r w:rsidRPr="00467505">
        <w:rPr>
          <w:rFonts w:ascii="Book Antiqua" w:hAnsi="Book Antiqua"/>
          <w:sz w:val="22"/>
          <w:szCs w:val="22"/>
        </w:rPr>
        <w:t xml:space="preserve">  D.18</w:t>
      </w:r>
      <w:r w:rsidRPr="00467505">
        <w:rPr>
          <w:rFonts w:ascii="Book Antiqua" w:hAnsi="Book Antiqua"/>
          <w:sz w:val="22"/>
          <w:szCs w:val="22"/>
        </w:rPr>
        <w:noBreakHyphen/>
        <w:t>02</w:t>
      </w:r>
      <w:r w:rsidRPr="00467505">
        <w:rPr>
          <w:rFonts w:ascii="Book Antiqua" w:hAnsi="Book Antiqua"/>
          <w:sz w:val="22"/>
          <w:szCs w:val="22"/>
        </w:rPr>
        <w:noBreakHyphen/>
        <w:t xml:space="preserve">018 at 41.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CF292" w14:textId="77777777" w:rsidR="000E00E5" w:rsidRDefault="000E00E5" w:rsidP="008B426D">
    <w:pPr>
      <w:pStyle w:val="Header"/>
      <w:rPr>
        <w:rFonts w:ascii="Helvetica" w:hAnsi="Helvetica"/>
        <w:b/>
        <w:szCs w:val="26"/>
      </w:rPr>
    </w:pPr>
    <w:r>
      <w:t>R.16</w:t>
    </w:r>
    <w:r>
      <w:noBreakHyphen/>
      <w:t>02</w:t>
    </w:r>
    <w:r>
      <w:noBreakHyphen/>
      <w:t>007  COM/LR1/lil</w:t>
    </w:r>
    <w:r>
      <w:tab/>
    </w:r>
    <w:r>
      <w:tab/>
    </w:r>
    <w:r w:rsidRPr="003310E0">
      <w:rPr>
        <w:rFonts w:ascii="Helvetica" w:hAnsi="Helvetica"/>
        <w:b/>
        <w:szCs w:val="26"/>
      </w:rPr>
      <w:t>PROPOSED DECISION</w:t>
    </w:r>
  </w:p>
  <w:p w14:paraId="4BF2C59F" w14:textId="77777777" w:rsidR="000E00E5" w:rsidRDefault="000E00E5" w:rsidP="008B426D">
    <w:pPr>
      <w:pStyle w:val="Header"/>
      <w:rPr>
        <w:rFonts w:ascii="Helvetica" w:hAnsi="Helvetica"/>
        <w:b/>
        <w:szCs w:val="26"/>
      </w:rPr>
    </w:pPr>
  </w:p>
  <w:p w14:paraId="3B9444E5" w14:textId="77777777" w:rsidR="000E00E5" w:rsidRDefault="000E00E5" w:rsidP="00427A11">
    <w:pPr>
      <w:pStyle w:val="Header"/>
      <w:rPr>
        <w:i/>
      </w:rPr>
    </w:pPr>
  </w:p>
  <w:p w14:paraId="4223E0C1" w14:textId="77777777" w:rsidR="000E00E5" w:rsidRPr="00140A7E" w:rsidRDefault="000E00E5" w:rsidP="00427A11">
    <w:pPr>
      <w:pStyle w:val="Header"/>
      <w:jc w:val="center"/>
      <w:rPr>
        <w:b/>
      </w:rPr>
    </w:pPr>
    <w:r w:rsidRPr="00140A7E">
      <w:rPr>
        <w:b/>
      </w:rPr>
      <w:t>Table of Contents</w:t>
    </w:r>
  </w:p>
  <w:p w14:paraId="7572249A" w14:textId="77777777" w:rsidR="000E00E5" w:rsidRDefault="000E00E5" w:rsidP="00427A11">
    <w:pPr>
      <w:pStyle w:val="Header"/>
    </w:pPr>
  </w:p>
  <w:p w14:paraId="36F315A4" w14:textId="77777777" w:rsidR="000E00E5" w:rsidRPr="00140A7E" w:rsidRDefault="000E00E5" w:rsidP="00427A11">
    <w:pPr>
      <w:pStyle w:val="Header"/>
    </w:pPr>
    <w:r w:rsidRPr="00140A7E">
      <w:rPr>
        <w:b/>
        <w:u w:val="single"/>
      </w:rPr>
      <w:t>Title</w:t>
    </w:r>
    <w:r>
      <w:tab/>
    </w:r>
    <w:r>
      <w:tab/>
    </w:r>
    <w:r w:rsidRPr="00140A7E">
      <w:rPr>
        <w:b/>
        <w:u w:val="single"/>
      </w:rPr>
      <w:t>Pages</w:t>
    </w:r>
  </w:p>
  <w:p w14:paraId="26920B6C" w14:textId="77777777" w:rsidR="000E00E5" w:rsidRPr="00140A7E" w:rsidRDefault="000E00E5" w:rsidP="00427A11">
    <w:pPr>
      <w:pStyle w:val="Header"/>
      <w:tabs>
        <w:tab w:val="clear" w:pos="8640"/>
        <w:tab w:val="right" w:pos="9360"/>
      </w:tabs>
      <w:rPr>
        <w:b/>
        <w:u w:val="single"/>
      </w:rPr>
    </w:pPr>
  </w:p>
  <w:p w14:paraId="4BCCF5B7" w14:textId="77777777" w:rsidR="000E00E5" w:rsidRPr="008B426D" w:rsidRDefault="000E00E5" w:rsidP="008B42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B5C56" w14:textId="77777777" w:rsidR="000E00E5" w:rsidRDefault="000E00E5" w:rsidP="00140A7E">
    <w:pPr>
      <w:pStyle w:val="Header"/>
      <w:tabs>
        <w:tab w:val="clear" w:pos="8640"/>
        <w:tab w:val="right" w:pos="9360"/>
      </w:tabs>
    </w:pPr>
  </w:p>
  <w:p w14:paraId="15C215AD" w14:textId="77777777" w:rsidR="000E00E5" w:rsidRDefault="000E00E5" w:rsidP="00140A7E">
    <w:pPr>
      <w:pStyle w:val="Header"/>
      <w:tabs>
        <w:tab w:val="clear" w:pos="8640"/>
        <w:tab w:val="right" w:pos="9360"/>
      </w:tabs>
    </w:pPr>
  </w:p>
  <w:p w14:paraId="51C65DCC" w14:textId="77777777" w:rsidR="000E00E5" w:rsidRPr="00140A7E" w:rsidRDefault="000E00E5" w:rsidP="00140A7E">
    <w:pPr>
      <w:pStyle w:val="Header"/>
      <w:tabs>
        <w:tab w:val="clear" w:pos="864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4B35F" w14:textId="5838BCD9" w:rsidR="000E00E5" w:rsidRDefault="000E00E5" w:rsidP="00D90591">
    <w:pPr>
      <w:pStyle w:val="Header"/>
      <w:tabs>
        <w:tab w:val="clear" w:pos="8640"/>
        <w:tab w:val="right" w:pos="9360"/>
      </w:tabs>
    </w:pPr>
    <w:r>
      <w:t>R.16</w:t>
    </w:r>
    <w:r>
      <w:noBreakHyphen/>
      <w:t>02</w:t>
    </w:r>
    <w:r>
      <w:noBreakHyphen/>
      <w:t>007  ALJ/JF2/jt2</w:t>
    </w:r>
    <w:r>
      <w:tab/>
    </w:r>
    <w:r>
      <w:tab/>
    </w:r>
    <w:r w:rsidRPr="00D90591">
      <w:rPr>
        <w:rFonts w:ascii="Helvetica" w:hAnsi="Helvetica"/>
        <w:b/>
        <w:sz w:val="32"/>
        <w:szCs w:val="32"/>
      </w:rPr>
      <w:t>PROPOSED DECISION</w:t>
    </w:r>
    <w:r w:rsidR="005261E2">
      <w:rPr>
        <w:rFonts w:ascii="Helvetica" w:hAnsi="Helvetica"/>
        <w:b/>
        <w:sz w:val="32"/>
        <w:szCs w:val="32"/>
      </w:rPr>
      <w:t xml:space="preserve">  (Rev. 1)</w:t>
    </w:r>
  </w:p>
  <w:p w14:paraId="0431F3EB" w14:textId="77777777" w:rsidR="000E00E5" w:rsidRDefault="000E00E5" w:rsidP="00D90591">
    <w:pPr>
      <w:pStyle w:val="Header"/>
      <w:jc w:val="center"/>
    </w:pPr>
  </w:p>
  <w:p w14:paraId="0B673EE3" w14:textId="77777777" w:rsidR="000E00E5" w:rsidRDefault="000E00E5" w:rsidP="00D90591">
    <w:pPr>
      <w:pStyle w:val="Header"/>
      <w:jc w:val="center"/>
    </w:pPr>
  </w:p>
  <w:p w14:paraId="12E44D01" w14:textId="77777777" w:rsidR="000E00E5" w:rsidRPr="00140A7E" w:rsidRDefault="000E00E5" w:rsidP="00D90591">
    <w:pPr>
      <w:pStyle w:val="Header"/>
      <w:jc w:val="center"/>
      <w:rPr>
        <w:b/>
      </w:rPr>
    </w:pPr>
    <w:r w:rsidRPr="00140A7E">
      <w:rPr>
        <w:b/>
      </w:rPr>
      <w:t>Table of Contents</w:t>
    </w:r>
    <w:r>
      <w:rPr>
        <w:b/>
      </w:rPr>
      <w:t xml:space="preserve"> (cont.)</w:t>
    </w:r>
  </w:p>
  <w:p w14:paraId="5B6ADE3A" w14:textId="77777777" w:rsidR="000E00E5" w:rsidRDefault="000E00E5" w:rsidP="00D90591">
    <w:pPr>
      <w:pStyle w:val="Header"/>
      <w:ind w:firstLine="720"/>
    </w:pPr>
  </w:p>
  <w:p w14:paraId="2DDC401F" w14:textId="77777777" w:rsidR="000E00E5" w:rsidRPr="00140A7E" w:rsidRDefault="000E00E5" w:rsidP="004C75AB">
    <w:pPr>
      <w:pStyle w:val="Header"/>
      <w:tabs>
        <w:tab w:val="clear" w:pos="8640"/>
        <w:tab w:val="right" w:pos="9360"/>
      </w:tabs>
    </w:pPr>
    <w:r w:rsidRPr="00140A7E">
      <w:rPr>
        <w:b/>
        <w:u w:val="single"/>
      </w:rPr>
      <w:t>Title</w:t>
    </w:r>
    <w:r>
      <w:tab/>
    </w:r>
    <w:r>
      <w:tab/>
    </w:r>
    <w:r w:rsidRPr="00140A7E">
      <w:rPr>
        <w:b/>
        <w:u w:val="single"/>
      </w:rPr>
      <w:t>Pages</w:t>
    </w:r>
  </w:p>
  <w:p w14:paraId="7594B20F" w14:textId="77777777" w:rsidR="000E00E5" w:rsidRPr="00D90591" w:rsidRDefault="000E00E5" w:rsidP="00D905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ED151" w14:textId="08FFCBC3" w:rsidR="000E00E5" w:rsidRDefault="000E00E5" w:rsidP="00D90591">
    <w:pPr>
      <w:pStyle w:val="Header"/>
      <w:tabs>
        <w:tab w:val="clear" w:pos="8640"/>
        <w:tab w:val="right" w:pos="9360"/>
      </w:tabs>
    </w:pPr>
    <w:r>
      <w:t>R.16</w:t>
    </w:r>
    <w:r>
      <w:noBreakHyphen/>
      <w:t>02</w:t>
    </w:r>
    <w:r>
      <w:noBreakHyphen/>
      <w:t>007  ALJ/JF2/jt2</w:t>
    </w:r>
    <w:r>
      <w:tab/>
    </w:r>
    <w:r>
      <w:tab/>
    </w:r>
    <w:r w:rsidRPr="00D90591">
      <w:rPr>
        <w:rFonts w:ascii="Helvetica" w:hAnsi="Helvetica"/>
        <w:b/>
        <w:sz w:val="32"/>
        <w:szCs w:val="32"/>
      </w:rPr>
      <w:t>PROPOSED DECISION</w:t>
    </w:r>
    <w:r w:rsidR="005261E2">
      <w:rPr>
        <w:rFonts w:ascii="Helvetica" w:hAnsi="Helvetica"/>
        <w:b/>
        <w:sz w:val="32"/>
        <w:szCs w:val="32"/>
      </w:rPr>
      <w:t xml:space="preserve">  (Rev. 1)</w:t>
    </w:r>
  </w:p>
  <w:p w14:paraId="53F0C3D3" w14:textId="77777777" w:rsidR="000E00E5" w:rsidRDefault="000E00E5" w:rsidP="003310E0">
    <w:pPr>
      <w:pStyle w:val="Header"/>
      <w:jc w:val="center"/>
    </w:pPr>
  </w:p>
  <w:p w14:paraId="569566B8" w14:textId="77777777" w:rsidR="000E00E5" w:rsidRDefault="000E00E5" w:rsidP="003310E0">
    <w:pPr>
      <w:pStyle w:val="Header"/>
      <w:jc w:val="center"/>
    </w:pPr>
  </w:p>
  <w:p w14:paraId="3C927E5B" w14:textId="77777777" w:rsidR="000E00E5" w:rsidRPr="00140A7E" w:rsidRDefault="000E00E5" w:rsidP="003310E0">
    <w:pPr>
      <w:pStyle w:val="Header"/>
      <w:jc w:val="center"/>
      <w:rPr>
        <w:b/>
      </w:rPr>
    </w:pPr>
    <w:r w:rsidRPr="00140A7E">
      <w:rPr>
        <w:b/>
      </w:rPr>
      <w:t>Table of Contents</w:t>
    </w:r>
  </w:p>
  <w:p w14:paraId="5B0636E8" w14:textId="77777777" w:rsidR="000E00E5" w:rsidRDefault="000E00E5" w:rsidP="00977D30">
    <w:pPr>
      <w:pStyle w:val="Header"/>
      <w:ind w:firstLine="720"/>
    </w:pPr>
  </w:p>
  <w:p w14:paraId="187557EC" w14:textId="77777777" w:rsidR="000E00E5" w:rsidRPr="00140A7E" w:rsidRDefault="000E00E5" w:rsidP="004C75AB">
    <w:pPr>
      <w:pStyle w:val="Header"/>
      <w:tabs>
        <w:tab w:val="clear" w:pos="8640"/>
        <w:tab w:val="right" w:pos="9360"/>
      </w:tabs>
    </w:pPr>
    <w:r w:rsidRPr="00140A7E">
      <w:rPr>
        <w:b/>
        <w:u w:val="single"/>
      </w:rPr>
      <w:t>Title</w:t>
    </w:r>
    <w:r>
      <w:tab/>
    </w:r>
    <w:r>
      <w:tab/>
    </w:r>
    <w:r w:rsidRPr="00140A7E">
      <w:rPr>
        <w:b/>
        <w:u w:val="single"/>
      </w:rPr>
      <w:t>Pages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2FAE7" w14:textId="2399A6E4" w:rsidR="000E00E5" w:rsidRDefault="000E00E5" w:rsidP="00D90591">
    <w:pPr>
      <w:pStyle w:val="Header"/>
      <w:tabs>
        <w:tab w:val="clear" w:pos="8640"/>
        <w:tab w:val="right" w:pos="9360"/>
      </w:tabs>
    </w:pPr>
    <w:r w:rsidRPr="00393B14">
      <w:rPr>
        <w:rFonts w:ascii="Book Antiqua" w:hAnsi="Book Antiqua"/>
      </w:rPr>
      <w:t>R.16</w:t>
    </w:r>
    <w:r w:rsidRPr="00393B14">
      <w:rPr>
        <w:rFonts w:ascii="Book Antiqua" w:hAnsi="Book Antiqua"/>
      </w:rPr>
      <w:noBreakHyphen/>
      <w:t>02</w:t>
    </w:r>
    <w:r w:rsidRPr="00393B14">
      <w:rPr>
        <w:rFonts w:ascii="Book Antiqua" w:hAnsi="Book Antiqua"/>
      </w:rPr>
      <w:noBreakHyphen/>
      <w:t xml:space="preserve">007  </w:t>
    </w:r>
    <w:r>
      <w:rPr>
        <w:rFonts w:ascii="Book Antiqua" w:hAnsi="Book Antiqua"/>
      </w:rPr>
      <w:t>ALJ</w:t>
    </w:r>
    <w:r w:rsidRPr="00393B14">
      <w:rPr>
        <w:rFonts w:ascii="Book Antiqua" w:hAnsi="Book Antiqua"/>
      </w:rPr>
      <w:t>/JF2/jt2</w:t>
    </w:r>
    <w:r w:rsidRPr="00393B14">
      <w:rPr>
        <w:rFonts w:ascii="Book Antiqua" w:hAnsi="Book Antiqua"/>
      </w:rPr>
      <w:tab/>
    </w:r>
    <w:r w:rsidRPr="00393B14">
      <w:rPr>
        <w:rFonts w:ascii="Book Antiqua" w:hAnsi="Book Antiqua"/>
      </w:rPr>
      <w:tab/>
    </w:r>
    <w:r w:rsidRPr="00D90591">
      <w:rPr>
        <w:rFonts w:ascii="Helvetica" w:hAnsi="Helvetica"/>
        <w:b/>
        <w:sz w:val="32"/>
        <w:szCs w:val="32"/>
      </w:rPr>
      <w:t>PROPOSED DECISION</w:t>
    </w:r>
    <w:r w:rsidR="005261E2">
      <w:rPr>
        <w:rFonts w:ascii="Helvetica" w:hAnsi="Helvetica"/>
        <w:b/>
        <w:sz w:val="32"/>
        <w:szCs w:val="32"/>
      </w:rPr>
      <w:t xml:space="preserve">  (Rev. 1)</w:t>
    </w:r>
  </w:p>
  <w:p w14:paraId="425057FE" w14:textId="77777777" w:rsidR="000E00E5" w:rsidRDefault="000E00E5" w:rsidP="00D90591">
    <w:pPr>
      <w:pStyle w:val="Header"/>
      <w:rPr>
        <w:rFonts w:ascii="Book Antiqua" w:hAnsi="Book Antiqua"/>
      </w:rPr>
    </w:pPr>
  </w:p>
  <w:p w14:paraId="1F4C9094" w14:textId="77777777" w:rsidR="000E00E5" w:rsidRPr="00393B14" w:rsidRDefault="000E00E5" w:rsidP="00D90591">
    <w:pPr>
      <w:pStyle w:val="Header"/>
      <w:rPr>
        <w:rFonts w:ascii="Book Antiqua" w:hAnsi="Book Antiqu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C5DD4" w14:textId="13B1B5D7" w:rsidR="000E00E5" w:rsidRDefault="000E00E5" w:rsidP="00D90591">
    <w:pPr>
      <w:pStyle w:val="Header"/>
      <w:tabs>
        <w:tab w:val="clear" w:pos="8640"/>
        <w:tab w:val="right" w:pos="9360"/>
      </w:tabs>
    </w:pPr>
    <w:r w:rsidRPr="00393B14">
      <w:rPr>
        <w:rFonts w:ascii="Book Antiqua" w:hAnsi="Book Antiqua"/>
      </w:rPr>
      <w:t>R.16</w:t>
    </w:r>
    <w:r w:rsidRPr="00393B14">
      <w:rPr>
        <w:rFonts w:ascii="Book Antiqua" w:hAnsi="Book Antiqua"/>
      </w:rPr>
      <w:noBreakHyphen/>
      <w:t>02</w:t>
    </w:r>
    <w:r w:rsidRPr="00393B14">
      <w:rPr>
        <w:rFonts w:ascii="Book Antiqua" w:hAnsi="Book Antiqua"/>
      </w:rPr>
      <w:noBreakHyphen/>
      <w:t xml:space="preserve">007  </w:t>
    </w:r>
    <w:r>
      <w:rPr>
        <w:rFonts w:ascii="Book Antiqua" w:hAnsi="Book Antiqua"/>
      </w:rPr>
      <w:t>ALJ/</w:t>
    </w:r>
    <w:r w:rsidRPr="00393B14">
      <w:rPr>
        <w:rFonts w:ascii="Book Antiqua" w:hAnsi="Book Antiqua"/>
      </w:rPr>
      <w:t>JF2/jt2</w:t>
    </w:r>
    <w:r w:rsidRPr="00393B14">
      <w:rPr>
        <w:rFonts w:ascii="Book Antiqua" w:hAnsi="Book Antiqua"/>
      </w:rPr>
      <w:tab/>
    </w:r>
    <w:r w:rsidRPr="00393B14">
      <w:rPr>
        <w:rFonts w:ascii="Book Antiqua" w:hAnsi="Book Antiqua"/>
      </w:rPr>
      <w:tab/>
    </w:r>
    <w:r w:rsidRPr="00D90591">
      <w:rPr>
        <w:rFonts w:ascii="Helvetica" w:hAnsi="Helvetica"/>
        <w:b/>
        <w:sz w:val="32"/>
        <w:szCs w:val="32"/>
      </w:rPr>
      <w:t>PROPOSED DECISION</w:t>
    </w:r>
    <w:r w:rsidR="005261E2">
      <w:rPr>
        <w:rFonts w:ascii="Helvetica" w:hAnsi="Helvetica"/>
        <w:b/>
        <w:sz w:val="32"/>
        <w:szCs w:val="32"/>
      </w:rPr>
      <w:t xml:space="preserve">  (Rev. 1)</w:t>
    </w:r>
  </w:p>
  <w:p w14:paraId="24C8798A" w14:textId="77777777" w:rsidR="000E00E5" w:rsidRDefault="000E00E5" w:rsidP="00D90591">
    <w:pPr>
      <w:pStyle w:val="Header"/>
      <w:rPr>
        <w:rFonts w:ascii="Book Antiqua" w:hAnsi="Book Antiqua"/>
      </w:rPr>
    </w:pPr>
  </w:p>
  <w:p w14:paraId="39EB6FB6" w14:textId="77777777" w:rsidR="000E00E5" w:rsidRPr="00393B14" w:rsidRDefault="000E00E5" w:rsidP="00D90591">
    <w:pPr>
      <w:pStyle w:val="Header"/>
      <w:rPr>
        <w:rFonts w:ascii="Book Antiqua" w:hAnsi="Book Antiqua"/>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82D"/>
    <w:multiLevelType w:val="hybridMultilevel"/>
    <w:tmpl w:val="1910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B7737"/>
    <w:multiLevelType w:val="hybridMultilevel"/>
    <w:tmpl w:val="509E5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E24A5"/>
    <w:multiLevelType w:val="hybridMultilevel"/>
    <w:tmpl w:val="0302C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3B381E"/>
    <w:multiLevelType w:val="singleLevel"/>
    <w:tmpl w:val="2FB6A734"/>
    <w:lvl w:ilvl="0">
      <w:start w:val="1"/>
      <w:numFmt w:val="decimal"/>
      <w:lvlText w:val="%1."/>
      <w:legacy w:legacy="1" w:legacySpace="144" w:legacyIndent="0"/>
      <w:lvlJc w:val="left"/>
    </w:lvl>
  </w:abstractNum>
  <w:abstractNum w:abstractNumId="4">
    <w:nsid w:val="12C41794"/>
    <w:multiLevelType w:val="hybridMultilevel"/>
    <w:tmpl w:val="6812F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CD7C41"/>
    <w:multiLevelType w:val="hybridMultilevel"/>
    <w:tmpl w:val="194E1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954B6C"/>
    <w:multiLevelType w:val="hybridMultilevel"/>
    <w:tmpl w:val="6A60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1F3470"/>
    <w:multiLevelType w:val="hybridMultilevel"/>
    <w:tmpl w:val="9F2CF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6D37F8C"/>
    <w:multiLevelType w:val="multilevel"/>
    <w:tmpl w:val="DAD268B6"/>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680"/>
        </w:tabs>
        <w:ind w:left="2952" w:hanging="792"/>
      </w:pPr>
      <w:rPr>
        <w:rFonts w:hint="default"/>
      </w:rPr>
    </w:lvl>
    <w:lvl w:ilvl="5">
      <w:start w:val="1"/>
      <w:numFmt w:val="decimal"/>
      <w:pStyle w:val="StyleHeading6Left05Hanging106"/>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920"/>
        </w:tabs>
        <w:ind w:left="5040" w:hanging="1440"/>
      </w:pPr>
      <w:rPr>
        <w:rFonts w:hint="default"/>
      </w:rPr>
    </w:lvl>
  </w:abstractNum>
  <w:abstractNum w:abstractNumId="10">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5E70A9"/>
    <w:multiLevelType w:val="hybridMultilevel"/>
    <w:tmpl w:val="AE58EEEA"/>
    <w:lvl w:ilvl="0" w:tplc="FE164F1A">
      <w:start w:val="2"/>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6C22BD"/>
    <w:multiLevelType w:val="hybridMultilevel"/>
    <w:tmpl w:val="C5889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EA285D"/>
    <w:multiLevelType w:val="hybridMultilevel"/>
    <w:tmpl w:val="453C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CB3101"/>
    <w:multiLevelType w:val="multilevel"/>
    <w:tmpl w:val="C6FC3A22"/>
    <w:lvl w:ilvl="0">
      <w:start w:val="1"/>
      <w:numFmt w:val="decimal"/>
      <w:pStyle w:val="Heading1"/>
      <w:lvlText w:val="%1."/>
      <w:lvlJc w:val="left"/>
      <w:pPr>
        <w:tabs>
          <w:tab w:val="num" w:pos="720"/>
        </w:tabs>
        <w:ind w:left="720" w:hanging="720"/>
      </w:pPr>
      <w:rPr>
        <w:rFonts w:hint="default"/>
        <w:b/>
      </w:rPr>
    </w:lvl>
    <w:lvl w:ilvl="1">
      <w:start w:val="1"/>
      <w:numFmt w:val="decimal"/>
      <w:pStyle w:val="Heading2"/>
      <w:lvlText w:val="%1.%2."/>
      <w:lvlJc w:val="left"/>
      <w:pPr>
        <w:tabs>
          <w:tab w:val="num" w:pos="1710"/>
        </w:tabs>
        <w:ind w:left="171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15">
    <w:nsid w:val="5BD1237A"/>
    <w:multiLevelType w:val="hybridMultilevel"/>
    <w:tmpl w:val="8030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296FBB"/>
    <w:multiLevelType w:val="hybridMultilevel"/>
    <w:tmpl w:val="4A203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840D49"/>
    <w:multiLevelType w:val="hybridMultilevel"/>
    <w:tmpl w:val="AD48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5C46A0"/>
    <w:multiLevelType w:val="hybridMultilevel"/>
    <w:tmpl w:val="5E8A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4FE"/>
    <w:multiLevelType w:val="hybridMultilevel"/>
    <w:tmpl w:val="A14EB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E3D726F"/>
    <w:multiLevelType w:val="singleLevel"/>
    <w:tmpl w:val="2FB6A734"/>
    <w:lvl w:ilvl="0">
      <w:start w:val="1"/>
      <w:numFmt w:val="decimal"/>
      <w:lvlText w:val="%1."/>
      <w:legacy w:legacy="1" w:legacySpace="144" w:legacyIndent="0"/>
      <w:lvlJc w:val="left"/>
    </w:lvl>
  </w:abstractNum>
  <w:abstractNum w:abstractNumId="21">
    <w:nsid w:val="70CA38AD"/>
    <w:multiLevelType w:val="hybridMultilevel"/>
    <w:tmpl w:val="254C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460778"/>
    <w:multiLevelType w:val="hybridMultilevel"/>
    <w:tmpl w:val="899E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0F5A68"/>
    <w:multiLevelType w:val="hybridMultilevel"/>
    <w:tmpl w:val="12EC5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1C30FD"/>
    <w:multiLevelType w:val="singleLevel"/>
    <w:tmpl w:val="2FB6A734"/>
    <w:lvl w:ilvl="0">
      <w:start w:val="1"/>
      <w:numFmt w:val="decimal"/>
      <w:lvlText w:val="%1."/>
      <w:legacy w:legacy="1" w:legacySpace="144" w:legacyIndent="0"/>
      <w:lvlJc w:val="left"/>
    </w:lvl>
  </w:abstractNum>
  <w:abstractNum w:abstractNumId="25">
    <w:nsid w:val="7DDA699B"/>
    <w:multiLevelType w:val="hybridMultilevel"/>
    <w:tmpl w:val="4BF8DB0E"/>
    <w:lvl w:ilvl="0" w:tplc="24C027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7BA9"/>
    <w:multiLevelType w:val="hybridMultilevel"/>
    <w:tmpl w:val="8836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8"/>
  </w:num>
  <w:num w:numId="4">
    <w:abstractNumId w:val="14"/>
  </w:num>
  <w:num w:numId="5">
    <w:abstractNumId w:val="10"/>
  </w:num>
  <w:num w:numId="6">
    <w:abstractNumId w:val="9"/>
  </w:num>
  <w:num w:numId="7">
    <w:abstractNumId w:val="20"/>
  </w:num>
  <w:num w:numId="8">
    <w:abstractNumId w:val="5"/>
  </w:num>
  <w:num w:numId="9">
    <w:abstractNumId w:val="7"/>
  </w:num>
  <w:num w:numId="10">
    <w:abstractNumId w:val="16"/>
  </w:num>
  <w:num w:numId="11">
    <w:abstractNumId w:val="23"/>
  </w:num>
  <w:num w:numId="12">
    <w:abstractNumId w:val="12"/>
  </w:num>
  <w:num w:numId="13">
    <w:abstractNumId w:val="4"/>
  </w:num>
  <w:num w:numId="14">
    <w:abstractNumId w:val="19"/>
  </w:num>
  <w:num w:numId="15">
    <w:abstractNumId w:val="2"/>
  </w:num>
  <w:num w:numId="16">
    <w:abstractNumId w:val="1"/>
  </w:num>
  <w:num w:numId="17">
    <w:abstractNumId w:val="11"/>
  </w:num>
  <w:num w:numId="18">
    <w:abstractNumId w:val="25"/>
  </w:num>
  <w:num w:numId="19">
    <w:abstractNumId w:val="26"/>
  </w:num>
  <w:num w:numId="20">
    <w:abstractNumId w:val="6"/>
  </w:num>
  <w:num w:numId="21">
    <w:abstractNumId w:val="22"/>
  </w:num>
  <w:num w:numId="22">
    <w:abstractNumId w:val="15"/>
  </w:num>
  <w:num w:numId="23">
    <w:abstractNumId w:val="18"/>
  </w:num>
  <w:num w:numId="24">
    <w:abstractNumId w:val="17"/>
  </w:num>
  <w:num w:numId="25">
    <w:abstractNumId w:val="0"/>
  </w:num>
  <w:num w:numId="26">
    <w:abstractNumId w:val="21"/>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441"/>
    <w:rsid w:val="0000178C"/>
    <w:rsid w:val="00002495"/>
    <w:rsid w:val="0000553C"/>
    <w:rsid w:val="00006091"/>
    <w:rsid w:val="00007E0B"/>
    <w:rsid w:val="000128F8"/>
    <w:rsid w:val="00012F03"/>
    <w:rsid w:val="00013F8E"/>
    <w:rsid w:val="0001496F"/>
    <w:rsid w:val="000154A4"/>
    <w:rsid w:val="000161CE"/>
    <w:rsid w:val="0001732F"/>
    <w:rsid w:val="0002186B"/>
    <w:rsid w:val="00021CB9"/>
    <w:rsid w:val="0002442D"/>
    <w:rsid w:val="00025A8E"/>
    <w:rsid w:val="00026579"/>
    <w:rsid w:val="00026A78"/>
    <w:rsid w:val="0002757D"/>
    <w:rsid w:val="000310DF"/>
    <w:rsid w:val="0003115C"/>
    <w:rsid w:val="00031409"/>
    <w:rsid w:val="00031E75"/>
    <w:rsid w:val="0003215E"/>
    <w:rsid w:val="000324E0"/>
    <w:rsid w:val="00033ABC"/>
    <w:rsid w:val="00034017"/>
    <w:rsid w:val="00034F88"/>
    <w:rsid w:val="00035D42"/>
    <w:rsid w:val="000364CD"/>
    <w:rsid w:val="0003724B"/>
    <w:rsid w:val="000374DB"/>
    <w:rsid w:val="0004001C"/>
    <w:rsid w:val="000409DB"/>
    <w:rsid w:val="0004251B"/>
    <w:rsid w:val="00042718"/>
    <w:rsid w:val="000443BB"/>
    <w:rsid w:val="0004659A"/>
    <w:rsid w:val="00047DEA"/>
    <w:rsid w:val="00050DC9"/>
    <w:rsid w:val="00050F68"/>
    <w:rsid w:val="000523B7"/>
    <w:rsid w:val="0005588D"/>
    <w:rsid w:val="00056FDD"/>
    <w:rsid w:val="00057697"/>
    <w:rsid w:val="0005777A"/>
    <w:rsid w:val="0006126A"/>
    <w:rsid w:val="00061737"/>
    <w:rsid w:val="000617F2"/>
    <w:rsid w:val="00062218"/>
    <w:rsid w:val="000639A2"/>
    <w:rsid w:val="0006484B"/>
    <w:rsid w:val="00065006"/>
    <w:rsid w:val="00065127"/>
    <w:rsid w:val="00065BEF"/>
    <w:rsid w:val="000670A3"/>
    <w:rsid w:val="00067C7F"/>
    <w:rsid w:val="0007066A"/>
    <w:rsid w:val="00070E68"/>
    <w:rsid w:val="00071D19"/>
    <w:rsid w:val="00072CB7"/>
    <w:rsid w:val="00072FA8"/>
    <w:rsid w:val="000732F5"/>
    <w:rsid w:val="000736CB"/>
    <w:rsid w:val="00073DD6"/>
    <w:rsid w:val="00075BC0"/>
    <w:rsid w:val="00076794"/>
    <w:rsid w:val="000774C3"/>
    <w:rsid w:val="00077D93"/>
    <w:rsid w:val="000817A6"/>
    <w:rsid w:val="00084704"/>
    <w:rsid w:val="00086E7F"/>
    <w:rsid w:val="000905E3"/>
    <w:rsid w:val="00093A9C"/>
    <w:rsid w:val="00094922"/>
    <w:rsid w:val="00095EA8"/>
    <w:rsid w:val="000A035E"/>
    <w:rsid w:val="000A053F"/>
    <w:rsid w:val="000A0A01"/>
    <w:rsid w:val="000A0B51"/>
    <w:rsid w:val="000A1535"/>
    <w:rsid w:val="000A1ED2"/>
    <w:rsid w:val="000A2454"/>
    <w:rsid w:val="000A2CDC"/>
    <w:rsid w:val="000A36EF"/>
    <w:rsid w:val="000A4323"/>
    <w:rsid w:val="000A56CE"/>
    <w:rsid w:val="000A5C58"/>
    <w:rsid w:val="000A5F7A"/>
    <w:rsid w:val="000A6569"/>
    <w:rsid w:val="000B0D6F"/>
    <w:rsid w:val="000B2A80"/>
    <w:rsid w:val="000B2AD4"/>
    <w:rsid w:val="000B2B1C"/>
    <w:rsid w:val="000B3964"/>
    <w:rsid w:val="000B3DD3"/>
    <w:rsid w:val="000B4B4E"/>
    <w:rsid w:val="000B6660"/>
    <w:rsid w:val="000B76BF"/>
    <w:rsid w:val="000B7FFE"/>
    <w:rsid w:val="000C095B"/>
    <w:rsid w:val="000C0D8B"/>
    <w:rsid w:val="000C1783"/>
    <w:rsid w:val="000C17B0"/>
    <w:rsid w:val="000C44D6"/>
    <w:rsid w:val="000C5643"/>
    <w:rsid w:val="000C6AF0"/>
    <w:rsid w:val="000D22BC"/>
    <w:rsid w:val="000D2E42"/>
    <w:rsid w:val="000D2ECF"/>
    <w:rsid w:val="000D3017"/>
    <w:rsid w:val="000D3F87"/>
    <w:rsid w:val="000D6CC7"/>
    <w:rsid w:val="000D76D2"/>
    <w:rsid w:val="000E00E5"/>
    <w:rsid w:val="000E21CA"/>
    <w:rsid w:val="000E3868"/>
    <w:rsid w:val="000E4E8A"/>
    <w:rsid w:val="000E5097"/>
    <w:rsid w:val="000E54CD"/>
    <w:rsid w:val="000E5E00"/>
    <w:rsid w:val="000E734C"/>
    <w:rsid w:val="000F09A0"/>
    <w:rsid w:val="000F116B"/>
    <w:rsid w:val="000F2539"/>
    <w:rsid w:val="000F3125"/>
    <w:rsid w:val="000F37C6"/>
    <w:rsid w:val="000F3E07"/>
    <w:rsid w:val="000F4061"/>
    <w:rsid w:val="000F431F"/>
    <w:rsid w:val="000F47A3"/>
    <w:rsid w:val="000F48D0"/>
    <w:rsid w:val="000F49C3"/>
    <w:rsid w:val="000F4CE1"/>
    <w:rsid w:val="000F505B"/>
    <w:rsid w:val="000F55E9"/>
    <w:rsid w:val="000F5C39"/>
    <w:rsid w:val="000F5C8B"/>
    <w:rsid w:val="000F6240"/>
    <w:rsid w:val="000F6890"/>
    <w:rsid w:val="000F6AD6"/>
    <w:rsid w:val="000F6D58"/>
    <w:rsid w:val="000F6F12"/>
    <w:rsid w:val="00100443"/>
    <w:rsid w:val="001009FE"/>
    <w:rsid w:val="001029A3"/>
    <w:rsid w:val="00102E1E"/>
    <w:rsid w:val="00103323"/>
    <w:rsid w:val="00103443"/>
    <w:rsid w:val="00103771"/>
    <w:rsid w:val="00103A0F"/>
    <w:rsid w:val="00104AC6"/>
    <w:rsid w:val="00104E36"/>
    <w:rsid w:val="00105883"/>
    <w:rsid w:val="0010659E"/>
    <w:rsid w:val="00107135"/>
    <w:rsid w:val="001075DA"/>
    <w:rsid w:val="00107C56"/>
    <w:rsid w:val="001104E6"/>
    <w:rsid w:val="00113BB5"/>
    <w:rsid w:val="00113EA6"/>
    <w:rsid w:val="00114A09"/>
    <w:rsid w:val="00115A63"/>
    <w:rsid w:val="001168C1"/>
    <w:rsid w:val="00116F32"/>
    <w:rsid w:val="001172CA"/>
    <w:rsid w:val="001174B5"/>
    <w:rsid w:val="00117AD1"/>
    <w:rsid w:val="00117DD3"/>
    <w:rsid w:val="00120A7E"/>
    <w:rsid w:val="001212DF"/>
    <w:rsid w:val="0012312E"/>
    <w:rsid w:val="001242C7"/>
    <w:rsid w:val="0012445C"/>
    <w:rsid w:val="001250AD"/>
    <w:rsid w:val="00126259"/>
    <w:rsid w:val="00126B86"/>
    <w:rsid w:val="001276B3"/>
    <w:rsid w:val="0012787C"/>
    <w:rsid w:val="00127CC8"/>
    <w:rsid w:val="001300A2"/>
    <w:rsid w:val="00131555"/>
    <w:rsid w:val="00131CE6"/>
    <w:rsid w:val="00133DA0"/>
    <w:rsid w:val="001340D0"/>
    <w:rsid w:val="00134448"/>
    <w:rsid w:val="00135D95"/>
    <w:rsid w:val="001403AB"/>
    <w:rsid w:val="00140A7E"/>
    <w:rsid w:val="00141648"/>
    <w:rsid w:val="0014206E"/>
    <w:rsid w:val="00143A1F"/>
    <w:rsid w:val="0014536E"/>
    <w:rsid w:val="00145ECB"/>
    <w:rsid w:val="001465D5"/>
    <w:rsid w:val="00147538"/>
    <w:rsid w:val="0014759F"/>
    <w:rsid w:val="00151A18"/>
    <w:rsid w:val="00152A24"/>
    <w:rsid w:val="00152B2B"/>
    <w:rsid w:val="0015723C"/>
    <w:rsid w:val="00160360"/>
    <w:rsid w:val="00160609"/>
    <w:rsid w:val="00160725"/>
    <w:rsid w:val="00161A36"/>
    <w:rsid w:val="001624BF"/>
    <w:rsid w:val="0016294F"/>
    <w:rsid w:val="00165223"/>
    <w:rsid w:val="001669C2"/>
    <w:rsid w:val="001713FD"/>
    <w:rsid w:val="00171A8B"/>
    <w:rsid w:val="00172D69"/>
    <w:rsid w:val="00173BDD"/>
    <w:rsid w:val="001741FE"/>
    <w:rsid w:val="001749C1"/>
    <w:rsid w:val="0017554E"/>
    <w:rsid w:val="00175C46"/>
    <w:rsid w:val="0017626D"/>
    <w:rsid w:val="00176A36"/>
    <w:rsid w:val="00176F1F"/>
    <w:rsid w:val="001777F8"/>
    <w:rsid w:val="001811C3"/>
    <w:rsid w:val="001813D1"/>
    <w:rsid w:val="001829EC"/>
    <w:rsid w:val="00183531"/>
    <w:rsid w:val="00183B23"/>
    <w:rsid w:val="00183D6A"/>
    <w:rsid w:val="0018435E"/>
    <w:rsid w:val="00184993"/>
    <w:rsid w:val="00184E2D"/>
    <w:rsid w:val="00185068"/>
    <w:rsid w:val="0018515D"/>
    <w:rsid w:val="00185327"/>
    <w:rsid w:val="00185AD1"/>
    <w:rsid w:val="00185E1B"/>
    <w:rsid w:val="00186ACB"/>
    <w:rsid w:val="00190906"/>
    <w:rsid w:val="0019434F"/>
    <w:rsid w:val="00194546"/>
    <w:rsid w:val="001951A2"/>
    <w:rsid w:val="00197FC5"/>
    <w:rsid w:val="001A0835"/>
    <w:rsid w:val="001A0F25"/>
    <w:rsid w:val="001A0F7D"/>
    <w:rsid w:val="001A175D"/>
    <w:rsid w:val="001A1E89"/>
    <w:rsid w:val="001A34E7"/>
    <w:rsid w:val="001A3B9C"/>
    <w:rsid w:val="001A4AE0"/>
    <w:rsid w:val="001A5C53"/>
    <w:rsid w:val="001A5F60"/>
    <w:rsid w:val="001A6DB7"/>
    <w:rsid w:val="001A7699"/>
    <w:rsid w:val="001A7A94"/>
    <w:rsid w:val="001A7AC7"/>
    <w:rsid w:val="001A7F1A"/>
    <w:rsid w:val="001B09F9"/>
    <w:rsid w:val="001B1F5C"/>
    <w:rsid w:val="001B2F50"/>
    <w:rsid w:val="001B336D"/>
    <w:rsid w:val="001B3617"/>
    <w:rsid w:val="001B4679"/>
    <w:rsid w:val="001B4A25"/>
    <w:rsid w:val="001B6960"/>
    <w:rsid w:val="001B6BC9"/>
    <w:rsid w:val="001B6E6E"/>
    <w:rsid w:val="001B7847"/>
    <w:rsid w:val="001C029F"/>
    <w:rsid w:val="001C143D"/>
    <w:rsid w:val="001C25D6"/>
    <w:rsid w:val="001C33F8"/>
    <w:rsid w:val="001C3F3F"/>
    <w:rsid w:val="001C469C"/>
    <w:rsid w:val="001C7AC2"/>
    <w:rsid w:val="001D055B"/>
    <w:rsid w:val="001D14B5"/>
    <w:rsid w:val="001D29D1"/>
    <w:rsid w:val="001D2C47"/>
    <w:rsid w:val="001D2D90"/>
    <w:rsid w:val="001D4103"/>
    <w:rsid w:val="001D4925"/>
    <w:rsid w:val="001D6D54"/>
    <w:rsid w:val="001D71B2"/>
    <w:rsid w:val="001D727D"/>
    <w:rsid w:val="001D75BE"/>
    <w:rsid w:val="001E14DA"/>
    <w:rsid w:val="001E1BB2"/>
    <w:rsid w:val="001E241E"/>
    <w:rsid w:val="001E39D2"/>
    <w:rsid w:val="001E4A82"/>
    <w:rsid w:val="001E682E"/>
    <w:rsid w:val="001E6DEA"/>
    <w:rsid w:val="001E6EC3"/>
    <w:rsid w:val="001F0487"/>
    <w:rsid w:val="001F1CFE"/>
    <w:rsid w:val="001F21C9"/>
    <w:rsid w:val="001F62C0"/>
    <w:rsid w:val="001F6621"/>
    <w:rsid w:val="001F6822"/>
    <w:rsid w:val="001F7895"/>
    <w:rsid w:val="001F7928"/>
    <w:rsid w:val="0020060A"/>
    <w:rsid w:val="00202BA1"/>
    <w:rsid w:val="00202FF1"/>
    <w:rsid w:val="00203452"/>
    <w:rsid w:val="002062C3"/>
    <w:rsid w:val="002067EA"/>
    <w:rsid w:val="00206F5C"/>
    <w:rsid w:val="002072EF"/>
    <w:rsid w:val="002078C2"/>
    <w:rsid w:val="00207C23"/>
    <w:rsid w:val="00207D9D"/>
    <w:rsid w:val="0021204B"/>
    <w:rsid w:val="00213856"/>
    <w:rsid w:val="00215170"/>
    <w:rsid w:val="00216874"/>
    <w:rsid w:val="00217850"/>
    <w:rsid w:val="00217B07"/>
    <w:rsid w:val="002218B6"/>
    <w:rsid w:val="002231AA"/>
    <w:rsid w:val="0022394D"/>
    <w:rsid w:val="00224F44"/>
    <w:rsid w:val="00226FA0"/>
    <w:rsid w:val="002270CB"/>
    <w:rsid w:val="00227127"/>
    <w:rsid w:val="00230000"/>
    <w:rsid w:val="002312C8"/>
    <w:rsid w:val="00232163"/>
    <w:rsid w:val="0023249E"/>
    <w:rsid w:val="00232B21"/>
    <w:rsid w:val="00232FC9"/>
    <w:rsid w:val="0023307A"/>
    <w:rsid w:val="00234047"/>
    <w:rsid w:val="00234C36"/>
    <w:rsid w:val="00237617"/>
    <w:rsid w:val="002379B4"/>
    <w:rsid w:val="00237FEA"/>
    <w:rsid w:val="00240515"/>
    <w:rsid w:val="00240941"/>
    <w:rsid w:val="00240A78"/>
    <w:rsid w:val="00241C49"/>
    <w:rsid w:val="00243AE9"/>
    <w:rsid w:val="0024405E"/>
    <w:rsid w:val="00244703"/>
    <w:rsid w:val="002452BD"/>
    <w:rsid w:val="002455B1"/>
    <w:rsid w:val="002456A6"/>
    <w:rsid w:val="0024657B"/>
    <w:rsid w:val="00247AB3"/>
    <w:rsid w:val="00247B02"/>
    <w:rsid w:val="00247B27"/>
    <w:rsid w:val="00247B82"/>
    <w:rsid w:val="00250207"/>
    <w:rsid w:val="00250907"/>
    <w:rsid w:val="00250B27"/>
    <w:rsid w:val="00253629"/>
    <w:rsid w:val="00254411"/>
    <w:rsid w:val="002551AF"/>
    <w:rsid w:val="00255CD5"/>
    <w:rsid w:val="00256983"/>
    <w:rsid w:val="00257FC2"/>
    <w:rsid w:val="00260187"/>
    <w:rsid w:val="00260529"/>
    <w:rsid w:val="00262D3E"/>
    <w:rsid w:val="0026511C"/>
    <w:rsid w:val="00265659"/>
    <w:rsid w:val="0026604D"/>
    <w:rsid w:val="00266B89"/>
    <w:rsid w:val="00267344"/>
    <w:rsid w:val="00267BEF"/>
    <w:rsid w:val="00270179"/>
    <w:rsid w:val="002713DC"/>
    <w:rsid w:val="00271E16"/>
    <w:rsid w:val="002727A0"/>
    <w:rsid w:val="00272E97"/>
    <w:rsid w:val="002732A3"/>
    <w:rsid w:val="002765D1"/>
    <w:rsid w:val="0027680B"/>
    <w:rsid w:val="00281368"/>
    <w:rsid w:val="002830FE"/>
    <w:rsid w:val="00283DFC"/>
    <w:rsid w:val="0028499F"/>
    <w:rsid w:val="00284EAB"/>
    <w:rsid w:val="002863C5"/>
    <w:rsid w:val="00286E41"/>
    <w:rsid w:val="00287196"/>
    <w:rsid w:val="0028749F"/>
    <w:rsid w:val="00287C46"/>
    <w:rsid w:val="0029095B"/>
    <w:rsid w:val="0029108F"/>
    <w:rsid w:val="00292A29"/>
    <w:rsid w:val="00293844"/>
    <w:rsid w:val="002938FF"/>
    <w:rsid w:val="00293D19"/>
    <w:rsid w:val="00295469"/>
    <w:rsid w:val="00295559"/>
    <w:rsid w:val="00295834"/>
    <w:rsid w:val="00295BAC"/>
    <w:rsid w:val="00295F67"/>
    <w:rsid w:val="0029646E"/>
    <w:rsid w:val="0029674B"/>
    <w:rsid w:val="00297C72"/>
    <w:rsid w:val="002A0087"/>
    <w:rsid w:val="002A0BFB"/>
    <w:rsid w:val="002A21E6"/>
    <w:rsid w:val="002A2C71"/>
    <w:rsid w:val="002A3608"/>
    <w:rsid w:val="002A38EE"/>
    <w:rsid w:val="002A3B18"/>
    <w:rsid w:val="002A3B2E"/>
    <w:rsid w:val="002A4A80"/>
    <w:rsid w:val="002A5E65"/>
    <w:rsid w:val="002A64DB"/>
    <w:rsid w:val="002A70B0"/>
    <w:rsid w:val="002B13A4"/>
    <w:rsid w:val="002B2B51"/>
    <w:rsid w:val="002B3CD7"/>
    <w:rsid w:val="002B4073"/>
    <w:rsid w:val="002B47E8"/>
    <w:rsid w:val="002B53B5"/>
    <w:rsid w:val="002B59D8"/>
    <w:rsid w:val="002B5EB3"/>
    <w:rsid w:val="002B721B"/>
    <w:rsid w:val="002B7A28"/>
    <w:rsid w:val="002C1241"/>
    <w:rsid w:val="002C16DA"/>
    <w:rsid w:val="002C1F4D"/>
    <w:rsid w:val="002C2607"/>
    <w:rsid w:val="002C427E"/>
    <w:rsid w:val="002C578A"/>
    <w:rsid w:val="002C5A43"/>
    <w:rsid w:val="002C5C77"/>
    <w:rsid w:val="002C5D64"/>
    <w:rsid w:val="002D1676"/>
    <w:rsid w:val="002D2DB9"/>
    <w:rsid w:val="002D6C00"/>
    <w:rsid w:val="002D72FF"/>
    <w:rsid w:val="002D7537"/>
    <w:rsid w:val="002E033C"/>
    <w:rsid w:val="002E05BD"/>
    <w:rsid w:val="002E12C5"/>
    <w:rsid w:val="002E1EB7"/>
    <w:rsid w:val="002E2A9D"/>
    <w:rsid w:val="002E2C7F"/>
    <w:rsid w:val="002E63D4"/>
    <w:rsid w:val="002E7DB4"/>
    <w:rsid w:val="002E7DC2"/>
    <w:rsid w:val="002F228D"/>
    <w:rsid w:val="002F22F3"/>
    <w:rsid w:val="002F238D"/>
    <w:rsid w:val="002F23C5"/>
    <w:rsid w:val="002F25BA"/>
    <w:rsid w:val="002F3C3D"/>
    <w:rsid w:val="002F3F75"/>
    <w:rsid w:val="002F4B3C"/>
    <w:rsid w:val="002F4EE1"/>
    <w:rsid w:val="002F5DDA"/>
    <w:rsid w:val="002F63FA"/>
    <w:rsid w:val="002F7A66"/>
    <w:rsid w:val="003007AA"/>
    <w:rsid w:val="00302C0A"/>
    <w:rsid w:val="00303316"/>
    <w:rsid w:val="0030353A"/>
    <w:rsid w:val="00303663"/>
    <w:rsid w:val="003038F3"/>
    <w:rsid w:val="00304DE5"/>
    <w:rsid w:val="003067EA"/>
    <w:rsid w:val="00306AAC"/>
    <w:rsid w:val="0031076F"/>
    <w:rsid w:val="0031079A"/>
    <w:rsid w:val="003112BD"/>
    <w:rsid w:val="0031132D"/>
    <w:rsid w:val="00312787"/>
    <w:rsid w:val="00312E83"/>
    <w:rsid w:val="00313EFF"/>
    <w:rsid w:val="003148DF"/>
    <w:rsid w:val="003161B5"/>
    <w:rsid w:val="00317BB8"/>
    <w:rsid w:val="00317DA4"/>
    <w:rsid w:val="00320731"/>
    <w:rsid w:val="003207E2"/>
    <w:rsid w:val="00320C50"/>
    <w:rsid w:val="00321704"/>
    <w:rsid w:val="00323634"/>
    <w:rsid w:val="003240AD"/>
    <w:rsid w:val="00324E34"/>
    <w:rsid w:val="00326402"/>
    <w:rsid w:val="00326DDA"/>
    <w:rsid w:val="003275FD"/>
    <w:rsid w:val="0032795E"/>
    <w:rsid w:val="00330D24"/>
    <w:rsid w:val="003310E0"/>
    <w:rsid w:val="00332631"/>
    <w:rsid w:val="00333642"/>
    <w:rsid w:val="00334071"/>
    <w:rsid w:val="003341E7"/>
    <w:rsid w:val="0033659F"/>
    <w:rsid w:val="00336A35"/>
    <w:rsid w:val="00337616"/>
    <w:rsid w:val="003401A3"/>
    <w:rsid w:val="00341F04"/>
    <w:rsid w:val="00343B9C"/>
    <w:rsid w:val="00344DD2"/>
    <w:rsid w:val="0034548A"/>
    <w:rsid w:val="003458B4"/>
    <w:rsid w:val="00346EC4"/>
    <w:rsid w:val="00347561"/>
    <w:rsid w:val="003500D1"/>
    <w:rsid w:val="0035024D"/>
    <w:rsid w:val="00350FCF"/>
    <w:rsid w:val="00354165"/>
    <w:rsid w:val="00354553"/>
    <w:rsid w:val="00354F37"/>
    <w:rsid w:val="00355040"/>
    <w:rsid w:val="0035571C"/>
    <w:rsid w:val="00355A59"/>
    <w:rsid w:val="00355B68"/>
    <w:rsid w:val="00355B7B"/>
    <w:rsid w:val="003568CD"/>
    <w:rsid w:val="003618BE"/>
    <w:rsid w:val="003619E8"/>
    <w:rsid w:val="00361FAC"/>
    <w:rsid w:val="00362629"/>
    <w:rsid w:val="00364DCE"/>
    <w:rsid w:val="003664BE"/>
    <w:rsid w:val="00372885"/>
    <w:rsid w:val="003744A5"/>
    <w:rsid w:val="00376013"/>
    <w:rsid w:val="00376F74"/>
    <w:rsid w:val="00377B6F"/>
    <w:rsid w:val="00380453"/>
    <w:rsid w:val="00381032"/>
    <w:rsid w:val="003847E2"/>
    <w:rsid w:val="00385652"/>
    <w:rsid w:val="003857B5"/>
    <w:rsid w:val="0038602D"/>
    <w:rsid w:val="00386408"/>
    <w:rsid w:val="003867E6"/>
    <w:rsid w:val="003876C9"/>
    <w:rsid w:val="00387718"/>
    <w:rsid w:val="003901B4"/>
    <w:rsid w:val="00390AF5"/>
    <w:rsid w:val="00391CC1"/>
    <w:rsid w:val="003926AF"/>
    <w:rsid w:val="00393B14"/>
    <w:rsid w:val="00395EF1"/>
    <w:rsid w:val="00396C84"/>
    <w:rsid w:val="003A2227"/>
    <w:rsid w:val="003A2232"/>
    <w:rsid w:val="003A2CE6"/>
    <w:rsid w:val="003A521F"/>
    <w:rsid w:val="003A5543"/>
    <w:rsid w:val="003A743C"/>
    <w:rsid w:val="003A7AA2"/>
    <w:rsid w:val="003A7F82"/>
    <w:rsid w:val="003B149C"/>
    <w:rsid w:val="003B18BB"/>
    <w:rsid w:val="003B1B26"/>
    <w:rsid w:val="003B1C83"/>
    <w:rsid w:val="003B2536"/>
    <w:rsid w:val="003B2784"/>
    <w:rsid w:val="003B3116"/>
    <w:rsid w:val="003B5945"/>
    <w:rsid w:val="003B59E6"/>
    <w:rsid w:val="003B6A42"/>
    <w:rsid w:val="003C0FF4"/>
    <w:rsid w:val="003C14EC"/>
    <w:rsid w:val="003C211E"/>
    <w:rsid w:val="003C230F"/>
    <w:rsid w:val="003C2446"/>
    <w:rsid w:val="003C424A"/>
    <w:rsid w:val="003C4736"/>
    <w:rsid w:val="003C695C"/>
    <w:rsid w:val="003C7203"/>
    <w:rsid w:val="003C7B0A"/>
    <w:rsid w:val="003D00E5"/>
    <w:rsid w:val="003D02BC"/>
    <w:rsid w:val="003D062F"/>
    <w:rsid w:val="003D0DFA"/>
    <w:rsid w:val="003D27DC"/>
    <w:rsid w:val="003D2E8C"/>
    <w:rsid w:val="003D2F3E"/>
    <w:rsid w:val="003D30FF"/>
    <w:rsid w:val="003D36B6"/>
    <w:rsid w:val="003D4837"/>
    <w:rsid w:val="003D5BAE"/>
    <w:rsid w:val="003D5C58"/>
    <w:rsid w:val="003D5ED2"/>
    <w:rsid w:val="003D6BF5"/>
    <w:rsid w:val="003D7104"/>
    <w:rsid w:val="003E0740"/>
    <w:rsid w:val="003E0901"/>
    <w:rsid w:val="003E1509"/>
    <w:rsid w:val="003E20F6"/>
    <w:rsid w:val="003E3277"/>
    <w:rsid w:val="003E4FE5"/>
    <w:rsid w:val="003E5739"/>
    <w:rsid w:val="003E70C2"/>
    <w:rsid w:val="003E7165"/>
    <w:rsid w:val="003E792C"/>
    <w:rsid w:val="003E7BAB"/>
    <w:rsid w:val="003E7D01"/>
    <w:rsid w:val="003F0D87"/>
    <w:rsid w:val="003F1236"/>
    <w:rsid w:val="003F3A0E"/>
    <w:rsid w:val="003F5AE8"/>
    <w:rsid w:val="003F69A3"/>
    <w:rsid w:val="003F7341"/>
    <w:rsid w:val="003F792B"/>
    <w:rsid w:val="003F7E32"/>
    <w:rsid w:val="004000E6"/>
    <w:rsid w:val="00401154"/>
    <w:rsid w:val="00401422"/>
    <w:rsid w:val="00402409"/>
    <w:rsid w:val="00403218"/>
    <w:rsid w:val="00403396"/>
    <w:rsid w:val="0040369A"/>
    <w:rsid w:val="004039C2"/>
    <w:rsid w:val="00404203"/>
    <w:rsid w:val="00404AEC"/>
    <w:rsid w:val="00404B4B"/>
    <w:rsid w:val="00405260"/>
    <w:rsid w:val="0040663A"/>
    <w:rsid w:val="00407421"/>
    <w:rsid w:val="00410093"/>
    <w:rsid w:val="004100D7"/>
    <w:rsid w:val="00412A49"/>
    <w:rsid w:val="00412E73"/>
    <w:rsid w:val="004134B0"/>
    <w:rsid w:val="004143BD"/>
    <w:rsid w:val="0041570C"/>
    <w:rsid w:val="004158D5"/>
    <w:rsid w:val="0041757B"/>
    <w:rsid w:val="00421868"/>
    <w:rsid w:val="00421B35"/>
    <w:rsid w:val="00421B41"/>
    <w:rsid w:val="00422332"/>
    <w:rsid w:val="004247B5"/>
    <w:rsid w:val="0042483A"/>
    <w:rsid w:val="00424FA8"/>
    <w:rsid w:val="00425286"/>
    <w:rsid w:val="00427237"/>
    <w:rsid w:val="00427A11"/>
    <w:rsid w:val="004324A9"/>
    <w:rsid w:val="004327DB"/>
    <w:rsid w:val="00432A23"/>
    <w:rsid w:val="0043352C"/>
    <w:rsid w:val="00433784"/>
    <w:rsid w:val="00435886"/>
    <w:rsid w:val="00435D67"/>
    <w:rsid w:val="00441F49"/>
    <w:rsid w:val="0044227A"/>
    <w:rsid w:val="004423C0"/>
    <w:rsid w:val="004426CB"/>
    <w:rsid w:val="00442F9C"/>
    <w:rsid w:val="004434D9"/>
    <w:rsid w:val="00443D0E"/>
    <w:rsid w:val="00444621"/>
    <w:rsid w:val="004451A7"/>
    <w:rsid w:val="00447C0C"/>
    <w:rsid w:val="00450002"/>
    <w:rsid w:val="00450C41"/>
    <w:rsid w:val="00450CB8"/>
    <w:rsid w:val="00450DAE"/>
    <w:rsid w:val="00451BC4"/>
    <w:rsid w:val="00451DAE"/>
    <w:rsid w:val="0045257A"/>
    <w:rsid w:val="00453903"/>
    <w:rsid w:val="00453AEE"/>
    <w:rsid w:val="00453BCF"/>
    <w:rsid w:val="00455AB9"/>
    <w:rsid w:val="004567F1"/>
    <w:rsid w:val="00460FCC"/>
    <w:rsid w:val="004610F7"/>
    <w:rsid w:val="004633A9"/>
    <w:rsid w:val="004634AA"/>
    <w:rsid w:val="004639F3"/>
    <w:rsid w:val="0046562E"/>
    <w:rsid w:val="00466C4B"/>
    <w:rsid w:val="00466EBB"/>
    <w:rsid w:val="00467505"/>
    <w:rsid w:val="0047198F"/>
    <w:rsid w:val="00472065"/>
    <w:rsid w:val="004731C2"/>
    <w:rsid w:val="00473458"/>
    <w:rsid w:val="00473C26"/>
    <w:rsid w:val="00473C3D"/>
    <w:rsid w:val="00474381"/>
    <w:rsid w:val="00474427"/>
    <w:rsid w:val="00474BBF"/>
    <w:rsid w:val="004779DC"/>
    <w:rsid w:val="00480622"/>
    <w:rsid w:val="00483DEB"/>
    <w:rsid w:val="00484AF1"/>
    <w:rsid w:val="004906ED"/>
    <w:rsid w:val="00490DC1"/>
    <w:rsid w:val="00490EB0"/>
    <w:rsid w:val="004911C7"/>
    <w:rsid w:val="00491DF0"/>
    <w:rsid w:val="00492067"/>
    <w:rsid w:val="004933D0"/>
    <w:rsid w:val="0049590A"/>
    <w:rsid w:val="00495CA9"/>
    <w:rsid w:val="00496FA1"/>
    <w:rsid w:val="00497934"/>
    <w:rsid w:val="00497FEF"/>
    <w:rsid w:val="004A067E"/>
    <w:rsid w:val="004A1470"/>
    <w:rsid w:val="004A1A23"/>
    <w:rsid w:val="004A25F3"/>
    <w:rsid w:val="004A46F9"/>
    <w:rsid w:val="004A501E"/>
    <w:rsid w:val="004A545C"/>
    <w:rsid w:val="004A5C04"/>
    <w:rsid w:val="004A6B14"/>
    <w:rsid w:val="004A7238"/>
    <w:rsid w:val="004B1AB3"/>
    <w:rsid w:val="004B44B4"/>
    <w:rsid w:val="004B554F"/>
    <w:rsid w:val="004B5968"/>
    <w:rsid w:val="004B68AD"/>
    <w:rsid w:val="004C0019"/>
    <w:rsid w:val="004C16EB"/>
    <w:rsid w:val="004C1DF1"/>
    <w:rsid w:val="004C256C"/>
    <w:rsid w:val="004C2D5F"/>
    <w:rsid w:val="004C2F95"/>
    <w:rsid w:val="004C34C7"/>
    <w:rsid w:val="004C3752"/>
    <w:rsid w:val="004C4536"/>
    <w:rsid w:val="004C5EAC"/>
    <w:rsid w:val="004C6947"/>
    <w:rsid w:val="004C75AB"/>
    <w:rsid w:val="004D0B98"/>
    <w:rsid w:val="004D1073"/>
    <w:rsid w:val="004D19C1"/>
    <w:rsid w:val="004D2237"/>
    <w:rsid w:val="004D2B93"/>
    <w:rsid w:val="004D31AE"/>
    <w:rsid w:val="004D4E4F"/>
    <w:rsid w:val="004E0291"/>
    <w:rsid w:val="004E1E04"/>
    <w:rsid w:val="004E2081"/>
    <w:rsid w:val="004E3550"/>
    <w:rsid w:val="004E408C"/>
    <w:rsid w:val="004E4F0D"/>
    <w:rsid w:val="004E5384"/>
    <w:rsid w:val="004E55C6"/>
    <w:rsid w:val="004E58D6"/>
    <w:rsid w:val="004E594B"/>
    <w:rsid w:val="004E5A16"/>
    <w:rsid w:val="004F048B"/>
    <w:rsid w:val="004F13D4"/>
    <w:rsid w:val="004F27E3"/>
    <w:rsid w:val="004F611D"/>
    <w:rsid w:val="004F64BE"/>
    <w:rsid w:val="004F79AA"/>
    <w:rsid w:val="004F7DD4"/>
    <w:rsid w:val="004F7EA0"/>
    <w:rsid w:val="00500924"/>
    <w:rsid w:val="00500EDA"/>
    <w:rsid w:val="005011E6"/>
    <w:rsid w:val="005011EF"/>
    <w:rsid w:val="00501A54"/>
    <w:rsid w:val="00503019"/>
    <w:rsid w:val="00503610"/>
    <w:rsid w:val="00503AF7"/>
    <w:rsid w:val="00504B4A"/>
    <w:rsid w:val="005057E5"/>
    <w:rsid w:val="005057F4"/>
    <w:rsid w:val="00505AF7"/>
    <w:rsid w:val="0050758B"/>
    <w:rsid w:val="0051144E"/>
    <w:rsid w:val="0051187F"/>
    <w:rsid w:val="0051360F"/>
    <w:rsid w:val="005136FC"/>
    <w:rsid w:val="00516F6F"/>
    <w:rsid w:val="005175B2"/>
    <w:rsid w:val="005177F6"/>
    <w:rsid w:val="00525A18"/>
    <w:rsid w:val="005261E2"/>
    <w:rsid w:val="005302ED"/>
    <w:rsid w:val="005316D7"/>
    <w:rsid w:val="00532E44"/>
    <w:rsid w:val="00533EB9"/>
    <w:rsid w:val="005359E7"/>
    <w:rsid w:val="00535C22"/>
    <w:rsid w:val="0053720B"/>
    <w:rsid w:val="00543309"/>
    <w:rsid w:val="00547A98"/>
    <w:rsid w:val="00551037"/>
    <w:rsid w:val="0055136F"/>
    <w:rsid w:val="005513E1"/>
    <w:rsid w:val="00551DAF"/>
    <w:rsid w:val="00552888"/>
    <w:rsid w:val="00552962"/>
    <w:rsid w:val="00552E05"/>
    <w:rsid w:val="00552E5E"/>
    <w:rsid w:val="0055415F"/>
    <w:rsid w:val="005541A3"/>
    <w:rsid w:val="005557CD"/>
    <w:rsid w:val="00555894"/>
    <w:rsid w:val="00555CAC"/>
    <w:rsid w:val="00556670"/>
    <w:rsid w:val="00556697"/>
    <w:rsid w:val="00557B8E"/>
    <w:rsid w:val="00561121"/>
    <w:rsid w:val="005624CF"/>
    <w:rsid w:val="00562EC6"/>
    <w:rsid w:val="0056373B"/>
    <w:rsid w:val="00565A15"/>
    <w:rsid w:val="00567075"/>
    <w:rsid w:val="00567674"/>
    <w:rsid w:val="0056787C"/>
    <w:rsid w:val="0057208A"/>
    <w:rsid w:val="005802E0"/>
    <w:rsid w:val="00580E1C"/>
    <w:rsid w:val="005814F8"/>
    <w:rsid w:val="0058192E"/>
    <w:rsid w:val="005821A1"/>
    <w:rsid w:val="005847A0"/>
    <w:rsid w:val="00586ED2"/>
    <w:rsid w:val="0058771A"/>
    <w:rsid w:val="00591643"/>
    <w:rsid w:val="00591989"/>
    <w:rsid w:val="00593744"/>
    <w:rsid w:val="005938AF"/>
    <w:rsid w:val="00595D87"/>
    <w:rsid w:val="00595E62"/>
    <w:rsid w:val="0059671C"/>
    <w:rsid w:val="00597CBF"/>
    <w:rsid w:val="00597EFF"/>
    <w:rsid w:val="005A0411"/>
    <w:rsid w:val="005A054F"/>
    <w:rsid w:val="005A0758"/>
    <w:rsid w:val="005A1053"/>
    <w:rsid w:val="005A1DD0"/>
    <w:rsid w:val="005A3759"/>
    <w:rsid w:val="005A4A20"/>
    <w:rsid w:val="005A5518"/>
    <w:rsid w:val="005A766F"/>
    <w:rsid w:val="005B2956"/>
    <w:rsid w:val="005B2C3F"/>
    <w:rsid w:val="005B6D64"/>
    <w:rsid w:val="005B6D9C"/>
    <w:rsid w:val="005C0724"/>
    <w:rsid w:val="005C2836"/>
    <w:rsid w:val="005C3A11"/>
    <w:rsid w:val="005C4D7B"/>
    <w:rsid w:val="005C7B61"/>
    <w:rsid w:val="005C7EAC"/>
    <w:rsid w:val="005D0B46"/>
    <w:rsid w:val="005D0D8A"/>
    <w:rsid w:val="005D2961"/>
    <w:rsid w:val="005D3469"/>
    <w:rsid w:val="005D3A32"/>
    <w:rsid w:val="005D56CE"/>
    <w:rsid w:val="005D616D"/>
    <w:rsid w:val="005D661B"/>
    <w:rsid w:val="005D6EFE"/>
    <w:rsid w:val="005D7C1C"/>
    <w:rsid w:val="005D7C76"/>
    <w:rsid w:val="005D7EE6"/>
    <w:rsid w:val="005E074E"/>
    <w:rsid w:val="005E1093"/>
    <w:rsid w:val="005E13A0"/>
    <w:rsid w:val="005E1D2E"/>
    <w:rsid w:val="005E2285"/>
    <w:rsid w:val="005E3204"/>
    <w:rsid w:val="005E3FA4"/>
    <w:rsid w:val="005E47D5"/>
    <w:rsid w:val="005E5AB0"/>
    <w:rsid w:val="005E673A"/>
    <w:rsid w:val="005E72D9"/>
    <w:rsid w:val="005E7FEB"/>
    <w:rsid w:val="005F185E"/>
    <w:rsid w:val="005F4A09"/>
    <w:rsid w:val="005F4C7C"/>
    <w:rsid w:val="005F4ED9"/>
    <w:rsid w:val="005F531F"/>
    <w:rsid w:val="005F6918"/>
    <w:rsid w:val="005F6D07"/>
    <w:rsid w:val="005F757F"/>
    <w:rsid w:val="006002FF"/>
    <w:rsid w:val="00601202"/>
    <w:rsid w:val="00601C8E"/>
    <w:rsid w:val="00602958"/>
    <w:rsid w:val="00603294"/>
    <w:rsid w:val="00605261"/>
    <w:rsid w:val="00605656"/>
    <w:rsid w:val="00606C0A"/>
    <w:rsid w:val="00606EE5"/>
    <w:rsid w:val="00610023"/>
    <w:rsid w:val="006102DB"/>
    <w:rsid w:val="0061045B"/>
    <w:rsid w:val="006110CB"/>
    <w:rsid w:val="00611BBC"/>
    <w:rsid w:val="00611FE8"/>
    <w:rsid w:val="006144C8"/>
    <w:rsid w:val="00615F1F"/>
    <w:rsid w:val="00616A3B"/>
    <w:rsid w:val="006171BE"/>
    <w:rsid w:val="00617373"/>
    <w:rsid w:val="006175D2"/>
    <w:rsid w:val="0061763D"/>
    <w:rsid w:val="00617C53"/>
    <w:rsid w:val="00617FDB"/>
    <w:rsid w:val="00620FF8"/>
    <w:rsid w:val="0062181A"/>
    <w:rsid w:val="00621AED"/>
    <w:rsid w:val="00621EDF"/>
    <w:rsid w:val="006220B7"/>
    <w:rsid w:val="006221CD"/>
    <w:rsid w:val="0062415F"/>
    <w:rsid w:val="00624E8F"/>
    <w:rsid w:val="00625C65"/>
    <w:rsid w:val="00626358"/>
    <w:rsid w:val="006264D2"/>
    <w:rsid w:val="00626885"/>
    <w:rsid w:val="00627B9F"/>
    <w:rsid w:val="0063127C"/>
    <w:rsid w:val="006346F6"/>
    <w:rsid w:val="00634A56"/>
    <w:rsid w:val="00635507"/>
    <w:rsid w:val="006360D4"/>
    <w:rsid w:val="006364FE"/>
    <w:rsid w:val="006375C8"/>
    <w:rsid w:val="00641D3F"/>
    <w:rsid w:val="0064233B"/>
    <w:rsid w:val="006427A1"/>
    <w:rsid w:val="00644DCF"/>
    <w:rsid w:val="00646035"/>
    <w:rsid w:val="006463D4"/>
    <w:rsid w:val="006475F8"/>
    <w:rsid w:val="006504CB"/>
    <w:rsid w:val="00650EBB"/>
    <w:rsid w:val="00651FD7"/>
    <w:rsid w:val="006521F8"/>
    <w:rsid w:val="0065266B"/>
    <w:rsid w:val="00653185"/>
    <w:rsid w:val="0065365C"/>
    <w:rsid w:val="006550CD"/>
    <w:rsid w:val="006555E6"/>
    <w:rsid w:val="00655CC4"/>
    <w:rsid w:val="00655EA7"/>
    <w:rsid w:val="006563F9"/>
    <w:rsid w:val="00657CB1"/>
    <w:rsid w:val="00660DBC"/>
    <w:rsid w:val="006613B4"/>
    <w:rsid w:val="006631B0"/>
    <w:rsid w:val="00663CE9"/>
    <w:rsid w:val="00664E8A"/>
    <w:rsid w:val="00665588"/>
    <w:rsid w:val="0066676F"/>
    <w:rsid w:val="00666BAF"/>
    <w:rsid w:val="00667C1C"/>
    <w:rsid w:val="0067016A"/>
    <w:rsid w:val="006714EE"/>
    <w:rsid w:val="00671FAB"/>
    <w:rsid w:val="00672817"/>
    <w:rsid w:val="00674FAB"/>
    <w:rsid w:val="006751EB"/>
    <w:rsid w:val="00676D9A"/>
    <w:rsid w:val="006807EF"/>
    <w:rsid w:val="006820CA"/>
    <w:rsid w:val="0068466D"/>
    <w:rsid w:val="006848E4"/>
    <w:rsid w:val="0068609B"/>
    <w:rsid w:val="00686219"/>
    <w:rsid w:val="0068668D"/>
    <w:rsid w:val="006901E5"/>
    <w:rsid w:val="006907F2"/>
    <w:rsid w:val="00690AB6"/>
    <w:rsid w:val="0069263D"/>
    <w:rsid w:val="00693762"/>
    <w:rsid w:val="00696810"/>
    <w:rsid w:val="0069727E"/>
    <w:rsid w:val="0069792E"/>
    <w:rsid w:val="006A0543"/>
    <w:rsid w:val="006A341C"/>
    <w:rsid w:val="006A7915"/>
    <w:rsid w:val="006A7EC9"/>
    <w:rsid w:val="006B0F6F"/>
    <w:rsid w:val="006B30F4"/>
    <w:rsid w:val="006B52DD"/>
    <w:rsid w:val="006B7062"/>
    <w:rsid w:val="006B70F2"/>
    <w:rsid w:val="006C078E"/>
    <w:rsid w:val="006C1BF7"/>
    <w:rsid w:val="006C2049"/>
    <w:rsid w:val="006C2659"/>
    <w:rsid w:val="006C34C0"/>
    <w:rsid w:val="006C34F4"/>
    <w:rsid w:val="006C36D4"/>
    <w:rsid w:val="006C3A13"/>
    <w:rsid w:val="006C3DC5"/>
    <w:rsid w:val="006C4B15"/>
    <w:rsid w:val="006C62D1"/>
    <w:rsid w:val="006C6E7A"/>
    <w:rsid w:val="006D0582"/>
    <w:rsid w:val="006D0675"/>
    <w:rsid w:val="006D440B"/>
    <w:rsid w:val="006D47AC"/>
    <w:rsid w:val="006D4FC9"/>
    <w:rsid w:val="006D5B14"/>
    <w:rsid w:val="006D61CD"/>
    <w:rsid w:val="006D635D"/>
    <w:rsid w:val="006D654B"/>
    <w:rsid w:val="006D69B7"/>
    <w:rsid w:val="006E0555"/>
    <w:rsid w:val="006E09B8"/>
    <w:rsid w:val="006E110C"/>
    <w:rsid w:val="006E2260"/>
    <w:rsid w:val="006E26AC"/>
    <w:rsid w:val="006E27B0"/>
    <w:rsid w:val="006E286D"/>
    <w:rsid w:val="006E29EA"/>
    <w:rsid w:val="006E2E17"/>
    <w:rsid w:val="006E3998"/>
    <w:rsid w:val="006E4547"/>
    <w:rsid w:val="006E575D"/>
    <w:rsid w:val="006E70C9"/>
    <w:rsid w:val="006F0784"/>
    <w:rsid w:val="006F13BB"/>
    <w:rsid w:val="006F1482"/>
    <w:rsid w:val="006F2419"/>
    <w:rsid w:val="006F27DD"/>
    <w:rsid w:val="006F2B4E"/>
    <w:rsid w:val="006F36D5"/>
    <w:rsid w:val="006F44CB"/>
    <w:rsid w:val="006F5853"/>
    <w:rsid w:val="006F5870"/>
    <w:rsid w:val="006F5C6B"/>
    <w:rsid w:val="006F6291"/>
    <w:rsid w:val="006F63A8"/>
    <w:rsid w:val="006F64E9"/>
    <w:rsid w:val="007002CF"/>
    <w:rsid w:val="007011D9"/>
    <w:rsid w:val="007030EC"/>
    <w:rsid w:val="00705112"/>
    <w:rsid w:val="0070763B"/>
    <w:rsid w:val="00707981"/>
    <w:rsid w:val="00707CB3"/>
    <w:rsid w:val="007107F0"/>
    <w:rsid w:val="00711991"/>
    <w:rsid w:val="00711E29"/>
    <w:rsid w:val="00711F6B"/>
    <w:rsid w:val="00712615"/>
    <w:rsid w:val="0071527B"/>
    <w:rsid w:val="0071557C"/>
    <w:rsid w:val="00715695"/>
    <w:rsid w:val="00716470"/>
    <w:rsid w:val="00716E81"/>
    <w:rsid w:val="00717555"/>
    <w:rsid w:val="00717A7E"/>
    <w:rsid w:val="00717B14"/>
    <w:rsid w:val="00720261"/>
    <w:rsid w:val="00724B35"/>
    <w:rsid w:val="00724BB5"/>
    <w:rsid w:val="00725DDD"/>
    <w:rsid w:val="00726C87"/>
    <w:rsid w:val="00727071"/>
    <w:rsid w:val="00730095"/>
    <w:rsid w:val="007301D9"/>
    <w:rsid w:val="00730AAE"/>
    <w:rsid w:val="00731498"/>
    <w:rsid w:val="007326A8"/>
    <w:rsid w:val="00732AD5"/>
    <w:rsid w:val="00733BB6"/>
    <w:rsid w:val="007341D5"/>
    <w:rsid w:val="007344BD"/>
    <w:rsid w:val="007346E7"/>
    <w:rsid w:val="00734D51"/>
    <w:rsid w:val="007354E3"/>
    <w:rsid w:val="00735624"/>
    <w:rsid w:val="00735944"/>
    <w:rsid w:val="007369D4"/>
    <w:rsid w:val="0074066E"/>
    <w:rsid w:val="00741536"/>
    <w:rsid w:val="0074225A"/>
    <w:rsid w:val="00742BB3"/>
    <w:rsid w:val="00742FB5"/>
    <w:rsid w:val="00742FFE"/>
    <w:rsid w:val="00743BD8"/>
    <w:rsid w:val="00743C98"/>
    <w:rsid w:val="00744266"/>
    <w:rsid w:val="00744649"/>
    <w:rsid w:val="00744FE7"/>
    <w:rsid w:val="00745055"/>
    <w:rsid w:val="00745D1A"/>
    <w:rsid w:val="007466B8"/>
    <w:rsid w:val="00747623"/>
    <w:rsid w:val="007501BD"/>
    <w:rsid w:val="007525E0"/>
    <w:rsid w:val="00753225"/>
    <w:rsid w:val="00753C94"/>
    <w:rsid w:val="00753F67"/>
    <w:rsid w:val="00755274"/>
    <w:rsid w:val="00757BF6"/>
    <w:rsid w:val="00762478"/>
    <w:rsid w:val="00763BF4"/>
    <w:rsid w:val="00763C6D"/>
    <w:rsid w:val="00765CF3"/>
    <w:rsid w:val="0076625F"/>
    <w:rsid w:val="00766510"/>
    <w:rsid w:val="00766759"/>
    <w:rsid w:val="00766D83"/>
    <w:rsid w:val="007709D0"/>
    <w:rsid w:val="0077144A"/>
    <w:rsid w:val="00771DEE"/>
    <w:rsid w:val="0077208D"/>
    <w:rsid w:val="00772F72"/>
    <w:rsid w:val="00773688"/>
    <w:rsid w:val="00773FB2"/>
    <w:rsid w:val="00774EFE"/>
    <w:rsid w:val="00775DE2"/>
    <w:rsid w:val="00776A7F"/>
    <w:rsid w:val="00776FF8"/>
    <w:rsid w:val="00777221"/>
    <w:rsid w:val="00777D81"/>
    <w:rsid w:val="0078077F"/>
    <w:rsid w:val="00780E9E"/>
    <w:rsid w:val="0078196D"/>
    <w:rsid w:val="0078491E"/>
    <w:rsid w:val="00784F9C"/>
    <w:rsid w:val="00785A1E"/>
    <w:rsid w:val="007879A1"/>
    <w:rsid w:val="007909B7"/>
    <w:rsid w:val="00790A84"/>
    <w:rsid w:val="0079107E"/>
    <w:rsid w:val="00793611"/>
    <w:rsid w:val="007936C0"/>
    <w:rsid w:val="00793B50"/>
    <w:rsid w:val="00793EB9"/>
    <w:rsid w:val="007951E5"/>
    <w:rsid w:val="00796CCC"/>
    <w:rsid w:val="00796FBB"/>
    <w:rsid w:val="007A01C2"/>
    <w:rsid w:val="007A02F9"/>
    <w:rsid w:val="007A031B"/>
    <w:rsid w:val="007A074E"/>
    <w:rsid w:val="007A1EC3"/>
    <w:rsid w:val="007A3273"/>
    <w:rsid w:val="007A4619"/>
    <w:rsid w:val="007A6DED"/>
    <w:rsid w:val="007A70FC"/>
    <w:rsid w:val="007B0424"/>
    <w:rsid w:val="007B1372"/>
    <w:rsid w:val="007B1693"/>
    <w:rsid w:val="007B34AF"/>
    <w:rsid w:val="007B3944"/>
    <w:rsid w:val="007B3D24"/>
    <w:rsid w:val="007B4AA3"/>
    <w:rsid w:val="007B53B7"/>
    <w:rsid w:val="007B57A6"/>
    <w:rsid w:val="007B63F1"/>
    <w:rsid w:val="007B7704"/>
    <w:rsid w:val="007C06E4"/>
    <w:rsid w:val="007C227B"/>
    <w:rsid w:val="007C2AF6"/>
    <w:rsid w:val="007C33BA"/>
    <w:rsid w:val="007C474D"/>
    <w:rsid w:val="007C4E1A"/>
    <w:rsid w:val="007C5299"/>
    <w:rsid w:val="007D0B02"/>
    <w:rsid w:val="007D1342"/>
    <w:rsid w:val="007D48CF"/>
    <w:rsid w:val="007D6621"/>
    <w:rsid w:val="007D7629"/>
    <w:rsid w:val="007E0E9C"/>
    <w:rsid w:val="007E23E9"/>
    <w:rsid w:val="007E24FD"/>
    <w:rsid w:val="007E4539"/>
    <w:rsid w:val="007E4932"/>
    <w:rsid w:val="007E5BDC"/>
    <w:rsid w:val="007E6174"/>
    <w:rsid w:val="007E6E79"/>
    <w:rsid w:val="007E7A43"/>
    <w:rsid w:val="007F0709"/>
    <w:rsid w:val="007F0C04"/>
    <w:rsid w:val="007F0E65"/>
    <w:rsid w:val="007F1725"/>
    <w:rsid w:val="007F1BAF"/>
    <w:rsid w:val="007F2F58"/>
    <w:rsid w:val="007F331A"/>
    <w:rsid w:val="007F3AC7"/>
    <w:rsid w:val="007F3D5B"/>
    <w:rsid w:val="007F4896"/>
    <w:rsid w:val="007F5BCC"/>
    <w:rsid w:val="007F6344"/>
    <w:rsid w:val="007F649D"/>
    <w:rsid w:val="007F7344"/>
    <w:rsid w:val="007F7B5C"/>
    <w:rsid w:val="008001C3"/>
    <w:rsid w:val="00800C9D"/>
    <w:rsid w:val="00800CF3"/>
    <w:rsid w:val="00801D31"/>
    <w:rsid w:val="00801F66"/>
    <w:rsid w:val="008029C7"/>
    <w:rsid w:val="00802BC2"/>
    <w:rsid w:val="008037AC"/>
    <w:rsid w:val="00805879"/>
    <w:rsid w:val="00806C69"/>
    <w:rsid w:val="0080715F"/>
    <w:rsid w:val="00807424"/>
    <w:rsid w:val="008076B5"/>
    <w:rsid w:val="008107D5"/>
    <w:rsid w:val="008113CB"/>
    <w:rsid w:val="0081163E"/>
    <w:rsid w:val="00811E4D"/>
    <w:rsid w:val="00812C7E"/>
    <w:rsid w:val="0081408B"/>
    <w:rsid w:val="0081574C"/>
    <w:rsid w:val="008176DD"/>
    <w:rsid w:val="00817A89"/>
    <w:rsid w:val="00820C84"/>
    <w:rsid w:val="00821480"/>
    <w:rsid w:val="0082154B"/>
    <w:rsid w:val="0082287D"/>
    <w:rsid w:val="00823D3B"/>
    <w:rsid w:val="008240CA"/>
    <w:rsid w:val="00824478"/>
    <w:rsid w:val="008251DF"/>
    <w:rsid w:val="008253CF"/>
    <w:rsid w:val="00826111"/>
    <w:rsid w:val="008269B2"/>
    <w:rsid w:val="00826E9E"/>
    <w:rsid w:val="00830C18"/>
    <w:rsid w:val="00833359"/>
    <w:rsid w:val="008355DE"/>
    <w:rsid w:val="00836EE6"/>
    <w:rsid w:val="00836F0F"/>
    <w:rsid w:val="00836F93"/>
    <w:rsid w:val="00837B62"/>
    <w:rsid w:val="008406B3"/>
    <w:rsid w:val="00841A2E"/>
    <w:rsid w:val="0084239D"/>
    <w:rsid w:val="00842788"/>
    <w:rsid w:val="008448AB"/>
    <w:rsid w:val="00844C36"/>
    <w:rsid w:val="00844C77"/>
    <w:rsid w:val="00845858"/>
    <w:rsid w:val="00845D76"/>
    <w:rsid w:val="00846004"/>
    <w:rsid w:val="00846243"/>
    <w:rsid w:val="00846B8A"/>
    <w:rsid w:val="008475DB"/>
    <w:rsid w:val="008478C6"/>
    <w:rsid w:val="008501E7"/>
    <w:rsid w:val="008503C8"/>
    <w:rsid w:val="00850B21"/>
    <w:rsid w:val="00851647"/>
    <w:rsid w:val="00852477"/>
    <w:rsid w:val="00853285"/>
    <w:rsid w:val="00854573"/>
    <w:rsid w:val="00854EF6"/>
    <w:rsid w:val="00857673"/>
    <w:rsid w:val="00861458"/>
    <w:rsid w:val="0086210E"/>
    <w:rsid w:val="00862AD6"/>
    <w:rsid w:val="00862CB9"/>
    <w:rsid w:val="00863B52"/>
    <w:rsid w:val="00863D88"/>
    <w:rsid w:val="008659D8"/>
    <w:rsid w:val="00865CC6"/>
    <w:rsid w:val="008672C5"/>
    <w:rsid w:val="0086772B"/>
    <w:rsid w:val="008714DF"/>
    <w:rsid w:val="00872A78"/>
    <w:rsid w:val="00873C84"/>
    <w:rsid w:val="00875DA6"/>
    <w:rsid w:val="00876464"/>
    <w:rsid w:val="0087688F"/>
    <w:rsid w:val="008773D1"/>
    <w:rsid w:val="00877A2D"/>
    <w:rsid w:val="00880EC3"/>
    <w:rsid w:val="0088102C"/>
    <w:rsid w:val="0088347B"/>
    <w:rsid w:val="00883600"/>
    <w:rsid w:val="008838E3"/>
    <w:rsid w:val="00883D37"/>
    <w:rsid w:val="00883DD8"/>
    <w:rsid w:val="00883DF1"/>
    <w:rsid w:val="00884AA8"/>
    <w:rsid w:val="00885F47"/>
    <w:rsid w:val="008860DB"/>
    <w:rsid w:val="0089071A"/>
    <w:rsid w:val="00890CB0"/>
    <w:rsid w:val="0089256B"/>
    <w:rsid w:val="00892E23"/>
    <w:rsid w:val="008939F1"/>
    <w:rsid w:val="00894BE0"/>
    <w:rsid w:val="008955EB"/>
    <w:rsid w:val="0089569E"/>
    <w:rsid w:val="00896053"/>
    <w:rsid w:val="00897AE7"/>
    <w:rsid w:val="00897C6D"/>
    <w:rsid w:val="00897F1D"/>
    <w:rsid w:val="008A04FC"/>
    <w:rsid w:val="008A08EF"/>
    <w:rsid w:val="008A09AE"/>
    <w:rsid w:val="008A0A7E"/>
    <w:rsid w:val="008A181C"/>
    <w:rsid w:val="008A1D07"/>
    <w:rsid w:val="008A22F8"/>
    <w:rsid w:val="008A2824"/>
    <w:rsid w:val="008A2997"/>
    <w:rsid w:val="008A43D4"/>
    <w:rsid w:val="008A4ED3"/>
    <w:rsid w:val="008A61E4"/>
    <w:rsid w:val="008A67C2"/>
    <w:rsid w:val="008A7121"/>
    <w:rsid w:val="008A7EEE"/>
    <w:rsid w:val="008B0694"/>
    <w:rsid w:val="008B15C4"/>
    <w:rsid w:val="008B1CE3"/>
    <w:rsid w:val="008B2176"/>
    <w:rsid w:val="008B3C7E"/>
    <w:rsid w:val="008B426D"/>
    <w:rsid w:val="008B4C3D"/>
    <w:rsid w:val="008B59F8"/>
    <w:rsid w:val="008B5C7F"/>
    <w:rsid w:val="008B706A"/>
    <w:rsid w:val="008B7A6F"/>
    <w:rsid w:val="008C1183"/>
    <w:rsid w:val="008C20AD"/>
    <w:rsid w:val="008C39C2"/>
    <w:rsid w:val="008C6231"/>
    <w:rsid w:val="008C645F"/>
    <w:rsid w:val="008C7018"/>
    <w:rsid w:val="008C7AFC"/>
    <w:rsid w:val="008C7F26"/>
    <w:rsid w:val="008D00E8"/>
    <w:rsid w:val="008D34BB"/>
    <w:rsid w:val="008D753E"/>
    <w:rsid w:val="008D79B6"/>
    <w:rsid w:val="008D7B2D"/>
    <w:rsid w:val="008E00A4"/>
    <w:rsid w:val="008E179C"/>
    <w:rsid w:val="008E183C"/>
    <w:rsid w:val="008E1DF3"/>
    <w:rsid w:val="008E3929"/>
    <w:rsid w:val="008E3ECF"/>
    <w:rsid w:val="008E40E1"/>
    <w:rsid w:val="008E51E4"/>
    <w:rsid w:val="008E523E"/>
    <w:rsid w:val="008E5394"/>
    <w:rsid w:val="008E66B8"/>
    <w:rsid w:val="008E7154"/>
    <w:rsid w:val="008E7A02"/>
    <w:rsid w:val="008F06A5"/>
    <w:rsid w:val="008F11DB"/>
    <w:rsid w:val="008F387C"/>
    <w:rsid w:val="008F5161"/>
    <w:rsid w:val="008F544E"/>
    <w:rsid w:val="008F6237"/>
    <w:rsid w:val="008F71A6"/>
    <w:rsid w:val="008F7217"/>
    <w:rsid w:val="008F78F9"/>
    <w:rsid w:val="0090001C"/>
    <w:rsid w:val="00901CDA"/>
    <w:rsid w:val="00903A13"/>
    <w:rsid w:val="00903B6B"/>
    <w:rsid w:val="00906B95"/>
    <w:rsid w:val="00906C57"/>
    <w:rsid w:val="00907207"/>
    <w:rsid w:val="00907D9C"/>
    <w:rsid w:val="00910924"/>
    <w:rsid w:val="00911B8D"/>
    <w:rsid w:val="00913CD6"/>
    <w:rsid w:val="0091501E"/>
    <w:rsid w:val="00916C8D"/>
    <w:rsid w:val="00916E3B"/>
    <w:rsid w:val="00917441"/>
    <w:rsid w:val="009177C1"/>
    <w:rsid w:val="00920343"/>
    <w:rsid w:val="00922EF2"/>
    <w:rsid w:val="009230EA"/>
    <w:rsid w:val="009254D1"/>
    <w:rsid w:val="009255F0"/>
    <w:rsid w:val="00925C9E"/>
    <w:rsid w:val="00927D35"/>
    <w:rsid w:val="00930B8C"/>
    <w:rsid w:val="009317C2"/>
    <w:rsid w:val="009323B3"/>
    <w:rsid w:val="0093292A"/>
    <w:rsid w:val="009337D2"/>
    <w:rsid w:val="00936DA4"/>
    <w:rsid w:val="00936FF1"/>
    <w:rsid w:val="00937465"/>
    <w:rsid w:val="00940EEA"/>
    <w:rsid w:val="0094180B"/>
    <w:rsid w:val="00942824"/>
    <w:rsid w:val="00942D0D"/>
    <w:rsid w:val="00942E10"/>
    <w:rsid w:val="00942F6C"/>
    <w:rsid w:val="009438CA"/>
    <w:rsid w:val="00944299"/>
    <w:rsid w:val="0094433D"/>
    <w:rsid w:val="00944546"/>
    <w:rsid w:val="0094534F"/>
    <w:rsid w:val="00945682"/>
    <w:rsid w:val="009467B9"/>
    <w:rsid w:val="00951044"/>
    <w:rsid w:val="00951493"/>
    <w:rsid w:val="00951653"/>
    <w:rsid w:val="0095228D"/>
    <w:rsid w:val="00953930"/>
    <w:rsid w:val="00955016"/>
    <w:rsid w:val="00956152"/>
    <w:rsid w:val="009565CA"/>
    <w:rsid w:val="00957240"/>
    <w:rsid w:val="009604FE"/>
    <w:rsid w:val="009630E8"/>
    <w:rsid w:val="00963C62"/>
    <w:rsid w:val="009652A4"/>
    <w:rsid w:val="009668FB"/>
    <w:rsid w:val="00966AF5"/>
    <w:rsid w:val="009674CA"/>
    <w:rsid w:val="00970166"/>
    <w:rsid w:val="009701DD"/>
    <w:rsid w:val="00970D99"/>
    <w:rsid w:val="009713DB"/>
    <w:rsid w:val="009715DA"/>
    <w:rsid w:val="009716F5"/>
    <w:rsid w:val="00971C2C"/>
    <w:rsid w:val="00972341"/>
    <w:rsid w:val="00972A38"/>
    <w:rsid w:val="00973BC9"/>
    <w:rsid w:val="00974091"/>
    <w:rsid w:val="00974364"/>
    <w:rsid w:val="00974F18"/>
    <w:rsid w:val="00975DF7"/>
    <w:rsid w:val="00976D1B"/>
    <w:rsid w:val="00977D30"/>
    <w:rsid w:val="00977E41"/>
    <w:rsid w:val="009801D9"/>
    <w:rsid w:val="0098108D"/>
    <w:rsid w:val="009818BE"/>
    <w:rsid w:val="00982118"/>
    <w:rsid w:val="009821A2"/>
    <w:rsid w:val="00982ABC"/>
    <w:rsid w:val="0098414B"/>
    <w:rsid w:val="00984486"/>
    <w:rsid w:val="00986067"/>
    <w:rsid w:val="0098769D"/>
    <w:rsid w:val="00987BC3"/>
    <w:rsid w:val="009905DF"/>
    <w:rsid w:val="0099180A"/>
    <w:rsid w:val="009924FB"/>
    <w:rsid w:val="009926B7"/>
    <w:rsid w:val="00992E8A"/>
    <w:rsid w:val="009938A6"/>
    <w:rsid w:val="009949D1"/>
    <w:rsid w:val="00996A77"/>
    <w:rsid w:val="009971A6"/>
    <w:rsid w:val="009A07FF"/>
    <w:rsid w:val="009A0894"/>
    <w:rsid w:val="009A1B99"/>
    <w:rsid w:val="009A218B"/>
    <w:rsid w:val="009A363D"/>
    <w:rsid w:val="009A3AB2"/>
    <w:rsid w:val="009A6382"/>
    <w:rsid w:val="009A7450"/>
    <w:rsid w:val="009A7EE9"/>
    <w:rsid w:val="009B02A1"/>
    <w:rsid w:val="009B0317"/>
    <w:rsid w:val="009B098B"/>
    <w:rsid w:val="009B16B2"/>
    <w:rsid w:val="009B16DD"/>
    <w:rsid w:val="009B29A9"/>
    <w:rsid w:val="009B29AC"/>
    <w:rsid w:val="009B2FF2"/>
    <w:rsid w:val="009B3C51"/>
    <w:rsid w:val="009B4BCC"/>
    <w:rsid w:val="009B57DC"/>
    <w:rsid w:val="009B6725"/>
    <w:rsid w:val="009C163A"/>
    <w:rsid w:val="009C4728"/>
    <w:rsid w:val="009C4C8E"/>
    <w:rsid w:val="009C5145"/>
    <w:rsid w:val="009C5507"/>
    <w:rsid w:val="009C56D7"/>
    <w:rsid w:val="009C5F20"/>
    <w:rsid w:val="009C6A2C"/>
    <w:rsid w:val="009C74BA"/>
    <w:rsid w:val="009D32A3"/>
    <w:rsid w:val="009D32BA"/>
    <w:rsid w:val="009D3B91"/>
    <w:rsid w:val="009D5DE2"/>
    <w:rsid w:val="009D6F9E"/>
    <w:rsid w:val="009D7D2F"/>
    <w:rsid w:val="009D7EBE"/>
    <w:rsid w:val="009D7FAE"/>
    <w:rsid w:val="009E315D"/>
    <w:rsid w:val="009E3A4E"/>
    <w:rsid w:val="009E3C16"/>
    <w:rsid w:val="009E40B3"/>
    <w:rsid w:val="009E6030"/>
    <w:rsid w:val="009E6885"/>
    <w:rsid w:val="009E7263"/>
    <w:rsid w:val="009E7DA1"/>
    <w:rsid w:val="009F0D1C"/>
    <w:rsid w:val="009F11E0"/>
    <w:rsid w:val="009F1BE6"/>
    <w:rsid w:val="009F30B3"/>
    <w:rsid w:val="009F3FBF"/>
    <w:rsid w:val="009F435C"/>
    <w:rsid w:val="009F438B"/>
    <w:rsid w:val="009F560F"/>
    <w:rsid w:val="009F7BF7"/>
    <w:rsid w:val="00A014A0"/>
    <w:rsid w:val="00A01D0C"/>
    <w:rsid w:val="00A02B14"/>
    <w:rsid w:val="00A03CA3"/>
    <w:rsid w:val="00A045B9"/>
    <w:rsid w:val="00A04E0A"/>
    <w:rsid w:val="00A0504B"/>
    <w:rsid w:val="00A05A4A"/>
    <w:rsid w:val="00A061F9"/>
    <w:rsid w:val="00A07763"/>
    <w:rsid w:val="00A122CA"/>
    <w:rsid w:val="00A12DCA"/>
    <w:rsid w:val="00A14590"/>
    <w:rsid w:val="00A14ED0"/>
    <w:rsid w:val="00A14F40"/>
    <w:rsid w:val="00A16DAA"/>
    <w:rsid w:val="00A1705E"/>
    <w:rsid w:val="00A17A95"/>
    <w:rsid w:val="00A21F0F"/>
    <w:rsid w:val="00A22BAB"/>
    <w:rsid w:val="00A2327D"/>
    <w:rsid w:val="00A23483"/>
    <w:rsid w:val="00A2574C"/>
    <w:rsid w:val="00A26A7B"/>
    <w:rsid w:val="00A277EB"/>
    <w:rsid w:val="00A30A9E"/>
    <w:rsid w:val="00A33868"/>
    <w:rsid w:val="00A33BC9"/>
    <w:rsid w:val="00A33CE9"/>
    <w:rsid w:val="00A33EF4"/>
    <w:rsid w:val="00A345C2"/>
    <w:rsid w:val="00A353F0"/>
    <w:rsid w:val="00A35454"/>
    <w:rsid w:val="00A35825"/>
    <w:rsid w:val="00A36731"/>
    <w:rsid w:val="00A37FAE"/>
    <w:rsid w:val="00A406DA"/>
    <w:rsid w:val="00A41CF2"/>
    <w:rsid w:val="00A44319"/>
    <w:rsid w:val="00A44FBA"/>
    <w:rsid w:val="00A4518E"/>
    <w:rsid w:val="00A465EC"/>
    <w:rsid w:val="00A46C64"/>
    <w:rsid w:val="00A477ED"/>
    <w:rsid w:val="00A5061A"/>
    <w:rsid w:val="00A510BF"/>
    <w:rsid w:val="00A51F04"/>
    <w:rsid w:val="00A521AF"/>
    <w:rsid w:val="00A52514"/>
    <w:rsid w:val="00A53955"/>
    <w:rsid w:val="00A53A7F"/>
    <w:rsid w:val="00A54259"/>
    <w:rsid w:val="00A54A21"/>
    <w:rsid w:val="00A56E81"/>
    <w:rsid w:val="00A573FD"/>
    <w:rsid w:val="00A60552"/>
    <w:rsid w:val="00A612CE"/>
    <w:rsid w:val="00A6148B"/>
    <w:rsid w:val="00A62B74"/>
    <w:rsid w:val="00A64ABB"/>
    <w:rsid w:val="00A654D6"/>
    <w:rsid w:val="00A656C5"/>
    <w:rsid w:val="00A65F4E"/>
    <w:rsid w:val="00A66B09"/>
    <w:rsid w:val="00A6781C"/>
    <w:rsid w:val="00A7046C"/>
    <w:rsid w:val="00A71C61"/>
    <w:rsid w:val="00A72132"/>
    <w:rsid w:val="00A7229E"/>
    <w:rsid w:val="00A7291D"/>
    <w:rsid w:val="00A73F2B"/>
    <w:rsid w:val="00A7406A"/>
    <w:rsid w:val="00A77537"/>
    <w:rsid w:val="00A77607"/>
    <w:rsid w:val="00A8089A"/>
    <w:rsid w:val="00A81C96"/>
    <w:rsid w:val="00A82488"/>
    <w:rsid w:val="00A85726"/>
    <w:rsid w:val="00A85C94"/>
    <w:rsid w:val="00A86574"/>
    <w:rsid w:val="00A86902"/>
    <w:rsid w:val="00A87452"/>
    <w:rsid w:val="00A90FCA"/>
    <w:rsid w:val="00A91364"/>
    <w:rsid w:val="00A916CB"/>
    <w:rsid w:val="00A945F6"/>
    <w:rsid w:val="00A94B60"/>
    <w:rsid w:val="00A9531B"/>
    <w:rsid w:val="00A97F4F"/>
    <w:rsid w:val="00AA09C7"/>
    <w:rsid w:val="00AA1048"/>
    <w:rsid w:val="00AA1511"/>
    <w:rsid w:val="00AA1961"/>
    <w:rsid w:val="00AA1CBF"/>
    <w:rsid w:val="00AA23E2"/>
    <w:rsid w:val="00AA367D"/>
    <w:rsid w:val="00AA3812"/>
    <w:rsid w:val="00AA492F"/>
    <w:rsid w:val="00AA55C5"/>
    <w:rsid w:val="00AA65CA"/>
    <w:rsid w:val="00AA6804"/>
    <w:rsid w:val="00AA6EB0"/>
    <w:rsid w:val="00AA7741"/>
    <w:rsid w:val="00AA78C6"/>
    <w:rsid w:val="00AA79B0"/>
    <w:rsid w:val="00AB0177"/>
    <w:rsid w:val="00AB0EF7"/>
    <w:rsid w:val="00AB28F7"/>
    <w:rsid w:val="00AB3602"/>
    <w:rsid w:val="00AB3E4B"/>
    <w:rsid w:val="00AB4C9E"/>
    <w:rsid w:val="00AB4E10"/>
    <w:rsid w:val="00AB6178"/>
    <w:rsid w:val="00AB6341"/>
    <w:rsid w:val="00AB63C7"/>
    <w:rsid w:val="00AB69FC"/>
    <w:rsid w:val="00AB6A15"/>
    <w:rsid w:val="00AB7D91"/>
    <w:rsid w:val="00AC0354"/>
    <w:rsid w:val="00AC06E9"/>
    <w:rsid w:val="00AC11C6"/>
    <w:rsid w:val="00AC1C85"/>
    <w:rsid w:val="00AC2BE6"/>
    <w:rsid w:val="00AC3341"/>
    <w:rsid w:val="00AC3482"/>
    <w:rsid w:val="00AC3DC4"/>
    <w:rsid w:val="00AC3FE6"/>
    <w:rsid w:val="00AC61BF"/>
    <w:rsid w:val="00AC710A"/>
    <w:rsid w:val="00AC7925"/>
    <w:rsid w:val="00AD0A62"/>
    <w:rsid w:val="00AD1526"/>
    <w:rsid w:val="00AD257E"/>
    <w:rsid w:val="00AD2965"/>
    <w:rsid w:val="00AD3604"/>
    <w:rsid w:val="00AD3EA6"/>
    <w:rsid w:val="00AD51B3"/>
    <w:rsid w:val="00AD639E"/>
    <w:rsid w:val="00AD6D83"/>
    <w:rsid w:val="00AD7778"/>
    <w:rsid w:val="00AE08DB"/>
    <w:rsid w:val="00AE0C02"/>
    <w:rsid w:val="00AE1684"/>
    <w:rsid w:val="00AE37FE"/>
    <w:rsid w:val="00AE55CA"/>
    <w:rsid w:val="00AE5B00"/>
    <w:rsid w:val="00AE70B6"/>
    <w:rsid w:val="00AE71A8"/>
    <w:rsid w:val="00AE7A48"/>
    <w:rsid w:val="00AE7A86"/>
    <w:rsid w:val="00AF0685"/>
    <w:rsid w:val="00AF5CC4"/>
    <w:rsid w:val="00B0057A"/>
    <w:rsid w:val="00B00B6B"/>
    <w:rsid w:val="00B01437"/>
    <w:rsid w:val="00B0202D"/>
    <w:rsid w:val="00B03BBB"/>
    <w:rsid w:val="00B03F99"/>
    <w:rsid w:val="00B06100"/>
    <w:rsid w:val="00B0649D"/>
    <w:rsid w:val="00B064BC"/>
    <w:rsid w:val="00B11E91"/>
    <w:rsid w:val="00B12FF5"/>
    <w:rsid w:val="00B1466D"/>
    <w:rsid w:val="00B14678"/>
    <w:rsid w:val="00B1467F"/>
    <w:rsid w:val="00B14BC9"/>
    <w:rsid w:val="00B16002"/>
    <w:rsid w:val="00B1773B"/>
    <w:rsid w:val="00B17E43"/>
    <w:rsid w:val="00B2217E"/>
    <w:rsid w:val="00B225C0"/>
    <w:rsid w:val="00B23774"/>
    <w:rsid w:val="00B23925"/>
    <w:rsid w:val="00B244E0"/>
    <w:rsid w:val="00B2538A"/>
    <w:rsid w:val="00B25DE5"/>
    <w:rsid w:val="00B26F6F"/>
    <w:rsid w:val="00B30873"/>
    <w:rsid w:val="00B31E86"/>
    <w:rsid w:val="00B3519C"/>
    <w:rsid w:val="00B35376"/>
    <w:rsid w:val="00B3571A"/>
    <w:rsid w:val="00B35F1C"/>
    <w:rsid w:val="00B405A4"/>
    <w:rsid w:val="00B40732"/>
    <w:rsid w:val="00B40D80"/>
    <w:rsid w:val="00B416D7"/>
    <w:rsid w:val="00B4225C"/>
    <w:rsid w:val="00B423AE"/>
    <w:rsid w:val="00B42959"/>
    <w:rsid w:val="00B43274"/>
    <w:rsid w:val="00B45BE0"/>
    <w:rsid w:val="00B46075"/>
    <w:rsid w:val="00B460EF"/>
    <w:rsid w:val="00B4667D"/>
    <w:rsid w:val="00B4730E"/>
    <w:rsid w:val="00B47C0E"/>
    <w:rsid w:val="00B47FD2"/>
    <w:rsid w:val="00B50885"/>
    <w:rsid w:val="00B51E52"/>
    <w:rsid w:val="00B52130"/>
    <w:rsid w:val="00B52DDC"/>
    <w:rsid w:val="00B52E28"/>
    <w:rsid w:val="00B5384C"/>
    <w:rsid w:val="00B54106"/>
    <w:rsid w:val="00B5545F"/>
    <w:rsid w:val="00B56586"/>
    <w:rsid w:val="00B56B61"/>
    <w:rsid w:val="00B60B26"/>
    <w:rsid w:val="00B61C6D"/>
    <w:rsid w:val="00B634B2"/>
    <w:rsid w:val="00B6367A"/>
    <w:rsid w:val="00B6444A"/>
    <w:rsid w:val="00B6530A"/>
    <w:rsid w:val="00B6585D"/>
    <w:rsid w:val="00B65918"/>
    <w:rsid w:val="00B66A3C"/>
    <w:rsid w:val="00B719DD"/>
    <w:rsid w:val="00B7297B"/>
    <w:rsid w:val="00B7335C"/>
    <w:rsid w:val="00B7456A"/>
    <w:rsid w:val="00B75668"/>
    <w:rsid w:val="00B75AF8"/>
    <w:rsid w:val="00B75B1C"/>
    <w:rsid w:val="00B766E2"/>
    <w:rsid w:val="00B7694A"/>
    <w:rsid w:val="00B769E2"/>
    <w:rsid w:val="00B76B94"/>
    <w:rsid w:val="00B807A9"/>
    <w:rsid w:val="00B80D45"/>
    <w:rsid w:val="00B812C0"/>
    <w:rsid w:val="00B8154E"/>
    <w:rsid w:val="00B81FA9"/>
    <w:rsid w:val="00B820E6"/>
    <w:rsid w:val="00B82B4F"/>
    <w:rsid w:val="00B84CED"/>
    <w:rsid w:val="00B85309"/>
    <w:rsid w:val="00B85B95"/>
    <w:rsid w:val="00B85F45"/>
    <w:rsid w:val="00B870A5"/>
    <w:rsid w:val="00B87253"/>
    <w:rsid w:val="00B90133"/>
    <w:rsid w:val="00B905EA"/>
    <w:rsid w:val="00B91532"/>
    <w:rsid w:val="00B918D4"/>
    <w:rsid w:val="00B922AA"/>
    <w:rsid w:val="00B929E7"/>
    <w:rsid w:val="00B9378F"/>
    <w:rsid w:val="00B9544C"/>
    <w:rsid w:val="00B960B9"/>
    <w:rsid w:val="00BA259E"/>
    <w:rsid w:val="00BA2AC4"/>
    <w:rsid w:val="00BA32CF"/>
    <w:rsid w:val="00BA3AE6"/>
    <w:rsid w:val="00BA3BAC"/>
    <w:rsid w:val="00BA43BD"/>
    <w:rsid w:val="00BA6746"/>
    <w:rsid w:val="00BA6EBB"/>
    <w:rsid w:val="00BA7917"/>
    <w:rsid w:val="00BA7E17"/>
    <w:rsid w:val="00BB21AE"/>
    <w:rsid w:val="00BB22AC"/>
    <w:rsid w:val="00BB2D83"/>
    <w:rsid w:val="00BB3034"/>
    <w:rsid w:val="00BB305A"/>
    <w:rsid w:val="00BB38BD"/>
    <w:rsid w:val="00BB4B06"/>
    <w:rsid w:val="00BB4F64"/>
    <w:rsid w:val="00BB52FA"/>
    <w:rsid w:val="00BB5D81"/>
    <w:rsid w:val="00BB6179"/>
    <w:rsid w:val="00BB6210"/>
    <w:rsid w:val="00BB64DA"/>
    <w:rsid w:val="00BC05AF"/>
    <w:rsid w:val="00BC0CB4"/>
    <w:rsid w:val="00BC1AE0"/>
    <w:rsid w:val="00BC1D30"/>
    <w:rsid w:val="00BC2A48"/>
    <w:rsid w:val="00BC2FC2"/>
    <w:rsid w:val="00BC315D"/>
    <w:rsid w:val="00BC3ECB"/>
    <w:rsid w:val="00BC6500"/>
    <w:rsid w:val="00BC66ED"/>
    <w:rsid w:val="00BC696D"/>
    <w:rsid w:val="00BD0A50"/>
    <w:rsid w:val="00BD0FAC"/>
    <w:rsid w:val="00BD134B"/>
    <w:rsid w:val="00BD1E25"/>
    <w:rsid w:val="00BD3487"/>
    <w:rsid w:val="00BD4183"/>
    <w:rsid w:val="00BD464C"/>
    <w:rsid w:val="00BD5FB6"/>
    <w:rsid w:val="00BD702C"/>
    <w:rsid w:val="00BE16EB"/>
    <w:rsid w:val="00BE4E0F"/>
    <w:rsid w:val="00BE698B"/>
    <w:rsid w:val="00BE6B01"/>
    <w:rsid w:val="00BE70B6"/>
    <w:rsid w:val="00BE710C"/>
    <w:rsid w:val="00BF0A54"/>
    <w:rsid w:val="00BF0D89"/>
    <w:rsid w:val="00BF0FC9"/>
    <w:rsid w:val="00BF103A"/>
    <w:rsid w:val="00BF196A"/>
    <w:rsid w:val="00BF2A52"/>
    <w:rsid w:val="00BF38D0"/>
    <w:rsid w:val="00BF3ABC"/>
    <w:rsid w:val="00BF4308"/>
    <w:rsid w:val="00BF45CF"/>
    <w:rsid w:val="00BF493E"/>
    <w:rsid w:val="00BF6F56"/>
    <w:rsid w:val="00BF717B"/>
    <w:rsid w:val="00BF7259"/>
    <w:rsid w:val="00BF76AF"/>
    <w:rsid w:val="00BF7EFC"/>
    <w:rsid w:val="00C01253"/>
    <w:rsid w:val="00C0199D"/>
    <w:rsid w:val="00C0260A"/>
    <w:rsid w:val="00C0377F"/>
    <w:rsid w:val="00C04129"/>
    <w:rsid w:val="00C0508D"/>
    <w:rsid w:val="00C05424"/>
    <w:rsid w:val="00C06287"/>
    <w:rsid w:val="00C06390"/>
    <w:rsid w:val="00C0649C"/>
    <w:rsid w:val="00C064DE"/>
    <w:rsid w:val="00C102D4"/>
    <w:rsid w:val="00C10E71"/>
    <w:rsid w:val="00C10FBF"/>
    <w:rsid w:val="00C1117B"/>
    <w:rsid w:val="00C112F3"/>
    <w:rsid w:val="00C11723"/>
    <w:rsid w:val="00C11E45"/>
    <w:rsid w:val="00C12394"/>
    <w:rsid w:val="00C12A51"/>
    <w:rsid w:val="00C148C5"/>
    <w:rsid w:val="00C163B8"/>
    <w:rsid w:val="00C16C3E"/>
    <w:rsid w:val="00C17230"/>
    <w:rsid w:val="00C172F7"/>
    <w:rsid w:val="00C17328"/>
    <w:rsid w:val="00C23C7A"/>
    <w:rsid w:val="00C24568"/>
    <w:rsid w:val="00C24A4F"/>
    <w:rsid w:val="00C27465"/>
    <w:rsid w:val="00C27F40"/>
    <w:rsid w:val="00C30188"/>
    <w:rsid w:val="00C30696"/>
    <w:rsid w:val="00C31396"/>
    <w:rsid w:val="00C3232D"/>
    <w:rsid w:val="00C328B1"/>
    <w:rsid w:val="00C32CBF"/>
    <w:rsid w:val="00C33C12"/>
    <w:rsid w:val="00C361A5"/>
    <w:rsid w:val="00C36337"/>
    <w:rsid w:val="00C36C48"/>
    <w:rsid w:val="00C36EBF"/>
    <w:rsid w:val="00C37977"/>
    <w:rsid w:val="00C4131B"/>
    <w:rsid w:val="00C433FA"/>
    <w:rsid w:val="00C43E5E"/>
    <w:rsid w:val="00C469D6"/>
    <w:rsid w:val="00C47EFE"/>
    <w:rsid w:val="00C501B3"/>
    <w:rsid w:val="00C50CDA"/>
    <w:rsid w:val="00C517A0"/>
    <w:rsid w:val="00C5243C"/>
    <w:rsid w:val="00C5332A"/>
    <w:rsid w:val="00C54C3E"/>
    <w:rsid w:val="00C561BA"/>
    <w:rsid w:val="00C5653E"/>
    <w:rsid w:val="00C57507"/>
    <w:rsid w:val="00C60600"/>
    <w:rsid w:val="00C60C88"/>
    <w:rsid w:val="00C62F58"/>
    <w:rsid w:val="00C635C3"/>
    <w:rsid w:val="00C654C7"/>
    <w:rsid w:val="00C66650"/>
    <w:rsid w:val="00C679DF"/>
    <w:rsid w:val="00C7269D"/>
    <w:rsid w:val="00C72DDA"/>
    <w:rsid w:val="00C74C0B"/>
    <w:rsid w:val="00C74CBB"/>
    <w:rsid w:val="00C757D3"/>
    <w:rsid w:val="00C76780"/>
    <w:rsid w:val="00C767B9"/>
    <w:rsid w:val="00C76EFB"/>
    <w:rsid w:val="00C77AAD"/>
    <w:rsid w:val="00C80934"/>
    <w:rsid w:val="00C80D4D"/>
    <w:rsid w:val="00C81628"/>
    <w:rsid w:val="00C8182B"/>
    <w:rsid w:val="00C81C9F"/>
    <w:rsid w:val="00C8305A"/>
    <w:rsid w:val="00C835A5"/>
    <w:rsid w:val="00C84856"/>
    <w:rsid w:val="00C84952"/>
    <w:rsid w:val="00C84B32"/>
    <w:rsid w:val="00C84D29"/>
    <w:rsid w:val="00C8502C"/>
    <w:rsid w:val="00C85EBA"/>
    <w:rsid w:val="00C8600B"/>
    <w:rsid w:val="00C86750"/>
    <w:rsid w:val="00C8779A"/>
    <w:rsid w:val="00C90630"/>
    <w:rsid w:val="00C90E9D"/>
    <w:rsid w:val="00C91699"/>
    <w:rsid w:val="00C9173D"/>
    <w:rsid w:val="00C91A91"/>
    <w:rsid w:val="00C91F77"/>
    <w:rsid w:val="00C92E6E"/>
    <w:rsid w:val="00C941E3"/>
    <w:rsid w:val="00C94FC9"/>
    <w:rsid w:val="00C9527B"/>
    <w:rsid w:val="00C95358"/>
    <w:rsid w:val="00C961F7"/>
    <w:rsid w:val="00C967AC"/>
    <w:rsid w:val="00C97DE8"/>
    <w:rsid w:val="00CA115E"/>
    <w:rsid w:val="00CA1428"/>
    <w:rsid w:val="00CA1B56"/>
    <w:rsid w:val="00CA2F08"/>
    <w:rsid w:val="00CA4732"/>
    <w:rsid w:val="00CA538E"/>
    <w:rsid w:val="00CA5741"/>
    <w:rsid w:val="00CA657F"/>
    <w:rsid w:val="00CA682D"/>
    <w:rsid w:val="00CA727E"/>
    <w:rsid w:val="00CA7877"/>
    <w:rsid w:val="00CB0389"/>
    <w:rsid w:val="00CB0EA7"/>
    <w:rsid w:val="00CB1A57"/>
    <w:rsid w:val="00CB33D2"/>
    <w:rsid w:val="00CB46E1"/>
    <w:rsid w:val="00CB59EB"/>
    <w:rsid w:val="00CB780E"/>
    <w:rsid w:val="00CC0215"/>
    <w:rsid w:val="00CC0361"/>
    <w:rsid w:val="00CC04C0"/>
    <w:rsid w:val="00CC0AB3"/>
    <w:rsid w:val="00CC3D46"/>
    <w:rsid w:val="00CC4549"/>
    <w:rsid w:val="00CC5C92"/>
    <w:rsid w:val="00CC6683"/>
    <w:rsid w:val="00CD2631"/>
    <w:rsid w:val="00CD28F1"/>
    <w:rsid w:val="00CD302C"/>
    <w:rsid w:val="00CD307C"/>
    <w:rsid w:val="00CD3DCA"/>
    <w:rsid w:val="00CD5808"/>
    <w:rsid w:val="00CD650F"/>
    <w:rsid w:val="00CD67B5"/>
    <w:rsid w:val="00CD730A"/>
    <w:rsid w:val="00CE0D3A"/>
    <w:rsid w:val="00CE26FC"/>
    <w:rsid w:val="00CE2E13"/>
    <w:rsid w:val="00CE3174"/>
    <w:rsid w:val="00CE329F"/>
    <w:rsid w:val="00CE4152"/>
    <w:rsid w:val="00CE4694"/>
    <w:rsid w:val="00CE55A5"/>
    <w:rsid w:val="00CE7B67"/>
    <w:rsid w:val="00CF0BBC"/>
    <w:rsid w:val="00CF2536"/>
    <w:rsid w:val="00CF49C4"/>
    <w:rsid w:val="00CF5B00"/>
    <w:rsid w:val="00CF6417"/>
    <w:rsid w:val="00CF6AE8"/>
    <w:rsid w:val="00D00AA6"/>
    <w:rsid w:val="00D0131C"/>
    <w:rsid w:val="00D0161E"/>
    <w:rsid w:val="00D0180F"/>
    <w:rsid w:val="00D02427"/>
    <w:rsid w:val="00D02B35"/>
    <w:rsid w:val="00D04FA2"/>
    <w:rsid w:val="00D05F28"/>
    <w:rsid w:val="00D07949"/>
    <w:rsid w:val="00D1202E"/>
    <w:rsid w:val="00D13059"/>
    <w:rsid w:val="00D133AA"/>
    <w:rsid w:val="00D149D6"/>
    <w:rsid w:val="00D16806"/>
    <w:rsid w:val="00D1686B"/>
    <w:rsid w:val="00D20449"/>
    <w:rsid w:val="00D22FE7"/>
    <w:rsid w:val="00D23474"/>
    <w:rsid w:val="00D238CB"/>
    <w:rsid w:val="00D23976"/>
    <w:rsid w:val="00D23BBB"/>
    <w:rsid w:val="00D244AB"/>
    <w:rsid w:val="00D245EC"/>
    <w:rsid w:val="00D256A9"/>
    <w:rsid w:val="00D26A3B"/>
    <w:rsid w:val="00D27003"/>
    <w:rsid w:val="00D279BE"/>
    <w:rsid w:val="00D30991"/>
    <w:rsid w:val="00D31FFC"/>
    <w:rsid w:val="00D32725"/>
    <w:rsid w:val="00D32EAA"/>
    <w:rsid w:val="00D40DF8"/>
    <w:rsid w:val="00D423C6"/>
    <w:rsid w:val="00D4333E"/>
    <w:rsid w:val="00D440F0"/>
    <w:rsid w:val="00D4557A"/>
    <w:rsid w:val="00D45EF5"/>
    <w:rsid w:val="00D47857"/>
    <w:rsid w:val="00D5065A"/>
    <w:rsid w:val="00D514C7"/>
    <w:rsid w:val="00D5184D"/>
    <w:rsid w:val="00D5227D"/>
    <w:rsid w:val="00D525AD"/>
    <w:rsid w:val="00D5275A"/>
    <w:rsid w:val="00D529B4"/>
    <w:rsid w:val="00D52B2C"/>
    <w:rsid w:val="00D534EA"/>
    <w:rsid w:val="00D53565"/>
    <w:rsid w:val="00D547D7"/>
    <w:rsid w:val="00D550A2"/>
    <w:rsid w:val="00D555B9"/>
    <w:rsid w:val="00D55B44"/>
    <w:rsid w:val="00D55DD7"/>
    <w:rsid w:val="00D56744"/>
    <w:rsid w:val="00D56A94"/>
    <w:rsid w:val="00D56BAF"/>
    <w:rsid w:val="00D56E5D"/>
    <w:rsid w:val="00D601A2"/>
    <w:rsid w:val="00D61C96"/>
    <w:rsid w:val="00D62482"/>
    <w:rsid w:val="00D62621"/>
    <w:rsid w:val="00D632A1"/>
    <w:rsid w:val="00D633E7"/>
    <w:rsid w:val="00D6433B"/>
    <w:rsid w:val="00D643C6"/>
    <w:rsid w:val="00D648BF"/>
    <w:rsid w:val="00D648EE"/>
    <w:rsid w:val="00D6564C"/>
    <w:rsid w:val="00D66DF8"/>
    <w:rsid w:val="00D67F7F"/>
    <w:rsid w:val="00D70613"/>
    <w:rsid w:val="00D70B9A"/>
    <w:rsid w:val="00D7190A"/>
    <w:rsid w:val="00D73153"/>
    <w:rsid w:val="00D73CCA"/>
    <w:rsid w:val="00D757A0"/>
    <w:rsid w:val="00D7680A"/>
    <w:rsid w:val="00D821FD"/>
    <w:rsid w:val="00D826EF"/>
    <w:rsid w:val="00D83224"/>
    <w:rsid w:val="00D83FC3"/>
    <w:rsid w:val="00D84082"/>
    <w:rsid w:val="00D8450D"/>
    <w:rsid w:val="00D84A09"/>
    <w:rsid w:val="00D84E1C"/>
    <w:rsid w:val="00D85400"/>
    <w:rsid w:val="00D85435"/>
    <w:rsid w:val="00D85626"/>
    <w:rsid w:val="00D90591"/>
    <w:rsid w:val="00D90D11"/>
    <w:rsid w:val="00D92B86"/>
    <w:rsid w:val="00D9397C"/>
    <w:rsid w:val="00D94B2D"/>
    <w:rsid w:val="00D94D95"/>
    <w:rsid w:val="00D95059"/>
    <w:rsid w:val="00D96B59"/>
    <w:rsid w:val="00D9785A"/>
    <w:rsid w:val="00D97E73"/>
    <w:rsid w:val="00DA0960"/>
    <w:rsid w:val="00DA0F48"/>
    <w:rsid w:val="00DA1323"/>
    <w:rsid w:val="00DA1C51"/>
    <w:rsid w:val="00DA3E02"/>
    <w:rsid w:val="00DA3E34"/>
    <w:rsid w:val="00DA5162"/>
    <w:rsid w:val="00DA615C"/>
    <w:rsid w:val="00DA70CE"/>
    <w:rsid w:val="00DA7A72"/>
    <w:rsid w:val="00DB1D22"/>
    <w:rsid w:val="00DB21F9"/>
    <w:rsid w:val="00DB23D2"/>
    <w:rsid w:val="00DB2EC9"/>
    <w:rsid w:val="00DB33A2"/>
    <w:rsid w:val="00DB35B5"/>
    <w:rsid w:val="00DB3D89"/>
    <w:rsid w:val="00DB48CD"/>
    <w:rsid w:val="00DC00B2"/>
    <w:rsid w:val="00DC02BE"/>
    <w:rsid w:val="00DC0622"/>
    <w:rsid w:val="00DC162D"/>
    <w:rsid w:val="00DC30C1"/>
    <w:rsid w:val="00DC45DF"/>
    <w:rsid w:val="00DC47F2"/>
    <w:rsid w:val="00DC49EF"/>
    <w:rsid w:val="00DC7FD2"/>
    <w:rsid w:val="00DD0C24"/>
    <w:rsid w:val="00DD1E6C"/>
    <w:rsid w:val="00DD2458"/>
    <w:rsid w:val="00DD38E6"/>
    <w:rsid w:val="00DD3A7E"/>
    <w:rsid w:val="00DD3BB4"/>
    <w:rsid w:val="00DD532E"/>
    <w:rsid w:val="00DD7E8E"/>
    <w:rsid w:val="00DE0D43"/>
    <w:rsid w:val="00DE1991"/>
    <w:rsid w:val="00DE1AF6"/>
    <w:rsid w:val="00DE2C4B"/>
    <w:rsid w:val="00DE2E92"/>
    <w:rsid w:val="00DE3094"/>
    <w:rsid w:val="00DE4198"/>
    <w:rsid w:val="00DE5191"/>
    <w:rsid w:val="00DE51D2"/>
    <w:rsid w:val="00DE5269"/>
    <w:rsid w:val="00DF3D1D"/>
    <w:rsid w:val="00DF51EB"/>
    <w:rsid w:val="00DF6D23"/>
    <w:rsid w:val="00DF73C4"/>
    <w:rsid w:val="00DF7A61"/>
    <w:rsid w:val="00E00A93"/>
    <w:rsid w:val="00E0183F"/>
    <w:rsid w:val="00E02511"/>
    <w:rsid w:val="00E040E2"/>
    <w:rsid w:val="00E05437"/>
    <w:rsid w:val="00E0572D"/>
    <w:rsid w:val="00E057ED"/>
    <w:rsid w:val="00E06F93"/>
    <w:rsid w:val="00E100FA"/>
    <w:rsid w:val="00E1046B"/>
    <w:rsid w:val="00E1078F"/>
    <w:rsid w:val="00E1079E"/>
    <w:rsid w:val="00E11351"/>
    <w:rsid w:val="00E12045"/>
    <w:rsid w:val="00E1215C"/>
    <w:rsid w:val="00E12ABB"/>
    <w:rsid w:val="00E12F86"/>
    <w:rsid w:val="00E1348E"/>
    <w:rsid w:val="00E15CF3"/>
    <w:rsid w:val="00E16090"/>
    <w:rsid w:val="00E16419"/>
    <w:rsid w:val="00E171B5"/>
    <w:rsid w:val="00E175E2"/>
    <w:rsid w:val="00E17DCC"/>
    <w:rsid w:val="00E21DA5"/>
    <w:rsid w:val="00E22D29"/>
    <w:rsid w:val="00E23627"/>
    <w:rsid w:val="00E23BE4"/>
    <w:rsid w:val="00E23C6C"/>
    <w:rsid w:val="00E23DE9"/>
    <w:rsid w:val="00E23F96"/>
    <w:rsid w:val="00E247CB"/>
    <w:rsid w:val="00E251A5"/>
    <w:rsid w:val="00E259BF"/>
    <w:rsid w:val="00E26519"/>
    <w:rsid w:val="00E3132A"/>
    <w:rsid w:val="00E31C6B"/>
    <w:rsid w:val="00E31E77"/>
    <w:rsid w:val="00E3240A"/>
    <w:rsid w:val="00E337F4"/>
    <w:rsid w:val="00E34087"/>
    <w:rsid w:val="00E36A1E"/>
    <w:rsid w:val="00E36D4E"/>
    <w:rsid w:val="00E372E4"/>
    <w:rsid w:val="00E37989"/>
    <w:rsid w:val="00E40533"/>
    <w:rsid w:val="00E40CE3"/>
    <w:rsid w:val="00E429A3"/>
    <w:rsid w:val="00E42BEC"/>
    <w:rsid w:val="00E42D59"/>
    <w:rsid w:val="00E4376B"/>
    <w:rsid w:val="00E4416C"/>
    <w:rsid w:val="00E44477"/>
    <w:rsid w:val="00E44E49"/>
    <w:rsid w:val="00E45A6E"/>
    <w:rsid w:val="00E45CA2"/>
    <w:rsid w:val="00E47F83"/>
    <w:rsid w:val="00E50F54"/>
    <w:rsid w:val="00E51D16"/>
    <w:rsid w:val="00E53D2A"/>
    <w:rsid w:val="00E546FE"/>
    <w:rsid w:val="00E55BF8"/>
    <w:rsid w:val="00E604EE"/>
    <w:rsid w:val="00E607DF"/>
    <w:rsid w:val="00E61706"/>
    <w:rsid w:val="00E61DF4"/>
    <w:rsid w:val="00E628CC"/>
    <w:rsid w:val="00E6484A"/>
    <w:rsid w:val="00E65A0C"/>
    <w:rsid w:val="00E66FF1"/>
    <w:rsid w:val="00E67F2C"/>
    <w:rsid w:val="00E71BFB"/>
    <w:rsid w:val="00E7275E"/>
    <w:rsid w:val="00E73354"/>
    <w:rsid w:val="00E73EDB"/>
    <w:rsid w:val="00E75334"/>
    <w:rsid w:val="00E776CB"/>
    <w:rsid w:val="00E779B8"/>
    <w:rsid w:val="00E77B27"/>
    <w:rsid w:val="00E8038D"/>
    <w:rsid w:val="00E807F0"/>
    <w:rsid w:val="00E80834"/>
    <w:rsid w:val="00E80875"/>
    <w:rsid w:val="00E80DFF"/>
    <w:rsid w:val="00E82761"/>
    <w:rsid w:val="00E83353"/>
    <w:rsid w:val="00E83485"/>
    <w:rsid w:val="00E835D8"/>
    <w:rsid w:val="00E83A97"/>
    <w:rsid w:val="00E84162"/>
    <w:rsid w:val="00E84588"/>
    <w:rsid w:val="00E852C8"/>
    <w:rsid w:val="00E855FB"/>
    <w:rsid w:val="00E86B37"/>
    <w:rsid w:val="00E87296"/>
    <w:rsid w:val="00E91386"/>
    <w:rsid w:val="00E9157D"/>
    <w:rsid w:val="00E91B49"/>
    <w:rsid w:val="00E9205E"/>
    <w:rsid w:val="00E924A8"/>
    <w:rsid w:val="00E95263"/>
    <w:rsid w:val="00EA2DC8"/>
    <w:rsid w:val="00EA5DD0"/>
    <w:rsid w:val="00EA6525"/>
    <w:rsid w:val="00EB063E"/>
    <w:rsid w:val="00EB0652"/>
    <w:rsid w:val="00EB0EB5"/>
    <w:rsid w:val="00EB0F67"/>
    <w:rsid w:val="00EB11BF"/>
    <w:rsid w:val="00EB14AD"/>
    <w:rsid w:val="00EB30CD"/>
    <w:rsid w:val="00EB3543"/>
    <w:rsid w:val="00EB3AF7"/>
    <w:rsid w:val="00EB3E28"/>
    <w:rsid w:val="00EB448D"/>
    <w:rsid w:val="00EB4BEE"/>
    <w:rsid w:val="00EB4E8B"/>
    <w:rsid w:val="00EB5737"/>
    <w:rsid w:val="00EB6FAA"/>
    <w:rsid w:val="00EC0778"/>
    <w:rsid w:val="00EC09E2"/>
    <w:rsid w:val="00EC0A62"/>
    <w:rsid w:val="00EC1C9C"/>
    <w:rsid w:val="00EC2271"/>
    <w:rsid w:val="00EC3C01"/>
    <w:rsid w:val="00EC4DFE"/>
    <w:rsid w:val="00EC6167"/>
    <w:rsid w:val="00EC6E55"/>
    <w:rsid w:val="00EC798C"/>
    <w:rsid w:val="00ED0450"/>
    <w:rsid w:val="00ED1616"/>
    <w:rsid w:val="00ED1DAB"/>
    <w:rsid w:val="00ED228D"/>
    <w:rsid w:val="00ED2768"/>
    <w:rsid w:val="00ED3893"/>
    <w:rsid w:val="00ED518F"/>
    <w:rsid w:val="00ED52F8"/>
    <w:rsid w:val="00ED6041"/>
    <w:rsid w:val="00ED61C1"/>
    <w:rsid w:val="00ED6B0D"/>
    <w:rsid w:val="00ED6CED"/>
    <w:rsid w:val="00ED72F0"/>
    <w:rsid w:val="00ED7967"/>
    <w:rsid w:val="00EE0A3D"/>
    <w:rsid w:val="00EE16C0"/>
    <w:rsid w:val="00EE24B5"/>
    <w:rsid w:val="00EE31B4"/>
    <w:rsid w:val="00EE37CE"/>
    <w:rsid w:val="00EE3AA1"/>
    <w:rsid w:val="00EE4BBE"/>
    <w:rsid w:val="00EE53DE"/>
    <w:rsid w:val="00EE611C"/>
    <w:rsid w:val="00EE6C8E"/>
    <w:rsid w:val="00EE75BC"/>
    <w:rsid w:val="00EE75FB"/>
    <w:rsid w:val="00EE7ED2"/>
    <w:rsid w:val="00EF0E43"/>
    <w:rsid w:val="00EF1DB9"/>
    <w:rsid w:val="00EF2BE4"/>
    <w:rsid w:val="00EF3563"/>
    <w:rsid w:val="00EF3DE9"/>
    <w:rsid w:val="00EF3E31"/>
    <w:rsid w:val="00EF3E8E"/>
    <w:rsid w:val="00EF40F5"/>
    <w:rsid w:val="00EF43F3"/>
    <w:rsid w:val="00EF6740"/>
    <w:rsid w:val="00EF7A9D"/>
    <w:rsid w:val="00F03B02"/>
    <w:rsid w:val="00F04D0C"/>
    <w:rsid w:val="00F05ED0"/>
    <w:rsid w:val="00F064CD"/>
    <w:rsid w:val="00F06885"/>
    <w:rsid w:val="00F1150A"/>
    <w:rsid w:val="00F156E6"/>
    <w:rsid w:val="00F15738"/>
    <w:rsid w:val="00F15F0F"/>
    <w:rsid w:val="00F16EFB"/>
    <w:rsid w:val="00F177B2"/>
    <w:rsid w:val="00F24EEB"/>
    <w:rsid w:val="00F251B5"/>
    <w:rsid w:val="00F256DF"/>
    <w:rsid w:val="00F25D5E"/>
    <w:rsid w:val="00F25E2D"/>
    <w:rsid w:val="00F26591"/>
    <w:rsid w:val="00F26822"/>
    <w:rsid w:val="00F26EC9"/>
    <w:rsid w:val="00F30443"/>
    <w:rsid w:val="00F306D3"/>
    <w:rsid w:val="00F30AC0"/>
    <w:rsid w:val="00F31119"/>
    <w:rsid w:val="00F31A9A"/>
    <w:rsid w:val="00F32526"/>
    <w:rsid w:val="00F32F86"/>
    <w:rsid w:val="00F33B7C"/>
    <w:rsid w:val="00F34EF2"/>
    <w:rsid w:val="00F35860"/>
    <w:rsid w:val="00F36A79"/>
    <w:rsid w:val="00F36F6F"/>
    <w:rsid w:val="00F37E30"/>
    <w:rsid w:val="00F406A7"/>
    <w:rsid w:val="00F40810"/>
    <w:rsid w:val="00F4263D"/>
    <w:rsid w:val="00F4317D"/>
    <w:rsid w:val="00F432E9"/>
    <w:rsid w:val="00F4358F"/>
    <w:rsid w:val="00F43613"/>
    <w:rsid w:val="00F438AD"/>
    <w:rsid w:val="00F43FF0"/>
    <w:rsid w:val="00F45F5E"/>
    <w:rsid w:val="00F47512"/>
    <w:rsid w:val="00F476C0"/>
    <w:rsid w:val="00F479AC"/>
    <w:rsid w:val="00F501CF"/>
    <w:rsid w:val="00F50EDB"/>
    <w:rsid w:val="00F512C4"/>
    <w:rsid w:val="00F51CF5"/>
    <w:rsid w:val="00F52E63"/>
    <w:rsid w:val="00F53051"/>
    <w:rsid w:val="00F5514B"/>
    <w:rsid w:val="00F56212"/>
    <w:rsid w:val="00F56F98"/>
    <w:rsid w:val="00F571CA"/>
    <w:rsid w:val="00F60108"/>
    <w:rsid w:val="00F605D5"/>
    <w:rsid w:val="00F61A95"/>
    <w:rsid w:val="00F621C0"/>
    <w:rsid w:val="00F6281B"/>
    <w:rsid w:val="00F6429B"/>
    <w:rsid w:val="00F64CFC"/>
    <w:rsid w:val="00F6614E"/>
    <w:rsid w:val="00F664DE"/>
    <w:rsid w:val="00F670F7"/>
    <w:rsid w:val="00F706CC"/>
    <w:rsid w:val="00F726E4"/>
    <w:rsid w:val="00F72BF5"/>
    <w:rsid w:val="00F776B4"/>
    <w:rsid w:val="00F77C71"/>
    <w:rsid w:val="00F77EE6"/>
    <w:rsid w:val="00F80684"/>
    <w:rsid w:val="00F8172A"/>
    <w:rsid w:val="00F82FF6"/>
    <w:rsid w:val="00F838DB"/>
    <w:rsid w:val="00F845C1"/>
    <w:rsid w:val="00F85300"/>
    <w:rsid w:val="00F859CF"/>
    <w:rsid w:val="00F875EF"/>
    <w:rsid w:val="00F8763C"/>
    <w:rsid w:val="00F879E7"/>
    <w:rsid w:val="00F901B7"/>
    <w:rsid w:val="00F90D41"/>
    <w:rsid w:val="00F91AA2"/>
    <w:rsid w:val="00F92D33"/>
    <w:rsid w:val="00F93309"/>
    <w:rsid w:val="00F933DC"/>
    <w:rsid w:val="00F938E8"/>
    <w:rsid w:val="00F93908"/>
    <w:rsid w:val="00F93A31"/>
    <w:rsid w:val="00F9499F"/>
    <w:rsid w:val="00F949E1"/>
    <w:rsid w:val="00F95686"/>
    <w:rsid w:val="00F96351"/>
    <w:rsid w:val="00F96483"/>
    <w:rsid w:val="00F971D3"/>
    <w:rsid w:val="00F979A7"/>
    <w:rsid w:val="00F97B0B"/>
    <w:rsid w:val="00FA04CC"/>
    <w:rsid w:val="00FA2300"/>
    <w:rsid w:val="00FA25B1"/>
    <w:rsid w:val="00FA28AA"/>
    <w:rsid w:val="00FA31A8"/>
    <w:rsid w:val="00FA32DC"/>
    <w:rsid w:val="00FA3F0C"/>
    <w:rsid w:val="00FA4093"/>
    <w:rsid w:val="00FA4B27"/>
    <w:rsid w:val="00FA4EB3"/>
    <w:rsid w:val="00FA5107"/>
    <w:rsid w:val="00FA52C8"/>
    <w:rsid w:val="00FA5AEB"/>
    <w:rsid w:val="00FA737C"/>
    <w:rsid w:val="00FA7A37"/>
    <w:rsid w:val="00FB0156"/>
    <w:rsid w:val="00FB1B76"/>
    <w:rsid w:val="00FB3140"/>
    <w:rsid w:val="00FB3563"/>
    <w:rsid w:val="00FB405D"/>
    <w:rsid w:val="00FB4E8E"/>
    <w:rsid w:val="00FB5A94"/>
    <w:rsid w:val="00FB5C57"/>
    <w:rsid w:val="00FB5F12"/>
    <w:rsid w:val="00FB6990"/>
    <w:rsid w:val="00FB6E82"/>
    <w:rsid w:val="00FB70EA"/>
    <w:rsid w:val="00FB723C"/>
    <w:rsid w:val="00FC0AA8"/>
    <w:rsid w:val="00FC298D"/>
    <w:rsid w:val="00FC306D"/>
    <w:rsid w:val="00FC33A5"/>
    <w:rsid w:val="00FC3E58"/>
    <w:rsid w:val="00FC4929"/>
    <w:rsid w:val="00FC499D"/>
    <w:rsid w:val="00FC4E5E"/>
    <w:rsid w:val="00FC687F"/>
    <w:rsid w:val="00FC7DA8"/>
    <w:rsid w:val="00FD0798"/>
    <w:rsid w:val="00FD0CA3"/>
    <w:rsid w:val="00FD1AD4"/>
    <w:rsid w:val="00FD2733"/>
    <w:rsid w:val="00FD2E4B"/>
    <w:rsid w:val="00FD35CE"/>
    <w:rsid w:val="00FD42FF"/>
    <w:rsid w:val="00FD6119"/>
    <w:rsid w:val="00FD7F9A"/>
    <w:rsid w:val="00FE08E7"/>
    <w:rsid w:val="00FE1522"/>
    <w:rsid w:val="00FE202E"/>
    <w:rsid w:val="00FE3143"/>
    <w:rsid w:val="00FE37E5"/>
    <w:rsid w:val="00FE6CEE"/>
    <w:rsid w:val="00FE6E44"/>
    <w:rsid w:val="00FF0A3F"/>
    <w:rsid w:val="00FF19D3"/>
    <w:rsid w:val="00FF1FC2"/>
    <w:rsid w:val="00FF2105"/>
    <w:rsid w:val="00FF315D"/>
    <w:rsid w:val="00FF5512"/>
    <w:rsid w:val="00FF5CD5"/>
    <w:rsid w:val="00FF6DA6"/>
    <w:rsid w:val="00FF79E5"/>
    <w:rsid w:val="00FF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E7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uiPriority w:val="9"/>
    <w:qFormat/>
    <w:rsid w:val="00AA78C6"/>
    <w:pPr>
      <w:keepNext/>
      <w:numPr>
        <w:numId w:val="4"/>
      </w:numPr>
      <w:tabs>
        <w:tab w:val="clear" w:pos="720"/>
      </w:tabs>
      <w:spacing w:before="120" w:after="120"/>
      <w:ind w:right="2160"/>
      <w:outlineLvl w:val="0"/>
    </w:pPr>
    <w:rPr>
      <w:rFonts w:ascii="Helvetica" w:hAnsi="Helvetica"/>
      <w:b/>
      <w:kern w:val="28"/>
    </w:rPr>
  </w:style>
  <w:style w:type="paragraph" w:styleId="Heading2">
    <w:name w:val="heading 2"/>
    <w:basedOn w:val="Normal"/>
    <w:next w:val="sub1"/>
    <w:link w:val="Heading2Char"/>
    <w:uiPriority w:val="9"/>
    <w:qFormat/>
    <w:rsid w:val="004C75AB"/>
    <w:pPr>
      <w:keepNext/>
      <w:numPr>
        <w:ilvl w:val="1"/>
        <w:numId w:val="4"/>
      </w:numPr>
      <w:tabs>
        <w:tab w:val="clear" w:pos="1710"/>
        <w:tab w:val="num" w:pos="1620"/>
      </w:tabs>
      <w:spacing w:before="120" w:after="120"/>
      <w:ind w:left="1620" w:right="2160" w:hanging="900"/>
      <w:outlineLvl w:val="1"/>
    </w:pPr>
    <w:rPr>
      <w:rFonts w:ascii="Helvetica" w:hAnsi="Helvetica"/>
      <w:b/>
      <w:iCs/>
    </w:rPr>
  </w:style>
  <w:style w:type="paragraph" w:styleId="Heading3">
    <w:name w:val="heading 3"/>
    <w:basedOn w:val="Normal"/>
    <w:next w:val="sub2"/>
    <w:link w:val="Heading3Char"/>
    <w:uiPriority w:val="9"/>
    <w:qFormat/>
    <w:rsid w:val="001A7699"/>
    <w:pPr>
      <w:keepNext/>
      <w:numPr>
        <w:ilvl w:val="2"/>
        <w:numId w:val="4"/>
      </w:numPr>
      <w:tabs>
        <w:tab w:val="clear" w:pos="2160"/>
        <w:tab w:val="left" w:pos="1800"/>
      </w:tabs>
      <w:spacing w:before="120" w:after="120"/>
      <w:ind w:left="1800" w:right="2160" w:hanging="1080"/>
      <w:outlineLvl w:val="2"/>
    </w:pPr>
    <w:rPr>
      <w:rFonts w:ascii="Helvetica" w:hAnsi="Helvetica"/>
      <w:b/>
    </w:rPr>
  </w:style>
  <w:style w:type="paragraph" w:styleId="Heading4">
    <w:name w:val="heading 4"/>
    <w:basedOn w:val="Normal"/>
    <w:next w:val="sub3"/>
    <w:link w:val="Heading4Char"/>
    <w:uiPriority w:val="9"/>
    <w:qFormat/>
    <w:rsid w:val="00C8182B"/>
    <w:pPr>
      <w:keepNext/>
      <w:numPr>
        <w:ilvl w:val="3"/>
        <w:numId w:val="4"/>
      </w:numPr>
      <w:tabs>
        <w:tab w:val="clear" w:pos="0"/>
        <w:tab w:val="left" w:pos="1980"/>
      </w:tabs>
      <w:spacing w:before="120" w:after="120"/>
      <w:ind w:left="1980" w:right="2160" w:hanging="1260"/>
      <w:outlineLvl w:val="3"/>
    </w:pPr>
    <w:rPr>
      <w:rFonts w:ascii="Helvetica" w:hAnsi="Helvetica"/>
      <w:b/>
      <w:iCs/>
    </w:rPr>
  </w:style>
  <w:style w:type="paragraph" w:styleId="Heading5">
    <w:name w:val="heading 5"/>
    <w:basedOn w:val="Normal"/>
    <w:next w:val="sub4"/>
    <w:qFormat/>
    <w:pPr>
      <w:numPr>
        <w:ilvl w:val="4"/>
        <w:numId w:val="4"/>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4"/>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4"/>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4"/>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link w:val="FootnoteTextChar"/>
    <w:uiPriority w:val="99"/>
    <w:pPr>
      <w:spacing w:after="120"/>
    </w:pPr>
    <w:rPr>
      <w:sz w:val="24"/>
    </w:rPr>
  </w:style>
  <w:style w:type="character" w:styleId="FootnoteReference">
    <w:name w:val="footnote reference"/>
    <w:uiPriority w:val="99"/>
    <w:semiHidden/>
    <w:rPr>
      <w:sz w:val="24"/>
      <w:vertAlign w:val="superscript"/>
    </w:rPr>
  </w:style>
  <w:style w:type="paragraph" w:styleId="Subtitle">
    <w:name w:val="Subtitle"/>
    <w:basedOn w:val="Normal"/>
    <w:link w:val="SubtitleChar"/>
    <w:uiPriority w:val="11"/>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uiPriority w:val="99"/>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8F7217"/>
    <w:pPr>
      <w:tabs>
        <w:tab w:val="right" w:leader="dot" w:pos="9350"/>
      </w:tabs>
      <w:ind w:left="540" w:hanging="540"/>
    </w:pPr>
    <w:rPr>
      <w:noProof/>
      <w:szCs w:val="26"/>
    </w:rPr>
  </w:style>
  <w:style w:type="paragraph" w:styleId="TOC2">
    <w:name w:val="toc 2"/>
    <w:basedOn w:val="Normal"/>
    <w:next w:val="Normal"/>
    <w:autoRedefine/>
    <w:uiPriority w:val="39"/>
    <w:rsid w:val="000639A2"/>
    <w:pPr>
      <w:tabs>
        <w:tab w:val="left" w:pos="540"/>
        <w:tab w:val="left" w:pos="1170"/>
        <w:tab w:val="right" w:leader="dot" w:pos="9350"/>
      </w:tabs>
      <w:ind w:left="1170" w:hanging="720"/>
    </w:pPr>
    <w:rPr>
      <w:noProof/>
      <w:szCs w:val="26"/>
    </w:rPr>
  </w:style>
  <w:style w:type="paragraph" w:styleId="TOC3">
    <w:name w:val="toc 3"/>
    <w:basedOn w:val="Normal"/>
    <w:next w:val="Normal"/>
    <w:autoRedefine/>
    <w:uiPriority w:val="39"/>
    <w:rsid w:val="00E23F96"/>
    <w:pPr>
      <w:tabs>
        <w:tab w:val="left" w:pos="1980"/>
        <w:tab w:val="right" w:leader="dot" w:pos="9350"/>
      </w:tabs>
      <w:ind w:left="1980" w:hanging="810"/>
    </w:pPr>
    <w:rPr>
      <w:noProof/>
      <w:szCs w:val="24"/>
    </w:rPr>
  </w:style>
  <w:style w:type="paragraph" w:styleId="TOC5">
    <w:name w:val="toc 5"/>
    <w:basedOn w:val="Normal"/>
    <w:next w:val="Normal"/>
    <w:autoRedefine/>
    <w:uiPriority w:val="39"/>
    <w:pPr>
      <w:tabs>
        <w:tab w:val="left" w:pos="3060"/>
        <w:tab w:val="right" w:leader="dot" w:pos="9270"/>
      </w:tabs>
      <w:ind w:left="3060" w:hanging="990"/>
    </w:pPr>
    <w:rPr>
      <w:noProof/>
      <w:szCs w:val="24"/>
    </w:rPr>
  </w:style>
  <w:style w:type="paragraph" w:styleId="TOC6">
    <w:name w:val="toc 6"/>
    <w:basedOn w:val="Normal"/>
    <w:next w:val="Normal"/>
    <w:autoRedefine/>
    <w:uiPriority w:val="39"/>
    <w:pPr>
      <w:tabs>
        <w:tab w:val="left" w:pos="3690"/>
        <w:tab w:val="right" w:leader="dot" w:pos="9350"/>
      </w:tabs>
      <w:ind w:left="3690" w:hanging="1170"/>
    </w:pPr>
    <w:rPr>
      <w:noProof/>
      <w:szCs w:val="26"/>
    </w:rPr>
  </w:style>
  <w:style w:type="paragraph" w:styleId="TOC7">
    <w:name w:val="toc 7"/>
    <w:basedOn w:val="Normal"/>
    <w:next w:val="Normal"/>
    <w:autoRedefine/>
    <w:uiPriority w:val="39"/>
    <w:pPr>
      <w:ind w:left="1560"/>
    </w:pPr>
  </w:style>
  <w:style w:type="paragraph" w:styleId="TOC8">
    <w:name w:val="toc 8"/>
    <w:basedOn w:val="Normal"/>
    <w:next w:val="Normal"/>
    <w:autoRedefine/>
    <w:uiPriority w:val="39"/>
    <w:pPr>
      <w:ind w:left="1820"/>
    </w:pPr>
  </w:style>
  <w:style w:type="paragraph" w:styleId="TOC9">
    <w:name w:val="toc 9"/>
    <w:basedOn w:val="Normal"/>
    <w:next w:val="Normal"/>
    <w:autoRedefine/>
    <w:uiPriority w:val="39"/>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3"/>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5"/>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erChar">
    <w:name w:val="Footer Char"/>
    <w:link w:val="Footer"/>
    <w:uiPriority w:val="99"/>
    <w:rsid w:val="007011D9"/>
    <w:rPr>
      <w:rFonts w:ascii="Palatino" w:hAnsi="Palatino"/>
      <w:sz w:val="26"/>
    </w:rPr>
  </w:style>
  <w:style w:type="paragraph" w:customStyle="1" w:styleId="StyleHeading6Left05Hanging106">
    <w:name w:val="Style Heading 6 + Left:  0.5&quot; Hanging:  1.06&quot;"/>
    <w:basedOn w:val="Heading6"/>
    <w:rsid w:val="00AA78C6"/>
    <w:pPr>
      <w:numPr>
        <w:numId w:val="6"/>
      </w:numPr>
      <w:tabs>
        <w:tab w:val="left" w:pos="2250"/>
      </w:tabs>
    </w:pPr>
    <w:rPr>
      <w:bCs w:val="0"/>
      <w:szCs w:val="20"/>
    </w:rPr>
  </w:style>
  <w:style w:type="character" w:customStyle="1" w:styleId="HeaderChar">
    <w:name w:val="Header Char"/>
    <w:link w:val="Header"/>
    <w:uiPriority w:val="99"/>
    <w:rsid w:val="00140A7E"/>
    <w:rPr>
      <w:rFonts w:ascii="Palatino" w:hAnsi="Palatino"/>
      <w:sz w:val="26"/>
    </w:rPr>
  </w:style>
  <w:style w:type="paragraph" w:styleId="BalloonText">
    <w:name w:val="Balloon Text"/>
    <w:basedOn w:val="Normal"/>
    <w:link w:val="BalloonTextChar"/>
    <w:uiPriority w:val="99"/>
    <w:rsid w:val="002C5D64"/>
    <w:rPr>
      <w:rFonts w:ascii="Tahoma" w:hAnsi="Tahoma" w:cs="Tahoma"/>
      <w:sz w:val="16"/>
      <w:szCs w:val="16"/>
    </w:rPr>
  </w:style>
  <w:style w:type="character" w:customStyle="1" w:styleId="BalloonTextChar">
    <w:name w:val="Balloon Text Char"/>
    <w:link w:val="BalloonText"/>
    <w:uiPriority w:val="99"/>
    <w:rsid w:val="002C5D64"/>
    <w:rPr>
      <w:rFonts w:ascii="Tahoma" w:hAnsi="Tahoma" w:cs="Tahoma"/>
      <w:sz w:val="16"/>
      <w:szCs w:val="16"/>
    </w:rPr>
  </w:style>
  <w:style w:type="character" w:customStyle="1" w:styleId="FootnoteTextChar">
    <w:name w:val="Footnote Text Char"/>
    <w:link w:val="FootnoteText"/>
    <w:uiPriority w:val="99"/>
    <w:rsid w:val="00CF6417"/>
    <w:rPr>
      <w:rFonts w:ascii="Palatino" w:hAnsi="Palatino"/>
      <w:sz w:val="24"/>
    </w:rPr>
  </w:style>
  <w:style w:type="paragraph" w:styleId="Caption">
    <w:name w:val="caption"/>
    <w:basedOn w:val="Normal"/>
    <w:next w:val="Normal"/>
    <w:unhideWhenUsed/>
    <w:qFormat/>
    <w:rsid w:val="00E1078F"/>
    <w:pPr>
      <w:spacing w:after="200"/>
    </w:pPr>
    <w:rPr>
      <w:b/>
      <w:bCs/>
      <w:color w:val="4F81BD" w:themeColor="accent1"/>
      <w:sz w:val="18"/>
      <w:szCs w:val="18"/>
    </w:rPr>
  </w:style>
  <w:style w:type="paragraph" w:styleId="ListParagraph">
    <w:name w:val="List Paragraph"/>
    <w:basedOn w:val="Normal"/>
    <w:link w:val="ListParagraphChar"/>
    <w:uiPriority w:val="34"/>
    <w:qFormat/>
    <w:rsid w:val="00202FF1"/>
    <w:pPr>
      <w:ind w:left="720"/>
    </w:pPr>
    <w:rPr>
      <w:rFonts w:ascii="Calibri" w:eastAsia="Calibri" w:hAnsi="Calibri"/>
      <w:sz w:val="24"/>
      <w:szCs w:val="22"/>
    </w:rPr>
  </w:style>
  <w:style w:type="character" w:customStyle="1" w:styleId="Heading3Char">
    <w:name w:val="Heading 3 Char"/>
    <w:basedOn w:val="DefaultParagraphFont"/>
    <w:link w:val="Heading3"/>
    <w:uiPriority w:val="9"/>
    <w:rsid w:val="001A7699"/>
    <w:rPr>
      <w:rFonts w:ascii="Helvetica" w:hAnsi="Helvetica"/>
      <w:b/>
      <w:sz w:val="26"/>
    </w:rPr>
  </w:style>
  <w:style w:type="table" w:styleId="TableGrid">
    <w:name w:val="Table Grid"/>
    <w:basedOn w:val="TableNormal"/>
    <w:rsid w:val="00E12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51DAE"/>
    <w:pPr>
      <w:spacing w:after="240"/>
      <w:ind w:left="864" w:right="1080"/>
    </w:pPr>
  </w:style>
  <w:style w:type="character" w:customStyle="1" w:styleId="QuoteChar">
    <w:name w:val="Quote Char"/>
    <w:basedOn w:val="DefaultParagraphFont"/>
    <w:link w:val="Quote"/>
    <w:uiPriority w:val="29"/>
    <w:rsid w:val="00451DAE"/>
    <w:rPr>
      <w:rFonts w:ascii="Palatino" w:hAnsi="Palatino"/>
      <w:sz w:val="26"/>
    </w:rPr>
  </w:style>
  <w:style w:type="table" w:customStyle="1" w:styleId="TableGrid1">
    <w:name w:val="Table Grid1"/>
    <w:basedOn w:val="TableNormal"/>
    <w:next w:val="TableGrid"/>
    <w:uiPriority w:val="59"/>
    <w:rsid w:val="00D656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6564C"/>
    <w:pPr>
      <w:keepLines/>
      <w:numPr>
        <w:numId w:val="0"/>
      </w:numPr>
      <w:spacing w:before="240" w:after="0"/>
      <w:ind w:right="0"/>
      <w:outlineLvl w:val="9"/>
    </w:pPr>
    <w:rPr>
      <w:rFonts w:asciiTheme="majorHAnsi" w:eastAsiaTheme="majorEastAsia" w:hAnsiTheme="majorHAnsi" w:cstheme="majorBidi"/>
      <w:b w:val="0"/>
      <w:color w:val="365F91" w:themeColor="accent1" w:themeShade="BF"/>
      <w:kern w:val="0"/>
      <w:sz w:val="32"/>
      <w:szCs w:val="32"/>
    </w:rPr>
  </w:style>
  <w:style w:type="table" w:customStyle="1" w:styleId="TableGrid2">
    <w:name w:val="Table Grid2"/>
    <w:basedOn w:val="TableNormal"/>
    <w:next w:val="TableGrid"/>
    <w:uiPriority w:val="59"/>
    <w:rsid w:val="002E03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7F1A"/>
    <w:rPr>
      <w:sz w:val="16"/>
      <w:szCs w:val="16"/>
    </w:rPr>
  </w:style>
  <w:style w:type="paragraph" w:styleId="CommentText">
    <w:name w:val="annotation text"/>
    <w:basedOn w:val="Normal"/>
    <w:link w:val="CommentTextChar"/>
    <w:uiPriority w:val="99"/>
    <w:unhideWhenUsed/>
    <w:rsid w:val="001A7F1A"/>
    <w:rPr>
      <w:sz w:val="20"/>
    </w:rPr>
  </w:style>
  <w:style w:type="character" w:customStyle="1" w:styleId="CommentTextChar">
    <w:name w:val="Comment Text Char"/>
    <w:basedOn w:val="DefaultParagraphFont"/>
    <w:link w:val="CommentText"/>
    <w:uiPriority w:val="99"/>
    <w:rsid w:val="001A7F1A"/>
    <w:rPr>
      <w:rFonts w:ascii="Palatino" w:hAnsi="Palatino"/>
    </w:rPr>
  </w:style>
  <w:style w:type="paragraph" w:styleId="CommentSubject">
    <w:name w:val="annotation subject"/>
    <w:basedOn w:val="CommentText"/>
    <w:next w:val="CommentText"/>
    <w:link w:val="CommentSubjectChar"/>
    <w:uiPriority w:val="99"/>
    <w:semiHidden/>
    <w:unhideWhenUsed/>
    <w:rsid w:val="001A7F1A"/>
    <w:rPr>
      <w:b/>
      <w:bCs/>
    </w:rPr>
  </w:style>
  <w:style w:type="character" w:customStyle="1" w:styleId="CommentSubjectChar">
    <w:name w:val="Comment Subject Char"/>
    <w:basedOn w:val="CommentTextChar"/>
    <w:link w:val="CommentSubject"/>
    <w:uiPriority w:val="99"/>
    <w:semiHidden/>
    <w:rsid w:val="001A7F1A"/>
    <w:rPr>
      <w:rFonts w:ascii="Palatino" w:hAnsi="Palatino"/>
      <w:b/>
      <w:bCs/>
    </w:rPr>
  </w:style>
  <w:style w:type="character" w:customStyle="1" w:styleId="UnresolvedMention1">
    <w:name w:val="Unresolved Mention1"/>
    <w:basedOn w:val="DefaultParagraphFont"/>
    <w:uiPriority w:val="99"/>
    <w:semiHidden/>
    <w:unhideWhenUsed/>
    <w:rsid w:val="00484AF1"/>
    <w:rPr>
      <w:color w:val="605E5C"/>
      <w:shd w:val="clear" w:color="auto" w:fill="E1DFDD"/>
    </w:rPr>
  </w:style>
  <w:style w:type="numbering" w:customStyle="1" w:styleId="NoList1">
    <w:name w:val="No List1"/>
    <w:next w:val="NoList"/>
    <w:uiPriority w:val="99"/>
    <w:semiHidden/>
    <w:unhideWhenUsed/>
    <w:rsid w:val="00BD702C"/>
  </w:style>
  <w:style w:type="character" w:customStyle="1" w:styleId="Heading1Char">
    <w:name w:val="Heading 1 Char"/>
    <w:basedOn w:val="DefaultParagraphFont"/>
    <w:link w:val="Heading1"/>
    <w:uiPriority w:val="9"/>
    <w:rsid w:val="00BD702C"/>
    <w:rPr>
      <w:rFonts w:ascii="Helvetica" w:hAnsi="Helvetica"/>
      <w:b/>
      <w:kern w:val="28"/>
      <w:sz w:val="26"/>
    </w:rPr>
  </w:style>
  <w:style w:type="character" w:customStyle="1" w:styleId="Heading2Char">
    <w:name w:val="Heading 2 Char"/>
    <w:basedOn w:val="DefaultParagraphFont"/>
    <w:link w:val="Heading2"/>
    <w:uiPriority w:val="9"/>
    <w:rsid w:val="004C75AB"/>
    <w:rPr>
      <w:rFonts w:ascii="Helvetica" w:hAnsi="Helvetica"/>
      <w:b/>
      <w:iCs/>
      <w:sz w:val="26"/>
    </w:rPr>
  </w:style>
  <w:style w:type="character" w:customStyle="1" w:styleId="Heading4Char">
    <w:name w:val="Heading 4 Char"/>
    <w:basedOn w:val="DefaultParagraphFont"/>
    <w:link w:val="Heading4"/>
    <w:uiPriority w:val="9"/>
    <w:rsid w:val="00C8182B"/>
    <w:rPr>
      <w:rFonts w:ascii="Helvetica" w:hAnsi="Helvetica"/>
      <w:b/>
      <w:iCs/>
      <w:sz w:val="26"/>
    </w:rPr>
  </w:style>
  <w:style w:type="table" w:customStyle="1" w:styleId="TableGrid3">
    <w:name w:val="Table Grid3"/>
    <w:basedOn w:val="TableNormal"/>
    <w:next w:val="TableGrid"/>
    <w:uiPriority w:val="59"/>
    <w:rsid w:val="00BD70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702C"/>
    <w:pPr>
      <w:autoSpaceDE w:val="0"/>
      <w:autoSpaceDN w:val="0"/>
      <w:adjustRightInd w:val="0"/>
    </w:pPr>
    <w:rPr>
      <w:rFonts w:ascii="Calibri" w:eastAsiaTheme="minorHAnsi" w:hAnsi="Calibri" w:cs="Calibri"/>
      <w:color w:val="000000"/>
      <w:sz w:val="24"/>
      <w:szCs w:val="24"/>
    </w:rPr>
  </w:style>
  <w:style w:type="paragraph" w:styleId="NoSpacing">
    <w:name w:val="No Spacing"/>
    <w:uiPriority w:val="1"/>
    <w:qFormat/>
    <w:rsid w:val="00BD702C"/>
    <w:rPr>
      <w:rFonts w:asciiTheme="minorHAnsi" w:eastAsiaTheme="minorHAnsi" w:hAnsiTheme="minorHAnsi" w:cstheme="minorBidi"/>
      <w:sz w:val="22"/>
      <w:szCs w:val="22"/>
    </w:rPr>
  </w:style>
  <w:style w:type="paragraph" w:styleId="NormalWeb">
    <w:name w:val="Normal (Web)"/>
    <w:basedOn w:val="Normal"/>
    <w:uiPriority w:val="99"/>
    <w:unhideWhenUsed/>
    <w:rsid w:val="00BD702C"/>
    <w:pPr>
      <w:spacing w:before="100" w:beforeAutospacing="1" w:after="100" w:afterAutospacing="1"/>
    </w:pPr>
    <w:rPr>
      <w:rFonts w:ascii="Calibri" w:eastAsiaTheme="minorHAnsi" w:hAnsi="Calibri" w:cs="Calibri"/>
      <w:sz w:val="22"/>
      <w:szCs w:val="22"/>
    </w:rPr>
  </w:style>
  <w:style w:type="character" w:customStyle="1" w:styleId="ListParagraphChar">
    <w:name w:val="List Paragraph Char"/>
    <w:basedOn w:val="DefaultParagraphFont"/>
    <w:link w:val="ListParagraph"/>
    <w:uiPriority w:val="34"/>
    <w:rsid w:val="00BD702C"/>
    <w:rPr>
      <w:rFonts w:ascii="Calibri" w:eastAsia="Calibri" w:hAnsi="Calibri"/>
      <w:sz w:val="24"/>
      <w:szCs w:val="22"/>
    </w:rPr>
  </w:style>
  <w:style w:type="character" w:customStyle="1" w:styleId="UnresolvedMention10">
    <w:name w:val="Unresolved Mention1"/>
    <w:basedOn w:val="DefaultParagraphFont"/>
    <w:uiPriority w:val="99"/>
    <w:semiHidden/>
    <w:unhideWhenUsed/>
    <w:rsid w:val="00BD702C"/>
    <w:rPr>
      <w:color w:val="605E5C"/>
      <w:shd w:val="clear" w:color="auto" w:fill="E1DFDD"/>
    </w:rPr>
  </w:style>
  <w:style w:type="paragraph" w:styleId="Title">
    <w:name w:val="Title"/>
    <w:basedOn w:val="Normal"/>
    <w:next w:val="Normal"/>
    <w:link w:val="TitleChar"/>
    <w:uiPriority w:val="10"/>
    <w:qFormat/>
    <w:rsid w:val="00BD70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702C"/>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BD702C"/>
    <w:rPr>
      <w:rFonts w:ascii="Arial" w:hAnsi="Arial"/>
      <w:sz w:val="26"/>
    </w:rPr>
  </w:style>
  <w:style w:type="table" w:customStyle="1" w:styleId="TableGrid4">
    <w:name w:val="Table Grid4"/>
    <w:basedOn w:val="TableNormal"/>
    <w:next w:val="TableGrid"/>
    <w:uiPriority w:val="59"/>
    <w:rsid w:val="006F44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865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uiPriority w:val="9"/>
    <w:qFormat/>
    <w:rsid w:val="00AA78C6"/>
    <w:pPr>
      <w:keepNext/>
      <w:numPr>
        <w:numId w:val="4"/>
      </w:numPr>
      <w:tabs>
        <w:tab w:val="clear" w:pos="720"/>
      </w:tabs>
      <w:spacing w:before="120" w:after="120"/>
      <w:ind w:right="2160"/>
      <w:outlineLvl w:val="0"/>
    </w:pPr>
    <w:rPr>
      <w:rFonts w:ascii="Helvetica" w:hAnsi="Helvetica"/>
      <w:b/>
      <w:kern w:val="28"/>
    </w:rPr>
  </w:style>
  <w:style w:type="paragraph" w:styleId="Heading2">
    <w:name w:val="heading 2"/>
    <w:basedOn w:val="Normal"/>
    <w:next w:val="sub1"/>
    <w:link w:val="Heading2Char"/>
    <w:uiPriority w:val="9"/>
    <w:qFormat/>
    <w:rsid w:val="004C75AB"/>
    <w:pPr>
      <w:keepNext/>
      <w:numPr>
        <w:ilvl w:val="1"/>
        <w:numId w:val="4"/>
      </w:numPr>
      <w:tabs>
        <w:tab w:val="clear" w:pos="1710"/>
        <w:tab w:val="num" w:pos="1620"/>
      </w:tabs>
      <w:spacing w:before="120" w:after="120"/>
      <w:ind w:left="1620" w:right="2160" w:hanging="900"/>
      <w:outlineLvl w:val="1"/>
    </w:pPr>
    <w:rPr>
      <w:rFonts w:ascii="Helvetica" w:hAnsi="Helvetica"/>
      <w:b/>
      <w:iCs/>
    </w:rPr>
  </w:style>
  <w:style w:type="paragraph" w:styleId="Heading3">
    <w:name w:val="heading 3"/>
    <w:basedOn w:val="Normal"/>
    <w:next w:val="sub2"/>
    <w:link w:val="Heading3Char"/>
    <w:uiPriority w:val="9"/>
    <w:qFormat/>
    <w:rsid w:val="001A7699"/>
    <w:pPr>
      <w:keepNext/>
      <w:numPr>
        <w:ilvl w:val="2"/>
        <w:numId w:val="4"/>
      </w:numPr>
      <w:tabs>
        <w:tab w:val="clear" w:pos="2160"/>
        <w:tab w:val="left" w:pos="1800"/>
      </w:tabs>
      <w:spacing w:before="120" w:after="120"/>
      <w:ind w:left="1800" w:right="2160" w:hanging="1080"/>
      <w:outlineLvl w:val="2"/>
    </w:pPr>
    <w:rPr>
      <w:rFonts w:ascii="Helvetica" w:hAnsi="Helvetica"/>
      <w:b/>
    </w:rPr>
  </w:style>
  <w:style w:type="paragraph" w:styleId="Heading4">
    <w:name w:val="heading 4"/>
    <w:basedOn w:val="Normal"/>
    <w:next w:val="sub3"/>
    <w:link w:val="Heading4Char"/>
    <w:uiPriority w:val="9"/>
    <w:qFormat/>
    <w:rsid w:val="00C8182B"/>
    <w:pPr>
      <w:keepNext/>
      <w:numPr>
        <w:ilvl w:val="3"/>
        <w:numId w:val="4"/>
      </w:numPr>
      <w:tabs>
        <w:tab w:val="clear" w:pos="0"/>
        <w:tab w:val="left" w:pos="1980"/>
      </w:tabs>
      <w:spacing w:before="120" w:after="120"/>
      <w:ind w:left="1980" w:right="2160" w:hanging="1260"/>
      <w:outlineLvl w:val="3"/>
    </w:pPr>
    <w:rPr>
      <w:rFonts w:ascii="Helvetica" w:hAnsi="Helvetica"/>
      <w:b/>
      <w:iCs/>
    </w:rPr>
  </w:style>
  <w:style w:type="paragraph" w:styleId="Heading5">
    <w:name w:val="heading 5"/>
    <w:basedOn w:val="Normal"/>
    <w:next w:val="sub4"/>
    <w:qFormat/>
    <w:pPr>
      <w:numPr>
        <w:ilvl w:val="4"/>
        <w:numId w:val="4"/>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4"/>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4"/>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4"/>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link w:val="FootnoteTextChar"/>
    <w:uiPriority w:val="99"/>
    <w:pPr>
      <w:spacing w:after="120"/>
    </w:pPr>
    <w:rPr>
      <w:sz w:val="24"/>
    </w:rPr>
  </w:style>
  <w:style w:type="character" w:styleId="FootnoteReference">
    <w:name w:val="footnote reference"/>
    <w:uiPriority w:val="99"/>
    <w:semiHidden/>
    <w:rPr>
      <w:sz w:val="24"/>
      <w:vertAlign w:val="superscript"/>
    </w:rPr>
  </w:style>
  <w:style w:type="paragraph" w:styleId="Subtitle">
    <w:name w:val="Subtitle"/>
    <w:basedOn w:val="Normal"/>
    <w:link w:val="SubtitleChar"/>
    <w:uiPriority w:val="11"/>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uiPriority w:val="99"/>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8F7217"/>
    <w:pPr>
      <w:tabs>
        <w:tab w:val="right" w:leader="dot" w:pos="9350"/>
      </w:tabs>
      <w:ind w:left="540" w:hanging="540"/>
    </w:pPr>
    <w:rPr>
      <w:noProof/>
      <w:szCs w:val="26"/>
    </w:rPr>
  </w:style>
  <w:style w:type="paragraph" w:styleId="TOC2">
    <w:name w:val="toc 2"/>
    <w:basedOn w:val="Normal"/>
    <w:next w:val="Normal"/>
    <w:autoRedefine/>
    <w:uiPriority w:val="39"/>
    <w:rsid w:val="000639A2"/>
    <w:pPr>
      <w:tabs>
        <w:tab w:val="left" w:pos="540"/>
        <w:tab w:val="left" w:pos="1170"/>
        <w:tab w:val="right" w:leader="dot" w:pos="9350"/>
      </w:tabs>
      <w:ind w:left="1170" w:hanging="720"/>
    </w:pPr>
    <w:rPr>
      <w:noProof/>
      <w:szCs w:val="26"/>
    </w:rPr>
  </w:style>
  <w:style w:type="paragraph" w:styleId="TOC3">
    <w:name w:val="toc 3"/>
    <w:basedOn w:val="Normal"/>
    <w:next w:val="Normal"/>
    <w:autoRedefine/>
    <w:uiPriority w:val="39"/>
    <w:rsid w:val="00E23F96"/>
    <w:pPr>
      <w:tabs>
        <w:tab w:val="left" w:pos="1980"/>
        <w:tab w:val="right" w:leader="dot" w:pos="9350"/>
      </w:tabs>
      <w:ind w:left="1980" w:hanging="810"/>
    </w:pPr>
    <w:rPr>
      <w:noProof/>
      <w:szCs w:val="24"/>
    </w:rPr>
  </w:style>
  <w:style w:type="paragraph" w:styleId="TOC5">
    <w:name w:val="toc 5"/>
    <w:basedOn w:val="Normal"/>
    <w:next w:val="Normal"/>
    <w:autoRedefine/>
    <w:uiPriority w:val="39"/>
    <w:pPr>
      <w:tabs>
        <w:tab w:val="left" w:pos="3060"/>
        <w:tab w:val="right" w:leader="dot" w:pos="9270"/>
      </w:tabs>
      <w:ind w:left="3060" w:hanging="990"/>
    </w:pPr>
    <w:rPr>
      <w:noProof/>
      <w:szCs w:val="24"/>
    </w:rPr>
  </w:style>
  <w:style w:type="paragraph" w:styleId="TOC6">
    <w:name w:val="toc 6"/>
    <w:basedOn w:val="Normal"/>
    <w:next w:val="Normal"/>
    <w:autoRedefine/>
    <w:uiPriority w:val="39"/>
    <w:pPr>
      <w:tabs>
        <w:tab w:val="left" w:pos="3690"/>
        <w:tab w:val="right" w:leader="dot" w:pos="9350"/>
      </w:tabs>
      <w:ind w:left="3690" w:hanging="1170"/>
    </w:pPr>
    <w:rPr>
      <w:noProof/>
      <w:szCs w:val="26"/>
    </w:rPr>
  </w:style>
  <w:style w:type="paragraph" w:styleId="TOC7">
    <w:name w:val="toc 7"/>
    <w:basedOn w:val="Normal"/>
    <w:next w:val="Normal"/>
    <w:autoRedefine/>
    <w:uiPriority w:val="39"/>
    <w:pPr>
      <w:ind w:left="1560"/>
    </w:pPr>
  </w:style>
  <w:style w:type="paragraph" w:styleId="TOC8">
    <w:name w:val="toc 8"/>
    <w:basedOn w:val="Normal"/>
    <w:next w:val="Normal"/>
    <w:autoRedefine/>
    <w:uiPriority w:val="39"/>
    <w:pPr>
      <w:ind w:left="1820"/>
    </w:pPr>
  </w:style>
  <w:style w:type="paragraph" w:styleId="TOC9">
    <w:name w:val="toc 9"/>
    <w:basedOn w:val="Normal"/>
    <w:next w:val="Normal"/>
    <w:autoRedefine/>
    <w:uiPriority w:val="39"/>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3"/>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5"/>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erChar">
    <w:name w:val="Footer Char"/>
    <w:link w:val="Footer"/>
    <w:uiPriority w:val="99"/>
    <w:rsid w:val="007011D9"/>
    <w:rPr>
      <w:rFonts w:ascii="Palatino" w:hAnsi="Palatino"/>
      <w:sz w:val="26"/>
    </w:rPr>
  </w:style>
  <w:style w:type="paragraph" w:customStyle="1" w:styleId="StyleHeading6Left05Hanging106">
    <w:name w:val="Style Heading 6 + Left:  0.5&quot; Hanging:  1.06&quot;"/>
    <w:basedOn w:val="Heading6"/>
    <w:rsid w:val="00AA78C6"/>
    <w:pPr>
      <w:numPr>
        <w:numId w:val="6"/>
      </w:numPr>
      <w:tabs>
        <w:tab w:val="left" w:pos="2250"/>
      </w:tabs>
    </w:pPr>
    <w:rPr>
      <w:bCs w:val="0"/>
      <w:szCs w:val="20"/>
    </w:rPr>
  </w:style>
  <w:style w:type="character" w:customStyle="1" w:styleId="HeaderChar">
    <w:name w:val="Header Char"/>
    <w:link w:val="Header"/>
    <w:uiPriority w:val="99"/>
    <w:rsid w:val="00140A7E"/>
    <w:rPr>
      <w:rFonts w:ascii="Palatino" w:hAnsi="Palatino"/>
      <w:sz w:val="26"/>
    </w:rPr>
  </w:style>
  <w:style w:type="paragraph" w:styleId="BalloonText">
    <w:name w:val="Balloon Text"/>
    <w:basedOn w:val="Normal"/>
    <w:link w:val="BalloonTextChar"/>
    <w:uiPriority w:val="99"/>
    <w:rsid w:val="002C5D64"/>
    <w:rPr>
      <w:rFonts w:ascii="Tahoma" w:hAnsi="Tahoma" w:cs="Tahoma"/>
      <w:sz w:val="16"/>
      <w:szCs w:val="16"/>
    </w:rPr>
  </w:style>
  <w:style w:type="character" w:customStyle="1" w:styleId="BalloonTextChar">
    <w:name w:val="Balloon Text Char"/>
    <w:link w:val="BalloonText"/>
    <w:uiPriority w:val="99"/>
    <w:rsid w:val="002C5D64"/>
    <w:rPr>
      <w:rFonts w:ascii="Tahoma" w:hAnsi="Tahoma" w:cs="Tahoma"/>
      <w:sz w:val="16"/>
      <w:szCs w:val="16"/>
    </w:rPr>
  </w:style>
  <w:style w:type="character" w:customStyle="1" w:styleId="FootnoteTextChar">
    <w:name w:val="Footnote Text Char"/>
    <w:link w:val="FootnoteText"/>
    <w:uiPriority w:val="99"/>
    <w:rsid w:val="00CF6417"/>
    <w:rPr>
      <w:rFonts w:ascii="Palatino" w:hAnsi="Palatino"/>
      <w:sz w:val="24"/>
    </w:rPr>
  </w:style>
  <w:style w:type="paragraph" w:styleId="Caption">
    <w:name w:val="caption"/>
    <w:basedOn w:val="Normal"/>
    <w:next w:val="Normal"/>
    <w:unhideWhenUsed/>
    <w:qFormat/>
    <w:rsid w:val="00E1078F"/>
    <w:pPr>
      <w:spacing w:after="200"/>
    </w:pPr>
    <w:rPr>
      <w:b/>
      <w:bCs/>
      <w:color w:val="4F81BD" w:themeColor="accent1"/>
      <w:sz w:val="18"/>
      <w:szCs w:val="18"/>
    </w:rPr>
  </w:style>
  <w:style w:type="paragraph" w:styleId="ListParagraph">
    <w:name w:val="List Paragraph"/>
    <w:basedOn w:val="Normal"/>
    <w:link w:val="ListParagraphChar"/>
    <w:uiPriority w:val="34"/>
    <w:qFormat/>
    <w:rsid w:val="00202FF1"/>
    <w:pPr>
      <w:ind w:left="720"/>
    </w:pPr>
    <w:rPr>
      <w:rFonts w:ascii="Calibri" w:eastAsia="Calibri" w:hAnsi="Calibri"/>
      <w:sz w:val="24"/>
      <w:szCs w:val="22"/>
    </w:rPr>
  </w:style>
  <w:style w:type="character" w:customStyle="1" w:styleId="Heading3Char">
    <w:name w:val="Heading 3 Char"/>
    <w:basedOn w:val="DefaultParagraphFont"/>
    <w:link w:val="Heading3"/>
    <w:uiPriority w:val="9"/>
    <w:rsid w:val="001A7699"/>
    <w:rPr>
      <w:rFonts w:ascii="Helvetica" w:hAnsi="Helvetica"/>
      <w:b/>
      <w:sz w:val="26"/>
    </w:rPr>
  </w:style>
  <w:style w:type="table" w:styleId="TableGrid">
    <w:name w:val="Table Grid"/>
    <w:basedOn w:val="TableNormal"/>
    <w:rsid w:val="00E12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51DAE"/>
    <w:pPr>
      <w:spacing w:after="240"/>
      <w:ind w:left="864" w:right="1080"/>
    </w:pPr>
  </w:style>
  <w:style w:type="character" w:customStyle="1" w:styleId="QuoteChar">
    <w:name w:val="Quote Char"/>
    <w:basedOn w:val="DefaultParagraphFont"/>
    <w:link w:val="Quote"/>
    <w:uiPriority w:val="29"/>
    <w:rsid w:val="00451DAE"/>
    <w:rPr>
      <w:rFonts w:ascii="Palatino" w:hAnsi="Palatino"/>
      <w:sz w:val="26"/>
    </w:rPr>
  </w:style>
  <w:style w:type="table" w:customStyle="1" w:styleId="TableGrid1">
    <w:name w:val="Table Grid1"/>
    <w:basedOn w:val="TableNormal"/>
    <w:next w:val="TableGrid"/>
    <w:uiPriority w:val="59"/>
    <w:rsid w:val="00D656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6564C"/>
    <w:pPr>
      <w:keepLines/>
      <w:numPr>
        <w:numId w:val="0"/>
      </w:numPr>
      <w:spacing w:before="240" w:after="0"/>
      <w:ind w:right="0"/>
      <w:outlineLvl w:val="9"/>
    </w:pPr>
    <w:rPr>
      <w:rFonts w:asciiTheme="majorHAnsi" w:eastAsiaTheme="majorEastAsia" w:hAnsiTheme="majorHAnsi" w:cstheme="majorBidi"/>
      <w:b w:val="0"/>
      <w:color w:val="365F91" w:themeColor="accent1" w:themeShade="BF"/>
      <w:kern w:val="0"/>
      <w:sz w:val="32"/>
      <w:szCs w:val="32"/>
    </w:rPr>
  </w:style>
  <w:style w:type="table" w:customStyle="1" w:styleId="TableGrid2">
    <w:name w:val="Table Grid2"/>
    <w:basedOn w:val="TableNormal"/>
    <w:next w:val="TableGrid"/>
    <w:uiPriority w:val="59"/>
    <w:rsid w:val="002E03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7F1A"/>
    <w:rPr>
      <w:sz w:val="16"/>
      <w:szCs w:val="16"/>
    </w:rPr>
  </w:style>
  <w:style w:type="paragraph" w:styleId="CommentText">
    <w:name w:val="annotation text"/>
    <w:basedOn w:val="Normal"/>
    <w:link w:val="CommentTextChar"/>
    <w:uiPriority w:val="99"/>
    <w:unhideWhenUsed/>
    <w:rsid w:val="001A7F1A"/>
    <w:rPr>
      <w:sz w:val="20"/>
    </w:rPr>
  </w:style>
  <w:style w:type="character" w:customStyle="1" w:styleId="CommentTextChar">
    <w:name w:val="Comment Text Char"/>
    <w:basedOn w:val="DefaultParagraphFont"/>
    <w:link w:val="CommentText"/>
    <w:uiPriority w:val="99"/>
    <w:rsid w:val="001A7F1A"/>
    <w:rPr>
      <w:rFonts w:ascii="Palatino" w:hAnsi="Palatino"/>
    </w:rPr>
  </w:style>
  <w:style w:type="paragraph" w:styleId="CommentSubject">
    <w:name w:val="annotation subject"/>
    <w:basedOn w:val="CommentText"/>
    <w:next w:val="CommentText"/>
    <w:link w:val="CommentSubjectChar"/>
    <w:uiPriority w:val="99"/>
    <w:semiHidden/>
    <w:unhideWhenUsed/>
    <w:rsid w:val="001A7F1A"/>
    <w:rPr>
      <w:b/>
      <w:bCs/>
    </w:rPr>
  </w:style>
  <w:style w:type="character" w:customStyle="1" w:styleId="CommentSubjectChar">
    <w:name w:val="Comment Subject Char"/>
    <w:basedOn w:val="CommentTextChar"/>
    <w:link w:val="CommentSubject"/>
    <w:uiPriority w:val="99"/>
    <w:semiHidden/>
    <w:rsid w:val="001A7F1A"/>
    <w:rPr>
      <w:rFonts w:ascii="Palatino" w:hAnsi="Palatino"/>
      <w:b/>
      <w:bCs/>
    </w:rPr>
  </w:style>
  <w:style w:type="character" w:customStyle="1" w:styleId="UnresolvedMention1">
    <w:name w:val="Unresolved Mention1"/>
    <w:basedOn w:val="DefaultParagraphFont"/>
    <w:uiPriority w:val="99"/>
    <w:semiHidden/>
    <w:unhideWhenUsed/>
    <w:rsid w:val="00484AF1"/>
    <w:rPr>
      <w:color w:val="605E5C"/>
      <w:shd w:val="clear" w:color="auto" w:fill="E1DFDD"/>
    </w:rPr>
  </w:style>
  <w:style w:type="numbering" w:customStyle="1" w:styleId="NoList1">
    <w:name w:val="No List1"/>
    <w:next w:val="NoList"/>
    <w:uiPriority w:val="99"/>
    <w:semiHidden/>
    <w:unhideWhenUsed/>
    <w:rsid w:val="00BD702C"/>
  </w:style>
  <w:style w:type="character" w:customStyle="1" w:styleId="Heading1Char">
    <w:name w:val="Heading 1 Char"/>
    <w:basedOn w:val="DefaultParagraphFont"/>
    <w:link w:val="Heading1"/>
    <w:uiPriority w:val="9"/>
    <w:rsid w:val="00BD702C"/>
    <w:rPr>
      <w:rFonts w:ascii="Helvetica" w:hAnsi="Helvetica"/>
      <w:b/>
      <w:kern w:val="28"/>
      <w:sz w:val="26"/>
    </w:rPr>
  </w:style>
  <w:style w:type="character" w:customStyle="1" w:styleId="Heading2Char">
    <w:name w:val="Heading 2 Char"/>
    <w:basedOn w:val="DefaultParagraphFont"/>
    <w:link w:val="Heading2"/>
    <w:uiPriority w:val="9"/>
    <w:rsid w:val="004C75AB"/>
    <w:rPr>
      <w:rFonts w:ascii="Helvetica" w:hAnsi="Helvetica"/>
      <w:b/>
      <w:iCs/>
      <w:sz w:val="26"/>
    </w:rPr>
  </w:style>
  <w:style w:type="character" w:customStyle="1" w:styleId="Heading4Char">
    <w:name w:val="Heading 4 Char"/>
    <w:basedOn w:val="DefaultParagraphFont"/>
    <w:link w:val="Heading4"/>
    <w:uiPriority w:val="9"/>
    <w:rsid w:val="00C8182B"/>
    <w:rPr>
      <w:rFonts w:ascii="Helvetica" w:hAnsi="Helvetica"/>
      <w:b/>
      <w:iCs/>
      <w:sz w:val="26"/>
    </w:rPr>
  </w:style>
  <w:style w:type="table" w:customStyle="1" w:styleId="TableGrid3">
    <w:name w:val="Table Grid3"/>
    <w:basedOn w:val="TableNormal"/>
    <w:next w:val="TableGrid"/>
    <w:uiPriority w:val="59"/>
    <w:rsid w:val="00BD70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702C"/>
    <w:pPr>
      <w:autoSpaceDE w:val="0"/>
      <w:autoSpaceDN w:val="0"/>
      <w:adjustRightInd w:val="0"/>
    </w:pPr>
    <w:rPr>
      <w:rFonts w:ascii="Calibri" w:eastAsiaTheme="minorHAnsi" w:hAnsi="Calibri" w:cs="Calibri"/>
      <w:color w:val="000000"/>
      <w:sz w:val="24"/>
      <w:szCs w:val="24"/>
    </w:rPr>
  </w:style>
  <w:style w:type="paragraph" w:styleId="NoSpacing">
    <w:name w:val="No Spacing"/>
    <w:uiPriority w:val="1"/>
    <w:qFormat/>
    <w:rsid w:val="00BD702C"/>
    <w:rPr>
      <w:rFonts w:asciiTheme="minorHAnsi" w:eastAsiaTheme="minorHAnsi" w:hAnsiTheme="minorHAnsi" w:cstheme="minorBidi"/>
      <w:sz w:val="22"/>
      <w:szCs w:val="22"/>
    </w:rPr>
  </w:style>
  <w:style w:type="paragraph" w:styleId="NormalWeb">
    <w:name w:val="Normal (Web)"/>
    <w:basedOn w:val="Normal"/>
    <w:uiPriority w:val="99"/>
    <w:unhideWhenUsed/>
    <w:rsid w:val="00BD702C"/>
    <w:pPr>
      <w:spacing w:before="100" w:beforeAutospacing="1" w:after="100" w:afterAutospacing="1"/>
    </w:pPr>
    <w:rPr>
      <w:rFonts w:ascii="Calibri" w:eastAsiaTheme="minorHAnsi" w:hAnsi="Calibri" w:cs="Calibri"/>
      <w:sz w:val="22"/>
      <w:szCs w:val="22"/>
    </w:rPr>
  </w:style>
  <w:style w:type="character" w:customStyle="1" w:styleId="ListParagraphChar">
    <w:name w:val="List Paragraph Char"/>
    <w:basedOn w:val="DefaultParagraphFont"/>
    <w:link w:val="ListParagraph"/>
    <w:uiPriority w:val="34"/>
    <w:rsid w:val="00BD702C"/>
    <w:rPr>
      <w:rFonts w:ascii="Calibri" w:eastAsia="Calibri" w:hAnsi="Calibri"/>
      <w:sz w:val="24"/>
      <w:szCs w:val="22"/>
    </w:rPr>
  </w:style>
  <w:style w:type="character" w:customStyle="1" w:styleId="UnresolvedMention10">
    <w:name w:val="Unresolved Mention1"/>
    <w:basedOn w:val="DefaultParagraphFont"/>
    <w:uiPriority w:val="99"/>
    <w:semiHidden/>
    <w:unhideWhenUsed/>
    <w:rsid w:val="00BD702C"/>
    <w:rPr>
      <w:color w:val="605E5C"/>
      <w:shd w:val="clear" w:color="auto" w:fill="E1DFDD"/>
    </w:rPr>
  </w:style>
  <w:style w:type="paragraph" w:styleId="Title">
    <w:name w:val="Title"/>
    <w:basedOn w:val="Normal"/>
    <w:next w:val="Normal"/>
    <w:link w:val="TitleChar"/>
    <w:uiPriority w:val="10"/>
    <w:qFormat/>
    <w:rsid w:val="00BD70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702C"/>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BD702C"/>
    <w:rPr>
      <w:rFonts w:ascii="Arial" w:hAnsi="Arial"/>
      <w:sz w:val="26"/>
    </w:rPr>
  </w:style>
  <w:style w:type="table" w:customStyle="1" w:styleId="TableGrid4">
    <w:name w:val="Table Grid4"/>
    <w:basedOn w:val="TableNormal"/>
    <w:next w:val="TableGrid"/>
    <w:uiPriority w:val="59"/>
    <w:rsid w:val="006F44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86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4408">
      <w:bodyDiv w:val="1"/>
      <w:marLeft w:val="0"/>
      <w:marRight w:val="0"/>
      <w:marTop w:val="0"/>
      <w:marBottom w:val="0"/>
      <w:divBdr>
        <w:top w:val="single" w:sz="12" w:space="0" w:color="767575"/>
        <w:left w:val="none" w:sz="0" w:space="0" w:color="auto"/>
        <w:bottom w:val="none" w:sz="0" w:space="0" w:color="auto"/>
        <w:right w:val="none" w:sz="0" w:space="0" w:color="auto"/>
      </w:divBdr>
      <w:divsChild>
        <w:div w:id="1487671274">
          <w:marLeft w:val="0"/>
          <w:marRight w:val="0"/>
          <w:marTop w:val="0"/>
          <w:marBottom w:val="0"/>
          <w:divBdr>
            <w:top w:val="none" w:sz="0" w:space="0" w:color="auto"/>
            <w:left w:val="none" w:sz="0" w:space="0" w:color="auto"/>
            <w:bottom w:val="none" w:sz="0" w:space="0" w:color="auto"/>
            <w:right w:val="none" w:sz="0" w:space="0" w:color="auto"/>
          </w:divBdr>
          <w:divsChild>
            <w:div w:id="1547373101">
              <w:marLeft w:val="0"/>
              <w:marRight w:val="0"/>
              <w:marTop w:val="0"/>
              <w:marBottom w:val="0"/>
              <w:divBdr>
                <w:top w:val="none" w:sz="0" w:space="0" w:color="auto"/>
                <w:left w:val="none" w:sz="0" w:space="0" w:color="auto"/>
                <w:bottom w:val="none" w:sz="0" w:space="0" w:color="auto"/>
                <w:right w:val="none" w:sz="0" w:space="0" w:color="auto"/>
              </w:divBdr>
              <w:divsChild>
                <w:div w:id="34787239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52477999">
                      <w:marLeft w:val="0"/>
                      <w:marRight w:val="0"/>
                      <w:marTop w:val="0"/>
                      <w:marBottom w:val="0"/>
                      <w:divBdr>
                        <w:top w:val="none" w:sz="0" w:space="0" w:color="auto"/>
                        <w:left w:val="none" w:sz="0" w:space="0" w:color="auto"/>
                        <w:bottom w:val="none" w:sz="0" w:space="0" w:color="auto"/>
                        <w:right w:val="none" w:sz="0" w:space="0" w:color="auto"/>
                      </w:divBdr>
                      <w:divsChild>
                        <w:div w:id="535047903">
                          <w:marLeft w:val="0"/>
                          <w:marRight w:val="0"/>
                          <w:marTop w:val="0"/>
                          <w:marBottom w:val="0"/>
                          <w:divBdr>
                            <w:top w:val="none" w:sz="0" w:space="0" w:color="auto"/>
                            <w:left w:val="none" w:sz="0" w:space="0" w:color="auto"/>
                            <w:bottom w:val="none" w:sz="0" w:space="0" w:color="auto"/>
                            <w:right w:val="none" w:sz="0" w:space="0" w:color="auto"/>
                          </w:divBdr>
                          <w:divsChild>
                            <w:div w:id="356974983">
                              <w:marLeft w:val="0"/>
                              <w:marRight w:val="0"/>
                              <w:marTop w:val="0"/>
                              <w:marBottom w:val="0"/>
                              <w:divBdr>
                                <w:top w:val="none" w:sz="0" w:space="0" w:color="auto"/>
                                <w:left w:val="none" w:sz="0" w:space="0" w:color="auto"/>
                                <w:bottom w:val="none" w:sz="0" w:space="0" w:color="auto"/>
                                <w:right w:val="none" w:sz="0" w:space="0" w:color="auto"/>
                              </w:divBdr>
                              <w:divsChild>
                                <w:div w:id="2057044993">
                                  <w:marLeft w:val="0"/>
                                  <w:marRight w:val="0"/>
                                  <w:marTop w:val="0"/>
                                  <w:marBottom w:val="0"/>
                                  <w:divBdr>
                                    <w:top w:val="none" w:sz="0" w:space="0" w:color="auto"/>
                                    <w:left w:val="none" w:sz="0" w:space="0" w:color="auto"/>
                                    <w:bottom w:val="none" w:sz="0" w:space="0" w:color="auto"/>
                                    <w:right w:val="none" w:sz="0" w:space="0" w:color="auto"/>
                                  </w:divBdr>
                                  <w:divsChild>
                                    <w:div w:id="948927436">
                                      <w:marLeft w:val="0"/>
                                      <w:marRight w:val="0"/>
                                      <w:marTop w:val="0"/>
                                      <w:marBottom w:val="0"/>
                                      <w:divBdr>
                                        <w:top w:val="none" w:sz="0" w:space="0" w:color="auto"/>
                                        <w:left w:val="none" w:sz="0" w:space="0" w:color="auto"/>
                                        <w:bottom w:val="none" w:sz="0" w:space="0" w:color="auto"/>
                                        <w:right w:val="none" w:sz="0" w:space="0" w:color="auto"/>
                                      </w:divBdr>
                                      <w:divsChild>
                                        <w:div w:id="1092971222">
                                          <w:marLeft w:val="0"/>
                                          <w:marRight w:val="0"/>
                                          <w:marTop w:val="0"/>
                                          <w:marBottom w:val="0"/>
                                          <w:divBdr>
                                            <w:top w:val="none" w:sz="0" w:space="0" w:color="auto"/>
                                            <w:left w:val="none" w:sz="0" w:space="0" w:color="auto"/>
                                            <w:bottom w:val="none" w:sz="0" w:space="0" w:color="auto"/>
                                            <w:right w:val="none" w:sz="0" w:space="0" w:color="auto"/>
                                          </w:divBdr>
                                          <w:divsChild>
                                            <w:div w:id="123625653">
                                              <w:marLeft w:val="0"/>
                                              <w:marRight w:val="0"/>
                                              <w:marTop w:val="0"/>
                                              <w:marBottom w:val="240"/>
                                              <w:divBdr>
                                                <w:top w:val="none" w:sz="0" w:space="0" w:color="auto"/>
                                                <w:left w:val="none" w:sz="0" w:space="0" w:color="auto"/>
                                                <w:bottom w:val="none" w:sz="0" w:space="0" w:color="auto"/>
                                                <w:right w:val="none" w:sz="0" w:space="0" w:color="auto"/>
                                              </w:divBdr>
                                            </w:div>
                                            <w:div w:id="234516836">
                                              <w:marLeft w:val="0"/>
                                              <w:marRight w:val="0"/>
                                              <w:marTop w:val="0"/>
                                              <w:marBottom w:val="240"/>
                                              <w:divBdr>
                                                <w:top w:val="none" w:sz="0" w:space="0" w:color="auto"/>
                                                <w:left w:val="none" w:sz="0" w:space="0" w:color="auto"/>
                                                <w:bottom w:val="none" w:sz="0" w:space="0" w:color="auto"/>
                                                <w:right w:val="none" w:sz="0" w:space="0" w:color="auto"/>
                                              </w:divBdr>
                                            </w:div>
                                            <w:div w:id="499004228">
                                              <w:marLeft w:val="0"/>
                                              <w:marRight w:val="0"/>
                                              <w:marTop w:val="0"/>
                                              <w:marBottom w:val="240"/>
                                              <w:divBdr>
                                                <w:top w:val="none" w:sz="0" w:space="0" w:color="auto"/>
                                                <w:left w:val="none" w:sz="0" w:space="0" w:color="auto"/>
                                                <w:bottom w:val="none" w:sz="0" w:space="0" w:color="auto"/>
                                                <w:right w:val="none" w:sz="0" w:space="0" w:color="auto"/>
                                              </w:divBdr>
                                            </w:div>
                                            <w:div w:id="516776523">
                                              <w:marLeft w:val="0"/>
                                              <w:marRight w:val="0"/>
                                              <w:marTop w:val="0"/>
                                              <w:marBottom w:val="240"/>
                                              <w:divBdr>
                                                <w:top w:val="none" w:sz="0" w:space="0" w:color="auto"/>
                                                <w:left w:val="none" w:sz="0" w:space="0" w:color="auto"/>
                                                <w:bottom w:val="none" w:sz="0" w:space="0" w:color="auto"/>
                                                <w:right w:val="none" w:sz="0" w:space="0" w:color="auto"/>
                                              </w:divBdr>
                                            </w:div>
                                            <w:div w:id="985474009">
                                              <w:marLeft w:val="0"/>
                                              <w:marRight w:val="0"/>
                                              <w:marTop w:val="0"/>
                                              <w:marBottom w:val="240"/>
                                              <w:divBdr>
                                                <w:top w:val="none" w:sz="0" w:space="0" w:color="auto"/>
                                                <w:left w:val="none" w:sz="0" w:space="0" w:color="auto"/>
                                                <w:bottom w:val="none" w:sz="0" w:space="0" w:color="auto"/>
                                                <w:right w:val="none" w:sz="0" w:space="0" w:color="auto"/>
                                              </w:divBdr>
                                            </w:div>
                                            <w:div w:id="1386880243">
                                              <w:marLeft w:val="0"/>
                                              <w:marRight w:val="0"/>
                                              <w:marTop w:val="0"/>
                                              <w:marBottom w:val="240"/>
                                              <w:divBdr>
                                                <w:top w:val="none" w:sz="0" w:space="0" w:color="auto"/>
                                                <w:left w:val="none" w:sz="0" w:space="0" w:color="auto"/>
                                                <w:bottom w:val="none" w:sz="0" w:space="0" w:color="auto"/>
                                                <w:right w:val="none" w:sz="0" w:space="0" w:color="auto"/>
                                              </w:divBdr>
                                            </w:div>
                                            <w:div w:id="1626739380">
                                              <w:marLeft w:val="0"/>
                                              <w:marRight w:val="0"/>
                                              <w:marTop w:val="0"/>
                                              <w:marBottom w:val="240"/>
                                              <w:divBdr>
                                                <w:top w:val="none" w:sz="0" w:space="0" w:color="auto"/>
                                                <w:left w:val="none" w:sz="0" w:space="0" w:color="auto"/>
                                                <w:bottom w:val="none" w:sz="0" w:space="0" w:color="auto"/>
                                                <w:right w:val="none" w:sz="0" w:space="0" w:color="auto"/>
                                              </w:divBdr>
                                            </w:div>
                                            <w:div w:id="1877961092">
                                              <w:marLeft w:val="0"/>
                                              <w:marRight w:val="0"/>
                                              <w:marTop w:val="0"/>
                                              <w:marBottom w:val="240"/>
                                              <w:divBdr>
                                                <w:top w:val="none" w:sz="0" w:space="0" w:color="auto"/>
                                                <w:left w:val="none" w:sz="0" w:space="0" w:color="auto"/>
                                                <w:bottom w:val="none" w:sz="0" w:space="0" w:color="auto"/>
                                                <w:right w:val="none" w:sz="0" w:space="0" w:color="auto"/>
                                              </w:divBdr>
                                            </w:div>
                                            <w:div w:id="21379844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99849672">
                              <w:marLeft w:val="0"/>
                              <w:marRight w:val="0"/>
                              <w:marTop w:val="0"/>
                              <w:marBottom w:val="0"/>
                              <w:divBdr>
                                <w:top w:val="none" w:sz="0" w:space="0" w:color="auto"/>
                                <w:left w:val="none" w:sz="0" w:space="0" w:color="auto"/>
                                <w:bottom w:val="none" w:sz="0" w:space="0" w:color="auto"/>
                                <w:right w:val="none" w:sz="0" w:space="0" w:color="auto"/>
                              </w:divBdr>
                              <w:divsChild>
                                <w:div w:id="606810134">
                                  <w:marLeft w:val="0"/>
                                  <w:marRight w:val="0"/>
                                  <w:marTop w:val="0"/>
                                  <w:marBottom w:val="240"/>
                                  <w:divBdr>
                                    <w:top w:val="none" w:sz="0" w:space="0" w:color="auto"/>
                                    <w:left w:val="none" w:sz="0" w:space="0" w:color="auto"/>
                                    <w:bottom w:val="none" w:sz="0" w:space="0" w:color="auto"/>
                                    <w:right w:val="none" w:sz="0" w:space="0" w:color="auto"/>
                                  </w:divBdr>
                                </w:div>
                                <w:div w:id="1198467849">
                                  <w:marLeft w:val="0"/>
                                  <w:marRight w:val="0"/>
                                  <w:marTop w:val="0"/>
                                  <w:marBottom w:val="0"/>
                                  <w:divBdr>
                                    <w:top w:val="none" w:sz="0" w:space="0" w:color="auto"/>
                                    <w:left w:val="none" w:sz="0" w:space="0" w:color="auto"/>
                                    <w:bottom w:val="none" w:sz="0" w:space="0" w:color="auto"/>
                                    <w:right w:val="none" w:sz="0" w:space="0" w:color="auto"/>
                                  </w:divBdr>
                                  <w:divsChild>
                                    <w:div w:id="1104884861">
                                      <w:marLeft w:val="0"/>
                                      <w:marRight w:val="0"/>
                                      <w:marTop w:val="0"/>
                                      <w:marBottom w:val="0"/>
                                      <w:divBdr>
                                        <w:top w:val="none" w:sz="0" w:space="0" w:color="auto"/>
                                        <w:left w:val="none" w:sz="0" w:space="0" w:color="auto"/>
                                        <w:bottom w:val="none" w:sz="0" w:space="0" w:color="auto"/>
                                        <w:right w:val="none" w:sz="0" w:space="0" w:color="auto"/>
                                      </w:divBdr>
                                      <w:divsChild>
                                        <w:div w:id="343939963">
                                          <w:marLeft w:val="0"/>
                                          <w:marRight w:val="0"/>
                                          <w:marTop w:val="0"/>
                                          <w:marBottom w:val="0"/>
                                          <w:divBdr>
                                            <w:top w:val="none" w:sz="0" w:space="0" w:color="auto"/>
                                            <w:left w:val="none" w:sz="0" w:space="0" w:color="auto"/>
                                            <w:bottom w:val="none" w:sz="0" w:space="0" w:color="auto"/>
                                            <w:right w:val="none" w:sz="0" w:space="0" w:color="auto"/>
                                          </w:divBdr>
                                          <w:divsChild>
                                            <w:div w:id="60108138">
                                              <w:marLeft w:val="0"/>
                                              <w:marRight w:val="0"/>
                                              <w:marTop w:val="0"/>
                                              <w:marBottom w:val="240"/>
                                              <w:divBdr>
                                                <w:top w:val="none" w:sz="0" w:space="0" w:color="auto"/>
                                                <w:left w:val="none" w:sz="0" w:space="0" w:color="auto"/>
                                                <w:bottom w:val="none" w:sz="0" w:space="0" w:color="auto"/>
                                                <w:right w:val="none" w:sz="0" w:space="0" w:color="auto"/>
                                              </w:divBdr>
                                            </w:div>
                                            <w:div w:id="305554003">
                                              <w:marLeft w:val="0"/>
                                              <w:marRight w:val="0"/>
                                              <w:marTop w:val="0"/>
                                              <w:marBottom w:val="240"/>
                                              <w:divBdr>
                                                <w:top w:val="none" w:sz="0" w:space="0" w:color="auto"/>
                                                <w:left w:val="none" w:sz="0" w:space="0" w:color="auto"/>
                                                <w:bottom w:val="none" w:sz="0" w:space="0" w:color="auto"/>
                                                <w:right w:val="none" w:sz="0" w:space="0" w:color="auto"/>
                                              </w:divBdr>
                                            </w:div>
                                            <w:div w:id="375128200">
                                              <w:marLeft w:val="0"/>
                                              <w:marRight w:val="0"/>
                                              <w:marTop w:val="0"/>
                                              <w:marBottom w:val="240"/>
                                              <w:divBdr>
                                                <w:top w:val="none" w:sz="0" w:space="0" w:color="auto"/>
                                                <w:left w:val="none" w:sz="0" w:space="0" w:color="auto"/>
                                                <w:bottom w:val="none" w:sz="0" w:space="0" w:color="auto"/>
                                                <w:right w:val="none" w:sz="0" w:space="0" w:color="auto"/>
                                              </w:divBdr>
                                            </w:div>
                                            <w:div w:id="440036327">
                                              <w:marLeft w:val="0"/>
                                              <w:marRight w:val="0"/>
                                              <w:marTop w:val="0"/>
                                              <w:marBottom w:val="240"/>
                                              <w:divBdr>
                                                <w:top w:val="none" w:sz="0" w:space="0" w:color="auto"/>
                                                <w:left w:val="none" w:sz="0" w:space="0" w:color="auto"/>
                                                <w:bottom w:val="none" w:sz="0" w:space="0" w:color="auto"/>
                                                <w:right w:val="none" w:sz="0" w:space="0" w:color="auto"/>
                                              </w:divBdr>
                                            </w:div>
                                            <w:div w:id="570312328">
                                              <w:marLeft w:val="0"/>
                                              <w:marRight w:val="0"/>
                                              <w:marTop w:val="0"/>
                                              <w:marBottom w:val="240"/>
                                              <w:divBdr>
                                                <w:top w:val="none" w:sz="0" w:space="0" w:color="auto"/>
                                                <w:left w:val="none" w:sz="0" w:space="0" w:color="auto"/>
                                                <w:bottom w:val="none" w:sz="0" w:space="0" w:color="auto"/>
                                                <w:right w:val="none" w:sz="0" w:space="0" w:color="auto"/>
                                              </w:divBdr>
                                            </w:div>
                                            <w:div w:id="671763678">
                                              <w:marLeft w:val="0"/>
                                              <w:marRight w:val="0"/>
                                              <w:marTop w:val="0"/>
                                              <w:marBottom w:val="240"/>
                                              <w:divBdr>
                                                <w:top w:val="none" w:sz="0" w:space="0" w:color="auto"/>
                                                <w:left w:val="none" w:sz="0" w:space="0" w:color="auto"/>
                                                <w:bottom w:val="none" w:sz="0" w:space="0" w:color="auto"/>
                                                <w:right w:val="none" w:sz="0" w:space="0" w:color="auto"/>
                                              </w:divBdr>
                                            </w:div>
                                            <w:div w:id="748772382">
                                              <w:marLeft w:val="0"/>
                                              <w:marRight w:val="0"/>
                                              <w:marTop w:val="0"/>
                                              <w:marBottom w:val="240"/>
                                              <w:divBdr>
                                                <w:top w:val="none" w:sz="0" w:space="0" w:color="auto"/>
                                                <w:left w:val="none" w:sz="0" w:space="0" w:color="auto"/>
                                                <w:bottom w:val="none" w:sz="0" w:space="0" w:color="auto"/>
                                                <w:right w:val="none" w:sz="0" w:space="0" w:color="auto"/>
                                              </w:divBdr>
                                            </w:div>
                                            <w:div w:id="772436465">
                                              <w:marLeft w:val="0"/>
                                              <w:marRight w:val="0"/>
                                              <w:marTop w:val="0"/>
                                              <w:marBottom w:val="240"/>
                                              <w:divBdr>
                                                <w:top w:val="none" w:sz="0" w:space="0" w:color="auto"/>
                                                <w:left w:val="none" w:sz="0" w:space="0" w:color="auto"/>
                                                <w:bottom w:val="none" w:sz="0" w:space="0" w:color="auto"/>
                                                <w:right w:val="none" w:sz="0" w:space="0" w:color="auto"/>
                                              </w:divBdr>
                                            </w:div>
                                            <w:div w:id="1104765354">
                                              <w:marLeft w:val="0"/>
                                              <w:marRight w:val="0"/>
                                              <w:marTop w:val="0"/>
                                              <w:marBottom w:val="240"/>
                                              <w:divBdr>
                                                <w:top w:val="none" w:sz="0" w:space="0" w:color="auto"/>
                                                <w:left w:val="none" w:sz="0" w:space="0" w:color="auto"/>
                                                <w:bottom w:val="none" w:sz="0" w:space="0" w:color="auto"/>
                                                <w:right w:val="none" w:sz="0" w:space="0" w:color="auto"/>
                                              </w:divBdr>
                                            </w:div>
                                            <w:div w:id="1133712038">
                                              <w:marLeft w:val="0"/>
                                              <w:marRight w:val="0"/>
                                              <w:marTop w:val="0"/>
                                              <w:marBottom w:val="240"/>
                                              <w:divBdr>
                                                <w:top w:val="none" w:sz="0" w:space="0" w:color="auto"/>
                                                <w:left w:val="none" w:sz="0" w:space="0" w:color="auto"/>
                                                <w:bottom w:val="none" w:sz="0" w:space="0" w:color="auto"/>
                                                <w:right w:val="none" w:sz="0" w:space="0" w:color="auto"/>
                                              </w:divBdr>
                                            </w:div>
                                            <w:div w:id="1146242501">
                                              <w:marLeft w:val="0"/>
                                              <w:marRight w:val="0"/>
                                              <w:marTop w:val="0"/>
                                              <w:marBottom w:val="240"/>
                                              <w:divBdr>
                                                <w:top w:val="none" w:sz="0" w:space="0" w:color="auto"/>
                                                <w:left w:val="none" w:sz="0" w:space="0" w:color="auto"/>
                                                <w:bottom w:val="none" w:sz="0" w:space="0" w:color="auto"/>
                                                <w:right w:val="none" w:sz="0" w:space="0" w:color="auto"/>
                                              </w:divBdr>
                                            </w:div>
                                            <w:div w:id="1225216497">
                                              <w:marLeft w:val="0"/>
                                              <w:marRight w:val="0"/>
                                              <w:marTop w:val="0"/>
                                              <w:marBottom w:val="240"/>
                                              <w:divBdr>
                                                <w:top w:val="none" w:sz="0" w:space="0" w:color="auto"/>
                                                <w:left w:val="none" w:sz="0" w:space="0" w:color="auto"/>
                                                <w:bottom w:val="none" w:sz="0" w:space="0" w:color="auto"/>
                                                <w:right w:val="none" w:sz="0" w:space="0" w:color="auto"/>
                                              </w:divBdr>
                                            </w:div>
                                            <w:div w:id="1232732350">
                                              <w:marLeft w:val="0"/>
                                              <w:marRight w:val="0"/>
                                              <w:marTop w:val="0"/>
                                              <w:marBottom w:val="240"/>
                                              <w:divBdr>
                                                <w:top w:val="none" w:sz="0" w:space="0" w:color="auto"/>
                                                <w:left w:val="none" w:sz="0" w:space="0" w:color="auto"/>
                                                <w:bottom w:val="none" w:sz="0" w:space="0" w:color="auto"/>
                                                <w:right w:val="none" w:sz="0" w:space="0" w:color="auto"/>
                                              </w:divBdr>
                                            </w:div>
                                            <w:div w:id="1500120540">
                                              <w:marLeft w:val="0"/>
                                              <w:marRight w:val="0"/>
                                              <w:marTop w:val="0"/>
                                              <w:marBottom w:val="240"/>
                                              <w:divBdr>
                                                <w:top w:val="none" w:sz="0" w:space="0" w:color="auto"/>
                                                <w:left w:val="none" w:sz="0" w:space="0" w:color="auto"/>
                                                <w:bottom w:val="none" w:sz="0" w:space="0" w:color="auto"/>
                                                <w:right w:val="none" w:sz="0" w:space="0" w:color="auto"/>
                                              </w:divBdr>
                                            </w:div>
                                            <w:div w:id="1639262240">
                                              <w:marLeft w:val="0"/>
                                              <w:marRight w:val="0"/>
                                              <w:marTop w:val="0"/>
                                              <w:marBottom w:val="240"/>
                                              <w:divBdr>
                                                <w:top w:val="none" w:sz="0" w:space="0" w:color="auto"/>
                                                <w:left w:val="none" w:sz="0" w:space="0" w:color="auto"/>
                                                <w:bottom w:val="none" w:sz="0" w:space="0" w:color="auto"/>
                                                <w:right w:val="none" w:sz="0" w:space="0" w:color="auto"/>
                                              </w:divBdr>
                                            </w:div>
                                            <w:div w:id="1662544457">
                                              <w:marLeft w:val="0"/>
                                              <w:marRight w:val="0"/>
                                              <w:marTop w:val="0"/>
                                              <w:marBottom w:val="240"/>
                                              <w:divBdr>
                                                <w:top w:val="none" w:sz="0" w:space="0" w:color="auto"/>
                                                <w:left w:val="none" w:sz="0" w:space="0" w:color="auto"/>
                                                <w:bottom w:val="none" w:sz="0" w:space="0" w:color="auto"/>
                                                <w:right w:val="none" w:sz="0" w:space="0" w:color="auto"/>
                                              </w:divBdr>
                                            </w:div>
                                            <w:div w:id="1860199231">
                                              <w:marLeft w:val="0"/>
                                              <w:marRight w:val="0"/>
                                              <w:marTop w:val="0"/>
                                              <w:marBottom w:val="240"/>
                                              <w:divBdr>
                                                <w:top w:val="none" w:sz="0" w:space="0" w:color="auto"/>
                                                <w:left w:val="none" w:sz="0" w:space="0" w:color="auto"/>
                                                <w:bottom w:val="none" w:sz="0" w:space="0" w:color="auto"/>
                                                <w:right w:val="none" w:sz="0" w:space="0" w:color="auto"/>
                                              </w:divBdr>
                                            </w:div>
                                            <w:div w:id="1965119068">
                                              <w:marLeft w:val="0"/>
                                              <w:marRight w:val="0"/>
                                              <w:marTop w:val="0"/>
                                              <w:marBottom w:val="240"/>
                                              <w:divBdr>
                                                <w:top w:val="none" w:sz="0" w:space="0" w:color="auto"/>
                                                <w:left w:val="none" w:sz="0" w:space="0" w:color="auto"/>
                                                <w:bottom w:val="none" w:sz="0" w:space="0" w:color="auto"/>
                                                <w:right w:val="none" w:sz="0" w:space="0" w:color="auto"/>
                                              </w:divBdr>
                                            </w:div>
                                            <w:div w:id="1986473721">
                                              <w:marLeft w:val="0"/>
                                              <w:marRight w:val="0"/>
                                              <w:marTop w:val="0"/>
                                              <w:marBottom w:val="240"/>
                                              <w:divBdr>
                                                <w:top w:val="none" w:sz="0" w:space="0" w:color="auto"/>
                                                <w:left w:val="none" w:sz="0" w:space="0" w:color="auto"/>
                                                <w:bottom w:val="none" w:sz="0" w:space="0" w:color="auto"/>
                                                <w:right w:val="none" w:sz="0" w:space="0" w:color="auto"/>
                                              </w:divBdr>
                                            </w:div>
                                            <w:div w:id="20563444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514980">
      <w:bodyDiv w:val="1"/>
      <w:marLeft w:val="0"/>
      <w:marRight w:val="0"/>
      <w:marTop w:val="0"/>
      <w:marBottom w:val="0"/>
      <w:divBdr>
        <w:top w:val="none" w:sz="0" w:space="0" w:color="auto"/>
        <w:left w:val="none" w:sz="0" w:space="0" w:color="auto"/>
        <w:bottom w:val="none" w:sz="0" w:space="0" w:color="auto"/>
        <w:right w:val="none" w:sz="0" w:space="0" w:color="auto"/>
      </w:divBdr>
    </w:div>
    <w:div w:id="548961345">
      <w:bodyDiv w:val="1"/>
      <w:marLeft w:val="0"/>
      <w:marRight w:val="0"/>
      <w:marTop w:val="0"/>
      <w:marBottom w:val="0"/>
      <w:divBdr>
        <w:top w:val="none" w:sz="0" w:space="0" w:color="auto"/>
        <w:left w:val="none" w:sz="0" w:space="0" w:color="auto"/>
        <w:bottom w:val="none" w:sz="0" w:space="0" w:color="auto"/>
        <w:right w:val="none" w:sz="0" w:space="0" w:color="auto"/>
      </w:divBdr>
    </w:div>
    <w:div w:id="754210150">
      <w:bodyDiv w:val="1"/>
      <w:marLeft w:val="0"/>
      <w:marRight w:val="0"/>
      <w:marTop w:val="0"/>
      <w:marBottom w:val="0"/>
      <w:divBdr>
        <w:top w:val="none" w:sz="0" w:space="0" w:color="auto"/>
        <w:left w:val="none" w:sz="0" w:space="0" w:color="auto"/>
        <w:bottom w:val="none" w:sz="0" w:space="0" w:color="auto"/>
        <w:right w:val="none" w:sz="0" w:space="0" w:color="auto"/>
      </w:divBdr>
    </w:div>
    <w:div w:id="920604682">
      <w:bodyDiv w:val="1"/>
      <w:marLeft w:val="0"/>
      <w:marRight w:val="0"/>
      <w:marTop w:val="0"/>
      <w:marBottom w:val="0"/>
      <w:divBdr>
        <w:top w:val="none" w:sz="0" w:space="0" w:color="auto"/>
        <w:left w:val="none" w:sz="0" w:space="0" w:color="auto"/>
        <w:bottom w:val="none" w:sz="0" w:space="0" w:color="auto"/>
        <w:right w:val="none" w:sz="0" w:space="0" w:color="auto"/>
      </w:divBdr>
    </w:div>
    <w:div w:id="951324509">
      <w:bodyDiv w:val="1"/>
      <w:marLeft w:val="0"/>
      <w:marRight w:val="0"/>
      <w:marTop w:val="0"/>
      <w:marBottom w:val="0"/>
      <w:divBdr>
        <w:top w:val="none" w:sz="0" w:space="0" w:color="auto"/>
        <w:left w:val="none" w:sz="0" w:space="0" w:color="auto"/>
        <w:bottom w:val="none" w:sz="0" w:space="0" w:color="auto"/>
        <w:right w:val="none" w:sz="0" w:space="0" w:color="auto"/>
      </w:divBdr>
    </w:div>
    <w:div w:id="995182773">
      <w:bodyDiv w:val="1"/>
      <w:marLeft w:val="0"/>
      <w:marRight w:val="0"/>
      <w:marTop w:val="0"/>
      <w:marBottom w:val="0"/>
      <w:divBdr>
        <w:top w:val="none" w:sz="0" w:space="0" w:color="auto"/>
        <w:left w:val="none" w:sz="0" w:space="0" w:color="auto"/>
        <w:bottom w:val="none" w:sz="0" w:space="0" w:color="auto"/>
        <w:right w:val="none" w:sz="0" w:space="0" w:color="auto"/>
      </w:divBdr>
    </w:div>
    <w:div w:id="1147286134">
      <w:bodyDiv w:val="1"/>
      <w:marLeft w:val="0"/>
      <w:marRight w:val="0"/>
      <w:marTop w:val="0"/>
      <w:marBottom w:val="0"/>
      <w:divBdr>
        <w:top w:val="none" w:sz="0" w:space="0" w:color="auto"/>
        <w:left w:val="none" w:sz="0" w:space="0" w:color="auto"/>
        <w:bottom w:val="none" w:sz="0" w:space="0" w:color="auto"/>
        <w:right w:val="none" w:sz="0" w:space="0" w:color="auto"/>
      </w:divBdr>
    </w:div>
    <w:div w:id="1176534611">
      <w:bodyDiv w:val="1"/>
      <w:marLeft w:val="0"/>
      <w:marRight w:val="0"/>
      <w:marTop w:val="0"/>
      <w:marBottom w:val="0"/>
      <w:divBdr>
        <w:top w:val="none" w:sz="0" w:space="0" w:color="auto"/>
        <w:left w:val="none" w:sz="0" w:space="0" w:color="auto"/>
        <w:bottom w:val="none" w:sz="0" w:space="0" w:color="auto"/>
        <w:right w:val="none" w:sz="0" w:space="0" w:color="auto"/>
      </w:divBdr>
    </w:div>
    <w:div w:id="1313488937">
      <w:bodyDiv w:val="1"/>
      <w:marLeft w:val="0"/>
      <w:marRight w:val="0"/>
      <w:marTop w:val="0"/>
      <w:marBottom w:val="0"/>
      <w:divBdr>
        <w:top w:val="none" w:sz="0" w:space="0" w:color="auto"/>
        <w:left w:val="none" w:sz="0" w:space="0" w:color="auto"/>
        <w:bottom w:val="none" w:sz="0" w:space="0" w:color="auto"/>
        <w:right w:val="none" w:sz="0" w:space="0" w:color="auto"/>
      </w:divBdr>
    </w:div>
    <w:div w:id="1803883631">
      <w:bodyDiv w:val="1"/>
      <w:marLeft w:val="0"/>
      <w:marRight w:val="0"/>
      <w:marTop w:val="0"/>
      <w:marBottom w:val="0"/>
      <w:divBdr>
        <w:top w:val="none" w:sz="0" w:space="0" w:color="auto"/>
        <w:left w:val="none" w:sz="0" w:space="0" w:color="auto"/>
        <w:bottom w:val="none" w:sz="0" w:space="0" w:color="auto"/>
        <w:right w:val="none" w:sz="0" w:space="0" w:color="auto"/>
      </w:divBdr>
    </w:div>
    <w:div w:id="190421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docs.cpuc.ca.gov/PublishedDocs/Published/G000/M284/K817/284817583.pdf"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B3C48-283D-4AC1-B431-62B89065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46556</Words>
  <Characters>265373</Characters>
  <Application>Microsoft Office Word</Application>
  <DocSecurity>0</DocSecurity>
  <Lines>2211</Lines>
  <Paragraphs>622</Paragraphs>
  <ScaleCrop>false</ScaleCrop>
  <HeadingPairs>
    <vt:vector size="2" baseType="variant">
      <vt:variant>
        <vt:lpstr>Title</vt:lpstr>
      </vt:variant>
      <vt:variant>
        <vt:i4>1</vt:i4>
      </vt:variant>
    </vt:vector>
  </HeadingPairs>
  <TitlesOfParts>
    <vt:vector size="1" baseType="lpstr">
      <vt:lpstr>ALJ/MLC/tcg</vt:lpstr>
    </vt:vector>
  </TitlesOfParts>
  <Company/>
  <LinksUpToDate>false</LinksUpToDate>
  <CharactersWithSpaces>311307</CharactersWithSpaces>
  <SharedDoc>false</SharedDoc>
  <HLinks>
    <vt:vector size="150" baseType="variant">
      <vt:variant>
        <vt:i4>1310771</vt:i4>
      </vt:variant>
      <vt:variant>
        <vt:i4>134</vt:i4>
      </vt:variant>
      <vt:variant>
        <vt:i4>0</vt:i4>
      </vt:variant>
      <vt:variant>
        <vt:i4>5</vt:i4>
      </vt:variant>
      <vt:variant>
        <vt:lpwstr/>
      </vt:variant>
      <vt:variant>
        <vt:lpwstr>_Toc477781825</vt:lpwstr>
      </vt:variant>
      <vt:variant>
        <vt:i4>1310771</vt:i4>
      </vt:variant>
      <vt:variant>
        <vt:i4>128</vt:i4>
      </vt:variant>
      <vt:variant>
        <vt:i4>0</vt:i4>
      </vt:variant>
      <vt:variant>
        <vt:i4>5</vt:i4>
      </vt:variant>
      <vt:variant>
        <vt:lpwstr/>
      </vt:variant>
      <vt:variant>
        <vt:lpwstr>_Toc477781824</vt:lpwstr>
      </vt:variant>
      <vt:variant>
        <vt:i4>1310771</vt:i4>
      </vt:variant>
      <vt:variant>
        <vt:i4>122</vt:i4>
      </vt:variant>
      <vt:variant>
        <vt:i4>0</vt:i4>
      </vt:variant>
      <vt:variant>
        <vt:i4>5</vt:i4>
      </vt:variant>
      <vt:variant>
        <vt:lpwstr/>
      </vt:variant>
      <vt:variant>
        <vt:lpwstr>_Toc477781823</vt:lpwstr>
      </vt:variant>
      <vt:variant>
        <vt:i4>1310771</vt:i4>
      </vt:variant>
      <vt:variant>
        <vt:i4>116</vt:i4>
      </vt:variant>
      <vt:variant>
        <vt:i4>0</vt:i4>
      </vt:variant>
      <vt:variant>
        <vt:i4>5</vt:i4>
      </vt:variant>
      <vt:variant>
        <vt:lpwstr/>
      </vt:variant>
      <vt:variant>
        <vt:lpwstr>_Toc477781822</vt:lpwstr>
      </vt:variant>
      <vt:variant>
        <vt:i4>1310771</vt:i4>
      </vt:variant>
      <vt:variant>
        <vt:i4>110</vt:i4>
      </vt:variant>
      <vt:variant>
        <vt:i4>0</vt:i4>
      </vt:variant>
      <vt:variant>
        <vt:i4>5</vt:i4>
      </vt:variant>
      <vt:variant>
        <vt:lpwstr/>
      </vt:variant>
      <vt:variant>
        <vt:lpwstr>_Toc477781821</vt:lpwstr>
      </vt:variant>
      <vt:variant>
        <vt:i4>1310771</vt:i4>
      </vt:variant>
      <vt:variant>
        <vt:i4>104</vt:i4>
      </vt:variant>
      <vt:variant>
        <vt:i4>0</vt:i4>
      </vt:variant>
      <vt:variant>
        <vt:i4>5</vt:i4>
      </vt:variant>
      <vt:variant>
        <vt:lpwstr/>
      </vt:variant>
      <vt:variant>
        <vt:lpwstr>_Toc477781820</vt:lpwstr>
      </vt:variant>
      <vt:variant>
        <vt:i4>1507379</vt:i4>
      </vt:variant>
      <vt:variant>
        <vt:i4>98</vt:i4>
      </vt:variant>
      <vt:variant>
        <vt:i4>0</vt:i4>
      </vt:variant>
      <vt:variant>
        <vt:i4>5</vt:i4>
      </vt:variant>
      <vt:variant>
        <vt:lpwstr/>
      </vt:variant>
      <vt:variant>
        <vt:lpwstr>_Toc477781819</vt:lpwstr>
      </vt:variant>
      <vt:variant>
        <vt:i4>1507379</vt:i4>
      </vt:variant>
      <vt:variant>
        <vt:i4>92</vt:i4>
      </vt:variant>
      <vt:variant>
        <vt:i4>0</vt:i4>
      </vt:variant>
      <vt:variant>
        <vt:i4>5</vt:i4>
      </vt:variant>
      <vt:variant>
        <vt:lpwstr/>
      </vt:variant>
      <vt:variant>
        <vt:lpwstr>_Toc477781818</vt:lpwstr>
      </vt:variant>
      <vt:variant>
        <vt:i4>1507379</vt:i4>
      </vt:variant>
      <vt:variant>
        <vt:i4>86</vt:i4>
      </vt:variant>
      <vt:variant>
        <vt:i4>0</vt:i4>
      </vt:variant>
      <vt:variant>
        <vt:i4>5</vt:i4>
      </vt:variant>
      <vt:variant>
        <vt:lpwstr/>
      </vt:variant>
      <vt:variant>
        <vt:lpwstr>_Toc477781817</vt:lpwstr>
      </vt:variant>
      <vt:variant>
        <vt:i4>1507379</vt:i4>
      </vt:variant>
      <vt:variant>
        <vt:i4>80</vt:i4>
      </vt:variant>
      <vt:variant>
        <vt:i4>0</vt:i4>
      </vt:variant>
      <vt:variant>
        <vt:i4>5</vt:i4>
      </vt:variant>
      <vt:variant>
        <vt:lpwstr/>
      </vt:variant>
      <vt:variant>
        <vt:lpwstr>_Toc477781816</vt:lpwstr>
      </vt:variant>
      <vt:variant>
        <vt:i4>1507379</vt:i4>
      </vt:variant>
      <vt:variant>
        <vt:i4>74</vt:i4>
      </vt:variant>
      <vt:variant>
        <vt:i4>0</vt:i4>
      </vt:variant>
      <vt:variant>
        <vt:i4>5</vt:i4>
      </vt:variant>
      <vt:variant>
        <vt:lpwstr/>
      </vt:variant>
      <vt:variant>
        <vt:lpwstr>_Toc477781815</vt:lpwstr>
      </vt:variant>
      <vt:variant>
        <vt:i4>1507379</vt:i4>
      </vt:variant>
      <vt:variant>
        <vt:i4>68</vt:i4>
      </vt:variant>
      <vt:variant>
        <vt:i4>0</vt:i4>
      </vt:variant>
      <vt:variant>
        <vt:i4>5</vt:i4>
      </vt:variant>
      <vt:variant>
        <vt:lpwstr/>
      </vt:variant>
      <vt:variant>
        <vt:lpwstr>_Toc477781814</vt:lpwstr>
      </vt:variant>
      <vt:variant>
        <vt:i4>1507379</vt:i4>
      </vt:variant>
      <vt:variant>
        <vt:i4>62</vt:i4>
      </vt:variant>
      <vt:variant>
        <vt:i4>0</vt:i4>
      </vt:variant>
      <vt:variant>
        <vt:i4>5</vt:i4>
      </vt:variant>
      <vt:variant>
        <vt:lpwstr/>
      </vt:variant>
      <vt:variant>
        <vt:lpwstr>_Toc477781813</vt:lpwstr>
      </vt:variant>
      <vt:variant>
        <vt:i4>1507379</vt:i4>
      </vt:variant>
      <vt:variant>
        <vt:i4>56</vt:i4>
      </vt:variant>
      <vt:variant>
        <vt:i4>0</vt:i4>
      </vt:variant>
      <vt:variant>
        <vt:i4>5</vt:i4>
      </vt:variant>
      <vt:variant>
        <vt:lpwstr/>
      </vt:variant>
      <vt:variant>
        <vt:lpwstr>_Toc477781812</vt:lpwstr>
      </vt:variant>
      <vt:variant>
        <vt:i4>1507379</vt:i4>
      </vt:variant>
      <vt:variant>
        <vt:i4>50</vt:i4>
      </vt:variant>
      <vt:variant>
        <vt:i4>0</vt:i4>
      </vt:variant>
      <vt:variant>
        <vt:i4>5</vt:i4>
      </vt:variant>
      <vt:variant>
        <vt:lpwstr/>
      </vt:variant>
      <vt:variant>
        <vt:lpwstr>_Toc477781811</vt:lpwstr>
      </vt:variant>
      <vt:variant>
        <vt:i4>1507379</vt:i4>
      </vt:variant>
      <vt:variant>
        <vt:i4>44</vt:i4>
      </vt:variant>
      <vt:variant>
        <vt:i4>0</vt:i4>
      </vt:variant>
      <vt:variant>
        <vt:i4>5</vt:i4>
      </vt:variant>
      <vt:variant>
        <vt:lpwstr/>
      </vt:variant>
      <vt:variant>
        <vt:lpwstr>_Toc477781810</vt:lpwstr>
      </vt:variant>
      <vt:variant>
        <vt:i4>1441843</vt:i4>
      </vt:variant>
      <vt:variant>
        <vt:i4>38</vt:i4>
      </vt:variant>
      <vt:variant>
        <vt:i4>0</vt:i4>
      </vt:variant>
      <vt:variant>
        <vt:i4>5</vt:i4>
      </vt:variant>
      <vt:variant>
        <vt:lpwstr/>
      </vt:variant>
      <vt:variant>
        <vt:lpwstr>_Toc477781809</vt:lpwstr>
      </vt:variant>
      <vt:variant>
        <vt:i4>1441843</vt:i4>
      </vt:variant>
      <vt:variant>
        <vt:i4>32</vt:i4>
      </vt:variant>
      <vt:variant>
        <vt:i4>0</vt:i4>
      </vt:variant>
      <vt:variant>
        <vt:i4>5</vt:i4>
      </vt:variant>
      <vt:variant>
        <vt:lpwstr/>
      </vt:variant>
      <vt:variant>
        <vt:lpwstr>_Toc477781808</vt:lpwstr>
      </vt:variant>
      <vt:variant>
        <vt:i4>1441843</vt:i4>
      </vt:variant>
      <vt:variant>
        <vt:i4>26</vt:i4>
      </vt:variant>
      <vt:variant>
        <vt:i4>0</vt:i4>
      </vt:variant>
      <vt:variant>
        <vt:i4>5</vt:i4>
      </vt:variant>
      <vt:variant>
        <vt:lpwstr/>
      </vt:variant>
      <vt:variant>
        <vt:lpwstr>_Toc477781807</vt:lpwstr>
      </vt:variant>
      <vt:variant>
        <vt:i4>1441843</vt:i4>
      </vt:variant>
      <vt:variant>
        <vt:i4>20</vt:i4>
      </vt:variant>
      <vt:variant>
        <vt:i4>0</vt:i4>
      </vt:variant>
      <vt:variant>
        <vt:i4>5</vt:i4>
      </vt:variant>
      <vt:variant>
        <vt:lpwstr/>
      </vt:variant>
      <vt:variant>
        <vt:lpwstr>_Toc477781806</vt:lpwstr>
      </vt:variant>
      <vt:variant>
        <vt:i4>1441843</vt:i4>
      </vt:variant>
      <vt:variant>
        <vt:i4>14</vt:i4>
      </vt:variant>
      <vt:variant>
        <vt:i4>0</vt:i4>
      </vt:variant>
      <vt:variant>
        <vt:i4>5</vt:i4>
      </vt:variant>
      <vt:variant>
        <vt:lpwstr/>
      </vt:variant>
      <vt:variant>
        <vt:lpwstr>_Toc477781805</vt:lpwstr>
      </vt:variant>
      <vt:variant>
        <vt:i4>1441843</vt:i4>
      </vt:variant>
      <vt:variant>
        <vt:i4>8</vt:i4>
      </vt:variant>
      <vt:variant>
        <vt:i4>0</vt:i4>
      </vt:variant>
      <vt:variant>
        <vt:i4>5</vt:i4>
      </vt:variant>
      <vt:variant>
        <vt:lpwstr/>
      </vt:variant>
      <vt:variant>
        <vt:lpwstr>_Toc477781804</vt:lpwstr>
      </vt:variant>
      <vt:variant>
        <vt:i4>1441843</vt:i4>
      </vt:variant>
      <vt:variant>
        <vt:i4>2</vt:i4>
      </vt:variant>
      <vt:variant>
        <vt:i4>0</vt:i4>
      </vt:variant>
      <vt:variant>
        <vt:i4>5</vt:i4>
      </vt:variant>
      <vt:variant>
        <vt:lpwstr/>
      </vt:variant>
      <vt:variant>
        <vt:lpwstr>_Toc477781803</vt:lpwstr>
      </vt:variant>
      <vt:variant>
        <vt:i4>3276909</vt:i4>
      </vt:variant>
      <vt:variant>
        <vt:i4>3</vt:i4>
      </vt:variant>
      <vt:variant>
        <vt:i4>0</vt:i4>
      </vt:variant>
      <vt:variant>
        <vt:i4>5</vt:i4>
      </vt:variant>
      <vt:variant>
        <vt:lpwstr>http://www.cpuc.ca.gov/General.aspx?id=5399</vt:lpwstr>
      </vt:variant>
      <vt:variant>
        <vt:lpwstr/>
      </vt:variant>
      <vt:variant>
        <vt:i4>851998</vt:i4>
      </vt:variant>
      <vt:variant>
        <vt:i4>0</vt:i4>
      </vt:variant>
      <vt:variant>
        <vt:i4>0</vt:i4>
      </vt:variant>
      <vt:variant>
        <vt:i4>5</vt:i4>
      </vt:variant>
      <vt:variant>
        <vt:lpwstr>http://www.treasurer.ca.gov/caeatfa/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2019-04-22T21:44:00Z</cp:lastPrinted>
  <dcterms:created xsi:type="dcterms:W3CDTF">2019-04-23T12:19:00Z</dcterms:created>
  <dcterms:modified xsi:type="dcterms:W3CDTF">2019-04-23T19:32:00Z</dcterms:modified>
</cp:coreProperties>
</file>