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11954" w:rsidR="001C538D" w:rsidRDefault="001C538D" w14:paraId="75B52CB8" w14:textId="77777777">
      <w:pPr>
        <w:pStyle w:val="titlebar"/>
        <w:rPr>
          <w:rFonts w:ascii="Palatino Linotype" w:hAnsi="Palatino Linotype"/>
          <w:sz w:val="24"/>
        </w:rPr>
      </w:pPr>
      <w:r w:rsidRPr="00511954">
        <w:rPr>
          <w:rFonts w:ascii="Palatino Linotype" w:hAnsi="Palatino Linotype"/>
          <w:sz w:val="24"/>
        </w:rPr>
        <w:t>PUBLIC UTILITIES COMMISSION OF THE STATE OF CALIFORNIA</w:t>
      </w:r>
    </w:p>
    <w:p w:rsidRPr="00511954" w:rsidR="001C538D" w:rsidRDefault="001C538D" w14:paraId="42817D5D" w14:textId="77777777">
      <w:pPr>
        <w:suppressAutoHyphens/>
        <w:rPr>
          <w:rFonts w:ascii="Palatino Linotype" w:hAnsi="Palatino Linotype"/>
          <w:sz w:val="24"/>
          <w:szCs w:val="24"/>
        </w:rPr>
      </w:pPr>
      <w:r w:rsidRPr="00511954">
        <w:rPr>
          <w:rFonts w:ascii="Palatino Linotype" w:hAnsi="Palatino Linotype"/>
        </w:rPr>
        <w:t xml:space="preserve">                                                                                                   </w:t>
      </w:r>
    </w:p>
    <w:p w:rsidRPr="00511954" w:rsidR="008150D6" w:rsidRDefault="008150D6" w14:paraId="7CB32FA0" w14:textId="55B698A0">
      <w:pPr>
        <w:suppressAutoHyphens/>
        <w:rPr>
          <w:rFonts w:ascii="Palatino Linotype" w:hAnsi="Palatino Linotype"/>
          <w:b/>
        </w:rPr>
      </w:pPr>
      <w:r w:rsidRPr="00511954">
        <w:rPr>
          <w:rFonts w:ascii="Palatino Linotype" w:hAnsi="Palatino Linotype"/>
        </w:rPr>
        <w:t xml:space="preserve">                                                  </w:t>
      </w:r>
      <w:r w:rsidRPr="00511954" w:rsidR="0026099A">
        <w:rPr>
          <w:rFonts w:ascii="Palatino Linotype" w:hAnsi="Palatino Linotype"/>
        </w:rPr>
        <w:t xml:space="preserve">                                                    </w:t>
      </w:r>
      <w:r w:rsidR="00205C37">
        <w:rPr>
          <w:rFonts w:ascii="Palatino Linotype" w:hAnsi="Palatino Linotype"/>
          <w:b/>
          <w:sz w:val="24"/>
          <w:szCs w:val="24"/>
        </w:rPr>
        <w:t>AGENDA ID: 17400</w:t>
      </w:r>
    </w:p>
    <w:p w:rsidRPr="00511954" w:rsidR="001C538D" w:rsidP="000F465A" w:rsidRDefault="001C538D" w14:paraId="0136FAF9" w14:textId="77777777">
      <w:pPr>
        <w:rPr>
          <w:rFonts w:ascii="Palatino Linotype" w:hAnsi="Palatino Linotype"/>
          <w:b/>
          <w:sz w:val="24"/>
        </w:rPr>
      </w:pPr>
      <w:r w:rsidRPr="00511954">
        <w:rPr>
          <w:rFonts w:ascii="Palatino Linotype" w:hAnsi="Palatino Linotype"/>
          <w:b/>
          <w:sz w:val="24"/>
        </w:rPr>
        <w:t>ENERGY DIVISION</w:t>
      </w:r>
      <w:r w:rsidRPr="00511954">
        <w:rPr>
          <w:rFonts w:ascii="Palatino Linotype" w:hAnsi="Palatino Linotype"/>
          <w:b/>
          <w:sz w:val="24"/>
        </w:rPr>
        <w:tab/>
      </w:r>
      <w:r w:rsidRPr="00511954">
        <w:rPr>
          <w:rFonts w:ascii="Palatino Linotype" w:hAnsi="Palatino Linotype"/>
          <w:b/>
          <w:sz w:val="24"/>
        </w:rPr>
        <w:tab/>
      </w:r>
      <w:r w:rsidRPr="00511954">
        <w:rPr>
          <w:rFonts w:ascii="Palatino Linotype" w:hAnsi="Palatino Linotype"/>
          <w:b/>
          <w:sz w:val="24"/>
        </w:rPr>
        <w:tab/>
      </w:r>
      <w:r w:rsidRPr="00511954">
        <w:rPr>
          <w:rFonts w:ascii="Palatino Linotype" w:hAnsi="Palatino Linotype"/>
          <w:b/>
          <w:sz w:val="24"/>
        </w:rPr>
        <w:tab/>
      </w:r>
      <w:r w:rsidRPr="00511954">
        <w:rPr>
          <w:rFonts w:ascii="Palatino Linotype" w:hAnsi="Palatino Linotype"/>
          <w:b/>
          <w:sz w:val="24"/>
        </w:rPr>
        <w:tab/>
      </w:r>
      <w:proofErr w:type="gramStart"/>
      <w:r w:rsidRPr="00511954">
        <w:rPr>
          <w:rFonts w:ascii="Palatino Linotype" w:hAnsi="Palatino Linotype"/>
          <w:b/>
          <w:sz w:val="24"/>
        </w:rPr>
        <w:tab/>
      </w:r>
      <w:r w:rsidRPr="00511954" w:rsidR="008150D6">
        <w:rPr>
          <w:rFonts w:ascii="Palatino Linotype" w:hAnsi="Palatino Linotype"/>
          <w:b/>
          <w:sz w:val="24"/>
        </w:rPr>
        <w:t xml:space="preserve">  </w:t>
      </w:r>
      <w:r w:rsidRPr="00511954">
        <w:rPr>
          <w:rFonts w:ascii="Palatino Linotype" w:hAnsi="Palatino Linotype"/>
          <w:b/>
          <w:sz w:val="24"/>
        </w:rPr>
        <w:t>RESOLUTION</w:t>
      </w:r>
      <w:proofErr w:type="gramEnd"/>
      <w:r w:rsidRPr="00511954">
        <w:rPr>
          <w:rFonts w:ascii="Palatino Linotype" w:hAnsi="Palatino Linotype"/>
          <w:b/>
          <w:sz w:val="24"/>
        </w:rPr>
        <w:t xml:space="preserve"> </w:t>
      </w:r>
      <w:r w:rsidRPr="00511954" w:rsidR="00B14949">
        <w:rPr>
          <w:rFonts w:ascii="Palatino Linotype" w:hAnsi="Palatino Linotype"/>
          <w:b/>
          <w:sz w:val="24"/>
        </w:rPr>
        <w:t>E</w:t>
      </w:r>
      <w:r w:rsidRPr="00511954" w:rsidR="00490B6E">
        <w:rPr>
          <w:rFonts w:ascii="Palatino Linotype" w:hAnsi="Palatino Linotype"/>
          <w:b/>
          <w:sz w:val="24"/>
        </w:rPr>
        <w:t>-</w:t>
      </w:r>
      <w:r w:rsidRPr="00511954" w:rsidR="00B25201">
        <w:rPr>
          <w:rFonts w:ascii="Palatino Linotype" w:hAnsi="Palatino Linotype"/>
          <w:b/>
          <w:sz w:val="24"/>
        </w:rPr>
        <w:t>4999</w:t>
      </w:r>
      <w:r w:rsidRPr="00511954" w:rsidR="002E2016">
        <w:rPr>
          <w:rFonts w:ascii="Palatino Linotype" w:hAnsi="Palatino Linotype"/>
          <w:b/>
          <w:sz w:val="24"/>
        </w:rPr>
        <w:tab/>
      </w:r>
      <w:r w:rsidRPr="00511954" w:rsidR="002E2016">
        <w:rPr>
          <w:rFonts w:ascii="Palatino Linotype" w:hAnsi="Palatino Linotype"/>
          <w:b/>
          <w:sz w:val="24"/>
        </w:rPr>
        <w:tab/>
      </w:r>
      <w:r w:rsidRPr="00511954" w:rsidR="002E2016">
        <w:rPr>
          <w:rFonts w:ascii="Palatino Linotype" w:hAnsi="Palatino Linotype"/>
          <w:b/>
          <w:sz w:val="24"/>
        </w:rPr>
        <w:tab/>
      </w:r>
      <w:r w:rsidRPr="00511954" w:rsidR="002E2016">
        <w:rPr>
          <w:rFonts w:ascii="Palatino Linotype" w:hAnsi="Palatino Linotype"/>
          <w:b/>
          <w:sz w:val="24"/>
        </w:rPr>
        <w:tab/>
      </w:r>
      <w:r w:rsidRPr="00511954" w:rsidR="002E2016">
        <w:rPr>
          <w:rFonts w:ascii="Palatino Linotype" w:hAnsi="Palatino Linotype"/>
          <w:b/>
          <w:sz w:val="24"/>
        </w:rPr>
        <w:tab/>
      </w:r>
      <w:r w:rsidRPr="00511954" w:rsidR="002E2016">
        <w:rPr>
          <w:rFonts w:ascii="Palatino Linotype" w:hAnsi="Palatino Linotype"/>
          <w:b/>
          <w:sz w:val="24"/>
        </w:rPr>
        <w:tab/>
      </w:r>
      <w:r w:rsidRPr="00511954" w:rsidR="002E2016">
        <w:rPr>
          <w:rFonts w:ascii="Palatino Linotype" w:hAnsi="Palatino Linotype"/>
          <w:b/>
          <w:sz w:val="24"/>
        </w:rPr>
        <w:tab/>
      </w:r>
      <w:r w:rsidRPr="00511954" w:rsidR="002E2016">
        <w:rPr>
          <w:rFonts w:ascii="Palatino Linotype" w:hAnsi="Palatino Linotype"/>
          <w:b/>
          <w:sz w:val="24"/>
        </w:rPr>
        <w:tab/>
      </w:r>
      <w:r w:rsidRPr="00511954">
        <w:rPr>
          <w:rFonts w:ascii="Palatino Linotype" w:hAnsi="Palatino Linotype"/>
          <w:b/>
          <w:sz w:val="24"/>
        </w:rPr>
        <w:tab/>
      </w:r>
      <w:r w:rsidRPr="00511954" w:rsidR="006C7B47">
        <w:rPr>
          <w:rFonts w:ascii="Palatino Linotype" w:hAnsi="Palatino Linotype"/>
          <w:b/>
          <w:sz w:val="24"/>
        </w:rPr>
        <w:tab/>
      </w:r>
      <w:r w:rsidRPr="00511954" w:rsidR="00B25201">
        <w:rPr>
          <w:rFonts w:ascii="Palatino Linotype" w:hAnsi="Palatino Linotype"/>
          <w:b/>
          <w:sz w:val="24"/>
        </w:rPr>
        <w:t xml:space="preserve">  May 30</w:t>
      </w:r>
      <w:r w:rsidRPr="00511954" w:rsidR="00177FF5">
        <w:rPr>
          <w:rFonts w:ascii="Palatino Linotype" w:hAnsi="Palatino Linotype"/>
          <w:b/>
          <w:sz w:val="24"/>
        </w:rPr>
        <w:t>, 201</w:t>
      </w:r>
      <w:r w:rsidRPr="00511954" w:rsidR="00490B6E">
        <w:rPr>
          <w:rFonts w:ascii="Palatino Linotype" w:hAnsi="Palatino Linotype"/>
          <w:b/>
          <w:sz w:val="24"/>
        </w:rPr>
        <w:t>9</w:t>
      </w:r>
    </w:p>
    <w:p w:rsidRPr="00511954" w:rsidR="001C538D" w:rsidRDefault="001C538D" w14:paraId="3546E106" w14:textId="77777777">
      <w:pPr>
        <w:tabs>
          <w:tab w:val="right" w:pos="8910"/>
        </w:tabs>
        <w:ind w:left="1440" w:firstLine="720"/>
        <w:rPr>
          <w:rFonts w:ascii="Palatino Linotype" w:hAnsi="Palatino Linotype"/>
          <w:b/>
          <w:sz w:val="24"/>
        </w:rPr>
      </w:pPr>
    </w:p>
    <w:p w:rsidRPr="00511954" w:rsidR="001C538D" w:rsidRDefault="001C538D" w14:paraId="7B33705B" w14:textId="77777777">
      <w:pPr>
        <w:pStyle w:val="mainex"/>
        <w:rPr>
          <w:rFonts w:ascii="Palatino Linotype" w:hAnsi="Palatino Linotype"/>
          <w:u w:val="single"/>
        </w:rPr>
      </w:pPr>
      <w:bookmarkStart w:name="_Ref404993683" w:id="0"/>
      <w:r w:rsidRPr="00511954">
        <w:rPr>
          <w:rFonts w:ascii="Palatino Linotype" w:hAnsi="Palatino Linotype"/>
          <w:u w:val="single"/>
        </w:rPr>
        <w:t>RESOLUTION</w:t>
      </w:r>
    </w:p>
    <w:p w:rsidRPr="00511954" w:rsidR="001C538D" w:rsidRDefault="001C538D" w14:paraId="7F6A3BD8" w14:textId="77777777">
      <w:pPr>
        <w:rPr>
          <w:rFonts w:ascii="Palatino Linotype" w:hAnsi="Palatino Linotype"/>
          <w:sz w:val="24"/>
          <w:szCs w:val="24"/>
        </w:rPr>
      </w:pPr>
    </w:p>
    <w:p w:rsidRPr="00511954" w:rsidR="00075D3C" w:rsidP="00755176" w:rsidRDefault="001C538D" w14:paraId="2986BB8A" w14:textId="381EFE86">
      <w:pPr>
        <w:pStyle w:val="Res-Caption"/>
        <w:spacing w:after="240"/>
        <w:rPr>
          <w:rFonts w:ascii="Palatino Linotype" w:hAnsi="Palatino Linotype"/>
        </w:rPr>
      </w:pPr>
      <w:r w:rsidRPr="00511954">
        <w:rPr>
          <w:rFonts w:ascii="Palatino Linotype" w:hAnsi="Palatino Linotype"/>
          <w:b/>
        </w:rPr>
        <w:t xml:space="preserve">Resolution </w:t>
      </w:r>
      <w:r w:rsidRPr="00511954" w:rsidR="00B14949">
        <w:rPr>
          <w:rFonts w:ascii="Palatino Linotype" w:hAnsi="Palatino Linotype"/>
          <w:b/>
        </w:rPr>
        <w:t>E</w:t>
      </w:r>
      <w:r w:rsidRPr="00511954">
        <w:rPr>
          <w:rFonts w:ascii="Palatino Linotype" w:hAnsi="Palatino Linotype"/>
          <w:b/>
        </w:rPr>
        <w:t>-</w:t>
      </w:r>
      <w:r w:rsidRPr="00511954" w:rsidR="00B25201">
        <w:rPr>
          <w:rFonts w:ascii="Palatino Linotype" w:hAnsi="Palatino Linotype"/>
          <w:b/>
        </w:rPr>
        <w:t>4999</w:t>
      </w:r>
      <w:r w:rsidRPr="00511954">
        <w:rPr>
          <w:rFonts w:ascii="Palatino Linotype" w:hAnsi="Palatino Linotype"/>
          <w:b/>
        </w:rPr>
        <w:t xml:space="preserve">.  </w:t>
      </w:r>
      <w:r w:rsidRPr="00511954" w:rsidR="006F2466">
        <w:rPr>
          <w:rFonts w:ascii="Palatino Linotype" w:hAnsi="Palatino Linotype"/>
        </w:rPr>
        <w:t xml:space="preserve">Pursuant to </w:t>
      </w:r>
      <w:r w:rsidRPr="00511954" w:rsidR="00A165B3">
        <w:rPr>
          <w:rFonts w:ascii="Palatino Linotype" w:hAnsi="Palatino Linotype"/>
        </w:rPr>
        <w:t>De</w:t>
      </w:r>
      <w:bookmarkStart w:name="_GoBack" w:id="1"/>
      <w:bookmarkEnd w:id="1"/>
      <w:r w:rsidRPr="00511954" w:rsidR="00A165B3">
        <w:rPr>
          <w:rFonts w:ascii="Palatino Linotype" w:hAnsi="Palatino Linotype"/>
        </w:rPr>
        <w:t>cision</w:t>
      </w:r>
      <w:r w:rsidRPr="00511954" w:rsidR="006F2466">
        <w:rPr>
          <w:rFonts w:ascii="Palatino Linotype" w:hAnsi="Palatino Linotype"/>
        </w:rPr>
        <w:t xml:space="preserve"> </w:t>
      </w:r>
      <w:r w:rsidRPr="00511954" w:rsidR="00010BEA">
        <w:rPr>
          <w:rFonts w:ascii="Palatino Linotype" w:hAnsi="Palatino Linotype"/>
        </w:rPr>
        <w:t>18-06-027</w:t>
      </w:r>
      <w:r w:rsidR="001B4C58">
        <w:rPr>
          <w:rFonts w:ascii="Palatino Linotype" w:hAnsi="Palatino Linotype"/>
        </w:rPr>
        <w:t xml:space="preserve">, </w:t>
      </w:r>
      <w:r w:rsidRPr="00511954" w:rsidR="00010BEA">
        <w:rPr>
          <w:rFonts w:ascii="Palatino Linotype" w:hAnsi="Palatino Linotype"/>
        </w:rPr>
        <w:t>Approv</w:t>
      </w:r>
      <w:r w:rsidR="001B4C58">
        <w:rPr>
          <w:rFonts w:ascii="Palatino Linotype" w:hAnsi="Palatino Linotype"/>
        </w:rPr>
        <w:t xml:space="preserve">ing with Modification, </w:t>
      </w:r>
      <w:r w:rsidRPr="00511954" w:rsidR="00010BEA">
        <w:rPr>
          <w:rFonts w:ascii="Palatino Linotype" w:hAnsi="Palatino Linotype"/>
        </w:rPr>
        <w:t xml:space="preserve">Tariffs to Implement the </w:t>
      </w:r>
      <w:r w:rsidRPr="00511954" w:rsidR="00266382">
        <w:rPr>
          <w:rFonts w:ascii="Palatino Linotype" w:hAnsi="Palatino Linotype"/>
        </w:rPr>
        <w:t xml:space="preserve">Disadvantaged Communities Green Tariff </w:t>
      </w:r>
      <w:r w:rsidRPr="00511954" w:rsidR="006F2466">
        <w:rPr>
          <w:rFonts w:ascii="Palatino Linotype" w:hAnsi="Palatino Linotype"/>
        </w:rPr>
        <w:t>and</w:t>
      </w:r>
      <w:r w:rsidRPr="00511954" w:rsidR="00266382">
        <w:rPr>
          <w:rFonts w:ascii="Palatino Linotype" w:hAnsi="Palatino Linotype"/>
        </w:rPr>
        <w:t xml:space="preserve"> Community Solar Green Tariff </w:t>
      </w:r>
      <w:r w:rsidRPr="00511954" w:rsidR="00010BEA">
        <w:rPr>
          <w:rFonts w:ascii="Palatino Linotype" w:hAnsi="Palatino Linotype"/>
        </w:rPr>
        <w:t>P</w:t>
      </w:r>
      <w:r w:rsidRPr="00511954" w:rsidR="00266382">
        <w:rPr>
          <w:rFonts w:ascii="Palatino Linotype" w:hAnsi="Palatino Linotype"/>
        </w:rPr>
        <w:t>rogram</w:t>
      </w:r>
      <w:r w:rsidRPr="00511954" w:rsidR="006F2466">
        <w:rPr>
          <w:rFonts w:ascii="Palatino Linotype" w:hAnsi="Palatino Linotype"/>
        </w:rPr>
        <w:t>s.</w:t>
      </w:r>
    </w:p>
    <w:p w:rsidRPr="00511954" w:rsidR="0065639C" w:rsidP="00755176" w:rsidRDefault="001C538D" w14:paraId="30D57087" w14:textId="77777777">
      <w:pPr>
        <w:pStyle w:val="Res-Caption"/>
        <w:spacing w:after="240"/>
        <w:contextualSpacing/>
        <w:rPr>
          <w:rFonts w:ascii="Palatino Linotype" w:hAnsi="Palatino Linotype"/>
          <w:b/>
        </w:rPr>
      </w:pPr>
      <w:r w:rsidRPr="00511954">
        <w:rPr>
          <w:rFonts w:ascii="Palatino Linotype" w:hAnsi="Palatino Linotype"/>
          <w:b/>
        </w:rPr>
        <w:t>PROPOSED OUTCOME:</w:t>
      </w:r>
    </w:p>
    <w:p w:rsidRPr="00511954" w:rsidR="00075D3C" w:rsidP="00755176" w:rsidRDefault="00B71216" w14:paraId="074ACB41" w14:textId="271DA010">
      <w:pPr>
        <w:pStyle w:val="Res-Caption"/>
        <w:numPr>
          <w:ilvl w:val="0"/>
          <w:numId w:val="16"/>
        </w:numPr>
        <w:spacing w:after="240"/>
        <w:contextualSpacing/>
        <w:rPr>
          <w:rFonts w:ascii="Palatino Linotype" w:hAnsi="Palatino Linotype"/>
        </w:rPr>
      </w:pPr>
      <w:r w:rsidRPr="00511954">
        <w:rPr>
          <w:rFonts w:ascii="Palatino Linotype" w:hAnsi="Palatino Linotype"/>
        </w:rPr>
        <w:t>Ap</w:t>
      </w:r>
      <w:r w:rsidRPr="00511954" w:rsidR="00D40392">
        <w:rPr>
          <w:rFonts w:ascii="Palatino Linotype" w:hAnsi="Palatino Linotype"/>
        </w:rPr>
        <w:t>proves, with</w:t>
      </w:r>
      <w:r w:rsidRPr="00511954" w:rsidR="00010BEA">
        <w:rPr>
          <w:rFonts w:ascii="Palatino Linotype" w:hAnsi="Palatino Linotype"/>
        </w:rPr>
        <w:t xml:space="preserve"> </w:t>
      </w:r>
      <w:r w:rsidRPr="00511954" w:rsidR="00116A66">
        <w:rPr>
          <w:rFonts w:ascii="Palatino Linotype" w:hAnsi="Palatino Linotype"/>
        </w:rPr>
        <w:t>m</w:t>
      </w:r>
      <w:r w:rsidRPr="00511954" w:rsidR="00010BEA">
        <w:rPr>
          <w:rFonts w:ascii="Palatino Linotype" w:hAnsi="Palatino Linotype"/>
        </w:rPr>
        <w:t>odifications</w:t>
      </w:r>
      <w:r w:rsidRPr="00511954" w:rsidR="00D40392">
        <w:rPr>
          <w:rFonts w:ascii="Palatino Linotype" w:hAnsi="Palatino Linotype"/>
        </w:rPr>
        <w:t>,</w:t>
      </w:r>
      <w:r w:rsidRPr="00511954" w:rsidR="00010BEA">
        <w:rPr>
          <w:rFonts w:ascii="Palatino Linotype" w:hAnsi="Palatino Linotype"/>
        </w:rPr>
        <w:t xml:space="preserve"> </w:t>
      </w:r>
      <w:r w:rsidRPr="00511954" w:rsidR="00964EF8">
        <w:rPr>
          <w:rFonts w:ascii="Palatino Linotype" w:hAnsi="Palatino Linotype"/>
        </w:rPr>
        <w:t xml:space="preserve">Pacific Gas and Electric Company’s (PG&amp;E’s) </w:t>
      </w:r>
      <w:r w:rsidRPr="00511954" w:rsidR="00D40392">
        <w:rPr>
          <w:rFonts w:ascii="Palatino Linotype" w:hAnsi="Palatino Linotype"/>
        </w:rPr>
        <w:t>A</w:t>
      </w:r>
      <w:r w:rsidRPr="00511954" w:rsidR="00010BEA">
        <w:rPr>
          <w:rFonts w:ascii="Palatino Linotype" w:hAnsi="Palatino Linotype"/>
        </w:rPr>
        <w:t>dvice Letter</w:t>
      </w:r>
      <w:r w:rsidRPr="00511954" w:rsidR="00964EF8">
        <w:rPr>
          <w:rFonts w:ascii="Palatino Linotype" w:hAnsi="Palatino Linotype"/>
        </w:rPr>
        <w:t xml:space="preserve"> (AL)</w:t>
      </w:r>
      <w:r w:rsidRPr="00511954" w:rsidR="00010BEA">
        <w:rPr>
          <w:rFonts w:ascii="Palatino Linotype" w:hAnsi="Palatino Linotype"/>
        </w:rPr>
        <w:t xml:space="preserve"> 5362-E</w:t>
      </w:r>
      <w:r w:rsidRPr="00511954" w:rsidR="00F31EBC">
        <w:rPr>
          <w:rFonts w:ascii="Palatino Linotype" w:hAnsi="Palatino Linotype"/>
        </w:rPr>
        <w:t>/E-A</w:t>
      </w:r>
      <w:r w:rsidRPr="00511954" w:rsidR="002D3042">
        <w:rPr>
          <w:rFonts w:ascii="Palatino Linotype" w:hAnsi="Palatino Linotype"/>
        </w:rPr>
        <w:t xml:space="preserve"> </w:t>
      </w:r>
      <w:r w:rsidRPr="00511954" w:rsidR="00010BEA">
        <w:rPr>
          <w:rFonts w:ascii="Palatino Linotype" w:hAnsi="Palatino Linotype"/>
        </w:rPr>
        <w:t xml:space="preserve">, </w:t>
      </w:r>
      <w:r w:rsidRPr="00511954" w:rsidR="00964EF8">
        <w:rPr>
          <w:rFonts w:ascii="Palatino Linotype" w:hAnsi="Palatino Linotype"/>
        </w:rPr>
        <w:t>Southern California Edison Company’s (SCE’s)</w:t>
      </w:r>
      <w:r w:rsidRPr="00511954" w:rsidR="00010BEA">
        <w:rPr>
          <w:rFonts w:ascii="Palatino Linotype" w:hAnsi="Palatino Linotype"/>
        </w:rPr>
        <w:t xml:space="preserve"> A</w:t>
      </w:r>
      <w:r w:rsidRPr="00511954" w:rsidR="00964EF8">
        <w:rPr>
          <w:rFonts w:ascii="Palatino Linotype" w:hAnsi="Palatino Linotype"/>
        </w:rPr>
        <w:t>L</w:t>
      </w:r>
      <w:r w:rsidRPr="00511954" w:rsidR="00010BEA">
        <w:rPr>
          <w:rFonts w:ascii="Palatino Linotype" w:hAnsi="Palatino Linotype"/>
        </w:rPr>
        <w:t xml:space="preserve"> 3851-E</w:t>
      </w:r>
      <w:r w:rsidRPr="00511954" w:rsidR="00F31EBC">
        <w:rPr>
          <w:rFonts w:ascii="Palatino Linotype" w:hAnsi="Palatino Linotype"/>
        </w:rPr>
        <w:t>/E-A</w:t>
      </w:r>
      <w:r w:rsidRPr="00511954" w:rsidR="00010BEA">
        <w:rPr>
          <w:rFonts w:ascii="Palatino Linotype" w:hAnsi="Palatino Linotype"/>
        </w:rPr>
        <w:t xml:space="preserve">, and </w:t>
      </w:r>
      <w:r w:rsidRPr="00511954" w:rsidR="00964EF8">
        <w:rPr>
          <w:rFonts w:ascii="Palatino Linotype" w:hAnsi="Palatino Linotype"/>
        </w:rPr>
        <w:t>San Diego Gas &amp; Electric Company’s (SDG&amp;E’s) AL</w:t>
      </w:r>
      <w:r w:rsidRPr="00511954" w:rsidR="00010BEA">
        <w:rPr>
          <w:rFonts w:ascii="Palatino Linotype" w:hAnsi="Palatino Linotype"/>
        </w:rPr>
        <w:t xml:space="preserve"> 3262-E</w:t>
      </w:r>
      <w:r w:rsidRPr="00511954" w:rsidR="00F31EBC">
        <w:rPr>
          <w:rFonts w:ascii="Palatino Linotype" w:hAnsi="Palatino Linotype"/>
        </w:rPr>
        <w:t>/E-A/E-B</w:t>
      </w:r>
      <w:r w:rsidRPr="00511954" w:rsidR="002D3042">
        <w:rPr>
          <w:rFonts w:ascii="Palatino Linotype" w:hAnsi="Palatino Linotype"/>
        </w:rPr>
        <w:t xml:space="preserve"> </w:t>
      </w:r>
      <w:r w:rsidRPr="00511954" w:rsidR="00DB363B">
        <w:rPr>
          <w:rFonts w:ascii="Palatino Linotype" w:hAnsi="Palatino Linotype"/>
        </w:rPr>
        <w:t>to create</w:t>
      </w:r>
      <w:r w:rsidRPr="00511954" w:rsidR="00D40392">
        <w:rPr>
          <w:rFonts w:ascii="Palatino Linotype" w:hAnsi="Palatino Linotype"/>
        </w:rPr>
        <w:t xml:space="preserve"> </w:t>
      </w:r>
      <w:r w:rsidRPr="00511954" w:rsidR="00964EF8">
        <w:rPr>
          <w:rFonts w:ascii="Palatino Linotype" w:hAnsi="Palatino Linotype"/>
        </w:rPr>
        <w:t>Disadvantaged Communi</w:t>
      </w:r>
      <w:r w:rsidRPr="00511954" w:rsidR="00DB363B">
        <w:rPr>
          <w:rFonts w:ascii="Palatino Linotype" w:hAnsi="Palatino Linotype"/>
        </w:rPr>
        <w:t xml:space="preserve">ties Green Tariff (DAC-GT) and </w:t>
      </w:r>
      <w:r w:rsidRPr="00511954" w:rsidR="00964EF8">
        <w:rPr>
          <w:rFonts w:ascii="Palatino Linotype" w:hAnsi="Palatino Linotype"/>
        </w:rPr>
        <w:t>Community Solar Green Tariff (CSGT) rate</w:t>
      </w:r>
      <w:r w:rsidRPr="00511954" w:rsidR="00DB363B">
        <w:rPr>
          <w:rFonts w:ascii="Palatino Linotype" w:hAnsi="Palatino Linotype"/>
        </w:rPr>
        <w:t>s</w:t>
      </w:r>
      <w:r w:rsidRPr="00511954" w:rsidR="00010BEA">
        <w:rPr>
          <w:rFonts w:ascii="Palatino Linotype" w:hAnsi="Palatino Linotype"/>
        </w:rPr>
        <w:t xml:space="preserve">, in compliance with </w:t>
      </w:r>
      <w:r w:rsidRPr="00511954" w:rsidR="00A165B3">
        <w:rPr>
          <w:rFonts w:ascii="Palatino Linotype" w:hAnsi="Palatino Linotype"/>
        </w:rPr>
        <w:t>Decision</w:t>
      </w:r>
      <w:r w:rsidRPr="00511954" w:rsidR="00010BEA">
        <w:rPr>
          <w:rFonts w:ascii="Palatino Linotype" w:hAnsi="Palatino Linotype"/>
        </w:rPr>
        <w:t xml:space="preserve"> (D.)18-06-027.</w:t>
      </w:r>
    </w:p>
    <w:p w:rsidRPr="00511954" w:rsidR="0065639C" w:rsidP="00755176" w:rsidRDefault="00C33AE7" w14:paraId="5B6438C8" w14:textId="77777777">
      <w:pPr>
        <w:autoSpaceDE w:val="0"/>
        <w:autoSpaceDN w:val="0"/>
        <w:spacing w:after="240"/>
        <w:ind w:left="720" w:right="720"/>
        <w:contextualSpacing/>
        <w:rPr>
          <w:rFonts w:ascii="Palatino Linotype" w:hAnsi="Palatino Linotype" w:eastAsia="Calibri" w:cs="Arial"/>
          <w:b/>
          <w:bCs/>
          <w:sz w:val="25"/>
          <w:szCs w:val="25"/>
        </w:rPr>
      </w:pPr>
      <w:r w:rsidRPr="00511954">
        <w:rPr>
          <w:rFonts w:ascii="Palatino Linotype" w:hAnsi="Palatino Linotype" w:eastAsia="Calibri" w:cs="Arial"/>
          <w:b/>
          <w:bCs/>
          <w:szCs w:val="25"/>
        </w:rPr>
        <w:t>SAFETY CONSIDERATIONS:</w:t>
      </w:r>
    </w:p>
    <w:p w:rsidRPr="00511954" w:rsidR="00C33AE7" w:rsidP="00C6393A" w:rsidRDefault="00D3004C" w14:paraId="2EE32507" w14:textId="35AF27CA">
      <w:pPr>
        <w:numPr>
          <w:ilvl w:val="0"/>
          <w:numId w:val="16"/>
        </w:numPr>
        <w:autoSpaceDE w:val="0"/>
        <w:autoSpaceDN w:val="0"/>
        <w:spacing w:after="240"/>
        <w:ind w:right="720"/>
        <w:contextualSpacing/>
        <w:rPr>
          <w:rFonts w:ascii="Palatino Linotype" w:hAnsi="Palatino Linotype" w:eastAsia="Calibri" w:cs="Arial"/>
          <w:szCs w:val="22"/>
        </w:rPr>
      </w:pPr>
      <w:r w:rsidRPr="00511954">
        <w:rPr>
          <w:rFonts w:ascii="Palatino Linotype" w:hAnsi="Palatino Linotype"/>
        </w:rPr>
        <w:t xml:space="preserve">The Commission </w:t>
      </w:r>
      <w:r w:rsidRPr="00511954" w:rsidR="00C6393A">
        <w:rPr>
          <w:rFonts w:ascii="Palatino Linotype" w:hAnsi="Palatino Linotype"/>
        </w:rPr>
        <w:t>previously</w:t>
      </w:r>
      <w:r w:rsidRPr="00511954" w:rsidR="00D40392">
        <w:rPr>
          <w:rFonts w:ascii="Palatino Linotype" w:hAnsi="Palatino Linotype"/>
        </w:rPr>
        <w:t xml:space="preserve"> authorized </w:t>
      </w:r>
      <w:r w:rsidRPr="00511954">
        <w:rPr>
          <w:rFonts w:ascii="Palatino Linotype" w:hAnsi="Palatino Linotype"/>
        </w:rPr>
        <w:t xml:space="preserve">the DAC-GT and CSGT programs to enhance access to renewable energy </w:t>
      </w:r>
      <w:r w:rsidR="00A54F19">
        <w:rPr>
          <w:rFonts w:ascii="Palatino Linotype" w:hAnsi="Palatino Linotype"/>
        </w:rPr>
        <w:t>for</w:t>
      </w:r>
      <w:r w:rsidRPr="00511954">
        <w:rPr>
          <w:rFonts w:ascii="Palatino Linotype" w:hAnsi="Palatino Linotype"/>
        </w:rPr>
        <w:t xml:space="preserve"> residents of DACs living in PG&amp;E’s, SCE’s, and SDG&amp;E’s service territories.</w:t>
      </w:r>
      <w:r w:rsidRPr="00511954" w:rsidR="00C6393A">
        <w:rPr>
          <w:rFonts w:ascii="Palatino Linotype" w:hAnsi="Palatino Linotype"/>
        </w:rPr>
        <w:t xml:space="preserve"> As a result, there are not </w:t>
      </w:r>
      <w:r w:rsidRPr="00511954">
        <w:rPr>
          <w:rFonts w:ascii="Palatino Linotype" w:hAnsi="Palatino Linotype"/>
        </w:rPr>
        <w:t xml:space="preserve">any </w:t>
      </w:r>
      <w:r w:rsidRPr="00511954" w:rsidR="00C6393A">
        <w:rPr>
          <w:rFonts w:ascii="Palatino Linotype" w:hAnsi="Palatino Linotype"/>
        </w:rPr>
        <w:t xml:space="preserve">expected incremental safety implications associated with approval of this </w:t>
      </w:r>
      <w:r w:rsidRPr="00511954">
        <w:rPr>
          <w:rFonts w:ascii="Palatino Linotype" w:hAnsi="Palatino Linotype"/>
        </w:rPr>
        <w:t>R</w:t>
      </w:r>
      <w:r w:rsidRPr="00511954" w:rsidR="00C6393A">
        <w:rPr>
          <w:rFonts w:ascii="Palatino Linotype" w:hAnsi="Palatino Linotype"/>
        </w:rPr>
        <w:t>esolution.</w:t>
      </w:r>
    </w:p>
    <w:p w:rsidRPr="00511954" w:rsidR="0065639C" w:rsidP="00755176" w:rsidRDefault="001C538D" w14:paraId="5B10453F" w14:textId="77777777">
      <w:pPr>
        <w:pStyle w:val="Res-Caption"/>
        <w:spacing w:after="240"/>
        <w:contextualSpacing/>
        <w:rPr>
          <w:rFonts w:ascii="Palatino Linotype" w:hAnsi="Palatino Linotype"/>
          <w:b/>
        </w:rPr>
      </w:pPr>
      <w:r w:rsidRPr="00511954">
        <w:rPr>
          <w:rFonts w:ascii="Palatino Linotype" w:hAnsi="Palatino Linotype"/>
          <w:b/>
        </w:rPr>
        <w:t>ESTIMATED COST:</w:t>
      </w:r>
    </w:p>
    <w:p w:rsidRPr="00511954" w:rsidR="00D93418" w:rsidP="00755176" w:rsidRDefault="00116A66" w14:paraId="1A3D7B93" w14:textId="363DF921">
      <w:pPr>
        <w:pStyle w:val="Res-Caption"/>
        <w:numPr>
          <w:ilvl w:val="0"/>
          <w:numId w:val="16"/>
        </w:numPr>
        <w:spacing w:after="240"/>
        <w:contextualSpacing/>
        <w:rPr>
          <w:rFonts w:ascii="Palatino Linotype" w:hAnsi="Palatino Linotype" w:cs="Arial"/>
        </w:rPr>
      </w:pPr>
      <w:r w:rsidRPr="00511954">
        <w:rPr>
          <w:rFonts w:ascii="Palatino Linotype" w:hAnsi="Palatino Linotype"/>
        </w:rPr>
        <w:t>The costs to implement the DAC-GT and CSGT programs ha</w:t>
      </w:r>
      <w:r w:rsidRPr="00511954" w:rsidR="00C4415D">
        <w:rPr>
          <w:rFonts w:ascii="Palatino Linotype" w:hAnsi="Palatino Linotype"/>
        </w:rPr>
        <w:t>ve</w:t>
      </w:r>
      <w:r w:rsidRPr="00511954">
        <w:rPr>
          <w:rFonts w:ascii="Palatino Linotype" w:hAnsi="Palatino Linotype"/>
        </w:rPr>
        <w:t xml:space="preserve"> yet to be determined. In addition, the impact on rates cannot be estimated at this time because these programs are to be funded through greenhouse gas allowance proceeds and only if insufficient revenue is available, then through public purpose program funds</w:t>
      </w:r>
      <w:r w:rsidRPr="00511954" w:rsidR="008E3FE2">
        <w:rPr>
          <w:rFonts w:ascii="Palatino Linotype" w:hAnsi="Palatino Linotype"/>
        </w:rPr>
        <w:t>.</w:t>
      </w:r>
      <w:r w:rsidRPr="00511954" w:rsidR="00C4415D">
        <w:rPr>
          <w:rFonts w:ascii="Palatino Linotype" w:hAnsi="Palatino Linotype"/>
        </w:rPr>
        <w:t xml:space="preserve"> </w:t>
      </w:r>
    </w:p>
    <w:p w:rsidRPr="00511954" w:rsidR="009B7E15" w:rsidP="00B56729" w:rsidRDefault="006E4FC1" w14:paraId="43BA6947" w14:textId="3E2BBEE8">
      <w:pPr>
        <w:ind w:left="720"/>
        <w:rPr>
          <w:rFonts w:ascii="Palatino Linotype" w:hAnsi="Palatino Linotype"/>
        </w:rPr>
      </w:pPr>
      <w:r w:rsidRPr="00511954">
        <w:rPr>
          <w:rFonts w:ascii="Palatino Linotype" w:hAnsi="Palatino Linotype"/>
        </w:rPr>
        <w:t xml:space="preserve">By </w:t>
      </w:r>
      <w:r w:rsidRPr="00511954" w:rsidR="00936A01">
        <w:rPr>
          <w:rFonts w:ascii="Palatino Linotype" w:hAnsi="Palatino Linotype"/>
        </w:rPr>
        <w:t>PG&amp;E</w:t>
      </w:r>
      <w:r w:rsidRPr="00511954" w:rsidR="003E17B7">
        <w:rPr>
          <w:rFonts w:ascii="Palatino Linotype" w:hAnsi="Palatino Linotype"/>
        </w:rPr>
        <w:t xml:space="preserve"> </w:t>
      </w:r>
      <w:r w:rsidRPr="00511954" w:rsidR="00936A01">
        <w:rPr>
          <w:rFonts w:ascii="Palatino Linotype" w:hAnsi="Palatino Linotype"/>
        </w:rPr>
        <w:t>AL 5362-E</w:t>
      </w:r>
      <w:r w:rsidRPr="00511954" w:rsidR="00116A66">
        <w:rPr>
          <w:rFonts w:ascii="Palatino Linotype" w:hAnsi="Palatino Linotype"/>
        </w:rPr>
        <w:t>,</w:t>
      </w:r>
      <w:r w:rsidRPr="00511954" w:rsidR="00936A01">
        <w:rPr>
          <w:rFonts w:ascii="Palatino Linotype" w:hAnsi="Palatino Linotype"/>
        </w:rPr>
        <w:t xml:space="preserve"> filed on August 20, 2018, PG&amp;E AL 5362-E-A</w:t>
      </w:r>
      <w:r w:rsidRPr="00511954" w:rsidR="00116A66">
        <w:rPr>
          <w:rFonts w:ascii="Palatino Linotype" w:hAnsi="Palatino Linotype"/>
        </w:rPr>
        <w:t>,</w:t>
      </w:r>
      <w:r w:rsidRPr="00511954" w:rsidR="00936A01">
        <w:rPr>
          <w:rFonts w:ascii="Palatino Linotype" w:hAnsi="Palatino Linotype"/>
        </w:rPr>
        <w:t xml:space="preserve"> filed on February 13, 2019, SCE AL 3851-E</w:t>
      </w:r>
      <w:r w:rsidRPr="00511954" w:rsidR="00116A66">
        <w:rPr>
          <w:rFonts w:ascii="Palatino Linotype" w:hAnsi="Palatino Linotype"/>
        </w:rPr>
        <w:t>,</w:t>
      </w:r>
      <w:r w:rsidRPr="00511954" w:rsidR="00936A01">
        <w:rPr>
          <w:rFonts w:ascii="Palatino Linotype" w:hAnsi="Palatino Linotype"/>
        </w:rPr>
        <w:t xml:space="preserve"> filed on August 20, 2018, SCE AL </w:t>
      </w:r>
      <w:r w:rsidRPr="00511954" w:rsidR="00936A01">
        <w:rPr>
          <w:rFonts w:ascii="Palatino Linotype" w:hAnsi="Palatino Linotype"/>
        </w:rPr>
        <w:lastRenderedPageBreak/>
        <w:t>3851-E-A</w:t>
      </w:r>
      <w:r w:rsidRPr="00511954" w:rsidR="00116A66">
        <w:rPr>
          <w:rFonts w:ascii="Palatino Linotype" w:hAnsi="Palatino Linotype"/>
        </w:rPr>
        <w:t>,</w:t>
      </w:r>
      <w:r w:rsidRPr="00511954" w:rsidR="00936A01">
        <w:rPr>
          <w:rFonts w:ascii="Palatino Linotype" w:hAnsi="Palatino Linotype"/>
        </w:rPr>
        <w:t xml:space="preserve"> filed on February 27, 2019, SDG&amp;E AL 3262-E</w:t>
      </w:r>
      <w:r w:rsidRPr="00511954" w:rsidR="00116A66">
        <w:rPr>
          <w:rFonts w:ascii="Palatino Linotype" w:hAnsi="Palatino Linotype"/>
        </w:rPr>
        <w:t>,</w:t>
      </w:r>
      <w:r w:rsidRPr="00511954" w:rsidR="00936A01">
        <w:rPr>
          <w:rFonts w:ascii="Palatino Linotype" w:hAnsi="Palatino Linotype"/>
        </w:rPr>
        <w:t xml:space="preserve"> filed on August 20, 2018, SDG&amp;E AL 3262-E-A</w:t>
      </w:r>
      <w:r w:rsidRPr="00511954" w:rsidR="00116A66">
        <w:rPr>
          <w:rFonts w:ascii="Palatino Linotype" w:hAnsi="Palatino Linotype"/>
        </w:rPr>
        <w:t>,</w:t>
      </w:r>
      <w:r w:rsidRPr="00511954" w:rsidR="00936A01">
        <w:rPr>
          <w:rFonts w:ascii="Palatino Linotype" w:hAnsi="Palatino Linotype"/>
        </w:rPr>
        <w:t xml:space="preserve"> filed on August 24, 2018, and SDG&amp;E AL 3262-E-B</w:t>
      </w:r>
      <w:r w:rsidRPr="00511954" w:rsidR="00116A66">
        <w:rPr>
          <w:rFonts w:ascii="Palatino Linotype" w:hAnsi="Palatino Linotype"/>
        </w:rPr>
        <w:t>,</w:t>
      </w:r>
      <w:r w:rsidRPr="00511954" w:rsidR="00936A01">
        <w:rPr>
          <w:rFonts w:ascii="Palatino Linotype" w:hAnsi="Palatino Linotype"/>
        </w:rPr>
        <w:t xml:space="preserve"> filed on January 24, 2019.</w:t>
      </w:r>
    </w:p>
    <w:p w:rsidRPr="00511954" w:rsidR="001C538D" w:rsidP="00755176" w:rsidRDefault="001C538D" w14:paraId="6165AF71" w14:textId="77777777">
      <w:pPr>
        <w:spacing w:after="240"/>
        <w:jc w:val="center"/>
        <w:rPr>
          <w:rFonts w:ascii="Palatino Linotype" w:hAnsi="Palatino Linotype"/>
        </w:rPr>
      </w:pPr>
      <w:r w:rsidRPr="00511954">
        <w:rPr>
          <w:rFonts w:ascii="Palatino Linotype" w:hAnsi="Palatino Linotype"/>
        </w:rPr>
        <w:t>__________________________________________________________</w:t>
      </w:r>
    </w:p>
    <w:p w:rsidRPr="00511954" w:rsidR="001C538D" w:rsidP="00755176" w:rsidRDefault="001C538D" w14:paraId="15087C69" w14:textId="77777777">
      <w:pPr>
        <w:pStyle w:val="Heading1"/>
        <w:spacing w:after="0"/>
        <w:contextualSpacing/>
        <w:jc w:val="both"/>
        <w:rPr>
          <w:rFonts w:ascii="Palatino Linotype" w:hAnsi="Palatino Linotype"/>
        </w:rPr>
      </w:pPr>
      <w:r w:rsidRPr="00511954">
        <w:rPr>
          <w:rFonts w:ascii="Palatino Linotype" w:hAnsi="Palatino Linotype"/>
        </w:rPr>
        <w:t>Summary</w:t>
      </w:r>
      <w:bookmarkEnd w:id="0"/>
    </w:p>
    <w:p w:rsidRPr="00511954" w:rsidR="003E17B7" w:rsidP="0010120C" w:rsidRDefault="003E17B7" w14:paraId="7BB78B6F" w14:textId="015DB182">
      <w:pPr>
        <w:autoSpaceDE w:val="0"/>
        <w:autoSpaceDN w:val="0"/>
        <w:spacing w:after="240"/>
        <w:rPr>
          <w:rFonts w:ascii="Palatino Linotype" w:hAnsi="Palatino Linotype"/>
        </w:rPr>
      </w:pPr>
      <w:r w:rsidRPr="00511954">
        <w:rPr>
          <w:rFonts w:ascii="Palatino Linotype" w:hAnsi="Palatino Linotype"/>
        </w:rPr>
        <w:t>This Resolution approves, with modifications, Pacific Gas and Electric Company’s (PG&amp;E’s) Advice Letter (AL) 5362-E</w:t>
      </w:r>
      <w:r w:rsidRPr="00511954" w:rsidR="00F31EBC">
        <w:rPr>
          <w:rFonts w:ascii="Palatino Linotype" w:hAnsi="Palatino Linotype"/>
        </w:rPr>
        <w:t>/E-A</w:t>
      </w:r>
      <w:r w:rsidRPr="00511954">
        <w:rPr>
          <w:rFonts w:ascii="Palatino Linotype" w:hAnsi="Palatino Linotype"/>
        </w:rPr>
        <w:t>, Southern California Edison</w:t>
      </w:r>
      <w:r w:rsidRPr="00511954" w:rsidR="004F59D8">
        <w:rPr>
          <w:rFonts w:ascii="Palatino Linotype" w:hAnsi="Palatino Linotype"/>
        </w:rPr>
        <w:t>’</w:t>
      </w:r>
      <w:r w:rsidRPr="00511954">
        <w:rPr>
          <w:rFonts w:ascii="Palatino Linotype" w:hAnsi="Palatino Linotype"/>
        </w:rPr>
        <w:t>s (SCE’s) AL 3851-E</w:t>
      </w:r>
      <w:r w:rsidRPr="00511954" w:rsidR="00F31EBC">
        <w:rPr>
          <w:rFonts w:ascii="Palatino Linotype" w:hAnsi="Palatino Linotype"/>
        </w:rPr>
        <w:t>/E-A</w:t>
      </w:r>
      <w:r w:rsidRPr="00511954">
        <w:rPr>
          <w:rFonts w:ascii="Palatino Linotype" w:hAnsi="Palatino Linotype"/>
        </w:rPr>
        <w:t>, and San Diego Gas &amp; Electric Company’s (SDG&amp;E’s) AL</w:t>
      </w:r>
      <w:r w:rsidRPr="00511954" w:rsidR="00573CC2">
        <w:rPr>
          <w:rFonts w:ascii="Palatino Linotype" w:hAnsi="Palatino Linotype"/>
        </w:rPr>
        <w:t xml:space="preserve"> 3262-E</w:t>
      </w:r>
      <w:r w:rsidRPr="00511954" w:rsidR="00F31EBC">
        <w:rPr>
          <w:rFonts w:ascii="Palatino Linotype" w:hAnsi="Palatino Linotype"/>
        </w:rPr>
        <w:t>/E-A/E-B</w:t>
      </w:r>
      <w:r w:rsidRPr="00511954" w:rsidR="00573CC2">
        <w:rPr>
          <w:rFonts w:ascii="Palatino Linotype" w:hAnsi="Palatino Linotype"/>
        </w:rPr>
        <w:t xml:space="preserve"> t</w:t>
      </w:r>
      <w:r w:rsidRPr="00511954">
        <w:rPr>
          <w:rFonts w:ascii="Palatino Linotype" w:hAnsi="Palatino Linotype"/>
        </w:rPr>
        <w:t xml:space="preserve">o create </w:t>
      </w:r>
      <w:r w:rsidRPr="00511954" w:rsidR="000B2FDD">
        <w:rPr>
          <w:rFonts w:ascii="Palatino Linotype" w:hAnsi="Palatino Linotype"/>
        </w:rPr>
        <w:t>tariffs to implement the new</w:t>
      </w:r>
      <w:r w:rsidRPr="00511954">
        <w:rPr>
          <w:rFonts w:ascii="Palatino Linotype" w:hAnsi="Palatino Linotype"/>
        </w:rPr>
        <w:t xml:space="preserve"> Disadvantaged Communities Green Tariff </w:t>
      </w:r>
      <w:r w:rsidRPr="00511954" w:rsidR="00573CC2">
        <w:rPr>
          <w:rFonts w:ascii="Palatino Linotype" w:hAnsi="Palatino Linotype"/>
        </w:rPr>
        <w:t>(DAC-GT) and</w:t>
      </w:r>
      <w:r w:rsidRPr="00511954">
        <w:rPr>
          <w:rFonts w:ascii="Palatino Linotype" w:hAnsi="Palatino Linotype"/>
        </w:rPr>
        <w:t xml:space="preserve"> Communit</w:t>
      </w:r>
      <w:r w:rsidRPr="00511954" w:rsidR="000B2FDD">
        <w:rPr>
          <w:rFonts w:ascii="Palatino Linotype" w:hAnsi="Palatino Linotype"/>
        </w:rPr>
        <w:t>y Solar Green Tariff (CSGT) programs</w:t>
      </w:r>
      <w:r w:rsidRPr="00511954" w:rsidR="00DB363B">
        <w:rPr>
          <w:rFonts w:ascii="Palatino Linotype" w:hAnsi="Palatino Linotype"/>
        </w:rPr>
        <w:t>. Th</w:t>
      </w:r>
      <w:r w:rsidRPr="00511954">
        <w:rPr>
          <w:rFonts w:ascii="Palatino Linotype" w:hAnsi="Palatino Linotype"/>
        </w:rPr>
        <w:t>e</w:t>
      </w:r>
      <w:r w:rsidRPr="00511954" w:rsidR="00DB363B">
        <w:rPr>
          <w:rFonts w:ascii="Palatino Linotype" w:hAnsi="Palatino Linotype"/>
        </w:rPr>
        <w:t xml:space="preserve"> </w:t>
      </w:r>
      <w:r w:rsidRPr="00511954" w:rsidR="00116A66">
        <w:rPr>
          <w:rFonts w:ascii="Palatino Linotype" w:hAnsi="Palatino Linotype"/>
        </w:rPr>
        <w:t xml:space="preserve">California Public Utilities Commission (the </w:t>
      </w:r>
      <w:r w:rsidRPr="00511954" w:rsidR="00DB363B">
        <w:rPr>
          <w:rFonts w:ascii="Palatino Linotype" w:hAnsi="Palatino Linotype"/>
        </w:rPr>
        <w:t>Commission</w:t>
      </w:r>
      <w:r w:rsidRPr="00511954" w:rsidR="00116A66">
        <w:rPr>
          <w:rFonts w:ascii="Palatino Linotype" w:hAnsi="Palatino Linotype"/>
        </w:rPr>
        <w:t>)</w:t>
      </w:r>
      <w:r w:rsidRPr="00511954">
        <w:rPr>
          <w:rFonts w:ascii="Palatino Linotype" w:hAnsi="Palatino Linotype"/>
        </w:rPr>
        <w:t xml:space="preserve"> require</w:t>
      </w:r>
      <w:r w:rsidRPr="00511954" w:rsidR="00DB363B">
        <w:rPr>
          <w:rFonts w:ascii="Palatino Linotype" w:hAnsi="Palatino Linotype"/>
        </w:rPr>
        <w:t>s</w:t>
      </w:r>
      <w:r w:rsidRPr="00511954">
        <w:rPr>
          <w:rFonts w:ascii="Palatino Linotype" w:hAnsi="Palatino Linotype"/>
        </w:rPr>
        <w:t xml:space="preserve"> PG&amp;E, SCE, and SDG&amp;E</w:t>
      </w:r>
      <w:r w:rsidRPr="00511954" w:rsidR="000B2FDD">
        <w:rPr>
          <w:rFonts w:ascii="Palatino Linotype" w:hAnsi="Palatino Linotype"/>
        </w:rPr>
        <w:t xml:space="preserve"> (the I</w:t>
      </w:r>
      <w:r w:rsidRPr="00511954" w:rsidR="0033450B">
        <w:rPr>
          <w:rFonts w:ascii="Palatino Linotype" w:hAnsi="Palatino Linotype"/>
        </w:rPr>
        <w:t>nvestor Owned Utilities or I</w:t>
      </w:r>
      <w:r w:rsidRPr="00511954" w:rsidR="000B2FDD">
        <w:rPr>
          <w:rFonts w:ascii="Palatino Linotype" w:hAnsi="Palatino Linotype"/>
        </w:rPr>
        <w:t>OUs)</w:t>
      </w:r>
      <w:r w:rsidRPr="00511954">
        <w:rPr>
          <w:rFonts w:ascii="Palatino Linotype" w:hAnsi="Palatino Linotype"/>
        </w:rPr>
        <w:t xml:space="preserve"> to modify their DAC-GT and CSGT tariffs </w:t>
      </w:r>
      <w:r w:rsidRPr="00511954" w:rsidR="00315400">
        <w:rPr>
          <w:rFonts w:ascii="Palatino Linotype" w:hAnsi="Palatino Linotype"/>
        </w:rPr>
        <w:t xml:space="preserve">pursuant to the direction provided in this </w:t>
      </w:r>
      <w:r w:rsidRPr="00511954" w:rsidR="000C6668">
        <w:rPr>
          <w:rFonts w:ascii="Palatino Linotype" w:hAnsi="Palatino Linotype"/>
        </w:rPr>
        <w:t>R</w:t>
      </w:r>
      <w:r w:rsidRPr="00511954" w:rsidR="00315400">
        <w:rPr>
          <w:rFonts w:ascii="Palatino Linotype" w:hAnsi="Palatino Linotype"/>
        </w:rPr>
        <w:t>esolution on</w:t>
      </w:r>
      <w:r w:rsidRPr="00511954">
        <w:rPr>
          <w:rFonts w:ascii="Palatino Linotype" w:hAnsi="Palatino Linotype"/>
        </w:rPr>
        <w:t xml:space="preserve"> issues that were raised in the protests</w:t>
      </w:r>
      <w:r w:rsidRPr="00511954" w:rsidR="00315400">
        <w:rPr>
          <w:rFonts w:ascii="Palatino Linotype" w:hAnsi="Palatino Linotype"/>
        </w:rPr>
        <w:t>,</w:t>
      </w:r>
      <w:r w:rsidRPr="00511954" w:rsidR="0033450B">
        <w:rPr>
          <w:rFonts w:ascii="Palatino Linotype" w:hAnsi="Palatino Linotype"/>
        </w:rPr>
        <w:t xml:space="preserve"> on </w:t>
      </w:r>
      <w:r w:rsidRPr="00511954" w:rsidR="000B2FDD">
        <w:rPr>
          <w:rFonts w:ascii="Palatino Linotype" w:hAnsi="Palatino Linotype"/>
        </w:rPr>
        <w:t>aspects of program implementation that were treated inconsistently across the IOUs</w:t>
      </w:r>
      <w:r w:rsidRPr="00511954" w:rsidR="00315400">
        <w:rPr>
          <w:rFonts w:ascii="Palatino Linotype" w:hAnsi="Palatino Linotype"/>
        </w:rPr>
        <w:t>, and on</w:t>
      </w:r>
      <w:r w:rsidRPr="00511954" w:rsidR="000B2FDD">
        <w:rPr>
          <w:rFonts w:ascii="Palatino Linotype" w:hAnsi="Palatino Linotype"/>
        </w:rPr>
        <w:t xml:space="preserve"> aspects of the</w:t>
      </w:r>
      <w:r w:rsidRPr="00511954" w:rsidR="002D3042">
        <w:rPr>
          <w:rFonts w:ascii="Palatino Linotype" w:hAnsi="Palatino Linotype"/>
        </w:rPr>
        <w:t xml:space="preserve"> IOUs</w:t>
      </w:r>
      <w:r w:rsidRPr="00511954" w:rsidR="000C6668">
        <w:rPr>
          <w:rFonts w:ascii="Palatino Linotype" w:hAnsi="Palatino Linotype"/>
        </w:rPr>
        <w:t>’</w:t>
      </w:r>
      <w:r w:rsidRPr="00511954" w:rsidR="000B2FDD">
        <w:rPr>
          <w:rFonts w:ascii="Palatino Linotype" w:hAnsi="Palatino Linotype"/>
        </w:rPr>
        <w:t xml:space="preserve"> proposed program implementation plans that contradict program rules established in </w:t>
      </w:r>
      <w:r w:rsidRPr="00511954" w:rsidR="00A165B3">
        <w:rPr>
          <w:rFonts w:ascii="Palatino Linotype" w:hAnsi="Palatino Linotype"/>
        </w:rPr>
        <w:t>Decision</w:t>
      </w:r>
      <w:r w:rsidRPr="00511954" w:rsidR="000B2FDD">
        <w:rPr>
          <w:rFonts w:ascii="Palatino Linotype" w:hAnsi="Palatino Linotype"/>
        </w:rPr>
        <w:t xml:space="preserve"> 18-06-027. </w:t>
      </w:r>
    </w:p>
    <w:p w:rsidRPr="00511954" w:rsidR="003E17B7" w:rsidP="00755176" w:rsidRDefault="003E17B7" w14:paraId="4B6D1F0E" w14:textId="77777777">
      <w:pPr>
        <w:pStyle w:val="Heading1"/>
        <w:spacing w:after="0"/>
        <w:rPr>
          <w:rFonts w:ascii="Palatino Linotype" w:hAnsi="Palatino Linotype"/>
        </w:rPr>
      </w:pPr>
      <w:r w:rsidRPr="00511954">
        <w:rPr>
          <w:rFonts w:ascii="Palatino Linotype" w:hAnsi="Palatino Linotype"/>
        </w:rPr>
        <w:t>Background</w:t>
      </w:r>
    </w:p>
    <w:p w:rsidRPr="00511954" w:rsidR="00755176" w:rsidP="0010120C" w:rsidRDefault="003E17B7" w14:paraId="344D3986" w14:textId="7EE9E56F">
      <w:pPr>
        <w:spacing w:after="240"/>
        <w:rPr>
          <w:rFonts w:ascii="Palatino Linotype" w:hAnsi="Palatino Linotype"/>
        </w:rPr>
      </w:pPr>
      <w:r w:rsidRPr="00511954">
        <w:rPr>
          <w:rFonts w:ascii="Palatino Linotype" w:hAnsi="Palatino Linotype"/>
        </w:rPr>
        <w:t xml:space="preserve">On </w:t>
      </w:r>
      <w:r w:rsidRPr="00511954" w:rsidR="00573CC2">
        <w:rPr>
          <w:rFonts w:ascii="Palatino Linotype" w:hAnsi="Palatino Linotype"/>
        </w:rPr>
        <w:t>June</w:t>
      </w:r>
      <w:r w:rsidRPr="00511954">
        <w:rPr>
          <w:rFonts w:ascii="Palatino Linotype" w:hAnsi="Palatino Linotype"/>
        </w:rPr>
        <w:t xml:space="preserve"> 22, 201</w:t>
      </w:r>
      <w:r w:rsidRPr="00511954" w:rsidR="00573CC2">
        <w:rPr>
          <w:rFonts w:ascii="Palatino Linotype" w:hAnsi="Palatino Linotype"/>
        </w:rPr>
        <w:t>8</w:t>
      </w:r>
      <w:r w:rsidRPr="00511954" w:rsidR="00116A66">
        <w:rPr>
          <w:rFonts w:ascii="Palatino Linotype" w:hAnsi="Palatino Linotype"/>
        </w:rPr>
        <w:t>,</w:t>
      </w:r>
      <w:r w:rsidRPr="00511954">
        <w:rPr>
          <w:rFonts w:ascii="Palatino Linotype" w:hAnsi="Palatino Linotype"/>
        </w:rPr>
        <w:t xml:space="preserve"> the </w:t>
      </w:r>
      <w:r w:rsidRPr="00511954" w:rsidR="00116A66">
        <w:rPr>
          <w:rFonts w:ascii="Palatino Linotype" w:hAnsi="Palatino Linotype"/>
        </w:rPr>
        <w:t>California Public Utilities Commission (the Commission)</w:t>
      </w:r>
      <w:r w:rsidRPr="00511954">
        <w:rPr>
          <w:rFonts w:ascii="Palatino Linotype" w:hAnsi="Palatino Linotype"/>
        </w:rPr>
        <w:t xml:space="preserve"> issued </w:t>
      </w:r>
      <w:r w:rsidRPr="00511954" w:rsidR="00A165B3">
        <w:rPr>
          <w:rFonts w:ascii="Palatino Linotype" w:hAnsi="Palatino Linotype"/>
        </w:rPr>
        <w:t>Decision</w:t>
      </w:r>
      <w:r w:rsidRPr="00511954">
        <w:rPr>
          <w:rFonts w:ascii="Palatino Linotype" w:hAnsi="Palatino Linotype"/>
        </w:rPr>
        <w:t xml:space="preserve"> (D.)</w:t>
      </w:r>
      <w:r w:rsidRPr="00511954" w:rsidR="00573CC2">
        <w:rPr>
          <w:rFonts w:ascii="Palatino Linotype" w:hAnsi="Palatino Linotype"/>
        </w:rPr>
        <w:t>18-06-027</w:t>
      </w:r>
      <w:r w:rsidRPr="00511954" w:rsidR="00315400">
        <w:rPr>
          <w:rFonts w:ascii="Palatino Linotype" w:hAnsi="Palatino Linotype"/>
        </w:rPr>
        <w:t xml:space="preserve"> </w:t>
      </w:r>
      <w:r w:rsidRPr="006F7EAF" w:rsidR="007F2F78">
        <w:rPr>
          <w:rFonts w:ascii="Palatino Linotype" w:hAnsi="Palatino Linotype"/>
          <w:i/>
        </w:rPr>
        <w:t>Alternate Decision Adopting Alternatives to Promote Solar Distributed Generation in Disadvantaged Communities</w:t>
      </w:r>
      <w:r w:rsidRPr="00511954" w:rsidR="007F2F78">
        <w:rPr>
          <w:rFonts w:ascii="Palatino Linotype" w:hAnsi="Palatino Linotype"/>
        </w:rPr>
        <w:t xml:space="preserve"> </w:t>
      </w:r>
      <w:r w:rsidRPr="00511954" w:rsidR="00315400">
        <w:rPr>
          <w:rFonts w:ascii="Palatino Linotype" w:hAnsi="Palatino Linotype"/>
        </w:rPr>
        <w:t>(NEM DAC Decision</w:t>
      </w:r>
      <w:r w:rsidR="007F2F78">
        <w:rPr>
          <w:rFonts w:ascii="Palatino Linotype" w:hAnsi="Palatino Linotype"/>
        </w:rPr>
        <w:t xml:space="preserve"> or Decision</w:t>
      </w:r>
      <w:r w:rsidRPr="00511954" w:rsidR="00315400">
        <w:rPr>
          <w:rFonts w:ascii="Palatino Linotype" w:hAnsi="Palatino Linotype"/>
        </w:rPr>
        <w:t>)</w:t>
      </w:r>
      <w:r w:rsidRPr="00511954" w:rsidR="001B652D">
        <w:rPr>
          <w:rFonts w:ascii="Palatino Linotype" w:hAnsi="Palatino Linotype"/>
        </w:rPr>
        <w:t xml:space="preserve">, </w:t>
      </w:r>
      <w:r w:rsidRPr="00511954" w:rsidR="00573CC2">
        <w:rPr>
          <w:rFonts w:ascii="Palatino Linotype" w:hAnsi="Palatino Linotype"/>
        </w:rPr>
        <w:t>creat</w:t>
      </w:r>
      <w:r w:rsidRPr="00511954" w:rsidR="001B652D">
        <w:rPr>
          <w:rFonts w:ascii="Palatino Linotype" w:hAnsi="Palatino Linotype"/>
        </w:rPr>
        <w:t xml:space="preserve">ing </w:t>
      </w:r>
      <w:r w:rsidRPr="00511954" w:rsidR="00573CC2">
        <w:rPr>
          <w:rFonts w:ascii="Palatino Linotype" w:hAnsi="Palatino Linotype"/>
        </w:rPr>
        <w:t>three new programs</w:t>
      </w:r>
      <w:r w:rsidRPr="00511954" w:rsidR="00BC0169">
        <w:rPr>
          <w:rFonts w:ascii="Palatino Linotype" w:hAnsi="Palatino Linotype"/>
        </w:rPr>
        <w:t xml:space="preserve"> to</w:t>
      </w:r>
      <w:r w:rsidRPr="00511954" w:rsidR="00573CC2">
        <w:rPr>
          <w:rFonts w:ascii="Palatino Linotype" w:hAnsi="Palatino Linotype"/>
        </w:rPr>
        <w:t xml:space="preserve"> </w:t>
      </w:r>
      <w:r w:rsidRPr="00511954" w:rsidR="00BC0169">
        <w:rPr>
          <w:rFonts w:ascii="Palatino Linotype" w:hAnsi="Palatino Linotype"/>
        </w:rPr>
        <w:t>improve access to renewable generation for</w:t>
      </w:r>
      <w:r w:rsidRPr="00511954" w:rsidR="00573CC2">
        <w:rPr>
          <w:rFonts w:ascii="Palatino Linotype" w:hAnsi="Palatino Linotype"/>
        </w:rPr>
        <w:t xml:space="preserve"> residential customers in </w:t>
      </w:r>
      <w:r w:rsidR="00935522">
        <w:rPr>
          <w:rFonts w:ascii="Palatino Linotype" w:hAnsi="Palatino Linotype"/>
        </w:rPr>
        <w:t>disadvantaged communities (</w:t>
      </w:r>
      <w:r w:rsidRPr="00511954" w:rsidR="00573CC2">
        <w:rPr>
          <w:rFonts w:ascii="Palatino Linotype" w:hAnsi="Palatino Linotype"/>
        </w:rPr>
        <w:t>DACs</w:t>
      </w:r>
      <w:r w:rsidR="00935522">
        <w:rPr>
          <w:rFonts w:ascii="Palatino Linotype" w:hAnsi="Palatino Linotype"/>
        </w:rPr>
        <w:t>)</w:t>
      </w:r>
      <w:r w:rsidRPr="00511954" w:rsidR="00573CC2">
        <w:rPr>
          <w:rFonts w:ascii="Palatino Linotype" w:hAnsi="Palatino Linotype"/>
        </w:rPr>
        <w:t xml:space="preserve">, pursuant to </w:t>
      </w:r>
      <w:r w:rsidRPr="00511954" w:rsidR="00315400">
        <w:rPr>
          <w:rFonts w:ascii="Palatino Linotype" w:hAnsi="Palatino Linotype"/>
        </w:rPr>
        <w:t>Assembly Bill (</w:t>
      </w:r>
      <w:r w:rsidRPr="00511954" w:rsidR="00573CC2">
        <w:rPr>
          <w:rFonts w:ascii="Palatino Linotype" w:hAnsi="Palatino Linotype"/>
        </w:rPr>
        <w:t>AB</w:t>
      </w:r>
      <w:r w:rsidRPr="00511954" w:rsidR="00315400">
        <w:rPr>
          <w:rFonts w:ascii="Palatino Linotype" w:hAnsi="Palatino Linotype"/>
        </w:rPr>
        <w:t>)</w:t>
      </w:r>
      <w:r w:rsidRPr="00511954" w:rsidR="00573CC2">
        <w:rPr>
          <w:rFonts w:ascii="Palatino Linotype" w:hAnsi="Palatino Linotype"/>
        </w:rPr>
        <w:t xml:space="preserve"> 327 (</w:t>
      </w:r>
      <w:proofErr w:type="spellStart"/>
      <w:r w:rsidRPr="00511954" w:rsidR="00573CC2">
        <w:rPr>
          <w:rFonts w:ascii="Palatino Linotype" w:hAnsi="Palatino Linotype"/>
        </w:rPr>
        <w:t>Perea</w:t>
      </w:r>
      <w:proofErr w:type="spellEnd"/>
      <w:r w:rsidRPr="00511954" w:rsidR="00573CC2">
        <w:rPr>
          <w:rFonts w:ascii="Palatino Linotype" w:hAnsi="Palatino Linotype"/>
        </w:rPr>
        <w:t>, 2013).</w:t>
      </w:r>
      <w:r w:rsidRPr="00511954" w:rsidR="00573CC2">
        <w:rPr>
          <w:rStyle w:val="FootnoteReference"/>
          <w:rFonts w:ascii="Palatino Linotype" w:hAnsi="Palatino Linotype"/>
        </w:rPr>
        <w:footnoteReference w:id="2"/>
      </w:r>
      <w:r w:rsidRPr="00511954" w:rsidR="00573CC2">
        <w:rPr>
          <w:rFonts w:ascii="Palatino Linotype" w:hAnsi="Palatino Linotype"/>
        </w:rPr>
        <w:t xml:space="preserve"> The </w:t>
      </w:r>
      <w:r w:rsidRPr="00511954" w:rsidR="008D1EC8">
        <w:rPr>
          <w:rFonts w:ascii="Palatino Linotype" w:hAnsi="Palatino Linotype"/>
        </w:rPr>
        <w:t xml:space="preserve">NEM DAC </w:t>
      </w:r>
      <w:r w:rsidRPr="00511954" w:rsidR="00A165B3">
        <w:rPr>
          <w:rFonts w:ascii="Palatino Linotype" w:hAnsi="Palatino Linotype"/>
        </w:rPr>
        <w:t>Decision</w:t>
      </w:r>
      <w:r w:rsidRPr="00511954" w:rsidR="00573CC2">
        <w:rPr>
          <w:rFonts w:ascii="Palatino Linotype" w:hAnsi="Palatino Linotype"/>
        </w:rPr>
        <w:t xml:space="preserve"> defined DACs, for the purpose of the </w:t>
      </w:r>
      <w:r w:rsidRPr="00511954" w:rsidR="004027C0">
        <w:rPr>
          <w:rFonts w:ascii="Palatino Linotype" w:hAnsi="Palatino Linotype"/>
        </w:rPr>
        <w:t>Disadvantaged Communities Green Tariff (</w:t>
      </w:r>
      <w:r w:rsidRPr="00511954" w:rsidR="008D1EC8">
        <w:rPr>
          <w:rFonts w:ascii="Palatino Linotype" w:hAnsi="Palatino Linotype"/>
        </w:rPr>
        <w:t>DAC-GT</w:t>
      </w:r>
      <w:r w:rsidRPr="00511954" w:rsidR="004027C0">
        <w:rPr>
          <w:rFonts w:ascii="Palatino Linotype" w:hAnsi="Palatino Linotype"/>
        </w:rPr>
        <w:t>)</w:t>
      </w:r>
      <w:r w:rsidRPr="00511954" w:rsidR="008D1EC8">
        <w:rPr>
          <w:rFonts w:ascii="Palatino Linotype" w:hAnsi="Palatino Linotype"/>
        </w:rPr>
        <w:t xml:space="preserve"> and </w:t>
      </w:r>
      <w:r w:rsidRPr="00511954" w:rsidR="004027C0">
        <w:rPr>
          <w:rFonts w:ascii="Palatino Linotype" w:hAnsi="Palatino Linotype"/>
        </w:rPr>
        <w:t>C</w:t>
      </w:r>
      <w:r w:rsidRPr="00511954" w:rsidR="0041363F">
        <w:rPr>
          <w:rFonts w:ascii="Palatino Linotype" w:hAnsi="Palatino Linotype"/>
        </w:rPr>
        <w:t>ommunity Solar Green Tariff (</w:t>
      </w:r>
      <w:r w:rsidRPr="00511954" w:rsidR="008D1EC8">
        <w:rPr>
          <w:rFonts w:ascii="Palatino Linotype" w:hAnsi="Palatino Linotype"/>
        </w:rPr>
        <w:t>CSGT</w:t>
      </w:r>
      <w:r w:rsidRPr="00511954" w:rsidR="0041363F">
        <w:rPr>
          <w:rFonts w:ascii="Palatino Linotype" w:hAnsi="Palatino Linotype"/>
        </w:rPr>
        <w:t>)</w:t>
      </w:r>
      <w:r w:rsidRPr="00511954" w:rsidR="008D1EC8">
        <w:rPr>
          <w:rFonts w:ascii="Palatino Linotype" w:hAnsi="Palatino Linotype"/>
        </w:rPr>
        <w:t xml:space="preserve"> programs</w:t>
      </w:r>
      <w:r w:rsidRPr="00511954" w:rsidR="00573CC2">
        <w:rPr>
          <w:rFonts w:ascii="Palatino Linotype" w:hAnsi="Palatino Linotype"/>
        </w:rPr>
        <w:t xml:space="preserve">, as </w:t>
      </w:r>
      <w:r w:rsidRPr="00511954" w:rsidR="008D1EC8">
        <w:rPr>
          <w:rFonts w:ascii="Palatino Linotype" w:hAnsi="Palatino Linotype"/>
        </w:rPr>
        <w:t xml:space="preserve">census tracts that are </w:t>
      </w:r>
      <w:r w:rsidRPr="00511954" w:rsidR="00573CC2">
        <w:rPr>
          <w:rFonts w:ascii="Palatino Linotype" w:hAnsi="Palatino Linotype"/>
        </w:rPr>
        <w:t xml:space="preserve">among the top 25 percent </w:t>
      </w:r>
      <w:r w:rsidRPr="00511954" w:rsidR="008D1EC8">
        <w:rPr>
          <w:rFonts w:ascii="Palatino Linotype" w:hAnsi="Palatino Linotype"/>
        </w:rPr>
        <w:t xml:space="preserve">most impacted </w:t>
      </w:r>
      <w:r w:rsidRPr="00511954" w:rsidR="00573CC2">
        <w:rPr>
          <w:rFonts w:ascii="Palatino Linotype" w:hAnsi="Palatino Linotype"/>
        </w:rPr>
        <w:t>c</w:t>
      </w:r>
      <w:r w:rsidRPr="00511954" w:rsidR="008D1EC8">
        <w:rPr>
          <w:rFonts w:ascii="Palatino Linotype" w:hAnsi="Palatino Linotype"/>
        </w:rPr>
        <w:t>ensus</w:t>
      </w:r>
      <w:r w:rsidRPr="00511954" w:rsidR="00BD0FA2">
        <w:rPr>
          <w:rFonts w:ascii="Palatino Linotype" w:hAnsi="Palatino Linotype"/>
        </w:rPr>
        <w:t xml:space="preserve"> tracts</w:t>
      </w:r>
      <w:r w:rsidRPr="00511954" w:rsidR="00573CC2">
        <w:rPr>
          <w:rFonts w:ascii="Palatino Linotype" w:hAnsi="Palatino Linotype"/>
        </w:rPr>
        <w:t xml:space="preserve"> statewide, using </w:t>
      </w:r>
      <w:proofErr w:type="spellStart"/>
      <w:r w:rsidRPr="00511954" w:rsidR="00573CC2">
        <w:rPr>
          <w:rFonts w:ascii="Palatino Linotype" w:hAnsi="Palatino Linotype"/>
        </w:rPr>
        <w:t>CalEnviroScreen</w:t>
      </w:r>
      <w:proofErr w:type="spellEnd"/>
      <w:r w:rsidRPr="00511954" w:rsidR="00573CC2">
        <w:rPr>
          <w:rFonts w:ascii="Palatino Linotype" w:hAnsi="Palatino Linotype"/>
        </w:rPr>
        <w:t xml:space="preserve"> 3.0</w:t>
      </w:r>
      <w:r w:rsidRPr="00511954" w:rsidR="008D1EC8">
        <w:rPr>
          <w:rFonts w:ascii="Palatino Linotype" w:hAnsi="Palatino Linotype"/>
        </w:rPr>
        <w:t xml:space="preserve"> scoring</w:t>
      </w:r>
      <w:r w:rsidRPr="00511954" w:rsidR="00573CC2">
        <w:rPr>
          <w:rFonts w:ascii="Palatino Linotype" w:hAnsi="Palatino Linotype"/>
        </w:rPr>
        <w:t>.</w:t>
      </w:r>
      <w:r w:rsidRPr="00511954" w:rsidR="00116A66">
        <w:rPr>
          <w:rStyle w:val="FootnoteReference"/>
          <w:rFonts w:ascii="Palatino Linotype" w:hAnsi="Palatino Linotype"/>
        </w:rPr>
        <w:footnoteReference w:id="3"/>
      </w:r>
      <w:r w:rsidRPr="00511954" w:rsidR="00573CC2">
        <w:rPr>
          <w:rFonts w:ascii="Palatino Linotype" w:hAnsi="Palatino Linotype"/>
        </w:rPr>
        <w:t xml:space="preserve"> In addition,</w:t>
      </w:r>
      <w:r w:rsidRPr="00511954" w:rsidR="008D1EC8">
        <w:rPr>
          <w:rFonts w:ascii="Palatino Linotype" w:hAnsi="Palatino Linotype"/>
        </w:rPr>
        <w:t xml:space="preserve"> the Decision included in the definition</w:t>
      </w:r>
      <w:r w:rsidRPr="00511954" w:rsidR="00BD0FA2">
        <w:rPr>
          <w:rFonts w:ascii="Palatino Linotype" w:hAnsi="Palatino Linotype"/>
        </w:rPr>
        <w:t xml:space="preserve"> of DACs</w:t>
      </w:r>
      <w:r w:rsidRPr="00511954" w:rsidR="00573CC2">
        <w:rPr>
          <w:rFonts w:ascii="Palatino Linotype" w:hAnsi="Palatino Linotype"/>
        </w:rPr>
        <w:t xml:space="preserve"> 22 </w:t>
      </w:r>
      <w:r w:rsidRPr="00511954" w:rsidR="00BD0FA2">
        <w:rPr>
          <w:rFonts w:ascii="Palatino Linotype" w:hAnsi="Palatino Linotype"/>
        </w:rPr>
        <w:t xml:space="preserve">additional </w:t>
      </w:r>
      <w:r w:rsidRPr="00511954" w:rsidR="00573CC2">
        <w:rPr>
          <w:rFonts w:ascii="Palatino Linotype" w:hAnsi="Palatino Linotype"/>
        </w:rPr>
        <w:t xml:space="preserve">census tracts </w:t>
      </w:r>
      <w:r w:rsidRPr="00511954" w:rsidR="008E2F0B">
        <w:rPr>
          <w:rFonts w:ascii="Palatino Linotype" w:hAnsi="Palatino Linotype"/>
        </w:rPr>
        <w:t>that</w:t>
      </w:r>
      <w:r w:rsidRPr="00511954" w:rsidR="008D1EC8">
        <w:rPr>
          <w:rFonts w:ascii="Palatino Linotype" w:hAnsi="Palatino Linotype"/>
        </w:rPr>
        <w:t xml:space="preserve"> do not </w:t>
      </w:r>
      <w:r w:rsidRPr="00511954" w:rsidR="00ED72B2">
        <w:rPr>
          <w:rFonts w:ascii="Palatino Linotype" w:hAnsi="Palatino Linotype"/>
        </w:rPr>
        <w:t xml:space="preserve">have an overall </w:t>
      </w:r>
      <w:r w:rsidRPr="00511954" w:rsidR="008D1EC8">
        <w:rPr>
          <w:rFonts w:ascii="Palatino Linotype" w:hAnsi="Palatino Linotype"/>
        </w:rPr>
        <w:t>rank</w:t>
      </w:r>
      <w:r w:rsidRPr="00511954" w:rsidR="00ED72B2">
        <w:rPr>
          <w:rFonts w:ascii="Palatino Linotype" w:hAnsi="Palatino Linotype"/>
        </w:rPr>
        <w:t>ing</w:t>
      </w:r>
      <w:r w:rsidRPr="00511954" w:rsidR="008D1EC8">
        <w:rPr>
          <w:rFonts w:ascii="Palatino Linotype" w:hAnsi="Palatino Linotype"/>
        </w:rPr>
        <w:t>, but</w:t>
      </w:r>
      <w:r w:rsidRPr="00511954" w:rsidR="008E2F0B">
        <w:rPr>
          <w:rFonts w:ascii="Palatino Linotype" w:hAnsi="Palatino Linotype"/>
        </w:rPr>
        <w:t xml:space="preserve"> </w:t>
      </w:r>
      <w:r w:rsidRPr="00511954" w:rsidR="00BD0FA2">
        <w:rPr>
          <w:rFonts w:ascii="Palatino Linotype" w:hAnsi="Palatino Linotype"/>
        </w:rPr>
        <w:t xml:space="preserve">that </w:t>
      </w:r>
      <w:r w:rsidRPr="00511954" w:rsidR="00ED72B2">
        <w:rPr>
          <w:rFonts w:ascii="Palatino Linotype" w:hAnsi="Palatino Linotype"/>
        </w:rPr>
        <w:t xml:space="preserve">score </w:t>
      </w:r>
      <w:r w:rsidRPr="00511954" w:rsidR="00BD0FA2">
        <w:rPr>
          <w:rFonts w:ascii="Palatino Linotype" w:hAnsi="Palatino Linotype"/>
        </w:rPr>
        <w:t>among</w:t>
      </w:r>
      <w:r w:rsidRPr="00511954" w:rsidR="00573CC2">
        <w:rPr>
          <w:rFonts w:ascii="Palatino Linotype" w:hAnsi="Palatino Linotype"/>
        </w:rPr>
        <w:t xml:space="preserve"> the highest 5 percent of </w:t>
      </w:r>
      <w:proofErr w:type="spellStart"/>
      <w:r w:rsidRPr="00511954" w:rsidR="00573CC2">
        <w:rPr>
          <w:rFonts w:ascii="Palatino Linotype" w:hAnsi="Palatino Linotype"/>
        </w:rPr>
        <w:t>CalEnviroScreen’s</w:t>
      </w:r>
      <w:proofErr w:type="spellEnd"/>
      <w:r w:rsidRPr="00511954" w:rsidR="00573CC2">
        <w:rPr>
          <w:rFonts w:ascii="Palatino Linotype" w:hAnsi="Palatino Linotype"/>
        </w:rPr>
        <w:t xml:space="preserve"> Pollution Burden</w:t>
      </w:r>
      <w:r w:rsidRPr="00511954" w:rsidR="008D1EC8">
        <w:rPr>
          <w:rFonts w:ascii="Palatino Linotype" w:hAnsi="Palatino Linotype"/>
        </w:rPr>
        <w:t xml:space="preserve"> category</w:t>
      </w:r>
      <w:r w:rsidRPr="00511954" w:rsidR="00573CC2">
        <w:rPr>
          <w:rFonts w:ascii="Palatino Linotype" w:hAnsi="Palatino Linotype"/>
        </w:rPr>
        <w:t>.</w:t>
      </w:r>
      <w:r w:rsidRPr="00511954" w:rsidR="00573CC2">
        <w:rPr>
          <w:rStyle w:val="FootnoteReference"/>
          <w:rFonts w:ascii="Palatino Linotype" w:hAnsi="Palatino Linotype"/>
        </w:rPr>
        <w:footnoteReference w:id="4"/>
      </w:r>
      <w:r w:rsidRPr="00511954" w:rsidR="00573CC2">
        <w:rPr>
          <w:rFonts w:ascii="Palatino Linotype" w:hAnsi="Palatino Linotype"/>
        </w:rPr>
        <w:t xml:space="preserve"> The programs created in D.18-06-027 are the DAC Single-family Solar Homes (DAC-SASH) program</w:t>
      </w:r>
      <w:r w:rsidRPr="00511954" w:rsidR="00BC0169">
        <w:rPr>
          <w:rFonts w:ascii="Palatino Linotype" w:hAnsi="Palatino Linotype"/>
        </w:rPr>
        <w:t>,</w:t>
      </w:r>
      <w:r w:rsidRPr="00511954" w:rsidR="00573CC2">
        <w:rPr>
          <w:rStyle w:val="FootnoteReference"/>
          <w:rFonts w:ascii="Palatino Linotype" w:hAnsi="Palatino Linotype"/>
        </w:rPr>
        <w:footnoteReference w:id="5"/>
      </w:r>
      <w:r w:rsidRPr="00511954" w:rsidR="00573CC2">
        <w:rPr>
          <w:rFonts w:ascii="Palatino Linotype" w:hAnsi="Palatino Linotype"/>
        </w:rPr>
        <w:t xml:space="preserve"> the</w:t>
      </w:r>
      <w:r w:rsidRPr="00511954" w:rsidR="0041363F">
        <w:rPr>
          <w:rFonts w:ascii="Palatino Linotype" w:hAnsi="Palatino Linotype"/>
        </w:rPr>
        <w:t xml:space="preserve"> </w:t>
      </w:r>
      <w:r w:rsidRPr="00511954" w:rsidR="00573CC2">
        <w:rPr>
          <w:rFonts w:ascii="Palatino Linotype" w:hAnsi="Palatino Linotype"/>
        </w:rPr>
        <w:t>DAC-GT program, and the CSGT</w:t>
      </w:r>
      <w:r w:rsidRPr="00511954" w:rsidR="0041363F">
        <w:rPr>
          <w:rFonts w:ascii="Palatino Linotype" w:hAnsi="Palatino Linotype"/>
        </w:rPr>
        <w:t xml:space="preserve"> program</w:t>
      </w:r>
      <w:r w:rsidRPr="00511954" w:rsidR="00573CC2">
        <w:rPr>
          <w:rFonts w:ascii="Palatino Linotype" w:hAnsi="Palatino Linotype"/>
        </w:rPr>
        <w:t xml:space="preserve">. </w:t>
      </w:r>
      <w:r w:rsidRPr="00511954" w:rsidR="00CF2823">
        <w:rPr>
          <w:rFonts w:ascii="Palatino Linotype" w:hAnsi="Palatino Linotype"/>
        </w:rPr>
        <w:t xml:space="preserve">The </w:t>
      </w:r>
      <w:r w:rsidRPr="00511954" w:rsidR="00A165B3">
        <w:rPr>
          <w:rFonts w:ascii="Palatino Linotype" w:hAnsi="Palatino Linotype"/>
        </w:rPr>
        <w:t>Decision</w:t>
      </w:r>
      <w:r w:rsidRPr="00511954" w:rsidR="00CF2823">
        <w:rPr>
          <w:rFonts w:ascii="Palatino Linotype" w:hAnsi="Palatino Linotype"/>
        </w:rPr>
        <w:t xml:space="preserve"> ordered that the programs be funded first through available </w:t>
      </w:r>
      <w:r w:rsidRPr="00511954" w:rsidR="0041363F">
        <w:rPr>
          <w:rFonts w:ascii="Palatino Linotype" w:hAnsi="Palatino Linotype"/>
        </w:rPr>
        <w:t>g</w:t>
      </w:r>
      <w:r w:rsidRPr="00511954" w:rsidR="00CF2823">
        <w:rPr>
          <w:rFonts w:ascii="Palatino Linotype" w:hAnsi="Palatino Linotype"/>
        </w:rPr>
        <w:t xml:space="preserve">reenhouse </w:t>
      </w:r>
      <w:r w:rsidRPr="00511954" w:rsidR="0041363F">
        <w:rPr>
          <w:rFonts w:ascii="Palatino Linotype" w:hAnsi="Palatino Linotype"/>
        </w:rPr>
        <w:t>g</w:t>
      </w:r>
      <w:r w:rsidRPr="00511954" w:rsidR="00CF2823">
        <w:rPr>
          <w:rFonts w:ascii="Palatino Linotype" w:hAnsi="Palatino Linotype"/>
        </w:rPr>
        <w:t xml:space="preserve">as (GHG) allowance </w:t>
      </w:r>
      <w:r w:rsidRPr="00511954" w:rsidR="00EB5EA9">
        <w:rPr>
          <w:rFonts w:ascii="Palatino Linotype" w:hAnsi="Palatino Linotype"/>
        </w:rPr>
        <w:t>proceeds and that if those funds are exhausted, then the program</w:t>
      </w:r>
      <w:r w:rsidRPr="00511954" w:rsidR="001B413F">
        <w:rPr>
          <w:rFonts w:ascii="Palatino Linotype" w:hAnsi="Palatino Linotype"/>
        </w:rPr>
        <w:t>s</w:t>
      </w:r>
      <w:r w:rsidRPr="00511954" w:rsidR="00EB5EA9">
        <w:rPr>
          <w:rFonts w:ascii="Palatino Linotype" w:hAnsi="Palatino Linotype"/>
        </w:rPr>
        <w:t xml:space="preserve"> be funded through public purpose program funds.</w:t>
      </w:r>
      <w:r w:rsidRPr="00511954" w:rsidR="00EB5EA9">
        <w:rPr>
          <w:rStyle w:val="FootnoteReference"/>
          <w:rFonts w:ascii="Palatino Linotype" w:hAnsi="Palatino Linotype"/>
        </w:rPr>
        <w:footnoteReference w:id="6"/>
      </w:r>
      <w:r w:rsidRPr="00511954" w:rsidR="00EB5EA9">
        <w:rPr>
          <w:rFonts w:ascii="Palatino Linotype" w:hAnsi="Palatino Linotype"/>
        </w:rPr>
        <w:t xml:space="preserve"> </w:t>
      </w:r>
    </w:p>
    <w:p w:rsidRPr="00511954" w:rsidR="00ED1D75" w:rsidP="00755176" w:rsidRDefault="007D1750" w14:paraId="11A49091" w14:textId="1C1765E8">
      <w:pPr>
        <w:spacing w:after="240"/>
        <w:rPr>
          <w:rFonts w:ascii="Palatino Linotype" w:hAnsi="Palatino Linotype"/>
          <w:b/>
        </w:rPr>
      </w:pPr>
      <w:r w:rsidRPr="00511954">
        <w:rPr>
          <w:rFonts w:ascii="Palatino Linotype" w:hAnsi="Palatino Linotype"/>
        </w:rPr>
        <w:t xml:space="preserve">The </w:t>
      </w:r>
      <w:r w:rsidRPr="00511954" w:rsidR="00315400">
        <w:rPr>
          <w:rFonts w:ascii="Palatino Linotype" w:hAnsi="Palatino Linotype"/>
        </w:rPr>
        <w:t xml:space="preserve">NEM DAC </w:t>
      </w:r>
      <w:r w:rsidRPr="00511954" w:rsidR="00A165B3">
        <w:rPr>
          <w:rFonts w:ascii="Palatino Linotype" w:hAnsi="Palatino Linotype"/>
        </w:rPr>
        <w:t>Decision</w:t>
      </w:r>
      <w:r w:rsidRPr="00511954">
        <w:rPr>
          <w:rFonts w:ascii="Palatino Linotype" w:hAnsi="Palatino Linotype"/>
        </w:rPr>
        <w:t xml:space="preserve"> </w:t>
      </w:r>
      <w:r w:rsidRPr="00511954" w:rsidR="002E1288">
        <w:rPr>
          <w:rFonts w:ascii="Palatino Linotype" w:hAnsi="Palatino Linotype"/>
        </w:rPr>
        <w:t>established</w:t>
      </w:r>
      <w:r w:rsidRPr="00511954">
        <w:rPr>
          <w:rFonts w:ascii="Palatino Linotype" w:hAnsi="Palatino Linotype"/>
        </w:rPr>
        <w:t xml:space="preserve"> a number of rules </w:t>
      </w:r>
      <w:r w:rsidRPr="00511954" w:rsidR="002E1288">
        <w:rPr>
          <w:rFonts w:ascii="Palatino Linotype" w:hAnsi="Palatino Linotype"/>
        </w:rPr>
        <w:t>for</w:t>
      </w:r>
      <w:r w:rsidRPr="00511954">
        <w:rPr>
          <w:rFonts w:ascii="Palatino Linotype" w:hAnsi="Palatino Linotype"/>
        </w:rPr>
        <w:t xml:space="preserve"> the DAC-GT and CSGT programs</w:t>
      </w:r>
      <w:r w:rsidR="00935522">
        <w:rPr>
          <w:rFonts w:ascii="Palatino Linotype" w:hAnsi="Palatino Linotype"/>
        </w:rPr>
        <w:t>,</w:t>
      </w:r>
      <w:r w:rsidRPr="00511954">
        <w:rPr>
          <w:rFonts w:ascii="Palatino Linotype" w:hAnsi="Palatino Linotype"/>
        </w:rPr>
        <w:t xml:space="preserve"> including that </w:t>
      </w:r>
      <w:r w:rsidRPr="00511954" w:rsidR="00ED1D75">
        <w:rPr>
          <w:rFonts w:ascii="Palatino Linotype" w:hAnsi="Palatino Linotype"/>
        </w:rPr>
        <w:t xml:space="preserve">all projects must be sited in DACs, as defined by the </w:t>
      </w:r>
      <w:r w:rsidRPr="00511954" w:rsidR="00A165B3">
        <w:rPr>
          <w:rFonts w:ascii="Palatino Linotype" w:hAnsi="Palatino Linotype"/>
        </w:rPr>
        <w:t>Decision</w:t>
      </w:r>
      <w:r w:rsidRPr="00511954" w:rsidR="00ED1D75">
        <w:rPr>
          <w:rFonts w:ascii="Palatino Linotype" w:hAnsi="Palatino Linotype"/>
        </w:rPr>
        <w:t>.</w:t>
      </w:r>
      <w:r w:rsidRPr="00511954" w:rsidR="00ED1D75">
        <w:rPr>
          <w:rStyle w:val="FootnoteReference"/>
          <w:rFonts w:ascii="Palatino Linotype" w:hAnsi="Palatino Linotype"/>
        </w:rPr>
        <w:footnoteReference w:id="7"/>
      </w:r>
      <w:r w:rsidRPr="00511954" w:rsidR="00ED1D75">
        <w:rPr>
          <w:rFonts w:ascii="Palatino Linotype" w:hAnsi="Palatino Linotype"/>
        </w:rPr>
        <w:t xml:space="preserve"> The CSGT program has additional local siting requirements, namely that CSGT projects must be sited in DACs </w:t>
      </w:r>
      <w:r w:rsidRPr="00511954" w:rsidR="0090442C">
        <w:rPr>
          <w:rFonts w:ascii="Palatino Linotype" w:hAnsi="Palatino Linotype"/>
        </w:rPr>
        <w:t>and be located</w:t>
      </w:r>
      <w:r w:rsidRPr="00511954" w:rsidR="00ED1D75">
        <w:rPr>
          <w:rFonts w:ascii="Palatino Linotype" w:hAnsi="Palatino Linotype"/>
        </w:rPr>
        <w:t xml:space="preserve"> within 5 miles of the DACs in which subscribing customers reside. In addition, the </w:t>
      </w:r>
      <w:r w:rsidRPr="00511954" w:rsidR="00A165B3">
        <w:rPr>
          <w:rFonts w:ascii="Palatino Linotype" w:hAnsi="Palatino Linotype"/>
        </w:rPr>
        <w:t>Decision</w:t>
      </w:r>
      <w:r w:rsidRPr="00511954" w:rsidR="00ED1D75">
        <w:rPr>
          <w:rFonts w:ascii="Palatino Linotype" w:hAnsi="Palatino Linotype"/>
        </w:rPr>
        <w:t xml:space="preserve"> established that all San Joaquin Valley (SJV) pilot program communities identified in D.17-05-014 are to be considered DACs for the CSGT program only.</w:t>
      </w:r>
      <w:r w:rsidRPr="00511954" w:rsidR="00ED1D75">
        <w:rPr>
          <w:rStyle w:val="FootnoteReference"/>
          <w:rFonts w:ascii="Palatino Linotype" w:hAnsi="Palatino Linotype"/>
        </w:rPr>
        <w:footnoteReference w:id="8"/>
      </w:r>
    </w:p>
    <w:p w:rsidRPr="00511954" w:rsidR="00DC2998" w:rsidP="00755176" w:rsidRDefault="001B413F" w14:paraId="714AB7B4" w14:textId="06F31C5F">
      <w:pPr>
        <w:pStyle w:val="BodyText"/>
        <w:spacing w:after="240"/>
        <w:rPr>
          <w:rFonts w:ascii="Palatino Linotype" w:hAnsi="Palatino Linotype"/>
          <w:b w:val="0"/>
        </w:rPr>
      </w:pPr>
      <w:r w:rsidRPr="00511954">
        <w:rPr>
          <w:rFonts w:ascii="Palatino Linotype" w:hAnsi="Palatino Linotype"/>
          <w:b w:val="0"/>
        </w:rPr>
        <w:t>B</w:t>
      </w:r>
      <w:r w:rsidRPr="00511954" w:rsidR="00ED1D75">
        <w:rPr>
          <w:rFonts w:ascii="Palatino Linotype" w:hAnsi="Palatino Linotype"/>
          <w:b w:val="0"/>
        </w:rPr>
        <w:t xml:space="preserve">oth </w:t>
      </w:r>
      <w:r w:rsidRPr="00511954">
        <w:rPr>
          <w:rFonts w:ascii="Palatino Linotype" w:hAnsi="Palatino Linotype"/>
          <w:b w:val="0"/>
        </w:rPr>
        <w:t xml:space="preserve">the DAC-GT and CSGT </w:t>
      </w:r>
      <w:r w:rsidRPr="00511954" w:rsidR="00ED1D75">
        <w:rPr>
          <w:rFonts w:ascii="Palatino Linotype" w:hAnsi="Palatino Linotype"/>
          <w:b w:val="0"/>
        </w:rPr>
        <w:t xml:space="preserve">programs are available to residential customers who reside in DACs, as defined by the </w:t>
      </w:r>
      <w:r w:rsidRPr="00511954" w:rsidR="00A165B3">
        <w:rPr>
          <w:rFonts w:ascii="Palatino Linotype" w:hAnsi="Palatino Linotype"/>
          <w:b w:val="0"/>
        </w:rPr>
        <w:t>Decision</w:t>
      </w:r>
      <w:r w:rsidRPr="00511954" w:rsidR="00ED1D75">
        <w:rPr>
          <w:rFonts w:ascii="Palatino Linotype" w:hAnsi="Palatino Linotype"/>
          <w:b w:val="0"/>
        </w:rPr>
        <w:t xml:space="preserve">. The DAC-GT program is only available to residential DAC customers who are eligible for </w:t>
      </w:r>
      <w:r w:rsidRPr="00511954">
        <w:rPr>
          <w:rFonts w:ascii="Palatino Linotype" w:hAnsi="Palatino Linotype"/>
          <w:b w:val="0"/>
        </w:rPr>
        <w:t xml:space="preserve">either </w:t>
      </w:r>
      <w:r w:rsidRPr="00511954" w:rsidR="00ED1D75">
        <w:rPr>
          <w:rFonts w:ascii="Palatino Linotype" w:hAnsi="Palatino Linotype"/>
          <w:b w:val="0"/>
        </w:rPr>
        <w:t xml:space="preserve">the California Alternate Rates for Energy (CARE) </w:t>
      </w:r>
      <w:r w:rsidRPr="00511954">
        <w:rPr>
          <w:rFonts w:ascii="Palatino Linotype" w:hAnsi="Palatino Linotype"/>
          <w:b w:val="0"/>
        </w:rPr>
        <w:t xml:space="preserve">program </w:t>
      </w:r>
      <w:r w:rsidRPr="00511954" w:rsidR="00ED1D75">
        <w:rPr>
          <w:rFonts w:ascii="Palatino Linotype" w:hAnsi="Palatino Linotype"/>
          <w:b w:val="0"/>
        </w:rPr>
        <w:t xml:space="preserve">or </w:t>
      </w:r>
      <w:r w:rsidRPr="00511954">
        <w:rPr>
          <w:rFonts w:ascii="Palatino Linotype" w:hAnsi="Palatino Linotype"/>
          <w:b w:val="0"/>
        </w:rPr>
        <w:t xml:space="preserve">the </w:t>
      </w:r>
      <w:r w:rsidRPr="00511954" w:rsidR="00ED1D75">
        <w:rPr>
          <w:rFonts w:ascii="Palatino Linotype" w:hAnsi="Palatino Linotype"/>
          <w:b w:val="0"/>
        </w:rPr>
        <w:t>Family Electric Rate Assistance (FERA)</w:t>
      </w:r>
      <w:r w:rsidRPr="00511954">
        <w:rPr>
          <w:rFonts w:ascii="Palatino Linotype" w:hAnsi="Palatino Linotype"/>
          <w:b w:val="0"/>
        </w:rPr>
        <w:t xml:space="preserve"> program</w:t>
      </w:r>
      <w:r w:rsidRPr="00511954" w:rsidR="00ED1D75">
        <w:rPr>
          <w:rFonts w:ascii="Palatino Linotype" w:hAnsi="Palatino Linotype"/>
          <w:b w:val="0"/>
        </w:rPr>
        <w:t>.</w:t>
      </w:r>
      <w:r w:rsidRPr="00511954" w:rsidR="00ED1D75">
        <w:rPr>
          <w:rStyle w:val="FootnoteReference"/>
          <w:rFonts w:ascii="Palatino Linotype" w:hAnsi="Palatino Linotype"/>
          <w:b w:val="0"/>
        </w:rPr>
        <w:footnoteReference w:id="9"/>
      </w:r>
      <w:r w:rsidRPr="00511954" w:rsidR="00ED1D75">
        <w:rPr>
          <w:rFonts w:ascii="Palatino Linotype" w:hAnsi="Palatino Linotype"/>
          <w:b w:val="0"/>
        </w:rPr>
        <w:t xml:space="preserve"> The CSGT program is available to both </w:t>
      </w:r>
      <w:r w:rsidRPr="00511954" w:rsidR="0090442C">
        <w:rPr>
          <w:rFonts w:ascii="Palatino Linotype" w:hAnsi="Palatino Linotype"/>
          <w:b w:val="0"/>
        </w:rPr>
        <w:t xml:space="preserve">CARE- or FERA-eligible </w:t>
      </w:r>
      <w:r w:rsidRPr="00511954" w:rsidR="00ED1D75">
        <w:rPr>
          <w:rFonts w:ascii="Palatino Linotype" w:hAnsi="Palatino Linotype"/>
          <w:b w:val="0"/>
        </w:rPr>
        <w:t>and non-income</w:t>
      </w:r>
      <w:r w:rsidRPr="00511954" w:rsidR="00804995">
        <w:rPr>
          <w:rFonts w:ascii="Palatino Linotype" w:hAnsi="Palatino Linotype"/>
          <w:b w:val="0"/>
        </w:rPr>
        <w:t>-qualified</w:t>
      </w:r>
      <w:r w:rsidRPr="00511954" w:rsidR="00ED1D75">
        <w:rPr>
          <w:rFonts w:ascii="Palatino Linotype" w:hAnsi="Palatino Linotype"/>
          <w:b w:val="0"/>
        </w:rPr>
        <w:t xml:space="preserve"> residential DAC customers </w:t>
      </w:r>
      <w:r w:rsidRPr="00511954" w:rsidR="0090442C">
        <w:rPr>
          <w:rFonts w:ascii="Palatino Linotype" w:hAnsi="Palatino Linotype"/>
          <w:b w:val="0"/>
        </w:rPr>
        <w:t xml:space="preserve">(including </w:t>
      </w:r>
      <w:r w:rsidRPr="00511954" w:rsidR="00804995">
        <w:rPr>
          <w:rFonts w:ascii="Palatino Linotype" w:hAnsi="Palatino Linotype"/>
          <w:b w:val="0"/>
        </w:rPr>
        <w:t xml:space="preserve">customers in </w:t>
      </w:r>
      <w:r w:rsidRPr="00511954" w:rsidR="00ED1D75">
        <w:rPr>
          <w:rFonts w:ascii="Palatino Linotype" w:hAnsi="Palatino Linotype"/>
          <w:b w:val="0"/>
        </w:rPr>
        <w:t>SJV pilot communities</w:t>
      </w:r>
      <w:r w:rsidRPr="00511954" w:rsidR="0090442C">
        <w:rPr>
          <w:rFonts w:ascii="Palatino Linotype" w:hAnsi="Palatino Linotype"/>
          <w:b w:val="0"/>
        </w:rPr>
        <w:t>)</w:t>
      </w:r>
      <w:r w:rsidRPr="00511954" w:rsidR="00ED1D75">
        <w:rPr>
          <w:rFonts w:ascii="Palatino Linotype" w:hAnsi="Palatino Linotype"/>
          <w:b w:val="0"/>
        </w:rPr>
        <w:t>, but 50</w:t>
      </w:r>
      <w:r w:rsidRPr="00511954" w:rsidR="00530D31">
        <w:rPr>
          <w:rFonts w:ascii="Palatino Linotype" w:hAnsi="Palatino Linotype"/>
          <w:b w:val="0"/>
        </w:rPr>
        <w:t xml:space="preserve"> percent</w:t>
      </w:r>
      <w:r w:rsidRPr="00511954" w:rsidR="00ED1D75">
        <w:rPr>
          <w:rFonts w:ascii="Palatino Linotype" w:hAnsi="Palatino Linotype"/>
          <w:b w:val="0"/>
        </w:rPr>
        <w:t xml:space="preserve"> of a CSGT project’s capacity must be subscribed to </w:t>
      </w:r>
      <w:r w:rsidRPr="00511954" w:rsidR="0090442C">
        <w:rPr>
          <w:rFonts w:ascii="Palatino Linotype" w:hAnsi="Palatino Linotype"/>
          <w:b w:val="0"/>
        </w:rPr>
        <w:t>CARE- or FERA-eligible</w:t>
      </w:r>
      <w:r w:rsidRPr="00511954" w:rsidR="00ED1D75">
        <w:rPr>
          <w:rFonts w:ascii="Palatino Linotype" w:hAnsi="Palatino Linotype"/>
          <w:b w:val="0"/>
        </w:rPr>
        <w:t xml:space="preserve"> customers before </w:t>
      </w:r>
      <w:r w:rsidRPr="00511954" w:rsidR="00880386">
        <w:rPr>
          <w:rFonts w:ascii="Palatino Linotype" w:hAnsi="Palatino Linotype"/>
          <w:b w:val="0"/>
        </w:rPr>
        <w:t xml:space="preserve">any non-income-qualified </w:t>
      </w:r>
      <w:r w:rsidRPr="00511954" w:rsidR="00ED1D75">
        <w:rPr>
          <w:rFonts w:ascii="Palatino Linotype" w:hAnsi="Palatino Linotype"/>
          <w:b w:val="0"/>
        </w:rPr>
        <w:t>customers are able to participate.</w:t>
      </w:r>
      <w:r w:rsidRPr="00511954" w:rsidR="00ED1D75">
        <w:rPr>
          <w:rStyle w:val="FootnoteReference"/>
          <w:rFonts w:ascii="Palatino Linotype" w:hAnsi="Palatino Linotype"/>
          <w:b w:val="0"/>
        </w:rPr>
        <w:footnoteReference w:id="10"/>
      </w:r>
      <w:r w:rsidRPr="00511954" w:rsidR="00ED1D75">
        <w:rPr>
          <w:rFonts w:ascii="Palatino Linotype" w:hAnsi="Palatino Linotype"/>
          <w:b w:val="0"/>
        </w:rPr>
        <w:t xml:space="preserve"> In addition, community sponsors may be eligible to subscribe to up to 25</w:t>
      </w:r>
      <w:r w:rsidRPr="00511954" w:rsidR="00530D31">
        <w:rPr>
          <w:rFonts w:ascii="Palatino Linotype" w:hAnsi="Palatino Linotype"/>
          <w:b w:val="0"/>
        </w:rPr>
        <w:t xml:space="preserve"> percent</w:t>
      </w:r>
      <w:r w:rsidRPr="00511954" w:rsidR="00ED1D75">
        <w:rPr>
          <w:rFonts w:ascii="Palatino Linotype" w:hAnsi="Palatino Linotype"/>
          <w:b w:val="0"/>
        </w:rPr>
        <w:t xml:space="preserve"> of a </w:t>
      </w:r>
      <w:r w:rsidRPr="00511954" w:rsidR="0041363F">
        <w:rPr>
          <w:rFonts w:ascii="Palatino Linotype" w:hAnsi="Palatino Linotype"/>
          <w:b w:val="0"/>
        </w:rPr>
        <w:t xml:space="preserve">CSGT </w:t>
      </w:r>
      <w:r w:rsidRPr="00511954" w:rsidR="00ED1D75">
        <w:rPr>
          <w:rFonts w:ascii="Palatino Linotype" w:hAnsi="Palatino Linotype"/>
          <w:b w:val="0"/>
        </w:rPr>
        <w:t>project’s capacity. Both DAC-GT and CSGT are to provide a 20</w:t>
      </w:r>
      <w:r w:rsidRPr="00511954" w:rsidR="00530D31">
        <w:rPr>
          <w:rFonts w:ascii="Palatino Linotype" w:hAnsi="Palatino Linotype"/>
          <w:b w:val="0"/>
        </w:rPr>
        <w:t xml:space="preserve"> percent</w:t>
      </w:r>
      <w:r w:rsidRPr="00511954" w:rsidR="00ED1D75">
        <w:rPr>
          <w:rFonts w:ascii="Palatino Linotype" w:hAnsi="Palatino Linotype"/>
          <w:b w:val="0"/>
        </w:rPr>
        <w:t xml:space="preserve"> discount on </w:t>
      </w:r>
      <w:r w:rsidRPr="00511954" w:rsidR="0041363F">
        <w:rPr>
          <w:rFonts w:ascii="Palatino Linotype" w:hAnsi="Palatino Linotype"/>
          <w:b w:val="0"/>
        </w:rPr>
        <w:t xml:space="preserve">a </w:t>
      </w:r>
      <w:r w:rsidRPr="00511954" w:rsidR="00ED1D75">
        <w:rPr>
          <w:rFonts w:ascii="Palatino Linotype" w:hAnsi="Palatino Linotype"/>
          <w:b w:val="0"/>
        </w:rPr>
        <w:t>participating customer</w:t>
      </w:r>
      <w:r w:rsidRPr="00511954" w:rsidR="0041363F">
        <w:rPr>
          <w:rFonts w:ascii="Palatino Linotype" w:hAnsi="Palatino Linotype"/>
          <w:b w:val="0"/>
        </w:rPr>
        <w:t>’</w:t>
      </w:r>
      <w:r w:rsidRPr="00511954" w:rsidR="00ED1D75">
        <w:rPr>
          <w:rFonts w:ascii="Palatino Linotype" w:hAnsi="Palatino Linotype"/>
          <w:b w:val="0"/>
        </w:rPr>
        <w:t>s otherwise applicable tariff.</w:t>
      </w:r>
      <w:r w:rsidRPr="00511954" w:rsidR="00ED1D75">
        <w:rPr>
          <w:rStyle w:val="FootnoteReference"/>
          <w:rFonts w:ascii="Palatino Linotype" w:hAnsi="Palatino Linotype"/>
          <w:b w:val="0"/>
        </w:rPr>
        <w:footnoteReference w:id="11"/>
      </w:r>
      <w:r w:rsidRPr="00511954" w:rsidR="00ED1D75">
        <w:rPr>
          <w:rFonts w:ascii="Palatino Linotype" w:hAnsi="Palatino Linotype"/>
          <w:b w:val="0"/>
        </w:rPr>
        <w:t xml:space="preserve"> </w:t>
      </w:r>
      <w:r w:rsidRPr="00511954" w:rsidR="00DC2998">
        <w:rPr>
          <w:rFonts w:ascii="Palatino Linotype" w:hAnsi="Palatino Linotype"/>
          <w:b w:val="0"/>
        </w:rPr>
        <w:t xml:space="preserve"> </w:t>
      </w:r>
    </w:p>
    <w:p w:rsidRPr="00511954" w:rsidR="00CF2823" w:rsidP="00755176" w:rsidRDefault="00CF2823" w14:paraId="5A767AF6" w14:textId="4FEA2E9F">
      <w:pPr>
        <w:pStyle w:val="BodyText"/>
        <w:spacing w:after="240"/>
        <w:rPr>
          <w:rFonts w:ascii="Palatino Linotype" w:hAnsi="Palatino Linotype"/>
          <w:b w:val="0"/>
        </w:rPr>
      </w:pPr>
      <w:r w:rsidRPr="00511954">
        <w:rPr>
          <w:rFonts w:ascii="Palatino Linotype" w:hAnsi="Palatino Linotype"/>
          <w:b w:val="0"/>
        </w:rPr>
        <w:t xml:space="preserve">The </w:t>
      </w:r>
      <w:r w:rsidRPr="00511954" w:rsidR="00A165B3">
        <w:rPr>
          <w:rFonts w:ascii="Palatino Linotype" w:hAnsi="Palatino Linotype"/>
          <w:b w:val="0"/>
        </w:rPr>
        <w:t>Decision</w:t>
      </w:r>
      <w:r w:rsidRPr="00511954">
        <w:rPr>
          <w:rFonts w:ascii="Palatino Linotype" w:hAnsi="Palatino Linotype"/>
          <w:b w:val="0"/>
        </w:rPr>
        <w:t xml:space="preserve"> required </w:t>
      </w:r>
      <w:r w:rsidRPr="00511954" w:rsidR="003246B3">
        <w:rPr>
          <w:rFonts w:ascii="Palatino Linotype" w:hAnsi="Palatino Linotype"/>
          <w:b w:val="0"/>
        </w:rPr>
        <w:t xml:space="preserve">Pacific Gas and Electric Company (PG&amp;E), Southern California Edison (SCE), and San Diego Gas &amp; Electric Company (SDG&amp;E), </w:t>
      </w:r>
      <w:r w:rsidR="00935522">
        <w:rPr>
          <w:rFonts w:ascii="Palatino Linotype" w:hAnsi="Palatino Linotype"/>
          <w:b w:val="0"/>
        </w:rPr>
        <w:t>(</w:t>
      </w:r>
      <w:r w:rsidRPr="00511954" w:rsidR="003246B3">
        <w:rPr>
          <w:rFonts w:ascii="Palatino Linotype" w:hAnsi="Palatino Linotype"/>
          <w:b w:val="0"/>
        </w:rPr>
        <w:t xml:space="preserve">collectively the Investor Owned Utilities </w:t>
      </w:r>
      <w:r w:rsidR="00935522">
        <w:rPr>
          <w:rFonts w:ascii="Palatino Linotype" w:hAnsi="Palatino Linotype"/>
          <w:b w:val="0"/>
        </w:rPr>
        <w:t xml:space="preserve">or </w:t>
      </w:r>
      <w:r w:rsidRPr="00511954" w:rsidR="003246B3">
        <w:rPr>
          <w:rFonts w:ascii="Palatino Linotype" w:hAnsi="Palatino Linotype"/>
          <w:b w:val="0"/>
        </w:rPr>
        <w:t xml:space="preserve">IOUs) </w:t>
      </w:r>
      <w:r w:rsidRPr="00511954">
        <w:rPr>
          <w:rFonts w:ascii="Palatino Linotype" w:hAnsi="Palatino Linotype"/>
          <w:b w:val="0"/>
        </w:rPr>
        <w:t xml:space="preserve">to file Tier 2 Advice Letters </w:t>
      </w:r>
      <w:r w:rsidRPr="00511954" w:rsidR="003246B3">
        <w:rPr>
          <w:rFonts w:ascii="Palatino Linotype" w:hAnsi="Palatino Linotype"/>
          <w:b w:val="0"/>
        </w:rPr>
        <w:t xml:space="preserve">(ALs) </w:t>
      </w:r>
      <w:r w:rsidRPr="00511954">
        <w:rPr>
          <w:rFonts w:ascii="Palatino Linotype" w:hAnsi="Palatino Linotype"/>
          <w:b w:val="0"/>
        </w:rPr>
        <w:t xml:space="preserve">to create a DAC-GT </w:t>
      </w:r>
      <w:r w:rsidRPr="00511954" w:rsidR="0041363F">
        <w:rPr>
          <w:rFonts w:ascii="Palatino Linotype" w:hAnsi="Palatino Linotype"/>
          <w:b w:val="0"/>
        </w:rPr>
        <w:t>tariff</w:t>
      </w:r>
      <w:r w:rsidRPr="00511954">
        <w:rPr>
          <w:rFonts w:ascii="Palatino Linotype" w:hAnsi="Palatino Linotype"/>
          <w:b w:val="0"/>
        </w:rPr>
        <w:t xml:space="preserve"> and a CSGT </w:t>
      </w:r>
      <w:r w:rsidRPr="00511954" w:rsidR="0041363F">
        <w:rPr>
          <w:rFonts w:ascii="Palatino Linotype" w:hAnsi="Palatino Linotype"/>
          <w:b w:val="0"/>
        </w:rPr>
        <w:t>tariff</w:t>
      </w:r>
      <w:r w:rsidRPr="00511954">
        <w:rPr>
          <w:rFonts w:ascii="Palatino Linotype" w:hAnsi="Palatino Linotype"/>
          <w:b w:val="0"/>
        </w:rPr>
        <w:t>.</w:t>
      </w:r>
      <w:r w:rsidRPr="00511954">
        <w:rPr>
          <w:rStyle w:val="FootnoteReference"/>
          <w:rFonts w:ascii="Palatino Linotype" w:hAnsi="Palatino Linotype"/>
          <w:b w:val="0"/>
        </w:rPr>
        <w:footnoteReference w:id="12"/>
      </w:r>
      <w:r w:rsidRPr="00511954">
        <w:rPr>
          <w:rFonts w:ascii="Palatino Linotype" w:hAnsi="Palatino Linotype"/>
          <w:b w:val="0"/>
        </w:rPr>
        <w:t xml:space="preserve"> PG&amp;E, SCE, and SDG&amp;E filed their initial program implementation ALs to create DAC-GT and CSGT </w:t>
      </w:r>
      <w:r w:rsidRPr="00511954" w:rsidR="0041363F">
        <w:rPr>
          <w:rFonts w:ascii="Palatino Linotype" w:hAnsi="Palatino Linotype"/>
          <w:b w:val="0"/>
        </w:rPr>
        <w:t>tariffs</w:t>
      </w:r>
      <w:r w:rsidRPr="00511954">
        <w:rPr>
          <w:rFonts w:ascii="Palatino Linotype" w:hAnsi="Palatino Linotype"/>
          <w:b w:val="0"/>
        </w:rPr>
        <w:t xml:space="preserve"> on August 20, 2018. SDG&amp;E filed a supplemental AL on August 24, 2018 to correct </w:t>
      </w:r>
      <w:r w:rsidRPr="00511954" w:rsidR="0041363F">
        <w:rPr>
          <w:rFonts w:ascii="Palatino Linotype" w:hAnsi="Palatino Linotype"/>
          <w:b w:val="0"/>
        </w:rPr>
        <w:t>its</w:t>
      </w:r>
      <w:r w:rsidRPr="00511954">
        <w:rPr>
          <w:rFonts w:ascii="Palatino Linotype" w:hAnsi="Palatino Linotype"/>
          <w:b w:val="0"/>
        </w:rPr>
        <w:t xml:space="preserve"> AL designation from Tier 1 to Tier 2. </w:t>
      </w:r>
    </w:p>
    <w:p w:rsidRPr="00511954" w:rsidR="008457E3" w:rsidP="00755176" w:rsidRDefault="001D4632" w14:paraId="0E5811E7" w14:textId="3E5E34F8">
      <w:pPr>
        <w:pStyle w:val="BodyText"/>
        <w:spacing w:after="240"/>
        <w:rPr>
          <w:rFonts w:ascii="Palatino Linotype" w:hAnsi="Palatino Linotype"/>
          <w:b w:val="0"/>
        </w:rPr>
      </w:pPr>
      <w:r w:rsidRPr="00511954">
        <w:rPr>
          <w:rFonts w:ascii="Palatino Linotype" w:hAnsi="Palatino Linotype"/>
          <w:b w:val="0"/>
        </w:rPr>
        <w:t>On October 17, 2018, t</w:t>
      </w:r>
      <w:r w:rsidRPr="00511954" w:rsidR="00270AF0">
        <w:rPr>
          <w:rFonts w:ascii="Palatino Linotype" w:hAnsi="Palatino Linotype"/>
          <w:b w:val="0"/>
        </w:rPr>
        <w:t xml:space="preserve">he Commission issued </w:t>
      </w:r>
      <w:r w:rsidRPr="00511954" w:rsidR="00315400">
        <w:rPr>
          <w:rFonts w:ascii="Palatino Linotype" w:hAnsi="Palatino Linotype"/>
          <w:b w:val="0"/>
        </w:rPr>
        <w:t>D.</w:t>
      </w:r>
      <w:r w:rsidRPr="00511954" w:rsidR="00270AF0">
        <w:rPr>
          <w:rFonts w:ascii="Palatino Linotype" w:hAnsi="Palatino Linotype"/>
          <w:b w:val="0"/>
        </w:rPr>
        <w:t xml:space="preserve">18-10-007 </w:t>
      </w:r>
      <w:r w:rsidRPr="00511954">
        <w:rPr>
          <w:rFonts w:ascii="Palatino Linotype" w:hAnsi="Palatino Linotype"/>
          <w:b w:val="0"/>
        </w:rPr>
        <w:t>t</w:t>
      </w:r>
      <w:r w:rsidRPr="00511954" w:rsidR="00270AF0">
        <w:rPr>
          <w:rFonts w:ascii="Palatino Linotype" w:hAnsi="Palatino Linotype"/>
          <w:b w:val="0"/>
        </w:rPr>
        <w:t xml:space="preserve">o make corrections and clarifications to </w:t>
      </w:r>
      <w:r w:rsidRPr="00511954" w:rsidR="00315400">
        <w:rPr>
          <w:rFonts w:ascii="Palatino Linotype" w:hAnsi="Palatino Linotype"/>
          <w:b w:val="0"/>
        </w:rPr>
        <w:t>the NEM DAC Decision</w:t>
      </w:r>
      <w:r w:rsidRPr="00511954" w:rsidR="00270AF0">
        <w:rPr>
          <w:rFonts w:ascii="Palatino Linotype" w:hAnsi="Palatino Linotype"/>
          <w:b w:val="0"/>
        </w:rPr>
        <w:t xml:space="preserve">. </w:t>
      </w:r>
      <w:r w:rsidRPr="00511954" w:rsidR="00D962EB">
        <w:rPr>
          <w:rFonts w:ascii="Palatino Linotype" w:hAnsi="Palatino Linotype"/>
          <w:b w:val="0"/>
        </w:rPr>
        <w:t xml:space="preserve"> </w:t>
      </w:r>
      <w:r w:rsidRPr="00511954">
        <w:rPr>
          <w:rFonts w:ascii="Palatino Linotype" w:hAnsi="Palatino Linotype"/>
          <w:b w:val="0"/>
        </w:rPr>
        <w:t>For</w:t>
      </w:r>
      <w:r w:rsidRPr="00511954" w:rsidR="00DE41F5">
        <w:rPr>
          <w:rFonts w:ascii="Palatino Linotype" w:hAnsi="Palatino Linotype"/>
          <w:b w:val="0"/>
        </w:rPr>
        <w:t xml:space="preserve"> the DAC-GT and CSGT programs, D.18-10-007 clarified </w:t>
      </w:r>
      <w:r w:rsidRPr="00511954" w:rsidR="008457E3">
        <w:rPr>
          <w:rFonts w:ascii="Palatino Linotype" w:hAnsi="Palatino Linotype"/>
          <w:b w:val="0"/>
        </w:rPr>
        <w:t xml:space="preserve">issues </w:t>
      </w:r>
      <w:r w:rsidRPr="00511954">
        <w:rPr>
          <w:rFonts w:ascii="Palatino Linotype" w:hAnsi="Palatino Linotype"/>
          <w:b w:val="0"/>
        </w:rPr>
        <w:t>regarding</w:t>
      </w:r>
      <w:r w:rsidRPr="00511954" w:rsidR="008457E3">
        <w:rPr>
          <w:rFonts w:ascii="Palatino Linotype" w:hAnsi="Palatino Linotype"/>
          <w:b w:val="0"/>
        </w:rPr>
        <w:t xml:space="preserve"> </w:t>
      </w:r>
      <w:r w:rsidRPr="00511954" w:rsidR="00DE41F5">
        <w:rPr>
          <w:rFonts w:ascii="Palatino Linotype" w:hAnsi="Palatino Linotype"/>
          <w:b w:val="0"/>
        </w:rPr>
        <w:t>the 20</w:t>
      </w:r>
      <w:r w:rsidRPr="00511954" w:rsidR="00530D31">
        <w:rPr>
          <w:rFonts w:ascii="Palatino Linotype" w:hAnsi="Palatino Linotype"/>
          <w:b w:val="0"/>
        </w:rPr>
        <w:t xml:space="preserve"> percent</w:t>
      </w:r>
      <w:r w:rsidRPr="00511954" w:rsidR="00DE41F5">
        <w:rPr>
          <w:rFonts w:ascii="Palatino Linotype" w:hAnsi="Palatino Linotype"/>
          <w:b w:val="0"/>
        </w:rPr>
        <w:t xml:space="preserve"> bill discount, </w:t>
      </w:r>
      <w:r w:rsidRPr="00511954" w:rsidR="008457E3">
        <w:rPr>
          <w:rFonts w:ascii="Palatino Linotype" w:hAnsi="Palatino Linotype"/>
          <w:b w:val="0"/>
        </w:rPr>
        <w:t xml:space="preserve">the </w:t>
      </w:r>
      <w:r w:rsidRPr="00511954" w:rsidR="00DE41F5">
        <w:rPr>
          <w:rFonts w:ascii="Palatino Linotype" w:hAnsi="Palatino Linotype"/>
          <w:b w:val="0"/>
        </w:rPr>
        <w:t>withholding of the permission to operate</w:t>
      </w:r>
      <w:r w:rsidRPr="00511954" w:rsidR="008457E3">
        <w:rPr>
          <w:rFonts w:ascii="Palatino Linotype" w:hAnsi="Palatino Linotype"/>
          <w:b w:val="0"/>
        </w:rPr>
        <w:t>, and the distance requirements for CSGT</w:t>
      </w:r>
      <w:r w:rsidRPr="00511954" w:rsidR="00DE41F5">
        <w:rPr>
          <w:rFonts w:ascii="Palatino Linotype" w:hAnsi="Palatino Linotype"/>
          <w:b w:val="0"/>
        </w:rPr>
        <w:t xml:space="preserve">. </w:t>
      </w:r>
      <w:r w:rsidRPr="00511954" w:rsidR="001B652D">
        <w:rPr>
          <w:rFonts w:ascii="Palatino Linotype" w:hAnsi="Palatino Linotype"/>
          <w:b w:val="0"/>
        </w:rPr>
        <w:t xml:space="preserve">The </w:t>
      </w:r>
      <w:r w:rsidRPr="00511954" w:rsidR="00A165B3">
        <w:rPr>
          <w:rFonts w:ascii="Palatino Linotype" w:hAnsi="Palatino Linotype"/>
          <w:b w:val="0"/>
        </w:rPr>
        <w:t>Decision</w:t>
      </w:r>
      <w:r w:rsidRPr="00511954" w:rsidR="001B652D">
        <w:rPr>
          <w:rFonts w:ascii="Palatino Linotype" w:hAnsi="Palatino Linotype"/>
          <w:b w:val="0"/>
        </w:rPr>
        <w:t xml:space="preserve"> also corrected obvious errors related to program funding and the deadline for filing DAC-GT Balancing Account ALs. </w:t>
      </w:r>
    </w:p>
    <w:p w:rsidRPr="00511954" w:rsidR="00D962EB" w:rsidP="00755176" w:rsidRDefault="008457E3" w14:paraId="63B378EC" w14:textId="69D58017">
      <w:pPr>
        <w:pStyle w:val="BodyText"/>
        <w:spacing w:after="240"/>
        <w:rPr>
          <w:rFonts w:ascii="Palatino Linotype" w:hAnsi="Palatino Linotype"/>
          <w:b w:val="0"/>
        </w:rPr>
      </w:pPr>
      <w:r w:rsidRPr="00511954">
        <w:rPr>
          <w:rFonts w:ascii="Palatino Linotype" w:hAnsi="Palatino Linotype"/>
          <w:b w:val="0"/>
        </w:rPr>
        <w:t>On December 19, 2018, t</w:t>
      </w:r>
      <w:r w:rsidRPr="00511954" w:rsidR="00D962EB">
        <w:rPr>
          <w:rFonts w:ascii="Palatino Linotype" w:hAnsi="Palatino Linotype"/>
          <w:b w:val="0"/>
        </w:rPr>
        <w:t xml:space="preserve">he Commission issued </w:t>
      </w:r>
      <w:r w:rsidRPr="00511954" w:rsidR="00A165B3">
        <w:rPr>
          <w:rFonts w:ascii="Palatino Linotype" w:hAnsi="Palatino Linotype"/>
          <w:b w:val="0"/>
        </w:rPr>
        <w:t>D</w:t>
      </w:r>
      <w:r w:rsidRPr="00511954" w:rsidR="00315400">
        <w:rPr>
          <w:rFonts w:ascii="Palatino Linotype" w:hAnsi="Palatino Linotype"/>
          <w:b w:val="0"/>
        </w:rPr>
        <w:t>.</w:t>
      </w:r>
      <w:r w:rsidRPr="00511954" w:rsidR="00A165B3">
        <w:rPr>
          <w:rFonts w:ascii="Palatino Linotype" w:hAnsi="Palatino Linotype"/>
          <w:b w:val="0"/>
        </w:rPr>
        <w:t>18-12-015,</w:t>
      </w:r>
      <w:r w:rsidRPr="00511954" w:rsidR="00D962EB">
        <w:rPr>
          <w:rFonts w:ascii="Palatino Linotype" w:hAnsi="Palatino Linotype"/>
          <w:b w:val="0"/>
        </w:rPr>
        <w:t xml:space="preserve"> </w:t>
      </w:r>
      <w:r w:rsidRPr="00EA6487" w:rsidR="00A42FD3">
        <w:rPr>
          <w:rFonts w:ascii="Palatino Linotype" w:hAnsi="Palatino Linotype"/>
          <w:b w:val="0"/>
          <w:i/>
        </w:rPr>
        <w:t>Decision A</w:t>
      </w:r>
      <w:r w:rsidRPr="00EA6487" w:rsidR="00D962EB">
        <w:rPr>
          <w:rFonts w:ascii="Palatino Linotype" w:hAnsi="Palatino Linotype"/>
          <w:b w:val="0"/>
          <w:i/>
        </w:rPr>
        <w:t>pproving San Joaquin Valley</w:t>
      </w:r>
      <w:r w:rsidRPr="00EA6487" w:rsidR="00BA1141">
        <w:rPr>
          <w:rFonts w:ascii="Palatino Linotype" w:hAnsi="Palatino Linotype"/>
          <w:b w:val="0"/>
          <w:i/>
        </w:rPr>
        <w:t xml:space="preserve"> Disadvantaged Communities Pilot Projects</w:t>
      </w:r>
      <w:r w:rsidRPr="00511954" w:rsidR="00DC2998">
        <w:rPr>
          <w:rFonts w:ascii="Palatino Linotype" w:hAnsi="Palatino Linotype"/>
          <w:b w:val="0"/>
        </w:rPr>
        <w:t>.</w:t>
      </w:r>
      <w:r w:rsidRPr="00511954" w:rsidR="00DE41F5">
        <w:rPr>
          <w:rFonts w:ascii="Palatino Linotype" w:hAnsi="Palatino Linotype"/>
          <w:b w:val="0"/>
        </w:rPr>
        <w:t xml:space="preserve"> </w:t>
      </w:r>
      <w:r w:rsidRPr="00511954" w:rsidR="00BA1141">
        <w:rPr>
          <w:rFonts w:ascii="Palatino Linotype" w:hAnsi="Palatino Linotype"/>
          <w:b w:val="0"/>
        </w:rPr>
        <w:t>Related to</w:t>
      </w:r>
      <w:r w:rsidRPr="00511954" w:rsidR="007A5879">
        <w:rPr>
          <w:rFonts w:ascii="Palatino Linotype" w:hAnsi="Palatino Linotype"/>
          <w:b w:val="0"/>
        </w:rPr>
        <w:t xml:space="preserve"> the programs at issue in this R</w:t>
      </w:r>
      <w:r w:rsidRPr="00511954" w:rsidR="00BA1141">
        <w:rPr>
          <w:rFonts w:ascii="Palatino Linotype" w:hAnsi="Palatino Linotype"/>
          <w:b w:val="0"/>
        </w:rPr>
        <w:t>esolution, D.</w:t>
      </w:r>
      <w:r w:rsidRPr="00511954" w:rsidR="00DE41F5">
        <w:rPr>
          <w:rFonts w:ascii="Palatino Linotype" w:hAnsi="Palatino Linotype"/>
          <w:b w:val="0"/>
        </w:rPr>
        <w:t xml:space="preserve">18-12-015 allowed CSGT projects in </w:t>
      </w:r>
      <w:r w:rsidRPr="00511954" w:rsidR="0033661B">
        <w:rPr>
          <w:rFonts w:ascii="Palatino Linotype" w:hAnsi="Palatino Linotype"/>
          <w:b w:val="0"/>
        </w:rPr>
        <w:t>SJ</w:t>
      </w:r>
      <w:r w:rsidRPr="00511954" w:rsidR="00DE41F5">
        <w:rPr>
          <w:rFonts w:ascii="Palatino Linotype" w:hAnsi="Palatino Linotype"/>
          <w:b w:val="0"/>
        </w:rPr>
        <w:t xml:space="preserve">V pilot communities to be </w:t>
      </w:r>
      <w:r w:rsidRPr="00511954" w:rsidR="001B652D">
        <w:rPr>
          <w:rFonts w:ascii="Palatino Linotype" w:hAnsi="Palatino Linotype"/>
          <w:b w:val="0"/>
        </w:rPr>
        <w:t>within a 40</w:t>
      </w:r>
      <w:r w:rsidRPr="00511954" w:rsidR="00315400">
        <w:rPr>
          <w:rFonts w:ascii="Palatino Linotype" w:hAnsi="Palatino Linotype"/>
          <w:b w:val="0"/>
        </w:rPr>
        <w:t>-</w:t>
      </w:r>
      <w:r w:rsidRPr="00511954" w:rsidR="001B652D">
        <w:rPr>
          <w:rFonts w:ascii="Palatino Linotype" w:hAnsi="Palatino Linotype"/>
          <w:b w:val="0"/>
        </w:rPr>
        <w:t>mile radius</w:t>
      </w:r>
      <w:r w:rsidRPr="00511954" w:rsidR="00BA1141">
        <w:rPr>
          <w:rFonts w:ascii="Palatino Linotype" w:hAnsi="Palatino Linotype"/>
          <w:b w:val="0"/>
        </w:rPr>
        <w:t xml:space="preserve"> of the pilot communities they serve</w:t>
      </w:r>
      <w:r w:rsidRPr="00511954" w:rsidR="001B652D">
        <w:rPr>
          <w:rFonts w:ascii="Palatino Linotype" w:hAnsi="Palatino Linotype"/>
          <w:b w:val="0"/>
        </w:rPr>
        <w:t>, rather than within a 5</w:t>
      </w:r>
      <w:r w:rsidRPr="00511954" w:rsidR="00A165B3">
        <w:rPr>
          <w:rFonts w:ascii="Palatino Linotype" w:hAnsi="Palatino Linotype"/>
          <w:b w:val="0"/>
        </w:rPr>
        <w:t>-</w:t>
      </w:r>
      <w:r w:rsidRPr="00511954" w:rsidR="001B652D">
        <w:rPr>
          <w:rFonts w:ascii="Palatino Linotype" w:hAnsi="Palatino Linotype"/>
          <w:b w:val="0"/>
        </w:rPr>
        <w:t>mile radius</w:t>
      </w:r>
      <w:r w:rsidRPr="00511954" w:rsidR="00D9107C">
        <w:rPr>
          <w:rFonts w:ascii="Palatino Linotype" w:hAnsi="Palatino Linotype"/>
          <w:b w:val="0"/>
        </w:rPr>
        <w:t>.</w:t>
      </w:r>
      <w:r w:rsidRPr="00511954" w:rsidR="00D9107C">
        <w:rPr>
          <w:rStyle w:val="FootnoteReference"/>
          <w:rFonts w:ascii="Palatino Linotype" w:hAnsi="Palatino Linotype"/>
          <w:b w:val="0"/>
        </w:rPr>
        <w:footnoteReference w:id="13"/>
      </w:r>
    </w:p>
    <w:p w:rsidRPr="00511954" w:rsidR="00573CC2" w:rsidP="00755176" w:rsidRDefault="00270AF0" w14:paraId="7732E3CD" w14:textId="77B62115">
      <w:pPr>
        <w:pStyle w:val="BodyText"/>
        <w:spacing w:after="240"/>
        <w:rPr>
          <w:rFonts w:ascii="Palatino Linotype" w:hAnsi="Palatino Linotype"/>
          <w:b w:val="0"/>
        </w:rPr>
      </w:pPr>
      <w:r w:rsidRPr="00511954">
        <w:rPr>
          <w:rFonts w:ascii="Palatino Linotype" w:hAnsi="Palatino Linotype"/>
          <w:b w:val="0"/>
        </w:rPr>
        <w:t>All three IOUs filed supplemental ALs to address</w:t>
      </w:r>
      <w:r w:rsidRPr="00511954" w:rsidR="00787AF4">
        <w:rPr>
          <w:rFonts w:ascii="Palatino Linotype" w:hAnsi="Palatino Linotype"/>
          <w:b w:val="0"/>
        </w:rPr>
        <w:t xml:space="preserve"> </w:t>
      </w:r>
      <w:r w:rsidRPr="00511954">
        <w:rPr>
          <w:rFonts w:ascii="Palatino Linotype" w:hAnsi="Palatino Linotype"/>
          <w:b w:val="0"/>
        </w:rPr>
        <w:t>modifications made</w:t>
      </w:r>
      <w:r w:rsidRPr="00511954" w:rsidR="00787AF4">
        <w:rPr>
          <w:rFonts w:ascii="Palatino Linotype" w:hAnsi="Palatino Linotype"/>
          <w:b w:val="0"/>
        </w:rPr>
        <w:t xml:space="preserve"> to the DAC-GT and CSGT programs</w:t>
      </w:r>
      <w:r w:rsidRPr="00511954">
        <w:rPr>
          <w:rFonts w:ascii="Palatino Linotype" w:hAnsi="Palatino Linotype"/>
          <w:b w:val="0"/>
        </w:rPr>
        <w:t xml:space="preserve"> in D.18-10-007</w:t>
      </w:r>
      <w:r w:rsidRPr="00511954" w:rsidR="00D962EB">
        <w:rPr>
          <w:rFonts w:ascii="Palatino Linotype" w:hAnsi="Palatino Linotype"/>
          <w:b w:val="0"/>
        </w:rPr>
        <w:t xml:space="preserve"> and D.</w:t>
      </w:r>
      <w:r w:rsidRPr="00511954" w:rsidR="00787AF4">
        <w:rPr>
          <w:rFonts w:ascii="Palatino Linotype" w:hAnsi="Palatino Linotype"/>
          <w:b w:val="0"/>
        </w:rPr>
        <w:t>18-12-015</w:t>
      </w:r>
      <w:r w:rsidRPr="00511954">
        <w:rPr>
          <w:rFonts w:ascii="Palatino Linotype" w:hAnsi="Palatino Linotype"/>
          <w:b w:val="0"/>
        </w:rPr>
        <w:t xml:space="preserve"> and/or to address issues raised in protests. PG&amp;E filed supplemental AL 5362-E-A </w:t>
      </w:r>
      <w:r w:rsidRPr="00511954" w:rsidR="002503F2">
        <w:rPr>
          <w:rFonts w:ascii="Palatino Linotype" w:hAnsi="Palatino Linotype"/>
          <w:b w:val="0"/>
        </w:rPr>
        <w:t xml:space="preserve">on February 13, 2019, SCE filed </w:t>
      </w:r>
      <w:r w:rsidRPr="00511954">
        <w:rPr>
          <w:rFonts w:ascii="Palatino Linotype" w:hAnsi="Palatino Linotype"/>
          <w:b w:val="0"/>
        </w:rPr>
        <w:t>supplemental AL 3851-E-A</w:t>
      </w:r>
      <w:r w:rsidRPr="00511954" w:rsidR="002503F2">
        <w:rPr>
          <w:rFonts w:ascii="Palatino Linotype" w:hAnsi="Palatino Linotype"/>
          <w:b w:val="0"/>
        </w:rPr>
        <w:t xml:space="preserve"> on February 27, 2019, </w:t>
      </w:r>
      <w:r w:rsidRPr="00511954">
        <w:rPr>
          <w:rFonts w:ascii="Palatino Linotype" w:hAnsi="Palatino Linotype"/>
          <w:b w:val="0"/>
        </w:rPr>
        <w:t>and SDG&amp;E filed second supplemental AL 3262-E-B on January 24, 2019.</w:t>
      </w:r>
    </w:p>
    <w:p w:rsidRPr="00511954" w:rsidR="0006536D" w:rsidP="00755176" w:rsidRDefault="00EF456E" w14:paraId="765A2927" w14:textId="68280D80">
      <w:pPr>
        <w:pStyle w:val="Heading1"/>
        <w:spacing w:before="0" w:after="0"/>
        <w:rPr>
          <w:rFonts w:ascii="Palatino Linotype" w:hAnsi="Palatino Linotype"/>
        </w:rPr>
      </w:pPr>
      <w:r>
        <w:rPr>
          <w:rFonts w:ascii="Palatino Linotype" w:hAnsi="Palatino Linotype"/>
        </w:rPr>
        <w:t>Notice</w:t>
      </w:r>
    </w:p>
    <w:p w:rsidRPr="00511954" w:rsidR="00932550" w:rsidP="00755176" w:rsidRDefault="007A1E5F" w14:paraId="7BE9BCC4" w14:textId="2B575CD3">
      <w:pPr>
        <w:spacing w:after="240"/>
        <w:rPr>
          <w:rFonts w:ascii="Palatino Linotype" w:hAnsi="Palatino Linotype"/>
        </w:rPr>
      </w:pPr>
      <w:r w:rsidRPr="00511954">
        <w:rPr>
          <w:rFonts w:ascii="Palatino Linotype" w:hAnsi="Palatino Linotype"/>
        </w:rPr>
        <w:t xml:space="preserve">Notice of </w:t>
      </w:r>
      <w:r w:rsidRPr="00511954" w:rsidR="00A311CE">
        <w:rPr>
          <w:rFonts w:ascii="Palatino Linotype" w:hAnsi="Palatino Linotype"/>
        </w:rPr>
        <w:t xml:space="preserve">PG&amp;E </w:t>
      </w:r>
      <w:r w:rsidRPr="00511954" w:rsidR="00315400">
        <w:rPr>
          <w:rFonts w:ascii="Palatino Linotype" w:hAnsi="Palatino Linotype"/>
        </w:rPr>
        <w:t xml:space="preserve">AL </w:t>
      </w:r>
      <w:r w:rsidRPr="00511954" w:rsidR="00A311CE">
        <w:rPr>
          <w:rFonts w:ascii="Palatino Linotype" w:hAnsi="Palatino Linotype"/>
        </w:rPr>
        <w:t>5362-E, PG&amp;E AL 5362-E-A, SCE AL 3851-E, SCE AL 3851-E-A, SDG&amp;E AL 3262-E, SDG&amp;E AL 3262-E-A, and SDG&amp;E AL 3262-E-B were</w:t>
      </w:r>
      <w:r w:rsidRPr="00511954" w:rsidR="0006536D">
        <w:rPr>
          <w:rFonts w:ascii="Palatino Linotype" w:hAnsi="Palatino Linotype"/>
        </w:rPr>
        <w:t xml:space="preserve"> made by publication in the Commission’s Daily Calendar. </w:t>
      </w:r>
      <w:r w:rsidRPr="00511954" w:rsidR="00A311CE">
        <w:rPr>
          <w:rFonts w:ascii="Palatino Linotype" w:hAnsi="Palatino Linotype"/>
        </w:rPr>
        <w:t xml:space="preserve">PG&amp;E, SCE, and SDG&amp;E </w:t>
      </w:r>
      <w:r w:rsidRPr="00511954" w:rsidR="00A165B3">
        <w:rPr>
          <w:rFonts w:ascii="Palatino Linotype" w:hAnsi="Palatino Linotype"/>
        </w:rPr>
        <w:t xml:space="preserve">each </w:t>
      </w:r>
      <w:r w:rsidRPr="00511954" w:rsidR="00A311CE">
        <w:rPr>
          <w:rFonts w:ascii="Palatino Linotype" w:hAnsi="Palatino Linotype"/>
        </w:rPr>
        <w:t xml:space="preserve">state that </w:t>
      </w:r>
      <w:r w:rsidRPr="00511954" w:rsidR="005A6971">
        <w:rPr>
          <w:rFonts w:ascii="Palatino Linotype" w:hAnsi="Palatino Linotype"/>
        </w:rPr>
        <w:t>a copy of the</w:t>
      </w:r>
      <w:r w:rsidRPr="00511954" w:rsidR="00A311CE">
        <w:rPr>
          <w:rFonts w:ascii="Palatino Linotype" w:hAnsi="Palatino Linotype"/>
        </w:rPr>
        <w:t>ir</w:t>
      </w:r>
      <w:r w:rsidRPr="00511954" w:rsidR="005A6971">
        <w:rPr>
          <w:rFonts w:ascii="Palatino Linotype" w:hAnsi="Palatino Linotype"/>
        </w:rPr>
        <w:t xml:space="preserve"> AL</w:t>
      </w:r>
      <w:r w:rsidRPr="00511954" w:rsidR="00A311CE">
        <w:rPr>
          <w:rFonts w:ascii="Palatino Linotype" w:hAnsi="Palatino Linotype"/>
        </w:rPr>
        <w:t>s</w:t>
      </w:r>
      <w:r w:rsidRPr="00511954" w:rsidR="005A6971">
        <w:rPr>
          <w:rFonts w:ascii="Palatino Linotype" w:hAnsi="Palatino Linotype"/>
        </w:rPr>
        <w:t xml:space="preserve"> w</w:t>
      </w:r>
      <w:r w:rsidRPr="00511954" w:rsidR="00A311CE">
        <w:rPr>
          <w:rFonts w:ascii="Palatino Linotype" w:hAnsi="Palatino Linotype"/>
        </w:rPr>
        <w:t>ere</w:t>
      </w:r>
      <w:r w:rsidRPr="00511954" w:rsidR="005A6971">
        <w:rPr>
          <w:rFonts w:ascii="Palatino Linotype" w:hAnsi="Palatino Linotype"/>
        </w:rPr>
        <w:t xml:space="preserve"> mailed and distributed in accordance with Section 4 of General Order 96-B.</w:t>
      </w:r>
    </w:p>
    <w:p w:rsidRPr="00511954" w:rsidR="00803E4B" w:rsidP="00755176" w:rsidRDefault="00AA2F97" w14:paraId="50FBB84B" w14:textId="45E70928">
      <w:pPr>
        <w:pStyle w:val="Heading1"/>
        <w:spacing w:before="0" w:after="0"/>
        <w:rPr>
          <w:rFonts w:ascii="Palatino Linotype" w:hAnsi="Palatino Linotype" w:cs="TimesNewRoman"/>
          <w:szCs w:val="24"/>
        </w:rPr>
      </w:pPr>
      <w:r w:rsidRPr="00511954">
        <w:rPr>
          <w:rFonts w:ascii="Palatino Linotype" w:hAnsi="Palatino Linotype"/>
          <w:bCs/>
        </w:rPr>
        <w:t>P</w:t>
      </w:r>
      <w:r w:rsidR="00EF456E">
        <w:rPr>
          <w:rFonts w:ascii="Palatino Linotype" w:hAnsi="Palatino Linotype"/>
          <w:bCs/>
        </w:rPr>
        <w:t>rotests</w:t>
      </w:r>
      <w:r w:rsidRPr="00511954" w:rsidR="00803E4B">
        <w:rPr>
          <w:rFonts w:ascii="Palatino Linotype" w:hAnsi="Palatino Linotype" w:cs="TimesNewRoman"/>
          <w:b w:val="0"/>
          <w:szCs w:val="24"/>
        </w:rPr>
        <w:t xml:space="preserve"> </w:t>
      </w:r>
    </w:p>
    <w:p w:rsidRPr="00511954" w:rsidR="00B34F5F" w:rsidP="00755176" w:rsidRDefault="00803E4B" w14:paraId="63D9F048" w14:textId="77777777">
      <w:pPr>
        <w:autoSpaceDE w:val="0"/>
        <w:autoSpaceDN w:val="0"/>
        <w:adjustRightInd w:val="0"/>
        <w:spacing w:after="240"/>
        <w:rPr>
          <w:rFonts w:ascii="Palatino Linotype" w:hAnsi="Palatino Linotype" w:cs="TimesNewRoman"/>
          <w:szCs w:val="24"/>
        </w:rPr>
      </w:pPr>
      <w:r w:rsidRPr="00511954">
        <w:rPr>
          <w:rFonts w:ascii="Palatino Linotype" w:hAnsi="Palatino Linotype" w:cs="TimesNewRoman"/>
          <w:szCs w:val="24"/>
        </w:rPr>
        <w:t>On September 10, 2018</w:t>
      </w:r>
      <w:r w:rsidRPr="00511954" w:rsidR="00C27ED0">
        <w:rPr>
          <w:rFonts w:ascii="Palatino Linotype" w:hAnsi="Palatino Linotype" w:cs="TimesNewRoman"/>
          <w:szCs w:val="24"/>
        </w:rPr>
        <w:t>,</w:t>
      </w:r>
      <w:r w:rsidRPr="00511954" w:rsidR="00A311CE">
        <w:rPr>
          <w:rFonts w:ascii="Palatino Linotype" w:hAnsi="Palatino Linotype" w:cs="TimesNewRoman"/>
          <w:szCs w:val="24"/>
        </w:rPr>
        <w:t xml:space="preserve"> Peninsula Clean Energy</w:t>
      </w:r>
      <w:r w:rsidRPr="00511954" w:rsidR="00C53E5D">
        <w:rPr>
          <w:rFonts w:ascii="Palatino Linotype" w:hAnsi="Palatino Linotype" w:cs="TimesNewRoman"/>
          <w:szCs w:val="24"/>
        </w:rPr>
        <w:t xml:space="preserve"> on behalf of itself</w:t>
      </w:r>
      <w:r w:rsidRPr="00511954" w:rsidR="00A311CE">
        <w:rPr>
          <w:rFonts w:ascii="Palatino Linotype" w:hAnsi="Palatino Linotype" w:cs="TimesNewRoman"/>
          <w:szCs w:val="24"/>
        </w:rPr>
        <w:t xml:space="preserve">, Marin Clean Energy, Sonoma Clean Power, and Lancaster Choice Energy </w:t>
      </w:r>
      <w:r w:rsidRPr="00511954" w:rsidR="00C53E5D">
        <w:rPr>
          <w:rFonts w:ascii="Palatino Linotype" w:hAnsi="Palatino Linotype" w:cs="TimesNewRoman"/>
          <w:szCs w:val="24"/>
        </w:rPr>
        <w:t>(</w:t>
      </w:r>
      <w:r w:rsidRPr="00511954" w:rsidR="00A311CE">
        <w:rPr>
          <w:rFonts w:ascii="Palatino Linotype" w:hAnsi="Palatino Linotype" w:cs="TimesNewRoman"/>
          <w:szCs w:val="24"/>
        </w:rPr>
        <w:t>jointly as “Protesting CCAs”</w:t>
      </w:r>
      <w:r w:rsidRPr="00511954" w:rsidR="00C53E5D">
        <w:rPr>
          <w:rFonts w:ascii="Palatino Linotype" w:hAnsi="Palatino Linotype" w:cs="TimesNewRoman"/>
          <w:szCs w:val="24"/>
        </w:rPr>
        <w:t>)</w:t>
      </w:r>
      <w:r w:rsidRPr="00511954" w:rsidR="00C27ED0">
        <w:rPr>
          <w:rFonts w:ascii="Palatino Linotype" w:hAnsi="Palatino Linotype" w:cs="TimesNewRoman"/>
          <w:szCs w:val="24"/>
        </w:rPr>
        <w:t xml:space="preserve"> submitted a timely protest of PG&amp;E AL 5362-E and SCE AL 3851-E.</w:t>
      </w:r>
    </w:p>
    <w:p w:rsidRPr="00511954" w:rsidR="00B34F5F" w:rsidP="00755176" w:rsidRDefault="004947E5" w14:paraId="3AE3EE98" w14:textId="77777777">
      <w:pPr>
        <w:autoSpaceDE w:val="0"/>
        <w:autoSpaceDN w:val="0"/>
        <w:adjustRightInd w:val="0"/>
        <w:spacing w:after="240"/>
        <w:rPr>
          <w:rFonts w:ascii="Palatino Linotype" w:hAnsi="Palatino Linotype" w:cs="TimesNewRoman"/>
          <w:szCs w:val="24"/>
        </w:rPr>
      </w:pPr>
      <w:proofErr w:type="gramStart"/>
      <w:r w:rsidRPr="00511954">
        <w:rPr>
          <w:rFonts w:ascii="Palatino Linotype" w:hAnsi="Palatino Linotype" w:cs="TimesNewRoman"/>
          <w:szCs w:val="24"/>
        </w:rPr>
        <w:t>Also</w:t>
      </w:r>
      <w:proofErr w:type="gramEnd"/>
      <w:r w:rsidRPr="00511954">
        <w:rPr>
          <w:rFonts w:ascii="Palatino Linotype" w:hAnsi="Palatino Linotype" w:cs="TimesNewRoman"/>
          <w:szCs w:val="24"/>
        </w:rPr>
        <w:t xml:space="preserve"> </w:t>
      </w:r>
      <w:r w:rsidRPr="00511954" w:rsidR="00A165B3">
        <w:rPr>
          <w:rFonts w:ascii="Palatino Linotype" w:hAnsi="Palatino Linotype" w:cs="TimesNewRoman"/>
          <w:szCs w:val="24"/>
        </w:rPr>
        <w:t>o</w:t>
      </w:r>
      <w:r w:rsidRPr="00511954" w:rsidR="00B34F5F">
        <w:rPr>
          <w:rFonts w:ascii="Palatino Linotype" w:hAnsi="Palatino Linotype" w:cs="TimesNewRoman"/>
          <w:szCs w:val="24"/>
        </w:rPr>
        <w:t>n September 10, 2018</w:t>
      </w:r>
      <w:r w:rsidRPr="00511954" w:rsidR="00537D7E">
        <w:rPr>
          <w:rFonts w:ascii="Palatino Linotype" w:hAnsi="Palatino Linotype" w:cs="TimesNewRoman"/>
          <w:szCs w:val="24"/>
        </w:rPr>
        <w:t>,</w:t>
      </w:r>
      <w:r w:rsidRPr="00511954" w:rsidR="00B34F5F">
        <w:rPr>
          <w:rFonts w:ascii="Palatino Linotype" w:hAnsi="Palatino Linotype" w:cs="TimesNewRoman"/>
          <w:szCs w:val="24"/>
        </w:rPr>
        <w:t xml:space="preserve"> the Interstate Renewable Energy Council (IREC) and the Sustainable Economies Law Center (SELC) submitted a timely</w:t>
      </w:r>
      <w:r w:rsidRPr="00511954" w:rsidR="00A165B3">
        <w:rPr>
          <w:rFonts w:ascii="Palatino Linotype" w:hAnsi="Palatino Linotype" w:cs="TimesNewRoman"/>
          <w:szCs w:val="24"/>
        </w:rPr>
        <w:t xml:space="preserve"> joint</w:t>
      </w:r>
      <w:r w:rsidRPr="00511954" w:rsidR="00B34F5F">
        <w:rPr>
          <w:rFonts w:ascii="Palatino Linotype" w:hAnsi="Palatino Linotype" w:cs="TimesNewRoman"/>
          <w:szCs w:val="24"/>
        </w:rPr>
        <w:t xml:space="preserve"> response to PG&amp;E AL 5362-E, SCE AL 3851-E, and SDG&amp;E 3262-E.</w:t>
      </w:r>
    </w:p>
    <w:p w:rsidRPr="00511954" w:rsidR="00B34F5F" w:rsidP="00755176" w:rsidRDefault="00B34F5F" w14:paraId="55452166" w14:textId="18ACE082">
      <w:pPr>
        <w:autoSpaceDE w:val="0"/>
        <w:autoSpaceDN w:val="0"/>
        <w:adjustRightInd w:val="0"/>
        <w:spacing w:after="240"/>
        <w:rPr>
          <w:rFonts w:ascii="Palatino Linotype" w:hAnsi="Palatino Linotype" w:cs="TimesNewRoman"/>
          <w:szCs w:val="24"/>
        </w:rPr>
      </w:pPr>
      <w:r w:rsidRPr="00511954">
        <w:rPr>
          <w:rFonts w:ascii="Palatino Linotype" w:hAnsi="Palatino Linotype" w:cs="TimesNewRoman"/>
          <w:szCs w:val="24"/>
        </w:rPr>
        <w:t>On September 17, 2018</w:t>
      </w:r>
      <w:r w:rsidRPr="00511954" w:rsidR="00537D7E">
        <w:rPr>
          <w:rFonts w:ascii="Palatino Linotype" w:hAnsi="Palatino Linotype" w:cs="TimesNewRoman"/>
          <w:szCs w:val="24"/>
        </w:rPr>
        <w:t>,</w:t>
      </w:r>
      <w:r w:rsidRPr="00511954">
        <w:rPr>
          <w:rFonts w:ascii="Palatino Linotype" w:hAnsi="Palatino Linotype" w:cs="TimesNewRoman"/>
          <w:szCs w:val="24"/>
        </w:rPr>
        <w:t xml:space="preserve"> PG&amp;E and SCE replied to the </w:t>
      </w:r>
      <w:r w:rsidRPr="00511954" w:rsidR="00262E88">
        <w:rPr>
          <w:rFonts w:ascii="Palatino Linotype" w:hAnsi="Palatino Linotype" w:cs="TimesNewRoman"/>
          <w:szCs w:val="24"/>
        </w:rPr>
        <w:t>protest</w:t>
      </w:r>
      <w:r w:rsidRPr="00511954" w:rsidR="00E60720">
        <w:rPr>
          <w:rFonts w:ascii="Palatino Linotype" w:hAnsi="Palatino Linotype" w:cs="TimesNewRoman"/>
          <w:szCs w:val="24"/>
        </w:rPr>
        <w:t xml:space="preserve"> and response</w:t>
      </w:r>
      <w:r w:rsidRPr="00511954" w:rsidR="00262E88">
        <w:rPr>
          <w:rFonts w:ascii="Palatino Linotype" w:hAnsi="Palatino Linotype" w:cs="TimesNewRoman"/>
          <w:szCs w:val="24"/>
        </w:rPr>
        <w:t xml:space="preserve"> </w:t>
      </w:r>
      <w:r w:rsidRPr="00511954" w:rsidR="00E60720">
        <w:rPr>
          <w:rFonts w:ascii="Palatino Linotype" w:hAnsi="Palatino Linotype" w:cs="TimesNewRoman"/>
          <w:szCs w:val="24"/>
        </w:rPr>
        <w:t>to</w:t>
      </w:r>
      <w:r w:rsidRPr="00511954" w:rsidR="00537D7E">
        <w:rPr>
          <w:rFonts w:ascii="Palatino Linotype" w:hAnsi="Palatino Linotype" w:cs="TimesNewRoman"/>
          <w:szCs w:val="24"/>
        </w:rPr>
        <w:t xml:space="preserve"> their </w:t>
      </w:r>
      <w:r w:rsidRPr="00511954" w:rsidR="00315400">
        <w:rPr>
          <w:rFonts w:ascii="Palatino Linotype" w:hAnsi="Palatino Linotype" w:cs="TimesNewRoman"/>
          <w:szCs w:val="24"/>
        </w:rPr>
        <w:t>AL</w:t>
      </w:r>
      <w:r w:rsidRPr="00511954" w:rsidR="00537D7E">
        <w:rPr>
          <w:rFonts w:ascii="Palatino Linotype" w:hAnsi="Palatino Linotype" w:cs="TimesNewRoman"/>
          <w:szCs w:val="24"/>
        </w:rPr>
        <w:t xml:space="preserve">s by </w:t>
      </w:r>
      <w:r w:rsidRPr="00511954" w:rsidR="00262E88">
        <w:rPr>
          <w:rFonts w:ascii="Palatino Linotype" w:hAnsi="Palatino Linotype" w:cs="TimesNewRoman"/>
          <w:szCs w:val="24"/>
        </w:rPr>
        <w:t xml:space="preserve">the </w:t>
      </w:r>
      <w:r w:rsidRPr="00511954">
        <w:rPr>
          <w:rFonts w:ascii="Palatino Linotype" w:hAnsi="Palatino Linotype" w:cs="TimesNewRoman"/>
          <w:szCs w:val="24"/>
        </w:rPr>
        <w:t xml:space="preserve">Protesting CCAs and </w:t>
      </w:r>
      <w:r w:rsidRPr="00511954" w:rsidR="00A165B3">
        <w:rPr>
          <w:rFonts w:ascii="Palatino Linotype" w:hAnsi="Palatino Linotype" w:cs="TimesNewRoman"/>
          <w:szCs w:val="24"/>
        </w:rPr>
        <w:t xml:space="preserve">by </w:t>
      </w:r>
      <w:r w:rsidRPr="00511954" w:rsidR="00262E88">
        <w:rPr>
          <w:rFonts w:ascii="Palatino Linotype" w:hAnsi="Palatino Linotype" w:cs="TimesNewRoman"/>
          <w:szCs w:val="24"/>
        </w:rPr>
        <w:t>IREC</w:t>
      </w:r>
      <w:r w:rsidRPr="00511954" w:rsidR="00315400">
        <w:rPr>
          <w:rFonts w:ascii="Palatino Linotype" w:hAnsi="Palatino Linotype" w:cs="TimesNewRoman"/>
          <w:szCs w:val="24"/>
        </w:rPr>
        <w:t>/</w:t>
      </w:r>
      <w:r w:rsidRPr="00511954" w:rsidR="00262E88">
        <w:rPr>
          <w:rFonts w:ascii="Palatino Linotype" w:hAnsi="Palatino Linotype" w:cs="TimesNewRoman"/>
          <w:szCs w:val="24"/>
        </w:rPr>
        <w:t>SELC. On September 17, 2018,</w:t>
      </w:r>
      <w:r w:rsidRPr="00511954">
        <w:rPr>
          <w:rFonts w:ascii="Palatino Linotype" w:hAnsi="Palatino Linotype" w:cs="TimesNewRoman"/>
          <w:szCs w:val="24"/>
        </w:rPr>
        <w:t xml:space="preserve"> SDG&amp;E replied to the </w:t>
      </w:r>
      <w:r w:rsidRPr="00511954" w:rsidR="00DF5122">
        <w:rPr>
          <w:rFonts w:ascii="Palatino Linotype" w:hAnsi="Palatino Linotype" w:cs="TimesNewRoman"/>
          <w:szCs w:val="24"/>
        </w:rPr>
        <w:t>response to</w:t>
      </w:r>
      <w:r w:rsidRPr="00511954" w:rsidR="00262E88">
        <w:rPr>
          <w:rFonts w:ascii="Palatino Linotype" w:hAnsi="Palatino Linotype" w:cs="TimesNewRoman"/>
          <w:szCs w:val="24"/>
        </w:rPr>
        <w:t xml:space="preserve"> </w:t>
      </w:r>
      <w:r w:rsidRPr="00511954" w:rsidR="00537D7E">
        <w:rPr>
          <w:rFonts w:ascii="Palatino Linotype" w:hAnsi="Palatino Linotype" w:cs="TimesNewRoman"/>
          <w:szCs w:val="24"/>
        </w:rPr>
        <w:t xml:space="preserve">its </w:t>
      </w:r>
      <w:r w:rsidRPr="00511954" w:rsidR="00262E88">
        <w:rPr>
          <w:rFonts w:ascii="Palatino Linotype" w:hAnsi="Palatino Linotype" w:cs="TimesNewRoman"/>
          <w:szCs w:val="24"/>
        </w:rPr>
        <w:t>advice letter by IREC</w:t>
      </w:r>
      <w:r w:rsidRPr="00511954" w:rsidR="00315400">
        <w:rPr>
          <w:rFonts w:ascii="Palatino Linotype" w:hAnsi="Palatino Linotype" w:cs="TimesNewRoman"/>
          <w:szCs w:val="24"/>
        </w:rPr>
        <w:t>/</w:t>
      </w:r>
      <w:r w:rsidRPr="00511954" w:rsidR="00262E88">
        <w:rPr>
          <w:rFonts w:ascii="Palatino Linotype" w:hAnsi="Palatino Linotype" w:cs="TimesNewRoman"/>
          <w:szCs w:val="24"/>
        </w:rPr>
        <w:t>SELC.</w:t>
      </w:r>
    </w:p>
    <w:p w:rsidRPr="00511954" w:rsidR="00530A85" w:rsidP="00755176" w:rsidRDefault="00530A85" w14:paraId="581F1A46" w14:textId="4FE844E2">
      <w:pPr>
        <w:autoSpaceDE w:val="0"/>
        <w:autoSpaceDN w:val="0"/>
        <w:adjustRightInd w:val="0"/>
        <w:spacing w:after="240"/>
        <w:rPr>
          <w:rFonts w:ascii="Palatino Linotype" w:hAnsi="Palatino Linotype" w:cs="TimesNewRoman"/>
          <w:szCs w:val="24"/>
        </w:rPr>
      </w:pPr>
      <w:r w:rsidRPr="00511954">
        <w:rPr>
          <w:rFonts w:ascii="Palatino Linotype" w:hAnsi="Palatino Linotype"/>
          <w:szCs w:val="26"/>
        </w:rPr>
        <w:t xml:space="preserve">The following provides a summary of the major issues raised in the protest and </w:t>
      </w:r>
      <w:r w:rsidRPr="00511954" w:rsidR="004947E5">
        <w:rPr>
          <w:rFonts w:ascii="Palatino Linotype" w:hAnsi="Palatino Linotype"/>
          <w:szCs w:val="26"/>
        </w:rPr>
        <w:t>the response</w:t>
      </w:r>
      <w:r w:rsidR="00566425">
        <w:rPr>
          <w:rFonts w:ascii="Palatino Linotype" w:hAnsi="Palatino Linotype"/>
          <w:szCs w:val="26"/>
        </w:rPr>
        <w:t>,</w:t>
      </w:r>
      <w:r w:rsidRPr="00511954" w:rsidR="004947E5">
        <w:rPr>
          <w:rFonts w:ascii="Palatino Linotype" w:hAnsi="Palatino Linotype"/>
          <w:szCs w:val="26"/>
        </w:rPr>
        <w:t xml:space="preserve"> </w:t>
      </w:r>
      <w:r w:rsidRPr="00511954" w:rsidR="00DF5122">
        <w:rPr>
          <w:rFonts w:ascii="Palatino Linotype" w:hAnsi="Palatino Linotype"/>
          <w:szCs w:val="26"/>
        </w:rPr>
        <w:t xml:space="preserve">and the </w:t>
      </w:r>
      <w:r w:rsidRPr="00511954" w:rsidR="004947E5">
        <w:rPr>
          <w:rFonts w:ascii="Palatino Linotype" w:hAnsi="Palatino Linotype"/>
          <w:szCs w:val="26"/>
        </w:rPr>
        <w:t>IOU</w:t>
      </w:r>
      <w:r w:rsidRPr="00511954" w:rsidR="00DF5122">
        <w:rPr>
          <w:rFonts w:ascii="Palatino Linotype" w:hAnsi="Palatino Linotype"/>
          <w:szCs w:val="26"/>
        </w:rPr>
        <w:t xml:space="preserve"> </w:t>
      </w:r>
      <w:r w:rsidRPr="00511954">
        <w:rPr>
          <w:rFonts w:ascii="Palatino Linotype" w:hAnsi="Palatino Linotype"/>
          <w:szCs w:val="26"/>
        </w:rPr>
        <w:t>replies. For cla</w:t>
      </w:r>
      <w:r w:rsidRPr="00511954" w:rsidR="00090B54">
        <w:rPr>
          <w:rFonts w:ascii="Palatino Linotype" w:hAnsi="Palatino Linotype"/>
          <w:szCs w:val="26"/>
        </w:rPr>
        <w:t xml:space="preserve">rity, </w:t>
      </w:r>
      <w:r w:rsidRPr="00511954" w:rsidR="00DF5122">
        <w:rPr>
          <w:rFonts w:ascii="Palatino Linotype" w:hAnsi="Palatino Linotype"/>
          <w:szCs w:val="26"/>
        </w:rPr>
        <w:t>the issues in the protest and response are</w:t>
      </w:r>
      <w:r w:rsidRPr="00511954" w:rsidR="00090B54">
        <w:rPr>
          <w:rFonts w:ascii="Palatino Linotype" w:hAnsi="Palatino Linotype"/>
          <w:szCs w:val="26"/>
        </w:rPr>
        <w:t xml:space="preserve"> discussed separately, followed directly</w:t>
      </w:r>
      <w:r w:rsidRPr="00511954">
        <w:rPr>
          <w:rFonts w:ascii="Palatino Linotype" w:hAnsi="Palatino Linotype"/>
          <w:szCs w:val="26"/>
        </w:rPr>
        <w:t xml:space="preserve"> by the </w:t>
      </w:r>
      <w:r w:rsidRPr="00511954" w:rsidR="00090B54">
        <w:rPr>
          <w:rFonts w:ascii="Palatino Linotype" w:hAnsi="Palatino Linotype"/>
          <w:szCs w:val="26"/>
        </w:rPr>
        <w:t>IOU</w:t>
      </w:r>
      <w:r w:rsidRPr="00511954" w:rsidR="00537D7E">
        <w:rPr>
          <w:rFonts w:ascii="Palatino Linotype" w:hAnsi="Palatino Linotype"/>
          <w:szCs w:val="26"/>
        </w:rPr>
        <w:t>s</w:t>
      </w:r>
      <w:r w:rsidRPr="00511954" w:rsidR="00090B54">
        <w:rPr>
          <w:rFonts w:ascii="Palatino Linotype" w:hAnsi="Palatino Linotype"/>
          <w:szCs w:val="26"/>
        </w:rPr>
        <w:t>’</w:t>
      </w:r>
      <w:r w:rsidRPr="00511954" w:rsidR="00537D7E">
        <w:rPr>
          <w:rFonts w:ascii="Palatino Linotype" w:hAnsi="Palatino Linotype"/>
          <w:szCs w:val="26"/>
        </w:rPr>
        <w:t xml:space="preserve"> </w:t>
      </w:r>
      <w:r w:rsidRPr="00511954">
        <w:rPr>
          <w:rFonts w:ascii="Palatino Linotype" w:hAnsi="Palatino Linotype"/>
          <w:szCs w:val="26"/>
        </w:rPr>
        <w:t>replies.</w:t>
      </w:r>
    </w:p>
    <w:p w:rsidRPr="00511954" w:rsidR="00B34F5F" w:rsidP="00755176" w:rsidRDefault="00800FD3" w14:paraId="3C3FCF90" w14:textId="2FA1967F">
      <w:pPr>
        <w:autoSpaceDE w:val="0"/>
        <w:autoSpaceDN w:val="0"/>
        <w:adjustRightInd w:val="0"/>
        <w:rPr>
          <w:rFonts w:ascii="Palatino Linotype" w:hAnsi="Palatino Linotype" w:cs="TimesNewRoman"/>
          <w:b/>
          <w:szCs w:val="24"/>
        </w:rPr>
      </w:pPr>
      <w:r>
        <w:rPr>
          <w:rFonts w:ascii="Palatino Linotype" w:hAnsi="Palatino Linotype" w:cs="TimesNewRoman"/>
          <w:b/>
          <w:szCs w:val="24"/>
        </w:rPr>
        <w:t xml:space="preserve">Protesting </w:t>
      </w:r>
      <w:r w:rsidRPr="00511954" w:rsidR="0037573E">
        <w:rPr>
          <w:rFonts w:ascii="Palatino Linotype" w:hAnsi="Palatino Linotype" w:cs="TimesNewRoman"/>
          <w:b/>
          <w:szCs w:val="24"/>
        </w:rPr>
        <w:t>CCAs’</w:t>
      </w:r>
      <w:r w:rsidRPr="00511954" w:rsidR="00B34F5F">
        <w:rPr>
          <w:rFonts w:ascii="Palatino Linotype" w:hAnsi="Palatino Linotype" w:cs="TimesNewRoman"/>
          <w:b/>
          <w:szCs w:val="24"/>
        </w:rPr>
        <w:t xml:space="preserve"> </w:t>
      </w:r>
      <w:r w:rsidRPr="00511954" w:rsidR="00530A85">
        <w:rPr>
          <w:rFonts w:ascii="Palatino Linotype" w:hAnsi="Palatino Linotype" w:cs="TimesNewRoman"/>
          <w:b/>
          <w:szCs w:val="24"/>
        </w:rPr>
        <w:t>Protest of PG&amp;E’s and SCE’s ALs</w:t>
      </w:r>
      <w:r w:rsidRPr="00511954" w:rsidR="00B34F5F">
        <w:rPr>
          <w:rFonts w:ascii="Palatino Linotype" w:hAnsi="Palatino Linotype" w:cs="TimesNewRoman"/>
          <w:b/>
          <w:szCs w:val="24"/>
        </w:rPr>
        <w:t xml:space="preserve"> </w:t>
      </w:r>
    </w:p>
    <w:p w:rsidRPr="00511954" w:rsidR="00C42EBE" w:rsidP="00755176" w:rsidRDefault="00315400" w14:paraId="770AA2DF" w14:textId="31E38300">
      <w:pPr>
        <w:autoSpaceDE w:val="0"/>
        <w:autoSpaceDN w:val="0"/>
        <w:adjustRightInd w:val="0"/>
        <w:spacing w:after="240"/>
        <w:rPr>
          <w:rFonts w:ascii="Palatino Linotype" w:hAnsi="Palatino Linotype" w:cs="TimesNewRoman"/>
          <w:b/>
          <w:szCs w:val="24"/>
        </w:rPr>
      </w:pPr>
      <w:r w:rsidRPr="00511954">
        <w:rPr>
          <w:rFonts w:ascii="Palatino Linotype" w:hAnsi="Palatino Linotype" w:cs="TimesNewRoman"/>
          <w:szCs w:val="24"/>
        </w:rPr>
        <w:t>The NEM DAC Decision</w:t>
      </w:r>
      <w:r w:rsidRPr="00511954" w:rsidR="00D06EC4">
        <w:rPr>
          <w:rFonts w:ascii="Palatino Linotype" w:hAnsi="Palatino Linotype" w:cs="TimesNewRoman"/>
          <w:szCs w:val="24"/>
        </w:rPr>
        <w:t xml:space="preserve"> </w:t>
      </w:r>
      <w:r w:rsidRPr="00511954" w:rsidR="00530A85">
        <w:rPr>
          <w:rFonts w:ascii="Palatino Linotype" w:hAnsi="Palatino Linotype" w:cs="TimesNewRoman"/>
          <w:szCs w:val="24"/>
        </w:rPr>
        <w:t xml:space="preserve">explicitly </w:t>
      </w:r>
      <w:r w:rsidRPr="00511954" w:rsidR="00C27ED0">
        <w:rPr>
          <w:rFonts w:ascii="Palatino Linotype" w:hAnsi="Palatino Linotype" w:cs="TimesNewRoman"/>
          <w:szCs w:val="24"/>
        </w:rPr>
        <w:t>grants</w:t>
      </w:r>
      <w:r w:rsidRPr="00511954" w:rsidR="00530A85">
        <w:rPr>
          <w:rFonts w:ascii="Palatino Linotype" w:hAnsi="Palatino Linotype" w:cs="TimesNewRoman"/>
          <w:szCs w:val="24"/>
        </w:rPr>
        <w:t xml:space="preserve"> </w:t>
      </w:r>
      <w:r w:rsidRPr="00511954" w:rsidR="00D06EC4">
        <w:rPr>
          <w:rFonts w:ascii="Palatino Linotype" w:hAnsi="Palatino Linotype" w:cs="TimesNewRoman"/>
          <w:szCs w:val="24"/>
        </w:rPr>
        <w:t xml:space="preserve">Community Choice Aggregators (CCAs) </w:t>
      </w:r>
      <w:r w:rsidRPr="00511954" w:rsidR="00C27ED0">
        <w:rPr>
          <w:rFonts w:ascii="Palatino Linotype" w:hAnsi="Palatino Linotype" w:cs="TimesNewRoman"/>
          <w:szCs w:val="24"/>
        </w:rPr>
        <w:t>the opportunity to d</w:t>
      </w:r>
      <w:r w:rsidRPr="00511954" w:rsidR="00D06EC4">
        <w:rPr>
          <w:rFonts w:ascii="Palatino Linotype" w:hAnsi="Palatino Linotype" w:cs="TimesNewRoman"/>
          <w:szCs w:val="24"/>
        </w:rPr>
        <w:t>evelop their own DAC-GT and CSGT programs</w:t>
      </w:r>
      <w:r w:rsidRPr="00511954" w:rsidR="00530A85">
        <w:rPr>
          <w:rFonts w:ascii="Palatino Linotype" w:hAnsi="Palatino Linotype" w:cs="TimesNewRoman"/>
          <w:szCs w:val="24"/>
        </w:rPr>
        <w:t>.</w:t>
      </w:r>
      <w:r w:rsidRPr="00511954" w:rsidR="00C27ED0">
        <w:rPr>
          <w:rFonts w:ascii="Palatino Linotype" w:hAnsi="Palatino Linotype" w:cs="TimesNewRoman"/>
          <w:szCs w:val="24"/>
        </w:rPr>
        <w:t xml:space="preserve"> T</w:t>
      </w:r>
      <w:r w:rsidRPr="00511954" w:rsidR="00530A85">
        <w:rPr>
          <w:rFonts w:ascii="Palatino Linotype" w:hAnsi="Palatino Linotype" w:cs="TimesNewRoman"/>
          <w:szCs w:val="24"/>
        </w:rPr>
        <w:t xml:space="preserve">he </w:t>
      </w:r>
      <w:r w:rsidRPr="00511954" w:rsidR="00A165B3">
        <w:rPr>
          <w:rFonts w:ascii="Palatino Linotype" w:hAnsi="Palatino Linotype" w:cs="TimesNewRoman"/>
          <w:szCs w:val="24"/>
        </w:rPr>
        <w:t>Decision</w:t>
      </w:r>
      <w:r w:rsidRPr="00511954" w:rsidR="00530A85">
        <w:rPr>
          <w:rFonts w:ascii="Palatino Linotype" w:hAnsi="Palatino Linotype" w:cs="TimesNewRoman"/>
          <w:szCs w:val="24"/>
        </w:rPr>
        <w:t xml:space="preserve"> </w:t>
      </w:r>
      <w:r w:rsidRPr="00511954" w:rsidR="009947E1">
        <w:rPr>
          <w:rFonts w:ascii="Palatino Linotype" w:hAnsi="Palatino Linotype" w:cs="TimesNewRoman"/>
          <w:szCs w:val="24"/>
        </w:rPr>
        <w:t xml:space="preserve">further </w:t>
      </w:r>
      <w:r w:rsidRPr="00511954" w:rsidR="00C27ED0">
        <w:rPr>
          <w:rFonts w:ascii="Palatino Linotype" w:hAnsi="Palatino Linotype" w:cs="TimesNewRoman"/>
          <w:szCs w:val="24"/>
        </w:rPr>
        <w:t>provides</w:t>
      </w:r>
      <w:r w:rsidRPr="00511954" w:rsidR="00530A85">
        <w:rPr>
          <w:rFonts w:ascii="Palatino Linotype" w:hAnsi="Palatino Linotype" w:cs="TimesNewRoman"/>
          <w:szCs w:val="24"/>
        </w:rPr>
        <w:t xml:space="preserve"> CCAs</w:t>
      </w:r>
      <w:r w:rsidRPr="00511954" w:rsidR="00D06EC4">
        <w:rPr>
          <w:rFonts w:ascii="Palatino Linotype" w:hAnsi="Palatino Linotype" w:cs="TimesNewRoman"/>
          <w:szCs w:val="24"/>
        </w:rPr>
        <w:t xml:space="preserve"> access</w:t>
      </w:r>
      <w:r w:rsidRPr="00511954" w:rsidR="00C27ED0">
        <w:rPr>
          <w:rFonts w:ascii="Palatino Linotype" w:hAnsi="Palatino Linotype" w:cs="TimesNewRoman"/>
          <w:szCs w:val="24"/>
        </w:rPr>
        <w:t xml:space="preserve"> to</w:t>
      </w:r>
      <w:r w:rsidRPr="00511954" w:rsidR="00D06EC4">
        <w:rPr>
          <w:rFonts w:ascii="Palatino Linotype" w:hAnsi="Palatino Linotype" w:cs="TimesNewRoman"/>
          <w:szCs w:val="24"/>
        </w:rPr>
        <w:t xml:space="preserve"> GHG allowance proceeds and public purpose program funds </w:t>
      </w:r>
      <w:r w:rsidRPr="00511954" w:rsidR="00C27ED0">
        <w:rPr>
          <w:rFonts w:ascii="Palatino Linotype" w:hAnsi="Palatino Linotype" w:cs="TimesNewRoman"/>
          <w:szCs w:val="24"/>
        </w:rPr>
        <w:t xml:space="preserve">to implement these programs </w:t>
      </w:r>
      <w:r w:rsidRPr="00511954" w:rsidR="00D06EC4">
        <w:rPr>
          <w:rFonts w:ascii="Palatino Linotype" w:hAnsi="Palatino Linotype" w:cs="TimesNewRoman"/>
          <w:szCs w:val="24"/>
        </w:rPr>
        <w:t>if CCA</w:t>
      </w:r>
      <w:r w:rsidRPr="00511954" w:rsidR="00C27ED0">
        <w:rPr>
          <w:rFonts w:ascii="Palatino Linotype" w:hAnsi="Palatino Linotype" w:cs="TimesNewRoman"/>
          <w:szCs w:val="24"/>
        </w:rPr>
        <w:t>s</w:t>
      </w:r>
      <w:r w:rsidRPr="00511954" w:rsidR="00D06EC4">
        <w:rPr>
          <w:rFonts w:ascii="Palatino Linotype" w:hAnsi="Palatino Linotype" w:cs="TimesNewRoman"/>
          <w:szCs w:val="24"/>
        </w:rPr>
        <w:t xml:space="preserve"> file Tier 3 AL</w:t>
      </w:r>
      <w:r w:rsidRPr="00511954" w:rsidR="00C27ED0">
        <w:rPr>
          <w:rFonts w:ascii="Palatino Linotype" w:hAnsi="Palatino Linotype" w:cs="TimesNewRoman"/>
          <w:szCs w:val="24"/>
        </w:rPr>
        <w:t>s</w:t>
      </w:r>
      <w:r w:rsidRPr="00511954" w:rsidR="00D06EC4">
        <w:rPr>
          <w:rFonts w:ascii="Palatino Linotype" w:hAnsi="Palatino Linotype" w:cs="TimesNewRoman"/>
          <w:szCs w:val="24"/>
        </w:rPr>
        <w:t xml:space="preserve"> </w:t>
      </w:r>
      <w:r w:rsidRPr="00511954" w:rsidR="00537D7E">
        <w:rPr>
          <w:rFonts w:ascii="Palatino Linotype" w:hAnsi="Palatino Linotype" w:cs="TimesNewRoman"/>
          <w:szCs w:val="24"/>
        </w:rPr>
        <w:t>demonstrating</w:t>
      </w:r>
      <w:r w:rsidRPr="00511954" w:rsidR="00D06EC4">
        <w:rPr>
          <w:rFonts w:ascii="Palatino Linotype" w:hAnsi="Palatino Linotype" w:cs="TimesNewRoman"/>
          <w:szCs w:val="24"/>
        </w:rPr>
        <w:t xml:space="preserve"> how </w:t>
      </w:r>
      <w:r w:rsidRPr="00511954" w:rsidR="00C27ED0">
        <w:rPr>
          <w:rFonts w:ascii="Palatino Linotype" w:hAnsi="Palatino Linotype" w:cs="TimesNewRoman"/>
          <w:szCs w:val="24"/>
        </w:rPr>
        <w:t>their</w:t>
      </w:r>
      <w:r w:rsidRPr="00511954" w:rsidR="00D06EC4">
        <w:rPr>
          <w:rFonts w:ascii="Palatino Linotype" w:hAnsi="Palatino Linotype" w:cs="TimesNewRoman"/>
          <w:szCs w:val="24"/>
        </w:rPr>
        <w:t xml:space="preserve"> </w:t>
      </w:r>
      <w:r w:rsidRPr="00511954" w:rsidR="00973E75">
        <w:rPr>
          <w:rFonts w:ascii="Palatino Linotype" w:hAnsi="Palatino Linotype" w:cs="TimesNewRoman"/>
          <w:szCs w:val="24"/>
        </w:rPr>
        <w:t xml:space="preserve">DAC-GT and CSGT </w:t>
      </w:r>
      <w:r w:rsidRPr="00511954" w:rsidR="00537D7E">
        <w:rPr>
          <w:rFonts w:ascii="Palatino Linotype" w:hAnsi="Palatino Linotype" w:cs="TimesNewRoman"/>
          <w:szCs w:val="24"/>
        </w:rPr>
        <w:t xml:space="preserve">tariffs </w:t>
      </w:r>
      <w:r w:rsidRPr="00511954" w:rsidR="00D06EC4">
        <w:rPr>
          <w:rFonts w:ascii="Palatino Linotype" w:hAnsi="Palatino Linotype" w:cs="TimesNewRoman"/>
          <w:szCs w:val="24"/>
        </w:rPr>
        <w:t xml:space="preserve">adhere to all program rules </w:t>
      </w:r>
      <w:r w:rsidRPr="00511954" w:rsidR="00537D7E">
        <w:rPr>
          <w:rFonts w:ascii="Palatino Linotype" w:hAnsi="Palatino Linotype" w:cs="TimesNewRoman"/>
          <w:szCs w:val="24"/>
        </w:rPr>
        <w:t xml:space="preserve">and requirements </w:t>
      </w:r>
      <w:r w:rsidRPr="00511954" w:rsidR="00D06EC4">
        <w:rPr>
          <w:rFonts w:ascii="Palatino Linotype" w:hAnsi="Palatino Linotype" w:cs="TimesNewRoman"/>
          <w:szCs w:val="24"/>
        </w:rPr>
        <w:t xml:space="preserve">specified in </w:t>
      </w:r>
      <w:r w:rsidRPr="00511954" w:rsidR="009947E1">
        <w:rPr>
          <w:rFonts w:ascii="Palatino Linotype" w:hAnsi="Palatino Linotype" w:cs="TimesNewRoman"/>
          <w:szCs w:val="24"/>
        </w:rPr>
        <w:t xml:space="preserve">the </w:t>
      </w:r>
      <w:r w:rsidRPr="00511954" w:rsidR="00A165B3">
        <w:rPr>
          <w:rFonts w:ascii="Palatino Linotype" w:hAnsi="Palatino Linotype" w:cs="TimesNewRoman"/>
          <w:szCs w:val="24"/>
        </w:rPr>
        <w:t>Decision</w:t>
      </w:r>
      <w:r w:rsidRPr="00511954" w:rsidR="00D06EC4">
        <w:rPr>
          <w:rFonts w:ascii="Palatino Linotype" w:hAnsi="Palatino Linotype" w:cs="TimesNewRoman"/>
          <w:szCs w:val="24"/>
        </w:rPr>
        <w:t>.</w:t>
      </w:r>
      <w:r w:rsidRPr="00511954" w:rsidR="00D06EC4">
        <w:rPr>
          <w:rStyle w:val="FootnoteReference"/>
          <w:rFonts w:ascii="Palatino Linotype" w:hAnsi="Palatino Linotype" w:cs="TimesNewRoman"/>
          <w:szCs w:val="24"/>
        </w:rPr>
        <w:footnoteReference w:id="14"/>
      </w:r>
      <w:r w:rsidRPr="00511954" w:rsidR="00D06EC4">
        <w:rPr>
          <w:rFonts w:ascii="Palatino Linotype" w:hAnsi="Palatino Linotype" w:cs="TimesNewRoman"/>
          <w:szCs w:val="24"/>
        </w:rPr>
        <w:t xml:space="preserve"> </w:t>
      </w:r>
      <w:r w:rsidRPr="00511954" w:rsidR="00C42EBE">
        <w:rPr>
          <w:rFonts w:ascii="Palatino Linotype" w:hAnsi="Palatino Linotype" w:cs="TimesNewRoman"/>
          <w:szCs w:val="24"/>
        </w:rPr>
        <w:t>In their protest, the CCAs request that the Commission reject PG&amp;E’s and SCE’s ALs</w:t>
      </w:r>
      <w:r w:rsidRPr="00511954" w:rsidR="00DF5122">
        <w:rPr>
          <w:rFonts w:ascii="Palatino Linotype" w:hAnsi="Palatino Linotype" w:cs="TimesNewRoman"/>
          <w:szCs w:val="24"/>
        </w:rPr>
        <w:t>,</w:t>
      </w:r>
      <w:r w:rsidRPr="00511954" w:rsidR="00C42EBE">
        <w:rPr>
          <w:rFonts w:ascii="Palatino Linotype" w:hAnsi="Palatino Linotype" w:cs="TimesNewRoman"/>
          <w:szCs w:val="24"/>
        </w:rPr>
        <w:t xml:space="preserve"> or </w:t>
      </w:r>
      <w:r w:rsidRPr="00511954" w:rsidR="00803E4B">
        <w:rPr>
          <w:rFonts w:ascii="Palatino Linotype" w:hAnsi="Palatino Linotype" w:cs="TimesNewRoman"/>
          <w:szCs w:val="24"/>
        </w:rPr>
        <w:t xml:space="preserve">at least </w:t>
      </w:r>
      <w:r w:rsidRPr="00511954" w:rsidR="00C42EBE">
        <w:rPr>
          <w:rFonts w:ascii="Palatino Linotype" w:hAnsi="Palatino Linotype" w:cs="TimesNewRoman"/>
          <w:szCs w:val="24"/>
        </w:rPr>
        <w:t>withhold approval</w:t>
      </w:r>
      <w:r w:rsidRPr="00511954" w:rsidR="00DF5122">
        <w:rPr>
          <w:rFonts w:ascii="Palatino Linotype" w:hAnsi="Palatino Linotype" w:cs="TimesNewRoman"/>
          <w:szCs w:val="24"/>
        </w:rPr>
        <w:t>,</w:t>
      </w:r>
      <w:r w:rsidRPr="00511954" w:rsidR="00C42EBE">
        <w:rPr>
          <w:rFonts w:ascii="Palatino Linotype" w:hAnsi="Palatino Linotype" w:cs="TimesNewRoman"/>
          <w:szCs w:val="24"/>
        </w:rPr>
        <w:t xml:space="preserve"> until after stakeholder workshops are </w:t>
      </w:r>
      <w:r w:rsidRPr="00511954" w:rsidR="00862448">
        <w:rPr>
          <w:rFonts w:ascii="Palatino Linotype" w:hAnsi="Palatino Linotype" w:cs="TimesNewRoman"/>
          <w:szCs w:val="24"/>
        </w:rPr>
        <w:t xml:space="preserve">held to </w:t>
      </w:r>
      <w:r w:rsidRPr="00511954" w:rsidR="00D63AF0">
        <w:rPr>
          <w:rFonts w:ascii="Palatino Linotype" w:hAnsi="Palatino Linotype" w:cs="TimesNewRoman"/>
          <w:szCs w:val="24"/>
        </w:rPr>
        <w:t>discuss</w:t>
      </w:r>
      <w:r w:rsidRPr="00511954" w:rsidR="00822AEA">
        <w:rPr>
          <w:rFonts w:ascii="Palatino Linotype" w:hAnsi="Palatino Linotype" w:cs="TimesNewRoman"/>
          <w:szCs w:val="24"/>
        </w:rPr>
        <w:t xml:space="preserve"> CCA </w:t>
      </w:r>
      <w:r w:rsidRPr="00511954" w:rsidR="00862448">
        <w:rPr>
          <w:rFonts w:ascii="Palatino Linotype" w:hAnsi="Palatino Linotype" w:cs="TimesNewRoman"/>
          <w:szCs w:val="24"/>
        </w:rPr>
        <w:t xml:space="preserve">program implementation </w:t>
      </w:r>
      <w:r w:rsidRPr="00511954" w:rsidR="00D63AF0">
        <w:rPr>
          <w:rFonts w:ascii="Palatino Linotype" w:hAnsi="Palatino Linotype" w:cs="TimesNewRoman"/>
          <w:szCs w:val="24"/>
        </w:rPr>
        <w:t>issues</w:t>
      </w:r>
      <w:r w:rsidRPr="00511954" w:rsidR="009947E1">
        <w:rPr>
          <w:rFonts w:ascii="Palatino Linotype" w:hAnsi="Palatino Linotype" w:cs="TimesNewRoman"/>
          <w:szCs w:val="24"/>
        </w:rPr>
        <w:t xml:space="preserve"> and how CCA </w:t>
      </w:r>
      <w:r w:rsidRPr="00511954" w:rsidR="00822AEA">
        <w:rPr>
          <w:rFonts w:ascii="Palatino Linotype" w:hAnsi="Palatino Linotype" w:cs="TimesNewRoman"/>
          <w:szCs w:val="24"/>
        </w:rPr>
        <w:t xml:space="preserve">DAC-GT and CSGT </w:t>
      </w:r>
      <w:r w:rsidRPr="00511954" w:rsidR="009947E1">
        <w:rPr>
          <w:rFonts w:ascii="Palatino Linotype" w:hAnsi="Palatino Linotype" w:cs="TimesNewRoman"/>
          <w:szCs w:val="24"/>
        </w:rPr>
        <w:t>prog</w:t>
      </w:r>
      <w:r w:rsidRPr="00511954" w:rsidR="00822AEA">
        <w:rPr>
          <w:rFonts w:ascii="Palatino Linotype" w:hAnsi="Palatino Linotype" w:cs="TimesNewRoman"/>
          <w:szCs w:val="24"/>
        </w:rPr>
        <w:t>rams will interact with the IOU</w:t>
      </w:r>
      <w:r w:rsidRPr="00511954" w:rsidR="009947E1">
        <w:rPr>
          <w:rFonts w:ascii="Palatino Linotype" w:hAnsi="Palatino Linotype" w:cs="TimesNewRoman"/>
          <w:szCs w:val="24"/>
        </w:rPr>
        <w:t>s</w:t>
      </w:r>
      <w:r w:rsidRPr="00511954" w:rsidR="00822AEA">
        <w:rPr>
          <w:rFonts w:ascii="Palatino Linotype" w:hAnsi="Palatino Linotype" w:cs="TimesNewRoman"/>
          <w:szCs w:val="24"/>
        </w:rPr>
        <w:t>’ versions of these</w:t>
      </w:r>
      <w:r w:rsidRPr="00511954" w:rsidR="009947E1">
        <w:rPr>
          <w:rFonts w:ascii="Palatino Linotype" w:hAnsi="Palatino Linotype" w:cs="TimesNewRoman"/>
          <w:szCs w:val="24"/>
        </w:rPr>
        <w:t xml:space="preserve"> programs</w:t>
      </w:r>
      <w:r w:rsidRPr="00511954" w:rsidR="00862448">
        <w:rPr>
          <w:rFonts w:ascii="Palatino Linotype" w:hAnsi="Palatino Linotype" w:cs="TimesNewRoman"/>
          <w:szCs w:val="24"/>
        </w:rPr>
        <w:t>.</w:t>
      </w:r>
    </w:p>
    <w:p w:rsidRPr="00511954" w:rsidR="00F510F1" w:rsidP="00755176" w:rsidRDefault="00803E4B" w14:paraId="6E1743DD" w14:textId="1D6E13A0">
      <w:pPr>
        <w:autoSpaceDE w:val="0"/>
        <w:autoSpaceDN w:val="0"/>
        <w:adjustRightInd w:val="0"/>
        <w:spacing w:after="240"/>
        <w:rPr>
          <w:rFonts w:ascii="Palatino Linotype" w:hAnsi="Palatino Linotype" w:cs="TimesNewRoman"/>
          <w:szCs w:val="24"/>
        </w:rPr>
      </w:pPr>
      <w:r w:rsidRPr="00511954">
        <w:rPr>
          <w:rFonts w:ascii="Palatino Linotype" w:hAnsi="Palatino Linotype" w:cs="TimesNewRoman"/>
          <w:szCs w:val="24"/>
        </w:rPr>
        <w:t>N</w:t>
      </w:r>
      <w:r w:rsidRPr="00511954" w:rsidR="00862448">
        <w:rPr>
          <w:rFonts w:ascii="Palatino Linotype" w:hAnsi="Palatino Linotype" w:cs="TimesNewRoman"/>
          <w:szCs w:val="24"/>
        </w:rPr>
        <w:t xml:space="preserve">oting that the </w:t>
      </w:r>
      <w:r w:rsidRPr="00511954" w:rsidR="00A165B3">
        <w:rPr>
          <w:rFonts w:ascii="Palatino Linotype" w:hAnsi="Palatino Linotype" w:cs="TimesNewRoman"/>
          <w:szCs w:val="24"/>
        </w:rPr>
        <w:t>Decision</w:t>
      </w:r>
      <w:r w:rsidRPr="00511954" w:rsidR="00862448">
        <w:rPr>
          <w:rFonts w:ascii="Palatino Linotype" w:hAnsi="Palatino Linotype" w:cs="TimesNewRoman"/>
          <w:szCs w:val="24"/>
        </w:rPr>
        <w:t xml:space="preserve"> </w:t>
      </w:r>
      <w:r w:rsidRPr="00511954" w:rsidR="00530A85">
        <w:rPr>
          <w:rFonts w:ascii="Palatino Linotype" w:hAnsi="Palatino Linotype" w:cs="TimesNewRoman"/>
          <w:szCs w:val="24"/>
        </w:rPr>
        <w:t>established</w:t>
      </w:r>
      <w:r w:rsidRPr="00511954" w:rsidR="00862448">
        <w:rPr>
          <w:rFonts w:ascii="Palatino Linotype" w:hAnsi="Palatino Linotype" w:cs="TimesNewRoman"/>
          <w:szCs w:val="24"/>
        </w:rPr>
        <w:t xml:space="preserve"> specific </w:t>
      </w:r>
      <w:r w:rsidRPr="00511954" w:rsidR="00D63AF0">
        <w:rPr>
          <w:rFonts w:ascii="Palatino Linotype" w:hAnsi="Palatino Linotype" w:cs="TimesNewRoman"/>
          <w:szCs w:val="24"/>
        </w:rPr>
        <w:t>capacity</w:t>
      </w:r>
      <w:r w:rsidRPr="00511954" w:rsidR="00862448">
        <w:rPr>
          <w:rFonts w:ascii="Palatino Linotype" w:hAnsi="Palatino Linotype" w:cs="TimesNewRoman"/>
          <w:szCs w:val="24"/>
        </w:rPr>
        <w:t xml:space="preserve"> caps for PG&amp;E and SCE of 70 </w:t>
      </w:r>
      <w:r w:rsidRPr="00511954" w:rsidR="00315400">
        <w:rPr>
          <w:rFonts w:ascii="Palatino Linotype" w:hAnsi="Palatino Linotype" w:cs="TimesNewRoman"/>
          <w:szCs w:val="24"/>
        </w:rPr>
        <w:t>megawatts (</w:t>
      </w:r>
      <w:r w:rsidRPr="00511954" w:rsidR="00862448">
        <w:rPr>
          <w:rFonts w:ascii="Palatino Linotype" w:hAnsi="Palatino Linotype" w:cs="TimesNewRoman"/>
          <w:szCs w:val="24"/>
        </w:rPr>
        <w:t>MW</w:t>
      </w:r>
      <w:r w:rsidRPr="00511954" w:rsidR="00315400">
        <w:rPr>
          <w:rFonts w:ascii="Palatino Linotype" w:hAnsi="Palatino Linotype" w:cs="TimesNewRoman"/>
          <w:szCs w:val="24"/>
        </w:rPr>
        <w:t>)</w:t>
      </w:r>
      <w:r w:rsidRPr="00511954" w:rsidR="00862448">
        <w:rPr>
          <w:rFonts w:ascii="Palatino Linotype" w:hAnsi="Palatino Linotype" w:cs="TimesNewRoman"/>
          <w:szCs w:val="24"/>
        </w:rPr>
        <w:t xml:space="preserve"> each for DAC-GT and 18 MW each for CSGT</w:t>
      </w:r>
      <w:r w:rsidRPr="00511954" w:rsidR="009947E1">
        <w:rPr>
          <w:rFonts w:ascii="Palatino Linotype" w:hAnsi="Palatino Linotype" w:cs="TimesNewRoman"/>
          <w:szCs w:val="24"/>
        </w:rPr>
        <w:t>,</w:t>
      </w:r>
      <w:r w:rsidRPr="00511954" w:rsidR="00862448">
        <w:rPr>
          <w:rStyle w:val="FootnoteReference"/>
          <w:rFonts w:ascii="Palatino Linotype" w:hAnsi="Palatino Linotype" w:cs="TimesNewRoman"/>
          <w:szCs w:val="24"/>
        </w:rPr>
        <w:footnoteReference w:id="15"/>
      </w:r>
      <w:r w:rsidRPr="00511954">
        <w:rPr>
          <w:rFonts w:ascii="Palatino Linotype" w:hAnsi="Palatino Linotype" w:cs="TimesNewRoman"/>
          <w:szCs w:val="24"/>
        </w:rPr>
        <w:t xml:space="preserve"> the Protesting CCAs seek clarity on how capacity within the program caps will be allocated to CCAs.</w:t>
      </w:r>
      <w:r w:rsidRPr="00511954" w:rsidR="00F510F1">
        <w:rPr>
          <w:rFonts w:ascii="Palatino Linotype" w:hAnsi="Palatino Linotype" w:cs="TimesNewRoman"/>
          <w:szCs w:val="24"/>
        </w:rPr>
        <w:t xml:space="preserve"> The CCAs </w:t>
      </w:r>
      <w:r w:rsidRPr="00511954" w:rsidR="004E19DF">
        <w:rPr>
          <w:rFonts w:ascii="Palatino Linotype" w:hAnsi="Palatino Linotype" w:cs="TimesNewRoman"/>
          <w:szCs w:val="24"/>
        </w:rPr>
        <w:t xml:space="preserve">specifically </w:t>
      </w:r>
      <w:r w:rsidRPr="00511954" w:rsidR="00F510F1">
        <w:rPr>
          <w:rFonts w:ascii="Palatino Linotype" w:hAnsi="Palatino Linotype" w:cs="TimesNewRoman"/>
          <w:szCs w:val="24"/>
        </w:rPr>
        <w:t xml:space="preserve">oppose PG&amp;E’s proposal </w:t>
      </w:r>
      <w:r w:rsidRPr="00511954" w:rsidR="004E19DF">
        <w:rPr>
          <w:rFonts w:ascii="Palatino Linotype" w:hAnsi="Palatino Linotype" w:cs="TimesNewRoman"/>
          <w:szCs w:val="24"/>
        </w:rPr>
        <w:t>that</w:t>
      </w:r>
      <w:r w:rsidRPr="00511954" w:rsidR="00F510F1">
        <w:rPr>
          <w:rFonts w:ascii="Palatino Linotype" w:hAnsi="Palatino Linotype" w:cs="TimesNewRoman"/>
          <w:szCs w:val="24"/>
        </w:rPr>
        <w:t xml:space="preserve"> the Commission set</w:t>
      </w:r>
      <w:r w:rsidRPr="00511954" w:rsidR="004E19DF">
        <w:rPr>
          <w:rFonts w:ascii="Palatino Linotype" w:hAnsi="Palatino Linotype" w:cs="TimesNewRoman"/>
          <w:szCs w:val="24"/>
        </w:rPr>
        <w:t xml:space="preserve"> </w:t>
      </w:r>
      <w:r w:rsidRPr="00511954" w:rsidR="00290FB2">
        <w:rPr>
          <w:rFonts w:ascii="Palatino Linotype" w:hAnsi="Palatino Linotype" w:cs="TimesNewRoman"/>
          <w:szCs w:val="24"/>
        </w:rPr>
        <w:t xml:space="preserve">near term </w:t>
      </w:r>
      <w:r w:rsidRPr="00511954" w:rsidR="00F510F1">
        <w:rPr>
          <w:rFonts w:ascii="Palatino Linotype" w:hAnsi="Palatino Linotype" w:cs="TimesNewRoman"/>
          <w:szCs w:val="24"/>
        </w:rPr>
        <w:t>deadline</w:t>
      </w:r>
      <w:r w:rsidRPr="00511954" w:rsidR="004E19DF">
        <w:rPr>
          <w:rFonts w:ascii="Palatino Linotype" w:hAnsi="Palatino Linotype" w:cs="TimesNewRoman"/>
          <w:szCs w:val="24"/>
        </w:rPr>
        <w:t>s for CCAs to</w:t>
      </w:r>
      <w:r w:rsidRPr="00511954" w:rsidR="00822AEA">
        <w:rPr>
          <w:rFonts w:ascii="Palatino Linotype" w:hAnsi="Palatino Linotype" w:cs="TimesNewRoman"/>
          <w:szCs w:val="24"/>
        </w:rPr>
        <w:t>:</w:t>
      </w:r>
      <w:r w:rsidRPr="00511954" w:rsidR="004E19DF">
        <w:rPr>
          <w:rFonts w:ascii="Palatino Linotype" w:hAnsi="Palatino Linotype" w:cs="TimesNewRoman"/>
          <w:szCs w:val="24"/>
        </w:rPr>
        <w:t xml:space="preserve"> 1) </w:t>
      </w:r>
      <w:r w:rsidRPr="00511954" w:rsidR="00F510F1">
        <w:rPr>
          <w:rFonts w:ascii="Palatino Linotype" w:hAnsi="Palatino Linotype" w:cs="TimesNewRoman"/>
          <w:szCs w:val="24"/>
        </w:rPr>
        <w:t>notify the Commission of their intent to launch their own DAC-GT and CSGT programs</w:t>
      </w:r>
      <w:r w:rsidRPr="00511954" w:rsidR="00D63AF0">
        <w:rPr>
          <w:rFonts w:ascii="Palatino Linotype" w:hAnsi="Palatino Linotype" w:cs="TimesNewRoman"/>
          <w:szCs w:val="24"/>
        </w:rPr>
        <w:t xml:space="preserve"> and specify the amount of </w:t>
      </w:r>
      <w:r w:rsidRPr="00511954" w:rsidR="00BB6832">
        <w:rPr>
          <w:rFonts w:ascii="Palatino Linotype" w:hAnsi="Palatino Linotype" w:cs="TimesNewRoman"/>
          <w:szCs w:val="24"/>
        </w:rPr>
        <w:t xml:space="preserve">eligible </w:t>
      </w:r>
      <w:r w:rsidRPr="00511954" w:rsidR="00F510F1">
        <w:rPr>
          <w:rFonts w:ascii="Palatino Linotype" w:hAnsi="Palatino Linotype" w:cs="TimesNewRoman"/>
          <w:szCs w:val="24"/>
        </w:rPr>
        <w:t xml:space="preserve">load they intend to serve under </w:t>
      </w:r>
      <w:r w:rsidRPr="00511954" w:rsidR="00D63AF0">
        <w:rPr>
          <w:rFonts w:ascii="Palatino Linotype" w:hAnsi="Palatino Linotype" w:cs="TimesNewRoman"/>
          <w:szCs w:val="24"/>
        </w:rPr>
        <w:t>such</w:t>
      </w:r>
      <w:r w:rsidRPr="00511954" w:rsidR="00F510F1">
        <w:rPr>
          <w:rFonts w:ascii="Palatino Linotype" w:hAnsi="Palatino Linotype" w:cs="TimesNewRoman"/>
          <w:szCs w:val="24"/>
        </w:rPr>
        <w:t xml:space="preserve"> programs</w:t>
      </w:r>
      <w:r w:rsidRPr="00511954" w:rsidR="004E19DF">
        <w:rPr>
          <w:rFonts w:ascii="Palatino Linotype" w:hAnsi="Palatino Linotype" w:cs="TimesNewRoman"/>
          <w:szCs w:val="24"/>
        </w:rPr>
        <w:t>, and 2) file their Tier 3 program implementation ALs</w:t>
      </w:r>
      <w:r w:rsidRPr="00511954" w:rsidR="00F510F1">
        <w:rPr>
          <w:rFonts w:ascii="Palatino Linotype" w:hAnsi="Palatino Linotype" w:cs="TimesNewRoman"/>
          <w:szCs w:val="24"/>
        </w:rPr>
        <w:t xml:space="preserve">. </w:t>
      </w:r>
      <w:r w:rsidRPr="00511954" w:rsidR="00290FB2">
        <w:rPr>
          <w:rFonts w:ascii="Palatino Linotype" w:hAnsi="Palatino Linotype" w:cs="TimesNewRoman"/>
          <w:szCs w:val="24"/>
        </w:rPr>
        <w:t>T</w:t>
      </w:r>
      <w:r w:rsidRPr="00511954" w:rsidR="00D63AF0">
        <w:rPr>
          <w:rFonts w:ascii="Palatino Linotype" w:hAnsi="Palatino Linotype" w:cs="TimesNewRoman"/>
          <w:szCs w:val="24"/>
        </w:rPr>
        <w:t xml:space="preserve">he CCAs </w:t>
      </w:r>
      <w:r w:rsidRPr="00511954" w:rsidR="00290FB2">
        <w:rPr>
          <w:rFonts w:ascii="Palatino Linotype" w:hAnsi="Palatino Linotype" w:cs="TimesNewRoman"/>
          <w:szCs w:val="24"/>
        </w:rPr>
        <w:t xml:space="preserve">instead </w:t>
      </w:r>
      <w:r w:rsidRPr="00511954" w:rsidR="00537D7E">
        <w:rPr>
          <w:rFonts w:ascii="Palatino Linotype" w:hAnsi="Palatino Linotype" w:cs="TimesNewRoman"/>
          <w:szCs w:val="24"/>
        </w:rPr>
        <w:t>suggest</w:t>
      </w:r>
      <w:r w:rsidRPr="00511954" w:rsidR="00F510F1">
        <w:rPr>
          <w:rFonts w:ascii="Palatino Linotype" w:hAnsi="Palatino Linotype" w:cs="TimesNewRoman"/>
          <w:szCs w:val="24"/>
        </w:rPr>
        <w:t xml:space="preserve"> </w:t>
      </w:r>
      <w:r w:rsidRPr="00511954" w:rsidR="00921DE4">
        <w:rPr>
          <w:rFonts w:ascii="Palatino Linotype" w:hAnsi="Palatino Linotype" w:cs="TimesNewRoman"/>
          <w:szCs w:val="24"/>
        </w:rPr>
        <w:t>alternative timelines</w:t>
      </w:r>
      <w:r w:rsidRPr="00511954" w:rsidR="004E19DF">
        <w:rPr>
          <w:rFonts w:ascii="Palatino Linotype" w:hAnsi="Palatino Linotype" w:cs="TimesNewRoman"/>
          <w:szCs w:val="24"/>
        </w:rPr>
        <w:t xml:space="preserve"> that would provide them more time to design their DAC-GT and CSGT programs</w:t>
      </w:r>
      <w:r w:rsidRPr="00511954" w:rsidR="00AD3925">
        <w:rPr>
          <w:rFonts w:ascii="Palatino Linotype" w:hAnsi="Palatino Linotype" w:cs="TimesNewRoman"/>
          <w:szCs w:val="24"/>
        </w:rPr>
        <w:t xml:space="preserve">, including a proposal that would </w:t>
      </w:r>
      <w:r w:rsidRPr="00511954" w:rsidR="00921DE4">
        <w:rPr>
          <w:rFonts w:ascii="Palatino Linotype" w:hAnsi="Palatino Linotype" w:cs="TimesNewRoman"/>
          <w:szCs w:val="24"/>
        </w:rPr>
        <w:t xml:space="preserve">result in the CCAs filing their </w:t>
      </w:r>
      <w:r w:rsidRPr="00511954" w:rsidR="004E19DF">
        <w:rPr>
          <w:rFonts w:ascii="Palatino Linotype" w:hAnsi="Palatino Linotype" w:cs="TimesNewRoman"/>
          <w:szCs w:val="24"/>
        </w:rPr>
        <w:t xml:space="preserve">Tier 3 </w:t>
      </w:r>
      <w:r w:rsidRPr="00511954" w:rsidR="00921DE4">
        <w:rPr>
          <w:rFonts w:ascii="Palatino Linotype" w:hAnsi="Palatino Linotype" w:cs="TimesNewRoman"/>
          <w:szCs w:val="24"/>
        </w:rPr>
        <w:t>ALs after the IOUs</w:t>
      </w:r>
      <w:r w:rsidRPr="00511954" w:rsidR="00E6409B">
        <w:rPr>
          <w:rFonts w:ascii="Palatino Linotype" w:hAnsi="Palatino Linotype" w:cs="TimesNewRoman"/>
          <w:szCs w:val="24"/>
        </w:rPr>
        <w:t>’</w:t>
      </w:r>
      <w:r w:rsidRPr="00511954" w:rsidR="00921DE4">
        <w:rPr>
          <w:rFonts w:ascii="Palatino Linotype" w:hAnsi="Palatino Linotype" w:cs="TimesNewRoman"/>
          <w:szCs w:val="24"/>
        </w:rPr>
        <w:t xml:space="preserve"> first Request for Offers (RFO</w:t>
      </w:r>
      <w:r w:rsidRPr="00511954" w:rsidR="00D9161F">
        <w:rPr>
          <w:rFonts w:ascii="Palatino Linotype" w:hAnsi="Palatino Linotype" w:cs="TimesNewRoman"/>
          <w:szCs w:val="24"/>
        </w:rPr>
        <w:t>s</w:t>
      </w:r>
      <w:r w:rsidRPr="00511954" w:rsidR="00921DE4">
        <w:rPr>
          <w:rFonts w:ascii="Palatino Linotype" w:hAnsi="Palatino Linotype" w:cs="TimesNewRoman"/>
          <w:szCs w:val="24"/>
        </w:rPr>
        <w:t>)</w:t>
      </w:r>
      <w:r w:rsidRPr="00511954" w:rsidR="00AD3925">
        <w:rPr>
          <w:rFonts w:ascii="Palatino Linotype" w:hAnsi="Palatino Linotype" w:cs="TimesNewRoman"/>
          <w:szCs w:val="24"/>
        </w:rPr>
        <w:t>. The CCAs assert that at a minimum</w:t>
      </w:r>
      <w:r w:rsidRPr="00511954" w:rsidR="004E19DF">
        <w:rPr>
          <w:rFonts w:ascii="Palatino Linotype" w:hAnsi="Palatino Linotype" w:cs="TimesNewRoman"/>
          <w:szCs w:val="24"/>
        </w:rPr>
        <w:t>,</w:t>
      </w:r>
      <w:r w:rsidRPr="00511954" w:rsidR="00AD3925">
        <w:rPr>
          <w:rFonts w:ascii="Palatino Linotype" w:hAnsi="Palatino Linotype" w:cs="TimesNewRoman"/>
          <w:szCs w:val="24"/>
        </w:rPr>
        <w:t xml:space="preserve"> the Commission should </w:t>
      </w:r>
      <w:r w:rsidRPr="00511954" w:rsidR="004E19DF">
        <w:rPr>
          <w:rFonts w:ascii="Palatino Linotype" w:hAnsi="Palatino Linotype" w:cs="TimesNewRoman"/>
          <w:szCs w:val="24"/>
        </w:rPr>
        <w:t xml:space="preserve">allow </w:t>
      </w:r>
      <w:r w:rsidRPr="00511954" w:rsidR="00AD3925">
        <w:rPr>
          <w:rFonts w:ascii="Palatino Linotype" w:hAnsi="Palatino Linotype" w:cs="TimesNewRoman"/>
          <w:szCs w:val="24"/>
        </w:rPr>
        <w:t>the CCAs</w:t>
      </w:r>
      <w:r w:rsidRPr="00511954" w:rsidR="004E19DF">
        <w:rPr>
          <w:rFonts w:ascii="Palatino Linotype" w:hAnsi="Palatino Linotype" w:cs="TimesNewRoman"/>
          <w:szCs w:val="24"/>
        </w:rPr>
        <w:t xml:space="preserve"> </w:t>
      </w:r>
      <w:r w:rsidRPr="00511954" w:rsidR="00AD3925">
        <w:rPr>
          <w:rFonts w:ascii="Palatino Linotype" w:hAnsi="Palatino Linotype" w:cs="TimesNewRoman"/>
          <w:szCs w:val="24"/>
        </w:rPr>
        <w:t>at least 90 day</w:t>
      </w:r>
      <w:r w:rsidRPr="00511954" w:rsidR="006C5B91">
        <w:rPr>
          <w:rFonts w:ascii="Palatino Linotype" w:hAnsi="Palatino Linotype" w:cs="TimesNewRoman"/>
          <w:szCs w:val="24"/>
        </w:rPr>
        <w:t>s after the approval of the IOU</w:t>
      </w:r>
      <w:r w:rsidRPr="00511954" w:rsidR="00AD3925">
        <w:rPr>
          <w:rFonts w:ascii="Palatino Linotype" w:hAnsi="Palatino Linotype" w:cs="TimesNewRoman"/>
          <w:szCs w:val="24"/>
        </w:rPr>
        <w:t>s</w:t>
      </w:r>
      <w:r w:rsidRPr="00511954" w:rsidR="006C5B91">
        <w:rPr>
          <w:rFonts w:ascii="Palatino Linotype" w:hAnsi="Palatino Linotype" w:cs="TimesNewRoman"/>
          <w:szCs w:val="24"/>
        </w:rPr>
        <w:t>’</w:t>
      </w:r>
      <w:r w:rsidRPr="00511954" w:rsidR="00AD3925">
        <w:rPr>
          <w:rFonts w:ascii="Palatino Linotype" w:hAnsi="Palatino Linotype" w:cs="TimesNewRoman"/>
          <w:szCs w:val="24"/>
        </w:rPr>
        <w:t xml:space="preserve"> ALs</w:t>
      </w:r>
      <w:r w:rsidRPr="00511954" w:rsidR="004E19DF">
        <w:rPr>
          <w:rFonts w:ascii="Palatino Linotype" w:hAnsi="Palatino Linotype" w:cs="TimesNewRoman"/>
          <w:szCs w:val="24"/>
        </w:rPr>
        <w:t xml:space="preserve"> to specify the eligible load that each CCA intends to serve </w:t>
      </w:r>
      <w:r w:rsidRPr="00511954" w:rsidR="00C31862">
        <w:rPr>
          <w:rFonts w:ascii="Palatino Linotype" w:hAnsi="Palatino Linotype" w:cs="TimesNewRoman"/>
          <w:szCs w:val="24"/>
        </w:rPr>
        <w:t xml:space="preserve">through their </w:t>
      </w:r>
      <w:r w:rsidRPr="00511954" w:rsidR="00290FB2">
        <w:rPr>
          <w:rFonts w:ascii="Palatino Linotype" w:hAnsi="Palatino Linotype" w:cs="TimesNewRoman"/>
          <w:szCs w:val="24"/>
        </w:rPr>
        <w:t xml:space="preserve">own </w:t>
      </w:r>
      <w:r w:rsidRPr="00511954" w:rsidR="004E19DF">
        <w:rPr>
          <w:rFonts w:ascii="Palatino Linotype" w:hAnsi="Palatino Linotype" w:cs="TimesNewRoman"/>
          <w:szCs w:val="24"/>
        </w:rPr>
        <w:t>DAC-GT and CSGT</w:t>
      </w:r>
      <w:r w:rsidRPr="00511954" w:rsidR="00C31862">
        <w:rPr>
          <w:rFonts w:ascii="Palatino Linotype" w:hAnsi="Palatino Linotype" w:cs="TimesNewRoman"/>
          <w:szCs w:val="24"/>
        </w:rPr>
        <w:t xml:space="preserve"> </w:t>
      </w:r>
      <w:r w:rsidRPr="00511954" w:rsidR="00290FB2">
        <w:rPr>
          <w:rFonts w:ascii="Palatino Linotype" w:hAnsi="Palatino Linotype" w:cs="TimesNewRoman"/>
          <w:szCs w:val="24"/>
        </w:rPr>
        <w:t>offerings</w:t>
      </w:r>
      <w:r w:rsidRPr="00511954" w:rsidR="00921DE4">
        <w:rPr>
          <w:rFonts w:ascii="Palatino Linotype" w:hAnsi="Palatino Linotype" w:cs="TimesNewRoman"/>
          <w:szCs w:val="24"/>
        </w:rPr>
        <w:t xml:space="preserve">. The CCAs note that under </w:t>
      </w:r>
      <w:r w:rsidRPr="00511954" w:rsidR="004E19DF">
        <w:rPr>
          <w:rFonts w:ascii="Palatino Linotype" w:hAnsi="Palatino Linotype" w:cs="TimesNewRoman"/>
          <w:szCs w:val="24"/>
        </w:rPr>
        <w:t xml:space="preserve">any </w:t>
      </w:r>
      <w:r w:rsidRPr="00511954" w:rsidR="00921DE4">
        <w:rPr>
          <w:rFonts w:ascii="Palatino Linotype" w:hAnsi="Palatino Linotype" w:cs="TimesNewRoman"/>
          <w:szCs w:val="24"/>
        </w:rPr>
        <w:t xml:space="preserve">scenario, </w:t>
      </w:r>
      <w:r w:rsidRPr="00511954" w:rsidR="00186EDC">
        <w:rPr>
          <w:rFonts w:ascii="Palatino Linotype" w:hAnsi="Palatino Linotype" w:cs="TimesNewRoman"/>
          <w:szCs w:val="24"/>
        </w:rPr>
        <w:t>“</w:t>
      </w:r>
      <w:r w:rsidRPr="00511954" w:rsidR="00921DE4">
        <w:rPr>
          <w:rFonts w:ascii="Palatino Linotype" w:hAnsi="Palatino Linotype" w:cs="TimesNewRoman"/>
          <w:szCs w:val="24"/>
        </w:rPr>
        <w:t xml:space="preserve">any amount </w:t>
      </w:r>
      <w:r w:rsidRPr="00511954" w:rsidR="00C31862">
        <w:rPr>
          <w:rFonts w:ascii="Palatino Linotype" w:hAnsi="Palatino Linotype" w:cs="TimesNewRoman"/>
          <w:szCs w:val="24"/>
        </w:rPr>
        <w:t>[</w:t>
      </w:r>
      <w:r w:rsidRPr="00511954" w:rsidR="006C5B91">
        <w:rPr>
          <w:rFonts w:ascii="Palatino Linotype" w:hAnsi="Palatino Linotype" w:cs="TimesNewRoman"/>
          <w:szCs w:val="24"/>
        </w:rPr>
        <w:t>o</w:t>
      </w:r>
      <w:r w:rsidRPr="00511954" w:rsidR="00C31862">
        <w:rPr>
          <w:rFonts w:ascii="Palatino Linotype" w:hAnsi="Palatino Linotype" w:cs="TimesNewRoman"/>
          <w:szCs w:val="24"/>
        </w:rPr>
        <w:t xml:space="preserve">f program capacity] </w:t>
      </w:r>
      <w:r w:rsidRPr="00511954" w:rsidR="00D63AF0">
        <w:rPr>
          <w:rFonts w:ascii="Palatino Linotype" w:hAnsi="Palatino Linotype" w:cs="TimesNewRoman"/>
          <w:szCs w:val="24"/>
        </w:rPr>
        <w:t>th</w:t>
      </w:r>
      <w:r w:rsidRPr="00511954" w:rsidR="00C31862">
        <w:rPr>
          <w:rFonts w:ascii="Palatino Linotype" w:hAnsi="Palatino Linotype" w:cs="TimesNewRoman"/>
          <w:szCs w:val="24"/>
        </w:rPr>
        <w:t>at</w:t>
      </w:r>
      <w:r w:rsidRPr="00511954" w:rsidR="00D63AF0">
        <w:rPr>
          <w:rFonts w:ascii="Palatino Linotype" w:hAnsi="Palatino Linotype" w:cs="TimesNewRoman"/>
          <w:szCs w:val="24"/>
        </w:rPr>
        <w:t xml:space="preserve"> remains </w:t>
      </w:r>
      <w:r w:rsidRPr="00511954" w:rsidR="00921DE4">
        <w:rPr>
          <w:rFonts w:ascii="Palatino Linotype" w:hAnsi="Palatino Linotype" w:cs="TimesNewRoman"/>
          <w:szCs w:val="24"/>
        </w:rPr>
        <w:t xml:space="preserve">unused </w:t>
      </w:r>
      <w:r w:rsidRPr="00511954" w:rsidR="00D63AF0">
        <w:rPr>
          <w:rFonts w:ascii="Palatino Linotype" w:hAnsi="Palatino Linotype" w:cs="TimesNewRoman"/>
          <w:szCs w:val="24"/>
        </w:rPr>
        <w:t>[by a CCA] wi</w:t>
      </w:r>
      <w:r w:rsidRPr="00511954" w:rsidR="00921DE4">
        <w:rPr>
          <w:rFonts w:ascii="Palatino Linotype" w:hAnsi="Palatino Linotype" w:cs="TimesNewRoman"/>
          <w:szCs w:val="24"/>
        </w:rPr>
        <w:t>thin a particular timeframe would be returned to the IOU’s allocation.”</w:t>
      </w:r>
      <w:r w:rsidRPr="00511954" w:rsidR="00921DE4">
        <w:rPr>
          <w:rStyle w:val="FootnoteReference"/>
          <w:rFonts w:ascii="Palatino Linotype" w:hAnsi="Palatino Linotype" w:cs="TimesNewRoman"/>
          <w:szCs w:val="24"/>
        </w:rPr>
        <w:footnoteReference w:id="16"/>
      </w:r>
    </w:p>
    <w:p w:rsidRPr="00511954" w:rsidR="00652CAE" w:rsidP="00755176" w:rsidRDefault="00C31862" w14:paraId="0D93630F" w14:textId="77777777">
      <w:pPr>
        <w:autoSpaceDE w:val="0"/>
        <w:autoSpaceDN w:val="0"/>
        <w:adjustRightInd w:val="0"/>
        <w:spacing w:after="240"/>
        <w:rPr>
          <w:rFonts w:ascii="Palatino Linotype" w:hAnsi="Palatino Linotype" w:cs="TimesNewRoman"/>
          <w:szCs w:val="24"/>
        </w:rPr>
      </w:pPr>
      <w:r w:rsidRPr="00511954">
        <w:rPr>
          <w:rFonts w:ascii="Palatino Linotype" w:hAnsi="Palatino Linotype" w:cs="TimesNewRoman"/>
          <w:szCs w:val="24"/>
        </w:rPr>
        <w:t>T</w:t>
      </w:r>
      <w:r w:rsidRPr="00511954" w:rsidR="00AD3925">
        <w:rPr>
          <w:rFonts w:ascii="Palatino Linotype" w:hAnsi="Palatino Linotype" w:cs="TimesNewRoman"/>
          <w:szCs w:val="24"/>
        </w:rPr>
        <w:t xml:space="preserve">he Protesting CCAs </w:t>
      </w:r>
      <w:r w:rsidRPr="00511954">
        <w:rPr>
          <w:rFonts w:ascii="Palatino Linotype" w:hAnsi="Palatino Linotype" w:cs="TimesNewRoman"/>
          <w:szCs w:val="24"/>
        </w:rPr>
        <w:t xml:space="preserve">also </w:t>
      </w:r>
      <w:r w:rsidRPr="00511954" w:rsidR="00AD3925">
        <w:rPr>
          <w:rFonts w:ascii="Palatino Linotype" w:hAnsi="Palatino Linotype" w:cs="TimesNewRoman"/>
          <w:szCs w:val="24"/>
        </w:rPr>
        <w:t>underscore concerns about cross-subsidization between bundled and unbundled customers and state that accounting and cost recovery using GHG allowance proceeds need to be further discussed in a workshop.</w:t>
      </w:r>
      <w:r w:rsidRPr="00511954" w:rsidR="004E19DF">
        <w:rPr>
          <w:rFonts w:ascii="Palatino Linotype" w:hAnsi="Palatino Linotype" w:cs="TimesNewRoman"/>
          <w:szCs w:val="24"/>
        </w:rPr>
        <w:t xml:space="preserve"> T</w:t>
      </w:r>
      <w:r w:rsidRPr="00511954" w:rsidR="00AD3925">
        <w:rPr>
          <w:rFonts w:ascii="Palatino Linotype" w:hAnsi="Palatino Linotype" w:cs="TimesNewRoman"/>
          <w:szCs w:val="24"/>
        </w:rPr>
        <w:t xml:space="preserve">he CCAs note that an additional item that should be </w:t>
      </w:r>
      <w:r w:rsidRPr="00511954">
        <w:rPr>
          <w:rFonts w:ascii="Palatino Linotype" w:hAnsi="Palatino Linotype" w:cs="TimesNewRoman"/>
          <w:szCs w:val="24"/>
        </w:rPr>
        <w:t>discussed</w:t>
      </w:r>
      <w:r w:rsidRPr="00511954" w:rsidR="00AD3925">
        <w:rPr>
          <w:rFonts w:ascii="Palatino Linotype" w:hAnsi="Palatino Linotype" w:cs="TimesNewRoman"/>
          <w:szCs w:val="24"/>
        </w:rPr>
        <w:t xml:space="preserve"> in a stakeholder workshop is</w:t>
      </w:r>
      <w:r w:rsidRPr="00511954" w:rsidR="00C7710F">
        <w:rPr>
          <w:rFonts w:ascii="Palatino Linotype" w:hAnsi="Palatino Linotype" w:cs="TimesNewRoman"/>
          <w:szCs w:val="24"/>
        </w:rPr>
        <w:t xml:space="preserve"> </w:t>
      </w:r>
      <w:r w:rsidRPr="00511954" w:rsidR="004E19DF">
        <w:rPr>
          <w:rFonts w:ascii="Palatino Linotype" w:hAnsi="Palatino Linotype" w:cs="TimesNewRoman"/>
          <w:szCs w:val="24"/>
        </w:rPr>
        <w:t xml:space="preserve">how </w:t>
      </w:r>
      <w:r w:rsidRPr="00511954">
        <w:rPr>
          <w:rFonts w:ascii="Palatino Linotype" w:hAnsi="Palatino Linotype" w:cs="TimesNewRoman"/>
          <w:szCs w:val="24"/>
        </w:rPr>
        <w:t xml:space="preserve">program implementation timelines can accommodate </w:t>
      </w:r>
      <w:r w:rsidRPr="00511954" w:rsidR="004E19DF">
        <w:rPr>
          <w:rFonts w:ascii="Palatino Linotype" w:hAnsi="Palatino Linotype" w:cs="TimesNewRoman"/>
          <w:szCs w:val="24"/>
        </w:rPr>
        <w:t>existing CCAs that expand or</w:t>
      </w:r>
      <w:r w:rsidRPr="00511954">
        <w:rPr>
          <w:rFonts w:ascii="Palatino Linotype" w:hAnsi="Palatino Linotype" w:cs="TimesNewRoman"/>
          <w:szCs w:val="24"/>
        </w:rPr>
        <w:t xml:space="preserve"> </w:t>
      </w:r>
      <w:r w:rsidRPr="00511954" w:rsidR="00C7710F">
        <w:rPr>
          <w:rFonts w:ascii="Palatino Linotype" w:hAnsi="Palatino Linotype" w:cs="TimesNewRoman"/>
          <w:szCs w:val="24"/>
        </w:rPr>
        <w:t xml:space="preserve">new CCAs </w:t>
      </w:r>
      <w:r w:rsidRPr="00511954" w:rsidR="004E19DF">
        <w:rPr>
          <w:rFonts w:ascii="Palatino Linotype" w:hAnsi="Palatino Linotype" w:cs="TimesNewRoman"/>
          <w:szCs w:val="24"/>
        </w:rPr>
        <w:t xml:space="preserve">that </w:t>
      </w:r>
      <w:r w:rsidRPr="00511954" w:rsidR="00C7710F">
        <w:rPr>
          <w:rFonts w:ascii="Palatino Linotype" w:hAnsi="Palatino Linotype" w:cs="TimesNewRoman"/>
          <w:szCs w:val="24"/>
        </w:rPr>
        <w:t>launch</w:t>
      </w:r>
      <w:r w:rsidRPr="00511954" w:rsidR="00680E97">
        <w:rPr>
          <w:rFonts w:ascii="Palatino Linotype" w:hAnsi="Palatino Linotype" w:cs="TimesNewRoman"/>
          <w:szCs w:val="24"/>
        </w:rPr>
        <w:t xml:space="preserve"> after the </w:t>
      </w:r>
      <w:r w:rsidRPr="00511954" w:rsidR="00290FB2">
        <w:rPr>
          <w:rFonts w:ascii="Palatino Linotype" w:hAnsi="Palatino Linotype" w:cs="TimesNewRoman"/>
          <w:szCs w:val="24"/>
        </w:rPr>
        <w:t xml:space="preserve">deadline </w:t>
      </w:r>
      <w:r w:rsidRPr="00511954" w:rsidR="006C5B91">
        <w:rPr>
          <w:rFonts w:ascii="Palatino Linotype" w:hAnsi="Palatino Linotype" w:cs="TimesNewRoman"/>
          <w:szCs w:val="24"/>
        </w:rPr>
        <w:t xml:space="preserve">has passed </w:t>
      </w:r>
      <w:r w:rsidRPr="00511954" w:rsidR="00290FB2">
        <w:rPr>
          <w:rFonts w:ascii="Palatino Linotype" w:hAnsi="Palatino Linotype" w:cs="TimesNewRoman"/>
          <w:szCs w:val="24"/>
        </w:rPr>
        <w:t xml:space="preserve">for </w:t>
      </w:r>
      <w:r w:rsidRPr="00511954" w:rsidR="006C5B91">
        <w:rPr>
          <w:rFonts w:ascii="Palatino Linotype" w:hAnsi="Palatino Linotype" w:cs="TimesNewRoman"/>
          <w:szCs w:val="24"/>
        </w:rPr>
        <w:t xml:space="preserve">CCAs to file their </w:t>
      </w:r>
      <w:r w:rsidRPr="00511954" w:rsidR="00680E97">
        <w:rPr>
          <w:rFonts w:ascii="Palatino Linotype" w:hAnsi="Palatino Linotype" w:cs="TimesNewRoman"/>
          <w:szCs w:val="24"/>
        </w:rPr>
        <w:t>program implementation</w:t>
      </w:r>
      <w:r w:rsidRPr="00511954" w:rsidR="006C5B91">
        <w:rPr>
          <w:rFonts w:ascii="Palatino Linotype" w:hAnsi="Palatino Linotype" w:cs="TimesNewRoman"/>
          <w:szCs w:val="24"/>
        </w:rPr>
        <w:t xml:space="preserve"> plans</w:t>
      </w:r>
      <w:r w:rsidRPr="00511954" w:rsidR="00C7710F">
        <w:rPr>
          <w:rFonts w:ascii="Palatino Linotype" w:hAnsi="Palatino Linotype" w:cs="TimesNewRoman"/>
          <w:szCs w:val="24"/>
        </w:rPr>
        <w:t xml:space="preserve">. </w:t>
      </w:r>
      <w:r w:rsidRPr="00511954" w:rsidR="00680E97">
        <w:rPr>
          <w:rFonts w:ascii="Palatino Linotype" w:hAnsi="Palatino Linotype" w:cs="TimesNewRoman"/>
          <w:szCs w:val="24"/>
        </w:rPr>
        <w:t xml:space="preserve">Finally, </w:t>
      </w:r>
      <w:r w:rsidRPr="00511954" w:rsidR="00986182">
        <w:rPr>
          <w:rFonts w:ascii="Palatino Linotype" w:hAnsi="Palatino Linotype" w:cs="TimesNewRoman"/>
          <w:szCs w:val="24"/>
        </w:rPr>
        <w:t xml:space="preserve">the </w:t>
      </w:r>
      <w:r w:rsidRPr="00511954" w:rsidR="00C7710F">
        <w:rPr>
          <w:rFonts w:ascii="Palatino Linotype" w:hAnsi="Palatino Linotype" w:cs="TimesNewRoman"/>
          <w:szCs w:val="24"/>
        </w:rPr>
        <w:t xml:space="preserve">CCAs </w:t>
      </w:r>
      <w:r w:rsidRPr="00511954" w:rsidR="004E19DF">
        <w:rPr>
          <w:rFonts w:ascii="Palatino Linotype" w:hAnsi="Palatino Linotype" w:cs="TimesNewRoman"/>
          <w:szCs w:val="24"/>
        </w:rPr>
        <w:t>seek guidance on how to address</w:t>
      </w:r>
      <w:r w:rsidRPr="00511954">
        <w:rPr>
          <w:rFonts w:ascii="Palatino Linotype" w:hAnsi="Palatino Linotype" w:cs="TimesNewRoman"/>
          <w:szCs w:val="24"/>
        </w:rPr>
        <w:t xml:space="preserve"> situations in which</w:t>
      </w:r>
      <w:r w:rsidRPr="00511954" w:rsidR="004E19DF">
        <w:rPr>
          <w:rFonts w:ascii="Palatino Linotype" w:hAnsi="Palatino Linotype" w:cs="TimesNewRoman"/>
          <w:szCs w:val="24"/>
        </w:rPr>
        <w:t xml:space="preserve"> </w:t>
      </w:r>
      <w:r w:rsidRPr="00511954" w:rsidR="00680E97">
        <w:rPr>
          <w:rFonts w:ascii="Palatino Linotype" w:hAnsi="Palatino Linotype" w:cs="TimesNewRoman"/>
          <w:szCs w:val="24"/>
        </w:rPr>
        <w:t>a CCA expand</w:t>
      </w:r>
      <w:r w:rsidRPr="00511954">
        <w:rPr>
          <w:rFonts w:ascii="Palatino Linotype" w:hAnsi="Palatino Linotype" w:cs="TimesNewRoman"/>
          <w:szCs w:val="24"/>
        </w:rPr>
        <w:t>s</w:t>
      </w:r>
      <w:r w:rsidRPr="00511954" w:rsidR="00680E97">
        <w:rPr>
          <w:rFonts w:ascii="Palatino Linotype" w:hAnsi="Palatino Linotype" w:cs="TimesNewRoman"/>
          <w:szCs w:val="24"/>
        </w:rPr>
        <w:t xml:space="preserve"> or</w:t>
      </w:r>
      <w:r w:rsidRPr="00511954">
        <w:rPr>
          <w:rFonts w:ascii="Palatino Linotype" w:hAnsi="Palatino Linotype" w:cs="TimesNewRoman"/>
          <w:szCs w:val="24"/>
        </w:rPr>
        <w:t xml:space="preserve"> a new CCA</w:t>
      </w:r>
      <w:r w:rsidRPr="00511954" w:rsidR="00680E97">
        <w:rPr>
          <w:rFonts w:ascii="Palatino Linotype" w:hAnsi="Palatino Linotype" w:cs="TimesNewRoman"/>
          <w:szCs w:val="24"/>
        </w:rPr>
        <w:t xml:space="preserve"> launch</w:t>
      </w:r>
      <w:r w:rsidRPr="00511954">
        <w:rPr>
          <w:rFonts w:ascii="Palatino Linotype" w:hAnsi="Palatino Linotype" w:cs="TimesNewRoman"/>
          <w:szCs w:val="24"/>
        </w:rPr>
        <w:t>es</w:t>
      </w:r>
      <w:r w:rsidRPr="00511954" w:rsidR="00680E97">
        <w:rPr>
          <w:rFonts w:ascii="Palatino Linotype" w:hAnsi="Palatino Linotype" w:cs="TimesNewRoman"/>
          <w:szCs w:val="24"/>
        </w:rPr>
        <w:t xml:space="preserve"> in an </w:t>
      </w:r>
      <w:r w:rsidRPr="00511954" w:rsidR="00C7710F">
        <w:rPr>
          <w:rFonts w:ascii="Palatino Linotype" w:hAnsi="Palatino Linotype" w:cs="TimesNewRoman"/>
          <w:szCs w:val="24"/>
        </w:rPr>
        <w:t xml:space="preserve">area where </w:t>
      </w:r>
      <w:r w:rsidRPr="00511954" w:rsidR="00680E97">
        <w:rPr>
          <w:rFonts w:ascii="Palatino Linotype" w:hAnsi="Palatino Linotype" w:cs="TimesNewRoman"/>
          <w:szCs w:val="24"/>
        </w:rPr>
        <w:t xml:space="preserve">a </w:t>
      </w:r>
      <w:r w:rsidRPr="00511954" w:rsidR="00C7710F">
        <w:rPr>
          <w:rFonts w:ascii="Palatino Linotype" w:hAnsi="Palatino Linotype" w:cs="TimesNewRoman"/>
          <w:szCs w:val="24"/>
        </w:rPr>
        <w:t>CSGT project exist</w:t>
      </w:r>
      <w:r w:rsidRPr="00511954" w:rsidR="00986182">
        <w:rPr>
          <w:rFonts w:ascii="Palatino Linotype" w:hAnsi="Palatino Linotype" w:cs="TimesNewRoman"/>
          <w:szCs w:val="24"/>
        </w:rPr>
        <w:t>s</w:t>
      </w:r>
      <w:r w:rsidRPr="00511954" w:rsidR="00C7710F">
        <w:rPr>
          <w:rFonts w:ascii="Palatino Linotype" w:hAnsi="Palatino Linotype" w:cs="TimesNewRoman"/>
          <w:szCs w:val="24"/>
        </w:rPr>
        <w:t xml:space="preserve"> or </w:t>
      </w:r>
      <w:r w:rsidRPr="00511954" w:rsidR="00680E97">
        <w:rPr>
          <w:rFonts w:ascii="Palatino Linotype" w:hAnsi="Palatino Linotype" w:cs="TimesNewRoman"/>
          <w:szCs w:val="24"/>
        </w:rPr>
        <w:t xml:space="preserve">is </w:t>
      </w:r>
      <w:r w:rsidRPr="00511954">
        <w:rPr>
          <w:rFonts w:ascii="Palatino Linotype" w:hAnsi="Palatino Linotype" w:cs="TimesNewRoman"/>
          <w:szCs w:val="24"/>
        </w:rPr>
        <w:t xml:space="preserve">in </w:t>
      </w:r>
      <w:r w:rsidRPr="00511954" w:rsidR="00680E97">
        <w:rPr>
          <w:rFonts w:ascii="Palatino Linotype" w:hAnsi="Palatino Linotype" w:cs="TimesNewRoman"/>
          <w:szCs w:val="24"/>
        </w:rPr>
        <w:t>development</w:t>
      </w:r>
      <w:r w:rsidRPr="00511954" w:rsidR="00276C5C">
        <w:rPr>
          <w:rFonts w:ascii="Palatino Linotype" w:hAnsi="Palatino Linotype" w:cs="TimesNewRoman"/>
          <w:szCs w:val="24"/>
        </w:rPr>
        <w:t>.</w:t>
      </w:r>
    </w:p>
    <w:p w:rsidRPr="00511954" w:rsidR="00AD3925" w:rsidP="00786345" w:rsidRDefault="00AD3925" w14:paraId="6A4BEDF8" w14:textId="77777777">
      <w:pPr>
        <w:keepNext/>
        <w:autoSpaceDE w:val="0"/>
        <w:autoSpaceDN w:val="0"/>
        <w:adjustRightInd w:val="0"/>
        <w:rPr>
          <w:rFonts w:ascii="Palatino Linotype" w:hAnsi="Palatino Linotype" w:cs="TimesNewRoman"/>
          <w:b/>
          <w:szCs w:val="24"/>
        </w:rPr>
      </w:pPr>
      <w:r w:rsidRPr="00511954">
        <w:rPr>
          <w:rFonts w:ascii="Palatino Linotype" w:hAnsi="Palatino Linotype" w:cs="TimesNewRoman"/>
          <w:b/>
          <w:szCs w:val="24"/>
        </w:rPr>
        <w:t>PG&amp;E</w:t>
      </w:r>
      <w:r w:rsidRPr="00511954" w:rsidR="00236386">
        <w:rPr>
          <w:rFonts w:ascii="Palatino Linotype" w:hAnsi="Palatino Linotype" w:cs="TimesNewRoman"/>
          <w:b/>
          <w:szCs w:val="24"/>
        </w:rPr>
        <w:t>’s</w:t>
      </w:r>
      <w:r w:rsidRPr="00511954">
        <w:rPr>
          <w:rFonts w:ascii="Palatino Linotype" w:hAnsi="Palatino Linotype" w:cs="TimesNewRoman"/>
          <w:b/>
          <w:szCs w:val="24"/>
        </w:rPr>
        <w:t xml:space="preserve"> and SCE</w:t>
      </w:r>
      <w:r w:rsidRPr="00511954" w:rsidR="00236386">
        <w:rPr>
          <w:rFonts w:ascii="Palatino Linotype" w:hAnsi="Palatino Linotype" w:cs="TimesNewRoman"/>
          <w:b/>
          <w:szCs w:val="24"/>
        </w:rPr>
        <w:t>’s</w:t>
      </w:r>
      <w:r w:rsidRPr="00511954">
        <w:rPr>
          <w:rFonts w:ascii="Palatino Linotype" w:hAnsi="Palatino Linotype" w:cs="TimesNewRoman"/>
          <w:b/>
          <w:szCs w:val="24"/>
        </w:rPr>
        <w:t xml:space="preserve"> Re</w:t>
      </w:r>
      <w:r w:rsidRPr="00511954" w:rsidR="00236386">
        <w:rPr>
          <w:rFonts w:ascii="Palatino Linotype" w:hAnsi="Palatino Linotype" w:cs="TimesNewRoman"/>
          <w:b/>
          <w:szCs w:val="24"/>
        </w:rPr>
        <w:t>plies</w:t>
      </w:r>
      <w:r w:rsidRPr="00511954">
        <w:rPr>
          <w:rFonts w:ascii="Palatino Linotype" w:hAnsi="Palatino Linotype" w:cs="TimesNewRoman"/>
          <w:b/>
          <w:szCs w:val="24"/>
        </w:rPr>
        <w:t xml:space="preserve"> to </w:t>
      </w:r>
      <w:r w:rsidRPr="00511954" w:rsidR="005C14BE">
        <w:rPr>
          <w:rFonts w:ascii="Palatino Linotype" w:hAnsi="Palatino Linotype" w:cs="TimesNewRoman"/>
          <w:b/>
          <w:szCs w:val="24"/>
        </w:rPr>
        <w:t xml:space="preserve">the Protesting </w:t>
      </w:r>
      <w:r w:rsidRPr="00511954">
        <w:rPr>
          <w:rFonts w:ascii="Palatino Linotype" w:hAnsi="Palatino Linotype" w:cs="TimesNewRoman"/>
          <w:b/>
          <w:szCs w:val="24"/>
        </w:rPr>
        <w:t>CCA</w:t>
      </w:r>
      <w:r w:rsidRPr="00511954" w:rsidR="005C14BE">
        <w:rPr>
          <w:rFonts w:ascii="Palatino Linotype" w:hAnsi="Palatino Linotype" w:cs="TimesNewRoman"/>
          <w:b/>
          <w:szCs w:val="24"/>
        </w:rPr>
        <w:t>s</w:t>
      </w:r>
    </w:p>
    <w:p w:rsidRPr="00511954" w:rsidR="00652CAE" w:rsidP="00755176" w:rsidRDefault="00A37C53" w14:paraId="7DF533C8" w14:textId="01A3BE46">
      <w:pPr>
        <w:autoSpaceDE w:val="0"/>
        <w:autoSpaceDN w:val="0"/>
        <w:adjustRightInd w:val="0"/>
        <w:spacing w:after="240"/>
        <w:rPr>
          <w:rFonts w:ascii="Palatino Linotype" w:hAnsi="Palatino Linotype" w:cs="TimesNewRoman"/>
          <w:szCs w:val="24"/>
        </w:rPr>
      </w:pPr>
      <w:r w:rsidRPr="00511954">
        <w:rPr>
          <w:rFonts w:ascii="Palatino Linotype" w:hAnsi="Palatino Linotype" w:cs="TimesNewRoman"/>
          <w:szCs w:val="24"/>
        </w:rPr>
        <w:t xml:space="preserve">In their replies, both </w:t>
      </w:r>
      <w:r w:rsidRPr="00511954" w:rsidR="00652CAE">
        <w:rPr>
          <w:rFonts w:ascii="Palatino Linotype" w:hAnsi="Palatino Linotype" w:cs="TimesNewRoman"/>
          <w:szCs w:val="24"/>
        </w:rPr>
        <w:t xml:space="preserve">PG&amp;E and SCE </w:t>
      </w:r>
      <w:r w:rsidRPr="00511954">
        <w:rPr>
          <w:rFonts w:ascii="Palatino Linotype" w:hAnsi="Palatino Linotype" w:cs="TimesNewRoman"/>
          <w:szCs w:val="24"/>
        </w:rPr>
        <w:t xml:space="preserve">express </w:t>
      </w:r>
      <w:r w:rsidRPr="00511954" w:rsidR="00652CAE">
        <w:rPr>
          <w:rFonts w:ascii="Palatino Linotype" w:hAnsi="Palatino Linotype" w:cs="TimesNewRoman"/>
          <w:szCs w:val="24"/>
        </w:rPr>
        <w:t>support</w:t>
      </w:r>
      <w:r w:rsidRPr="00511954">
        <w:rPr>
          <w:rFonts w:ascii="Palatino Linotype" w:hAnsi="Palatino Linotype" w:cs="TimesNewRoman"/>
          <w:szCs w:val="24"/>
        </w:rPr>
        <w:t xml:space="preserve"> for stakeholder</w:t>
      </w:r>
      <w:r w:rsidRPr="00511954" w:rsidR="00652CAE">
        <w:rPr>
          <w:rFonts w:ascii="Palatino Linotype" w:hAnsi="Palatino Linotype" w:cs="TimesNewRoman"/>
          <w:szCs w:val="24"/>
        </w:rPr>
        <w:t xml:space="preserve"> workshops </w:t>
      </w:r>
      <w:r w:rsidRPr="00511954">
        <w:rPr>
          <w:rFonts w:ascii="Palatino Linotype" w:hAnsi="Palatino Linotype" w:cs="TimesNewRoman"/>
          <w:szCs w:val="24"/>
        </w:rPr>
        <w:t xml:space="preserve">to discuss CCA program implementation issues. </w:t>
      </w:r>
      <w:r w:rsidRPr="00511954" w:rsidR="00C72574">
        <w:rPr>
          <w:rFonts w:ascii="Palatino Linotype" w:hAnsi="Palatino Linotype" w:cs="TimesNewRoman"/>
          <w:szCs w:val="24"/>
        </w:rPr>
        <w:t>PG&amp;E request</w:t>
      </w:r>
      <w:r w:rsidRPr="00511954" w:rsidR="00290FB2">
        <w:rPr>
          <w:rFonts w:ascii="Palatino Linotype" w:hAnsi="Palatino Linotype" w:cs="TimesNewRoman"/>
          <w:szCs w:val="24"/>
        </w:rPr>
        <w:t>s</w:t>
      </w:r>
      <w:r w:rsidRPr="00511954" w:rsidR="00540660">
        <w:rPr>
          <w:rFonts w:ascii="Palatino Linotype" w:hAnsi="Palatino Linotype" w:cs="TimesNewRoman"/>
          <w:szCs w:val="24"/>
        </w:rPr>
        <w:t>, however,</w:t>
      </w:r>
      <w:r w:rsidRPr="00511954" w:rsidR="00C72574">
        <w:rPr>
          <w:rFonts w:ascii="Palatino Linotype" w:hAnsi="Palatino Linotype" w:cs="TimesNewRoman"/>
          <w:szCs w:val="24"/>
        </w:rPr>
        <w:t xml:space="preserve"> that the Commission not postpone approval of PG&amp;E’s </w:t>
      </w:r>
      <w:r w:rsidRPr="00511954" w:rsidR="00E6409B">
        <w:rPr>
          <w:rFonts w:ascii="Palatino Linotype" w:hAnsi="Palatino Linotype" w:cs="TimesNewRoman"/>
          <w:szCs w:val="24"/>
        </w:rPr>
        <w:t>DAC</w:t>
      </w:r>
      <w:r w:rsidRPr="00511954" w:rsidR="00305D88">
        <w:rPr>
          <w:rFonts w:ascii="Palatino Linotype" w:hAnsi="Palatino Linotype" w:cs="TimesNewRoman"/>
          <w:szCs w:val="24"/>
        </w:rPr>
        <w:t>-</w:t>
      </w:r>
      <w:r w:rsidRPr="00511954" w:rsidR="00E6409B">
        <w:rPr>
          <w:rFonts w:ascii="Palatino Linotype" w:hAnsi="Palatino Linotype" w:cs="TimesNewRoman"/>
          <w:szCs w:val="24"/>
        </w:rPr>
        <w:t>GT/CSGT</w:t>
      </w:r>
      <w:r w:rsidRPr="00511954" w:rsidR="00861E41">
        <w:rPr>
          <w:rFonts w:ascii="Palatino Linotype" w:hAnsi="Palatino Linotype" w:cs="TimesNewRoman"/>
          <w:szCs w:val="24"/>
        </w:rPr>
        <w:t xml:space="preserve"> implementation</w:t>
      </w:r>
      <w:r w:rsidRPr="00511954" w:rsidR="00E6409B">
        <w:rPr>
          <w:rFonts w:ascii="Palatino Linotype" w:hAnsi="Palatino Linotype" w:cs="TimesNewRoman"/>
          <w:szCs w:val="24"/>
        </w:rPr>
        <w:t xml:space="preserve"> AL</w:t>
      </w:r>
      <w:r w:rsidRPr="00511954" w:rsidR="00C72574">
        <w:rPr>
          <w:rFonts w:ascii="Palatino Linotype" w:hAnsi="Palatino Linotype" w:cs="TimesNewRoman"/>
          <w:szCs w:val="24"/>
        </w:rPr>
        <w:t xml:space="preserve"> </w:t>
      </w:r>
      <w:r w:rsidRPr="00511954" w:rsidR="003C16DC">
        <w:rPr>
          <w:rFonts w:ascii="Palatino Linotype" w:hAnsi="Palatino Linotype" w:cs="TimesNewRoman"/>
          <w:szCs w:val="24"/>
        </w:rPr>
        <w:t>until after workshops are held</w:t>
      </w:r>
      <w:r w:rsidRPr="00511954" w:rsidR="00DF5122">
        <w:rPr>
          <w:rFonts w:ascii="Palatino Linotype" w:hAnsi="Palatino Linotype" w:cs="TimesNewRoman"/>
          <w:szCs w:val="24"/>
        </w:rPr>
        <w:t>,</w:t>
      </w:r>
      <w:r w:rsidRPr="00511954" w:rsidR="003C16DC">
        <w:rPr>
          <w:rFonts w:ascii="Palatino Linotype" w:hAnsi="Palatino Linotype" w:cs="TimesNewRoman"/>
          <w:szCs w:val="24"/>
        </w:rPr>
        <w:t xml:space="preserve"> </w:t>
      </w:r>
      <w:r w:rsidRPr="00511954" w:rsidR="00C72574">
        <w:rPr>
          <w:rFonts w:ascii="Palatino Linotype" w:hAnsi="Palatino Linotype" w:cs="TimesNewRoman"/>
          <w:szCs w:val="24"/>
        </w:rPr>
        <w:t xml:space="preserve">as PG&amp;E </w:t>
      </w:r>
      <w:r w:rsidR="00566425">
        <w:rPr>
          <w:rFonts w:ascii="Palatino Linotype" w:hAnsi="Palatino Linotype" w:cs="TimesNewRoman"/>
          <w:szCs w:val="24"/>
        </w:rPr>
        <w:t>asserts</w:t>
      </w:r>
      <w:r w:rsidRPr="00511954" w:rsidR="00566425">
        <w:rPr>
          <w:rFonts w:ascii="Palatino Linotype" w:hAnsi="Palatino Linotype" w:cs="TimesNewRoman"/>
          <w:szCs w:val="24"/>
        </w:rPr>
        <w:t xml:space="preserve"> </w:t>
      </w:r>
      <w:r w:rsidRPr="00511954" w:rsidR="00C72574">
        <w:rPr>
          <w:rFonts w:ascii="Palatino Linotype" w:hAnsi="Palatino Linotype" w:cs="TimesNewRoman"/>
          <w:szCs w:val="24"/>
        </w:rPr>
        <w:t xml:space="preserve">that this delay would be detrimental to </w:t>
      </w:r>
      <w:r w:rsidRPr="00511954" w:rsidR="00D16778">
        <w:rPr>
          <w:rFonts w:ascii="Palatino Linotype" w:hAnsi="Palatino Linotype" w:cs="TimesNewRoman"/>
          <w:szCs w:val="24"/>
        </w:rPr>
        <w:t>its</w:t>
      </w:r>
      <w:r w:rsidRPr="00511954" w:rsidR="00C72574">
        <w:rPr>
          <w:rFonts w:ascii="Palatino Linotype" w:hAnsi="Palatino Linotype" w:cs="TimesNewRoman"/>
          <w:szCs w:val="24"/>
        </w:rPr>
        <w:t xml:space="preserve"> DAC customers.</w:t>
      </w:r>
      <w:r w:rsidRPr="00511954" w:rsidR="00C72574">
        <w:rPr>
          <w:rStyle w:val="FootnoteReference"/>
          <w:rFonts w:ascii="Palatino Linotype" w:hAnsi="Palatino Linotype" w:cs="TimesNewRoman"/>
          <w:szCs w:val="24"/>
        </w:rPr>
        <w:footnoteReference w:id="17"/>
      </w:r>
      <w:r w:rsidRPr="00511954" w:rsidR="00652CAE">
        <w:rPr>
          <w:rFonts w:ascii="Palatino Linotype" w:hAnsi="Palatino Linotype" w:cs="TimesNewRoman"/>
          <w:szCs w:val="24"/>
        </w:rPr>
        <w:t xml:space="preserve"> </w:t>
      </w:r>
      <w:r w:rsidRPr="00511954" w:rsidR="003C16DC">
        <w:rPr>
          <w:rFonts w:ascii="Palatino Linotype" w:hAnsi="Palatino Linotype" w:cs="TimesNewRoman"/>
          <w:szCs w:val="24"/>
        </w:rPr>
        <w:t xml:space="preserve">PG&amp;E </w:t>
      </w:r>
      <w:r w:rsidRPr="00511954" w:rsidR="009947E1">
        <w:rPr>
          <w:rFonts w:ascii="Palatino Linotype" w:hAnsi="Palatino Linotype" w:cs="TimesNewRoman"/>
          <w:szCs w:val="24"/>
        </w:rPr>
        <w:t>suggests</w:t>
      </w:r>
      <w:r w:rsidRPr="00511954" w:rsidR="003C16DC">
        <w:rPr>
          <w:rFonts w:ascii="Palatino Linotype" w:hAnsi="Palatino Linotype" w:cs="TimesNewRoman"/>
          <w:szCs w:val="24"/>
        </w:rPr>
        <w:t xml:space="preserve"> that any modifications to the DAC-GT and CSGT programs that result from </w:t>
      </w:r>
      <w:r w:rsidRPr="00511954" w:rsidR="00CF1414">
        <w:rPr>
          <w:rFonts w:ascii="Palatino Linotype" w:hAnsi="Palatino Linotype" w:cs="TimesNewRoman"/>
          <w:szCs w:val="24"/>
        </w:rPr>
        <w:t>future</w:t>
      </w:r>
      <w:r w:rsidRPr="00511954" w:rsidR="003C16DC">
        <w:rPr>
          <w:rFonts w:ascii="Palatino Linotype" w:hAnsi="Palatino Linotype" w:cs="TimesNewRoman"/>
          <w:szCs w:val="24"/>
        </w:rPr>
        <w:t xml:space="preserve"> workshops </w:t>
      </w:r>
      <w:r w:rsidRPr="00511954" w:rsidR="00755176">
        <w:rPr>
          <w:rFonts w:ascii="Palatino Linotype" w:hAnsi="Palatino Linotype" w:cs="TimesNewRoman"/>
          <w:szCs w:val="24"/>
        </w:rPr>
        <w:t>c</w:t>
      </w:r>
      <w:r w:rsidRPr="00511954" w:rsidR="003E0231">
        <w:rPr>
          <w:rFonts w:ascii="Palatino Linotype" w:hAnsi="Palatino Linotype" w:cs="TimesNewRoman"/>
          <w:szCs w:val="24"/>
        </w:rPr>
        <w:t>ould</w:t>
      </w:r>
      <w:r w:rsidRPr="00511954" w:rsidR="003C16DC">
        <w:rPr>
          <w:rFonts w:ascii="Palatino Linotype" w:hAnsi="Palatino Linotype" w:cs="TimesNewRoman"/>
          <w:szCs w:val="24"/>
        </w:rPr>
        <w:t xml:space="preserve"> be incorporated </w:t>
      </w:r>
      <w:r w:rsidRPr="00511954" w:rsidR="00290FB2">
        <w:rPr>
          <w:rFonts w:ascii="Palatino Linotype" w:hAnsi="Palatino Linotype" w:cs="TimesNewRoman"/>
          <w:szCs w:val="24"/>
        </w:rPr>
        <w:t xml:space="preserve">into </w:t>
      </w:r>
      <w:r w:rsidRPr="00511954" w:rsidR="00D16778">
        <w:rPr>
          <w:rFonts w:ascii="Palatino Linotype" w:hAnsi="Palatino Linotype" w:cs="TimesNewRoman"/>
          <w:szCs w:val="24"/>
        </w:rPr>
        <w:t>its</w:t>
      </w:r>
      <w:r w:rsidRPr="00511954" w:rsidR="00290FB2">
        <w:rPr>
          <w:rFonts w:ascii="Palatino Linotype" w:hAnsi="Palatino Linotype" w:cs="TimesNewRoman"/>
          <w:szCs w:val="24"/>
        </w:rPr>
        <w:t xml:space="preserve"> program implementation plans </w:t>
      </w:r>
      <w:r w:rsidRPr="00511954" w:rsidR="003C16DC">
        <w:rPr>
          <w:rFonts w:ascii="Palatino Linotype" w:hAnsi="Palatino Linotype" w:cs="TimesNewRoman"/>
          <w:szCs w:val="24"/>
        </w:rPr>
        <w:t>via a</w:t>
      </w:r>
      <w:r w:rsidRPr="00511954" w:rsidR="003E0231">
        <w:rPr>
          <w:rFonts w:ascii="Palatino Linotype" w:hAnsi="Palatino Linotype" w:cs="TimesNewRoman"/>
          <w:szCs w:val="24"/>
        </w:rPr>
        <w:t xml:space="preserve">n </w:t>
      </w:r>
      <w:r w:rsidRPr="00511954" w:rsidR="003C16DC">
        <w:rPr>
          <w:rFonts w:ascii="Palatino Linotype" w:hAnsi="Palatino Linotype" w:cs="TimesNewRoman"/>
          <w:szCs w:val="24"/>
        </w:rPr>
        <w:t>advice letter</w:t>
      </w:r>
      <w:r w:rsidRPr="00511954" w:rsidR="003E0231">
        <w:rPr>
          <w:rFonts w:ascii="Palatino Linotype" w:hAnsi="Palatino Linotype" w:cs="TimesNewRoman"/>
          <w:szCs w:val="24"/>
        </w:rPr>
        <w:t xml:space="preserve"> filing</w:t>
      </w:r>
      <w:r w:rsidRPr="00511954" w:rsidR="003C16DC">
        <w:rPr>
          <w:rFonts w:ascii="Palatino Linotype" w:hAnsi="Palatino Linotype" w:cs="TimesNewRoman"/>
          <w:szCs w:val="24"/>
        </w:rPr>
        <w:t xml:space="preserve">. </w:t>
      </w:r>
    </w:p>
    <w:p w:rsidRPr="00511954" w:rsidR="002155D9" w:rsidP="00755176" w:rsidRDefault="00170F03" w14:paraId="42D0870D" w14:textId="34BF3046">
      <w:pPr>
        <w:autoSpaceDE w:val="0"/>
        <w:autoSpaceDN w:val="0"/>
        <w:adjustRightInd w:val="0"/>
        <w:spacing w:after="240"/>
        <w:rPr>
          <w:rFonts w:ascii="Palatino Linotype" w:hAnsi="Palatino Linotype" w:cs="TimesNewRoman"/>
          <w:szCs w:val="24"/>
        </w:rPr>
      </w:pPr>
      <w:r w:rsidRPr="00511954">
        <w:rPr>
          <w:rFonts w:ascii="Palatino Linotype" w:hAnsi="Palatino Linotype" w:cs="TimesNewRoman"/>
          <w:szCs w:val="24"/>
        </w:rPr>
        <w:t>In its reply</w:t>
      </w:r>
      <w:r w:rsidRPr="00511954" w:rsidR="003E0231">
        <w:rPr>
          <w:rFonts w:ascii="Palatino Linotype" w:hAnsi="Palatino Linotype" w:cs="TimesNewRoman"/>
          <w:szCs w:val="24"/>
        </w:rPr>
        <w:t xml:space="preserve"> to the Protesting CCAs</w:t>
      </w:r>
      <w:r w:rsidRPr="00511954">
        <w:rPr>
          <w:rFonts w:ascii="Palatino Linotype" w:hAnsi="Palatino Linotype" w:cs="TimesNewRoman"/>
          <w:szCs w:val="24"/>
        </w:rPr>
        <w:t xml:space="preserve">, </w:t>
      </w:r>
      <w:r w:rsidRPr="00511954" w:rsidR="00240A2F">
        <w:rPr>
          <w:rFonts w:ascii="Palatino Linotype" w:hAnsi="Palatino Linotype" w:cs="TimesNewRoman"/>
          <w:szCs w:val="24"/>
        </w:rPr>
        <w:t xml:space="preserve">PG&amp;E </w:t>
      </w:r>
      <w:r w:rsidRPr="00511954" w:rsidR="00290FB2">
        <w:rPr>
          <w:rFonts w:ascii="Palatino Linotype" w:hAnsi="Palatino Linotype" w:cs="TimesNewRoman"/>
          <w:szCs w:val="24"/>
        </w:rPr>
        <w:t xml:space="preserve">reiterates </w:t>
      </w:r>
      <w:r w:rsidRPr="00511954" w:rsidR="00755176">
        <w:rPr>
          <w:rFonts w:ascii="Palatino Linotype" w:hAnsi="Palatino Linotype" w:cs="TimesNewRoman"/>
          <w:szCs w:val="24"/>
        </w:rPr>
        <w:t xml:space="preserve">its </w:t>
      </w:r>
      <w:r w:rsidRPr="00511954" w:rsidR="008762CC">
        <w:rPr>
          <w:rFonts w:ascii="Palatino Linotype" w:hAnsi="Palatino Linotype" w:cs="TimesNewRoman"/>
          <w:szCs w:val="24"/>
        </w:rPr>
        <w:t>proposed</w:t>
      </w:r>
      <w:r w:rsidRPr="00511954" w:rsidR="00755176">
        <w:rPr>
          <w:rFonts w:ascii="Palatino Linotype" w:hAnsi="Palatino Linotype" w:cs="TimesNewRoman"/>
          <w:szCs w:val="24"/>
        </w:rPr>
        <w:t xml:space="preserve"> methodology for allocating program capacity</w:t>
      </w:r>
      <w:r w:rsidRPr="00511954" w:rsidR="003E0231">
        <w:rPr>
          <w:rFonts w:ascii="Palatino Linotype" w:hAnsi="Palatino Linotype" w:cs="TimesNewRoman"/>
          <w:szCs w:val="24"/>
        </w:rPr>
        <w:t xml:space="preserve"> initially</w:t>
      </w:r>
      <w:r w:rsidRPr="00511954">
        <w:rPr>
          <w:rFonts w:ascii="Palatino Linotype" w:hAnsi="Palatino Linotype" w:cs="TimesNewRoman"/>
          <w:szCs w:val="24"/>
        </w:rPr>
        <w:t xml:space="preserve"> </w:t>
      </w:r>
      <w:r w:rsidRPr="00511954" w:rsidR="00755176">
        <w:rPr>
          <w:rFonts w:ascii="Palatino Linotype" w:hAnsi="Palatino Linotype" w:cs="TimesNewRoman"/>
          <w:szCs w:val="24"/>
        </w:rPr>
        <w:t>proposed in</w:t>
      </w:r>
      <w:r w:rsidRPr="00511954">
        <w:rPr>
          <w:rFonts w:ascii="Palatino Linotype" w:hAnsi="Palatino Linotype" w:cs="TimesNewRoman"/>
          <w:szCs w:val="24"/>
        </w:rPr>
        <w:t xml:space="preserve"> </w:t>
      </w:r>
      <w:r w:rsidRPr="00511954" w:rsidR="00305D88">
        <w:rPr>
          <w:rFonts w:ascii="Palatino Linotype" w:hAnsi="Palatino Linotype" w:cs="TimesNewRoman"/>
          <w:szCs w:val="24"/>
        </w:rPr>
        <w:t>its DAC-GT/CSGT</w:t>
      </w:r>
      <w:r w:rsidRPr="00511954" w:rsidR="00861E41">
        <w:rPr>
          <w:rFonts w:ascii="Palatino Linotype" w:hAnsi="Palatino Linotype" w:cs="TimesNewRoman"/>
          <w:szCs w:val="24"/>
        </w:rPr>
        <w:t xml:space="preserve"> implementation</w:t>
      </w:r>
      <w:r w:rsidRPr="00511954" w:rsidR="00305D88">
        <w:rPr>
          <w:rFonts w:ascii="Palatino Linotype" w:hAnsi="Palatino Linotype" w:cs="TimesNewRoman"/>
          <w:szCs w:val="24"/>
        </w:rPr>
        <w:t xml:space="preserve"> AL</w:t>
      </w:r>
      <w:r w:rsidR="00566425">
        <w:rPr>
          <w:rFonts w:ascii="Palatino Linotype" w:hAnsi="Palatino Linotype" w:cs="TimesNewRoman"/>
          <w:szCs w:val="24"/>
        </w:rPr>
        <w:t xml:space="preserve"> that</w:t>
      </w:r>
      <w:r w:rsidRPr="00511954">
        <w:rPr>
          <w:rFonts w:ascii="Palatino Linotype" w:hAnsi="Palatino Linotype" w:cs="TimesNewRoman"/>
          <w:szCs w:val="24"/>
        </w:rPr>
        <w:t>: “any IOU MW program participation targets (i.e., PG&amp;E’s 70MW for DAC-GT and 18MW for CS-GT) be decremented by the MW amount a CCA in their service territory anticipates serving. The total MW a CCA could serve should be based on the CCA’s proportional share of load of eligible customers within the respective IOU’s distribution service territory.”</w:t>
      </w:r>
      <w:r w:rsidRPr="00511954">
        <w:rPr>
          <w:rStyle w:val="FootnoteReference"/>
          <w:rFonts w:ascii="Palatino Linotype" w:hAnsi="Palatino Linotype" w:cs="TimesNewRoman"/>
          <w:szCs w:val="24"/>
        </w:rPr>
        <w:footnoteReference w:id="18"/>
      </w:r>
      <w:r w:rsidRPr="00511954">
        <w:rPr>
          <w:rFonts w:ascii="Palatino Linotype" w:hAnsi="Palatino Linotype" w:cs="TimesNewRoman"/>
          <w:szCs w:val="24"/>
        </w:rPr>
        <w:t xml:space="preserve"> </w:t>
      </w:r>
      <w:r w:rsidRPr="00511954" w:rsidR="008762CC">
        <w:rPr>
          <w:rFonts w:ascii="Palatino Linotype" w:hAnsi="Palatino Linotype" w:cs="TimesNewRoman"/>
          <w:szCs w:val="24"/>
        </w:rPr>
        <w:t xml:space="preserve">In Appendix A to its reply, </w:t>
      </w:r>
      <w:r w:rsidRPr="00511954" w:rsidR="002155D9">
        <w:rPr>
          <w:rFonts w:ascii="Palatino Linotype" w:hAnsi="Palatino Linotype" w:cs="TimesNewRoman"/>
          <w:szCs w:val="24"/>
        </w:rPr>
        <w:t>PG&amp;E provides an initial analysis o</w:t>
      </w:r>
      <w:r w:rsidRPr="00511954" w:rsidR="00861E41">
        <w:rPr>
          <w:rFonts w:ascii="Palatino Linotype" w:hAnsi="Palatino Linotype" w:cs="TimesNewRoman"/>
          <w:szCs w:val="24"/>
        </w:rPr>
        <w:t xml:space="preserve">f the number of </w:t>
      </w:r>
      <w:r w:rsidRPr="00511954" w:rsidR="002155D9">
        <w:rPr>
          <w:rFonts w:ascii="Palatino Linotype" w:hAnsi="Palatino Linotype" w:cs="TimesNewRoman"/>
          <w:szCs w:val="24"/>
        </w:rPr>
        <w:t xml:space="preserve">residential DAC customers in its service territory </w:t>
      </w:r>
      <w:r w:rsidRPr="00511954" w:rsidR="00DF5122">
        <w:rPr>
          <w:rFonts w:ascii="Palatino Linotype" w:hAnsi="Palatino Linotype" w:cs="TimesNewRoman"/>
          <w:szCs w:val="24"/>
        </w:rPr>
        <w:t xml:space="preserve">who </w:t>
      </w:r>
      <w:r w:rsidRPr="00511954" w:rsidR="002155D9">
        <w:rPr>
          <w:rFonts w:ascii="Palatino Linotype" w:hAnsi="Palatino Linotype" w:cs="TimesNewRoman"/>
          <w:szCs w:val="24"/>
        </w:rPr>
        <w:t>were served by CCAs as of September 2018.</w:t>
      </w:r>
    </w:p>
    <w:p w:rsidRPr="00511954" w:rsidR="00652CAE" w:rsidP="00755176" w:rsidRDefault="00170F03" w14:paraId="54D9E041" w14:textId="5A88C6A4">
      <w:pPr>
        <w:autoSpaceDE w:val="0"/>
        <w:autoSpaceDN w:val="0"/>
        <w:adjustRightInd w:val="0"/>
        <w:spacing w:after="240"/>
        <w:rPr>
          <w:rFonts w:ascii="Palatino Linotype" w:hAnsi="Palatino Linotype" w:cs="TimesNewRoman"/>
          <w:szCs w:val="24"/>
        </w:rPr>
      </w:pPr>
      <w:r w:rsidRPr="00511954">
        <w:rPr>
          <w:rFonts w:ascii="Palatino Linotype" w:hAnsi="Palatino Linotype" w:cs="TimesNewRoman"/>
          <w:szCs w:val="24"/>
        </w:rPr>
        <w:t>PG&amp;E emphasizes</w:t>
      </w:r>
      <w:r w:rsidR="00E04D94">
        <w:rPr>
          <w:rFonts w:ascii="Palatino Linotype" w:hAnsi="Palatino Linotype" w:cs="TimesNewRoman"/>
          <w:szCs w:val="24"/>
        </w:rPr>
        <w:t xml:space="preserve"> in its reply</w:t>
      </w:r>
      <w:r w:rsidRPr="00511954">
        <w:rPr>
          <w:rFonts w:ascii="Palatino Linotype" w:hAnsi="Palatino Linotype" w:cs="TimesNewRoman"/>
          <w:szCs w:val="24"/>
        </w:rPr>
        <w:t xml:space="preserve"> </w:t>
      </w:r>
      <w:r w:rsidRPr="00511954" w:rsidR="00D16778">
        <w:rPr>
          <w:rFonts w:ascii="Palatino Linotype" w:hAnsi="Palatino Linotype" w:cs="TimesNewRoman"/>
          <w:szCs w:val="24"/>
        </w:rPr>
        <w:t>t</w:t>
      </w:r>
      <w:r w:rsidRPr="00511954">
        <w:rPr>
          <w:rFonts w:ascii="Palatino Linotype" w:hAnsi="Palatino Linotype" w:cs="TimesNewRoman"/>
          <w:szCs w:val="24"/>
        </w:rPr>
        <w:t xml:space="preserve">hat </w:t>
      </w:r>
      <w:r w:rsidRPr="00511954" w:rsidR="00240A2F">
        <w:rPr>
          <w:rFonts w:ascii="Palatino Linotype" w:hAnsi="Palatino Linotype" w:cs="TimesNewRoman"/>
          <w:szCs w:val="24"/>
        </w:rPr>
        <w:t xml:space="preserve">it is </w:t>
      </w:r>
      <w:r w:rsidRPr="00511954" w:rsidR="004517C6">
        <w:rPr>
          <w:rFonts w:ascii="Palatino Linotype" w:hAnsi="Palatino Linotype" w:cs="TimesNewRoman"/>
          <w:szCs w:val="24"/>
        </w:rPr>
        <w:t xml:space="preserve">particularly </w:t>
      </w:r>
      <w:r w:rsidRPr="00511954" w:rsidR="00240A2F">
        <w:rPr>
          <w:rFonts w:ascii="Palatino Linotype" w:hAnsi="Palatino Linotype" w:cs="TimesNewRoman"/>
          <w:szCs w:val="24"/>
        </w:rPr>
        <w:t xml:space="preserve">critical for the IOUs to know the capacity </w:t>
      </w:r>
      <w:r w:rsidRPr="00511954" w:rsidR="001069DD">
        <w:rPr>
          <w:rFonts w:ascii="Palatino Linotype" w:hAnsi="Palatino Linotype" w:cs="TimesNewRoman"/>
          <w:szCs w:val="24"/>
        </w:rPr>
        <w:t>allocated</w:t>
      </w:r>
      <w:r w:rsidRPr="00511954" w:rsidR="00240A2F">
        <w:rPr>
          <w:rFonts w:ascii="Palatino Linotype" w:hAnsi="Palatino Linotype" w:cs="TimesNewRoman"/>
          <w:szCs w:val="24"/>
        </w:rPr>
        <w:t xml:space="preserve"> to CCAs </w:t>
      </w:r>
      <w:r w:rsidRPr="00511954" w:rsidR="00755176">
        <w:rPr>
          <w:rFonts w:ascii="Palatino Linotype" w:hAnsi="Palatino Linotype" w:cs="TimesNewRoman"/>
          <w:szCs w:val="24"/>
        </w:rPr>
        <w:t>under the</w:t>
      </w:r>
      <w:r w:rsidRPr="00511954" w:rsidR="004517C6">
        <w:rPr>
          <w:rFonts w:ascii="Palatino Linotype" w:hAnsi="Palatino Linotype" w:cs="TimesNewRoman"/>
          <w:szCs w:val="24"/>
        </w:rPr>
        <w:t xml:space="preserve"> CSGT </w:t>
      </w:r>
      <w:r w:rsidRPr="00511954" w:rsidR="00755176">
        <w:rPr>
          <w:rFonts w:ascii="Palatino Linotype" w:hAnsi="Palatino Linotype" w:cs="TimesNewRoman"/>
          <w:szCs w:val="24"/>
        </w:rPr>
        <w:t xml:space="preserve">program </w:t>
      </w:r>
      <w:r w:rsidRPr="00511954" w:rsidR="003E0231">
        <w:rPr>
          <w:rFonts w:ascii="Palatino Linotype" w:hAnsi="Palatino Linotype" w:cs="TimesNewRoman"/>
          <w:szCs w:val="24"/>
        </w:rPr>
        <w:t>because</w:t>
      </w:r>
      <w:r w:rsidRPr="00511954" w:rsidR="00240A2F">
        <w:rPr>
          <w:rFonts w:ascii="Palatino Linotype" w:hAnsi="Palatino Linotype" w:cs="TimesNewRoman"/>
          <w:szCs w:val="24"/>
        </w:rPr>
        <w:t xml:space="preserve"> the maximum </w:t>
      </w:r>
      <w:r w:rsidRPr="00511954" w:rsidR="00755176">
        <w:rPr>
          <w:rFonts w:ascii="Palatino Linotype" w:hAnsi="Palatino Linotype" w:cs="TimesNewRoman"/>
          <w:szCs w:val="24"/>
        </w:rPr>
        <w:t xml:space="preserve">CSGT </w:t>
      </w:r>
      <w:r w:rsidRPr="00511954" w:rsidR="00240A2F">
        <w:rPr>
          <w:rFonts w:ascii="Palatino Linotype" w:hAnsi="Palatino Linotype" w:cs="TimesNewRoman"/>
          <w:szCs w:val="24"/>
        </w:rPr>
        <w:t>project size is 30</w:t>
      </w:r>
      <w:r w:rsidRPr="00511954" w:rsidR="00530D31">
        <w:rPr>
          <w:rFonts w:ascii="Palatino Linotype" w:hAnsi="Palatino Linotype" w:cs="TimesNewRoman"/>
          <w:szCs w:val="24"/>
        </w:rPr>
        <w:t xml:space="preserve"> percent </w:t>
      </w:r>
      <w:r w:rsidRPr="00511954" w:rsidR="00240A2F">
        <w:rPr>
          <w:rFonts w:ascii="Palatino Linotype" w:hAnsi="Palatino Linotype" w:cs="TimesNewRoman"/>
          <w:szCs w:val="24"/>
        </w:rPr>
        <w:t xml:space="preserve">of the total capacity in </w:t>
      </w:r>
      <w:r w:rsidRPr="00511954" w:rsidR="00305D88">
        <w:rPr>
          <w:rFonts w:ascii="Palatino Linotype" w:hAnsi="Palatino Linotype" w:cs="TimesNewRoman"/>
          <w:szCs w:val="24"/>
        </w:rPr>
        <w:t>an</w:t>
      </w:r>
      <w:r w:rsidRPr="00511954" w:rsidR="00240A2F">
        <w:rPr>
          <w:rFonts w:ascii="Palatino Linotype" w:hAnsi="Palatino Linotype" w:cs="TimesNewRoman"/>
          <w:szCs w:val="24"/>
        </w:rPr>
        <w:t xml:space="preserve"> IOU’s CSGT program or 3 MW, whichever is larger.</w:t>
      </w:r>
      <w:r w:rsidRPr="00511954" w:rsidR="00D16778">
        <w:rPr>
          <w:rStyle w:val="FootnoteReference"/>
          <w:rFonts w:ascii="Palatino Linotype" w:hAnsi="Palatino Linotype" w:cs="TimesNewRoman"/>
          <w:szCs w:val="24"/>
        </w:rPr>
        <w:footnoteReference w:id="19"/>
      </w:r>
      <w:r w:rsidRPr="00511954" w:rsidR="00240A2F">
        <w:rPr>
          <w:rFonts w:ascii="Palatino Linotype" w:hAnsi="Palatino Linotype" w:cs="TimesNewRoman"/>
          <w:szCs w:val="24"/>
        </w:rPr>
        <w:t xml:space="preserve"> </w:t>
      </w:r>
      <w:r w:rsidRPr="00511954" w:rsidR="004517C6">
        <w:rPr>
          <w:rFonts w:ascii="Palatino Linotype" w:hAnsi="Palatino Linotype" w:cs="TimesNewRoman"/>
          <w:szCs w:val="24"/>
        </w:rPr>
        <w:t xml:space="preserve">PG&amp;E asserts that </w:t>
      </w:r>
      <w:r w:rsidRPr="00511954" w:rsidR="008762CC">
        <w:rPr>
          <w:rFonts w:ascii="Palatino Linotype" w:hAnsi="Palatino Linotype" w:cs="TimesNewRoman"/>
          <w:szCs w:val="24"/>
        </w:rPr>
        <w:t xml:space="preserve">the IOUs </w:t>
      </w:r>
      <w:r w:rsidRPr="00511954" w:rsidR="004517C6">
        <w:rPr>
          <w:rFonts w:ascii="Palatino Linotype" w:hAnsi="Palatino Linotype" w:cs="TimesNewRoman"/>
          <w:szCs w:val="24"/>
        </w:rPr>
        <w:t xml:space="preserve">need to know </w:t>
      </w:r>
      <w:r w:rsidRPr="00511954" w:rsidR="00290FB2">
        <w:rPr>
          <w:rFonts w:ascii="Palatino Linotype" w:hAnsi="Palatino Linotype" w:cs="TimesNewRoman"/>
          <w:szCs w:val="24"/>
        </w:rPr>
        <w:t xml:space="preserve">how much capacity CCAs </w:t>
      </w:r>
      <w:r w:rsidRPr="00511954" w:rsidR="00F4633F">
        <w:rPr>
          <w:rFonts w:ascii="Palatino Linotype" w:hAnsi="Palatino Linotype" w:cs="TimesNewRoman"/>
          <w:szCs w:val="24"/>
        </w:rPr>
        <w:t xml:space="preserve">intend to serve </w:t>
      </w:r>
      <w:r w:rsidRPr="00511954" w:rsidR="008762CC">
        <w:rPr>
          <w:rFonts w:ascii="Palatino Linotype" w:hAnsi="Palatino Linotype" w:cs="TimesNewRoman"/>
          <w:szCs w:val="24"/>
        </w:rPr>
        <w:t xml:space="preserve">before the IOUs </w:t>
      </w:r>
      <w:r w:rsidRPr="00511954" w:rsidR="00D9161F">
        <w:rPr>
          <w:rFonts w:ascii="Palatino Linotype" w:hAnsi="Palatino Linotype" w:cs="TimesNewRoman"/>
          <w:szCs w:val="24"/>
        </w:rPr>
        <w:t xml:space="preserve">issue </w:t>
      </w:r>
      <w:r w:rsidRPr="00511954" w:rsidR="008762CC">
        <w:rPr>
          <w:rFonts w:ascii="Palatino Linotype" w:hAnsi="Palatino Linotype" w:cs="TimesNewRoman"/>
          <w:szCs w:val="24"/>
        </w:rPr>
        <w:t xml:space="preserve">an RFO </w:t>
      </w:r>
      <w:r w:rsidRPr="00511954" w:rsidR="004517C6">
        <w:rPr>
          <w:rFonts w:ascii="Palatino Linotype" w:hAnsi="Palatino Linotype" w:cs="TimesNewRoman"/>
          <w:szCs w:val="24"/>
        </w:rPr>
        <w:t>s</w:t>
      </w:r>
      <w:r w:rsidRPr="00511954" w:rsidR="00F4633F">
        <w:rPr>
          <w:rFonts w:ascii="Palatino Linotype" w:hAnsi="Palatino Linotype" w:cs="TimesNewRoman"/>
          <w:szCs w:val="24"/>
        </w:rPr>
        <w:t>o that the</w:t>
      </w:r>
      <w:r w:rsidRPr="00511954" w:rsidR="008762CC">
        <w:rPr>
          <w:rFonts w:ascii="Palatino Linotype" w:hAnsi="Palatino Linotype" w:cs="TimesNewRoman"/>
          <w:szCs w:val="24"/>
        </w:rPr>
        <w:t>y</w:t>
      </w:r>
      <w:r w:rsidRPr="00511954" w:rsidR="00F4633F">
        <w:rPr>
          <w:rFonts w:ascii="Palatino Linotype" w:hAnsi="Palatino Linotype" w:cs="TimesNewRoman"/>
          <w:szCs w:val="24"/>
        </w:rPr>
        <w:t xml:space="preserve"> can </w:t>
      </w:r>
      <w:r w:rsidR="00E04D94">
        <w:rPr>
          <w:rFonts w:ascii="Palatino Linotype" w:hAnsi="Palatino Linotype" w:cs="TimesNewRoman"/>
          <w:szCs w:val="24"/>
        </w:rPr>
        <w:t>indicate the maximum size</w:t>
      </w:r>
      <w:r w:rsidR="005A06C9">
        <w:rPr>
          <w:rFonts w:ascii="Palatino Linotype" w:hAnsi="Palatino Linotype" w:cs="TimesNewRoman"/>
          <w:szCs w:val="24"/>
        </w:rPr>
        <w:t xml:space="preserve"> of</w:t>
      </w:r>
      <w:r w:rsidR="00E04D94">
        <w:rPr>
          <w:rFonts w:ascii="Palatino Linotype" w:hAnsi="Palatino Linotype" w:cs="TimesNewRoman"/>
          <w:szCs w:val="24"/>
        </w:rPr>
        <w:t xml:space="preserve"> projects allowed under</w:t>
      </w:r>
      <w:r w:rsidRPr="00511954" w:rsidR="00F4633F">
        <w:rPr>
          <w:rFonts w:ascii="Palatino Linotype" w:hAnsi="Palatino Linotype" w:cs="TimesNewRoman"/>
          <w:szCs w:val="24"/>
        </w:rPr>
        <w:t xml:space="preserve"> their CSGT solicitations based on 30</w:t>
      </w:r>
      <w:r w:rsidRPr="00511954" w:rsidR="00530D31">
        <w:rPr>
          <w:rFonts w:ascii="Palatino Linotype" w:hAnsi="Palatino Linotype" w:cs="TimesNewRoman"/>
          <w:szCs w:val="24"/>
        </w:rPr>
        <w:t xml:space="preserve"> percent</w:t>
      </w:r>
      <w:r w:rsidRPr="00511954" w:rsidR="00F4633F">
        <w:rPr>
          <w:rFonts w:ascii="Palatino Linotype" w:hAnsi="Palatino Linotype" w:cs="TimesNewRoman"/>
          <w:szCs w:val="24"/>
        </w:rPr>
        <w:t xml:space="preserve"> of the total capacity they are allocated under CSGT.</w:t>
      </w:r>
      <w:r w:rsidRPr="00511954" w:rsidR="003E0231">
        <w:rPr>
          <w:rStyle w:val="FootnoteReference"/>
          <w:rFonts w:ascii="Palatino Linotype" w:hAnsi="Palatino Linotype" w:cs="TimesNewRoman"/>
          <w:szCs w:val="24"/>
        </w:rPr>
        <w:footnoteReference w:id="20"/>
      </w:r>
      <w:r w:rsidRPr="00511954" w:rsidR="00F4633F">
        <w:rPr>
          <w:rFonts w:ascii="Palatino Linotype" w:hAnsi="Palatino Linotype" w:cs="TimesNewRoman"/>
          <w:szCs w:val="24"/>
        </w:rPr>
        <w:t xml:space="preserve"> </w:t>
      </w:r>
      <w:r w:rsidRPr="00511954" w:rsidR="00ED62FA">
        <w:rPr>
          <w:rFonts w:ascii="Palatino Linotype" w:hAnsi="Palatino Linotype" w:cs="TimesNewRoman"/>
          <w:szCs w:val="24"/>
        </w:rPr>
        <w:t xml:space="preserve">PG&amp;E </w:t>
      </w:r>
      <w:r w:rsidRPr="00511954" w:rsidR="004517C6">
        <w:rPr>
          <w:rFonts w:ascii="Palatino Linotype" w:hAnsi="Palatino Linotype" w:cs="TimesNewRoman"/>
          <w:szCs w:val="24"/>
        </w:rPr>
        <w:t xml:space="preserve">supports the CCAs filing their intended program capacity within 90 days of the IOUs’ AL approval and filing Tier 3 ALs 90 days thereafter but </w:t>
      </w:r>
      <w:r w:rsidRPr="00511954" w:rsidR="00ED62FA">
        <w:rPr>
          <w:rFonts w:ascii="Palatino Linotype" w:hAnsi="Palatino Linotype" w:cs="TimesNewRoman"/>
          <w:szCs w:val="24"/>
        </w:rPr>
        <w:t xml:space="preserve">requests that </w:t>
      </w:r>
      <w:r w:rsidRPr="00511954" w:rsidR="004517C6">
        <w:rPr>
          <w:rFonts w:ascii="Palatino Linotype" w:hAnsi="Palatino Linotype" w:cs="TimesNewRoman"/>
          <w:szCs w:val="24"/>
        </w:rPr>
        <w:t>PG&amp;E</w:t>
      </w:r>
      <w:r w:rsidRPr="00511954" w:rsidR="00ED62FA">
        <w:rPr>
          <w:rFonts w:ascii="Palatino Linotype" w:hAnsi="Palatino Linotype" w:cs="TimesNewRoman"/>
          <w:szCs w:val="24"/>
        </w:rPr>
        <w:t xml:space="preserve"> not be required to </w:t>
      </w:r>
      <w:r w:rsidRPr="00511954" w:rsidR="00D9161F">
        <w:rPr>
          <w:rFonts w:ascii="Palatino Linotype" w:hAnsi="Palatino Linotype" w:cs="TimesNewRoman"/>
          <w:szCs w:val="24"/>
        </w:rPr>
        <w:t xml:space="preserve">issue </w:t>
      </w:r>
      <w:r w:rsidRPr="00511954" w:rsidR="004517C6">
        <w:rPr>
          <w:rFonts w:ascii="Palatino Linotype" w:hAnsi="Palatino Linotype" w:cs="TimesNewRoman"/>
          <w:szCs w:val="24"/>
        </w:rPr>
        <w:t xml:space="preserve">its </w:t>
      </w:r>
      <w:r w:rsidRPr="00511954" w:rsidR="00ED62FA">
        <w:rPr>
          <w:rFonts w:ascii="Palatino Linotype" w:hAnsi="Palatino Linotype" w:cs="TimesNewRoman"/>
          <w:szCs w:val="24"/>
        </w:rPr>
        <w:t xml:space="preserve">first RFO until at least </w:t>
      </w:r>
      <w:r w:rsidRPr="00511954" w:rsidR="00305D88">
        <w:rPr>
          <w:rFonts w:ascii="Palatino Linotype" w:hAnsi="Palatino Linotype" w:cs="TimesNewRoman"/>
          <w:szCs w:val="24"/>
        </w:rPr>
        <w:t>six</w:t>
      </w:r>
      <w:r w:rsidRPr="00511954" w:rsidR="00ED62FA">
        <w:rPr>
          <w:rFonts w:ascii="Palatino Linotype" w:hAnsi="Palatino Linotype" w:cs="TimesNewRoman"/>
          <w:szCs w:val="24"/>
        </w:rPr>
        <w:t xml:space="preserve"> months after the date </w:t>
      </w:r>
      <w:r w:rsidRPr="00511954" w:rsidR="00305D88">
        <w:rPr>
          <w:rFonts w:ascii="Palatino Linotype" w:hAnsi="Palatino Linotype" w:cs="TimesNewRoman"/>
          <w:szCs w:val="24"/>
        </w:rPr>
        <w:t>its DAC-GT/CSGT</w:t>
      </w:r>
      <w:r w:rsidRPr="00511954" w:rsidR="00B436E9">
        <w:rPr>
          <w:rFonts w:ascii="Palatino Linotype" w:hAnsi="Palatino Linotype" w:cs="TimesNewRoman"/>
          <w:szCs w:val="24"/>
        </w:rPr>
        <w:t xml:space="preserve"> implementation</w:t>
      </w:r>
      <w:r w:rsidRPr="00511954" w:rsidR="00305D88">
        <w:rPr>
          <w:rFonts w:ascii="Palatino Linotype" w:hAnsi="Palatino Linotype" w:cs="TimesNewRoman"/>
          <w:szCs w:val="24"/>
        </w:rPr>
        <w:t xml:space="preserve"> AL</w:t>
      </w:r>
      <w:r w:rsidRPr="00511954" w:rsidR="00ED62FA">
        <w:rPr>
          <w:rFonts w:ascii="Palatino Linotype" w:hAnsi="Palatino Linotype" w:cs="TimesNewRoman"/>
          <w:szCs w:val="24"/>
        </w:rPr>
        <w:t xml:space="preserve"> is approved to </w:t>
      </w:r>
      <w:r w:rsidRPr="00511954" w:rsidR="003E0231">
        <w:rPr>
          <w:rFonts w:ascii="Palatino Linotype" w:hAnsi="Palatino Linotype" w:cs="TimesNewRoman"/>
          <w:szCs w:val="24"/>
        </w:rPr>
        <w:t xml:space="preserve">align with the </w:t>
      </w:r>
      <w:r w:rsidRPr="00511954" w:rsidR="00ED62FA">
        <w:rPr>
          <w:rFonts w:ascii="Palatino Linotype" w:hAnsi="Palatino Linotype" w:cs="TimesNewRoman"/>
          <w:szCs w:val="24"/>
        </w:rPr>
        <w:t xml:space="preserve">CCA </w:t>
      </w:r>
      <w:r w:rsidRPr="00511954" w:rsidR="003E0231">
        <w:rPr>
          <w:rFonts w:ascii="Palatino Linotype" w:hAnsi="Palatino Linotype" w:cs="TimesNewRoman"/>
          <w:szCs w:val="24"/>
        </w:rPr>
        <w:t xml:space="preserve">AL </w:t>
      </w:r>
      <w:r w:rsidRPr="00511954" w:rsidR="00ED62FA">
        <w:rPr>
          <w:rFonts w:ascii="Palatino Linotype" w:hAnsi="Palatino Linotype" w:cs="TimesNewRoman"/>
          <w:szCs w:val="24"/>
        </w:rPr>
        <w:t>filings.</w:t>
      </w:r>
      <w:r w:rsidRPr="00511954" w:rsidR="003E0231">
        <w:rPr>
          <w:rFonts w:ascii="Palatino Linotype" w:hAnsi="Palatino Linotype" w:cs="TimesNewRoman"/>
          <w:szCs w:val="24"/>
        </w:rPr>
        <w:t xml:space="preserve"> </w:t>
      </w:r>
      <w:r w:rsidRPr="00511954" w:rsidR="00ED62FA">
        <w:rPr>
          <w:rFonts w:ascii="Palatino Linotype" w:hAnsi="Palatino Linotype" w:cs="TimesNewRoman"/>
          <w:szCs w:val="24"/>
        </w:rPr>
        <w:t xml:space="preserve">Finally, PG&amp;E </w:t>
      </w:r>
      <w:r w:rsidRPr="00511954" w:rsidR="003E0231">
        <w:rPr>
          <w:rFonts w:ascii="Palatino Linotype" w:hAnsi="Palatino Linotype" w:cs="TimesNewRoman"/>
          <w:szCs w:val="24"/>
        </w:rPr>
        <w:t>asserts in its reply</w:t>
      </w:r>
      <w:r w:rsidRPr="00511954" w:rsidR="00652CAE">
        <w:rPr>
          <w:rFonts w:ascii="Palatino Linotype" w:hAnsi="Palatino Linotype" w:cs="TimesNewRoman"/>
          <w:szCs w:val="24"/>
        </w:rPr>
        <w:t xml:space="preserve"> that the accounting and cost-recovery methodology </w:t>
      </w:r>
      <w:r w:rsidRPr="00511954" w:rsidR="003E0231">
        <w:rPr>
          <w:rFonts w:ascii="Palatino Linotype" w:hAnsi="Palatino Linotype" w:cs="TimesNewRoman"/>
          <w:szCs w:val="24"/>
        </w:rPr>
        <w:t xml:space="preserve">for DAC-GT and CSGT </w:t>
      </w:r>
      <w:r w:rsidRPr="00511954" w:rsidR="00652CAE">
        <w:rPr>
          <w:rFonts w:ascii="Palatino Linotype" w:hAnsi="Palatino Linotype" w:cs="TimesNewRoman"/>
          <w:szCs w:val="24"/>
        </w:rPr>
        <w:t xml:space="preserve">is clear in the </w:t>
      </w:r>
      <w:r w:rsidRPr="00511954" w:rsidR="00A165B3">
        <w:rPr>
          <w:rFonts w:ascii="Palatino Linotype" w:hAnsi="Palatino Linotype" w:cs="TimesNewRoman"/>
          <w:szCs w:val="24"/>
        </w:rPr>
        <w:t>Decision</w:t>
      </w:r>
      <w:r w:rsidRPr="00511954" w:rsidR="003E0231">
        <w:rPr>
          <w:rFonts w:ascii="Palatino Linotype" w:hAnsi="Palatino Linotype" w:cs="TimesNewRoman"/>
          <w:szCs w:val="24"/>
        </w:rPr>
        <w:t xml:space="preserve"> and that</w:t>
      </w:r>
      <w:r w:rsidR="00566425">
        <w:rPr>
          <w:rFonts w:ascii="Palatino Linotype" w:hAnsi="Palatino Linotype" w:cs="TimesNewRoman"/>
          <w:szCs w:val="24"/>
        </w:rPr>
        <w:t>,</w:t>
      </w:r>
      <w:r w:rsidRPr="00511954" w:rsidR="003E0231">
        <w:rPr>
          <w:rFonts w:ascii="Palatino Linotype" w:hAnsi="Palatino Linotype" w:cs="TimesNewRoman"/>
          <w:szCs w:val="24"/>
        </w:rPr>
        <w:t xml:space="preserve"> therefore</w:t>
      </w:r>
      <w:r w:rsidR="00566425">
        <w:rPr>
          <w:rFonts w:ascii="Palatino Linotype" w:hAnsi="Palatino Linotype" w:cs="TimesNewRoman"/>
          <w:szCs w:val="24"/>
        </w:rPr>
        <w:t>,</w:t>
      </w:r>
      <w:r w:rsidRPr="00511954" w:rsidR="003E0231">
        <w:rPr>
          <w:rFonts w:ascii="Palatino Linotype" w:hAnsi="Palatino Linotype" w:cs="TimesNewRoman"/>
          <w:szCs w:val="24"/>
        </w:rPr>
        <w:t xml:space="preserve"> these issues do not need to be further discussed in a workshop as the CCAs request</w:t>
      </w:r>
      <w:r w:rsidRPr="00511954" w:rsidR="00652CAE">
        <w:rPr>
          <w:rFonts w:ascii="Palatino Linotype" w:hAnsi="Palatino Linotype" w:cs="TimesNewRoman"/>
          <w:szCs w:val="24"/>
        </w:rPr>
        <w:t>.</w:t>
      </w:r>
    </w:p>
    <w:p w:rsidRPr="00511954" w:rsidR="00652CAE" w:rsidP="00730CA8" w:rsidRDefault="0037573E" w14:paraId="457CF1FC" w14:textId="77777777">
      <w:pPr>
        <w:autoSpaceDE w:val="0"/>
        <w:autoSpaceDN w:val="0"/>
        <w:adjustRightInd w:val="0"/>
        <w:rPr>
          <w:rFonts w:ascii="Palatino Linotype" w:hAnsi="Palatino Linotype" w:cs="TimesNewRoman"/>
          <w:b/>
          <w:szCs w:val="24"/>
        </w:rPr>
      </w:pPr>
      <w:r w:rsidRPr="00511954">
        <w:rPr>
          <w:rFonts w:ascii="Palatino Linotype" w:hAnsi="Palatino Linotype" w:cs="TimesNewRoman"/>
          <w:b/>
          <w:szCs w:val="24"/>
        </w:rPr>
        <w:t>IREC and SELC’s Response to PG&amp;E’s, SCE’s, and SDG&amp;E’s ALs</w:t>
      </w:r>
    </w:p>
    <w:p w:rsidRPr="00511954" w:rsidR="00BB6E2E" w:rsidP="00BB6E2E" w:rsidRDefault="00BB6E2E" w14:paraId="655C1840" w14:textId="64CDE0E9">
      <w:pPr>
        <w:autoSpaceDE w:val="0"/>
        <w:autoSpaceDN w:val="0"/>
        <w:adjustRightInd w:val="0"/>
        <w:spacing w:after="240"/>
        <w:rPr>
          <w:rFonts w:ascii="Palatino Linotype" w:hAnsi="Palatino Linotype" w:cs="TimesNewRoman"/>
          <w:szCs w:val="24"/>
        </w:rPr>
      </w:pPr>
      <w:r w:rsidRPr="00511954">
        <w:rPr>
          <w:rFonts w:ascii="Palatino Linotype" w:hAnsi="Palatino Linotype" w:cs="TimesNewRoman"/>
          <w:szCs w:val="24"/>
        </w:rPr>
        <w:t>IREC and SELC’s</w:t>
      </w:r>
      <w:r w:rsidRPr="00511954" w:rsidR="00730CA8">
        <w:rPr>
          <w:rFonts w:ascii="Palatino Linotype" w:hAnsi="Palatino Linotype" w:cs="TimesNewRoman"/>
          <w:szCs w:val="24"/>
        </w:rPr>
        <w:t xml:space="preserve"> joint response to </w:t>
      </w:r>
      <w:r w:rsidRPr="00511954" w:rsidR="00305D88">
        <w:rPr>
          <w:rFonts w:ascii="Palatino Linotype" w:hAnsi="Palatino Linotype" w:cs="TimesNewRoman"/>
          <w:szCs w:val="24"/>
        </w:rPr>
        <w:t xml:space="preserve">PG&amp;E’s, SCE’s and SDG&amp;E’s ALs </w:t>
      </w:r>
      <w:r w:rsidRPr="00511954">
        <w:rPr>
          <w:rFonts w:ascii="Palatino Linotype" w:hAnsi="Palatino Linotype" w:cs="TimesNewRoman"/>
          <w:szCs w:val="24"/>
        </w:rPr>
        <w:t>focus</w:t>
      </w:r>
      <w:r w:rsidRPr="00511954" w:rsidR="005759E2">
        <w:rPr>
          <w:rFonts w:ascii="Palatino Linotype" w:hAnsi="Palatino Linotype" w:cs="TimesNewRoman"/>
          <w:szCs w:val="24"/>
        </w:rPr>
        <w:t xml:space="preserve">es </w:t>
      </w:r>
      <w:r w:rsidRPr="00511954">
        <w:rPr>
          <w:rFonts w:ascii="Palatino Linotype" w:hAnsi="Palatino Linotype" w:cs="TimesNewRoman"/>
          <w:szCs w:val="24"/>
        </w:rPr>
        <w:t>narrowly on implementation issues related to the CSGT program and does not discuss the DAC-GT program. Many of the issues raised in the response relate to the need to ensure</w:t>
      </w:r>
      <w:r w:rsidRPr="00511954" w:rsidR="005759E2">
        <w:rPr>
          <w:rFonts w:ascii="Palatino Linotype" w:hAnsi="Palatino Linotype" w:cs="TimesNewRoman"/>
          <w:szCs w:val="24"/>
        </w:rPr>
        <w:t xml:space="preserve"> CSGT implementation is</w:t>
      </w:r>
      <w:r w:rsidRPr="00511954">
        <w:rPr>
          <w:rFonts w:ascii="Palatino Linotype" w:hAnsi="Palatino Linotype" w:cs="TimesNewRoman"/>
          <w:szCs w:val="24"/>
        </w:rPr>
        <w:t xml:space="preserve"> consisten</w:t>
      </w:r>
      <w:r w:rsidRPr="00511954" w:rsidR="005759E2">
        <w:rPr>
          <w:rFonts w:ascii="Palatino Linotype" w:hAnsi="Palatino Linotype" w:cs="TimesNewRoman"/>
          <w:szCs w:val="24"/>
        </w:rPr>
        <w:t>t</w:t>
      </w:r>
      <w:r w:rsidRPr="00511954">
        <w:rPr>
          <w:rFonts w:ascii="Palatino Linotype" w:hAnsi="Palatino Linotype" w:cs="TimesNewRoman"/>
          <w:szCs w:val="24"/>
        </w:rPr>
        <w:t xml:space="preserve"> </w:t>
      </w:r>
      <w:r w:rsidRPr="00511954" w:rsidR="005759E2">
        <w:rPr>
          <w:rFonts w:ascii="Palatino Linotype" w:hAnsi="Palatino Linotype" w:cs="TimesNewRoman"/>
          <w:szCs w:val="24"/>
        </w:rPr>
        <w:t xml:space="preserve">both </w:t>
      </w:r>
      <w:r w:rsidRPr="00511954">
        <w:rPr>
          <w:rFonts w:ascii="Palatino Linotype" w:hAnsi="Palatino Linotype" w:cs="TimesNewRoman"/>
          <w:szCs w:val="24"/>
        </w:rPr>
        <w:t xml:space="preserve">with the </w:t>
      </w:r>
      <w:r w:rsidRPr="00511954" w:rsidR="0010111D">
        <w:rPr>
          <w:rFonts w:ascii="Palatino Linotype" w:hAnsi="Palatino Linotype" w:cs="TimesNewRoman"/>
          <w:szCs w:val="24"/>
        </w:rPr>
        <w:t>directives established</w:t>
      </w:r>
      <w:r w:rsidRPr="00511954">
        <w:rPr>
          <w:rFonts w:ascii="Palatino Linotype" w:hAnsi="Palatino Linotype" w:cs="TimesNewRoman"/>
          <w:szCs w:val="24"/>
        </w:rPr>
        <w:t xml:space="preserve"> in </w:t>
      </w:r>
      <w:r w:rsidRPr="00511954" w:rsidR="00305D88">
        <w:rPr>
          <w:rFonts w:ascii="Palatino Linotype" w:hAnsi="Palatino Linotype" w:cs="TimesNewRoman"/>
          <w:szCs w:val="24"/>
        </w:rPr>
        <w:t>the NEM DAC Decision</w:t>
      </w:r>
      <w:r w:rsidRPr="00511954">
        <w:rPr>
          <w:rFonts w:ascii="Palatino Linotype" w:hAnsi="Palatino Linotype" w:cs="TimesNewRoman"/>
          <w:szCs w:val="24"/>
        </w:rPr>
        <w:t xml:space="preserve"> a</w:t>
      </w:r>
      <w:r w:rsidRPr="00511954" w:rsidR="005759E2">
        <w:rPr>
          <w:rFonts w:ascii="Palatino Linotype" w:hAnsi="Palatino Linotype" w:cs="TimesNewRoman"/>
          <w:szCs w:val="24"/>
        </w:rPr>
        <w:t>nd</w:t>
      </w:r>
      <w:r w:rsidRPr="00511954">
        <w:rPr>
          <w:rFonts w:ascii="Palatino Linotype" w:hAnsi="Palatino Linotype" w:cs="TimesNewRoman"/>
          <w:szCs w:val="24"/>
        </w:rPr>
        <w:t xml:space="preserve"> across the IOUs</w:t>
      </w:r>
      <w:r w:rsidRPr="00511954" w:rsidR="00305D88">
        <w:rPr>
          <w:rFonts w:ascii="Palatino Linotype" w:hAnsi="Palatino Linotype" w:cs="TimesNewRoman"/>
          <w:szCs w:val="24"/>
        </w:rPr>
        <w:t>’</w:t>
      </w:r>
      <w:r w:rsidRPr="00511954">
        <w:rPr>
          <w:rFonts w:ascii="Palatino Linotype" w:hAnsi="Palatino Linotype" w:cs="TimesNewRoman"/>
          <w:szCs w:val="24"/>
        </w:rPr>
        <w:t xml:space="preserve"> implementation plans</w:t>
      </w:r>
      <w:r w:rsidRPr="00511954" w:rsidR="00305D88">
        <w:rPr>
          <w:rFonts w:ascii="Palatino Linotype" w:hAnsi="Palatino Linotype" w:cs="TimesNewRoman"/>
          <w:szCs w:val="24"/>
        </w:rPr>
        <w:t xml:space="preserve"> to promote fairness to customers across IOU territories and avoid </w:t>
      </w:r>
      <w:r w:rsidRPr="00511954" w:rsidR="00B436E9">
        <w:rPr>
          <w:rFonts w:ascii="Palatino Linotype" w:hAnsi="Palatino Linotype" w:cs="TimesNewRoman"/>
          <w:szCs w:val="24"/>
        </w:rPr>
        <w:t xml:space="preserve">the </w:t>
      </w:r>
      <w:r w:rsidRPr="00511954" w:rsidR="00305D88">
        <w:rPr>
          <w:rFonts w:ascii="Palatino Linotype" w:hAnsi="Palatino Linotype" w:cs="TimesNewRoman"/>
          <w:szCs w:val="24"/>
        </w:rPr>
        <w:t xml:space="preserve">confusion </w:t>
      </w:r>
      <w:r w:rsidRPr="00511954" w:rsidR="00B436E9">
        <w:rPr>
          <w:rFonts w:ascii="Palatino Linotype" w:hAnsi="Palatino Linotype" w:cs="TimesNewRoman"/>
          <w:szCs w:val="24"/>
        </w:rPr>
        <w:t>that could result if there were</w:t>
      </w:r>
      <w:r w:rsidRPr="00511954" w:rsidR="00305D88">
        <w:rPr>
          <w:rFonts w:ascii="Palatino Linotype" w:hAnsi="Palatino Linotype" w:cs="TimesNewRoman"/>
          <w:szCs w:val="24"/>
        </w:rPr>
        <w:t xml:space="preserve"> different standards in different territories.</w:t>
      </w:r>
    </w:p>
    <w:p w:rsidRPr="00511954" w:rsidR="004F3A8B" w:rsidP="004F3A8B" w:rsidRDefault="004F3A8B" w14:paraId="191B48F0" w14:textId="2E57D269">
      <w:pPr>
        <w:autoSpaceDE w:val="0"/>
        <w:autoSpaceDN w:val="0"/>
        <w:adjustRightInd w:val="0"/>
        <w:rPr>
          <w:rFonts w:ascii="Palatino Linotype" w:hAnsi="Palatino Linotype" w:cs="TimesNewRoman"/>
          <w:szCs w:val="24"/>
          <w:u w:val="single"/>
        </w:rPr>
      </w:pPr>
      <w:r w:rsidRPr="00511954">
        <w:rPr>
          <w:rFonts w:ascii="Palatino Linotype" w:hAnsi="Palatino Linotype" w:cs="TimesNewRoman"/>
          <w:szCs w:val="24"/>
          <w:u w:val="single"/>
        </w:rPr>
        <w:t>20</w:t>
      </w:r>
      <w:r w:rsidRPr="00511954" w:rsidR="00530D31">
        <w:rPr>
          <w:rFonts w:ascii="Palatino Linotype" w:hAnsi="Palatino Linotype" w:cs="TimesNewRoman"/>
          <w:szCs w:val="24"/>
          <w:u w:val="single"/>
        </w:rPr>
        <w:t xml:space="preserve"> Percent</w:t>
      </w:r>
      <w:r w:rsidRPr="00511954">
        <w:rPr>
          <w:rFonts w:ascii="Palatino Linotype" w:hAnsi="Palatino Linotype" w:cs="TimesNewRoman"/>
          <w:szCs w:val="24"/>
          <w:u w:val="single"/>
        </w:rPr>
        <w:t xml:space="preserve"> Discount on Customer</w:t>
      </w:r>
      <w:r w:rsidRPr="00511954" w:rsidR="00305D88">
        <w:rPr>
          <w:rFonts w:ascii="Palatino Linotype" w:hAnsi="Palatino Linotype" w:cs="TimesNewRoman"/>
          <w:szCs w:val="24"/>
          <w:u w:val="single"/>
        </w:rPr>
        <w:t>’</w:t>
      </w:r>
      <w:r w:rsidRPr="00511954">
        <w:rPr>
          <w:rFonts w:ascii="Palatino Linotype" w:hAnsi="Palatino Linotype" w:cs="TimesNewRoman"/>
          <w:szCs w:val="24"/>
          <w:u w:val="single"/>
        </w:rPr>
        <w:t>s Entire Bill</w:t>
      </w:r>
    </w:p>
    <w:p w:rsidRPr="00511954" w:rsidR="00F07027" w:rsidP="00EB3892" w:rsidRDefault="0010111D" w14:paraId="46C9D210" w14:textId="092701E5">
      <w:pPr>
        <w:autoSpaceDE w:val="0"/>
        <w:autoSpaceDN w:val="0"/>
        <w:adjustRightInd w:val="0"/>
        <w:spacing w:after="240"/>
        <w:rPr>
          <w:rFonts w:ascii="Palatino Linotype" w:hAnsi="Palatino Linotype"/>
        </w:rPr>
      </w:pPr>
      <w:r w:rsidRPr="00511954">
        <w:rPr>
          <w:rFonts w:ascii="Palatino Linotype" w:hAnsi="Palatino Linotype" w:cs="TimesNewRoman"/>
          <w:szCs w:val="24"/>
        </w:rPr>
        <w:t>Citing</w:t>
      </w:r>
      <w:r w:rsidRPr="00511954" w:rsidR="00305D88">
        <w:rPr>
          <w:rFonts w:ascii="Palatino Linotype" w:hAnsi="Palatino Linotype" w:cs="TimesNewRoman"/>
          <w:szCs w:val="24"/>
        </w:rPr>
        <w:t xml:space="preserve"> the NEM DAC Decision</w:t>
      </w:r>
      <w:r w:rsidRPr="00511954">
        <w:rPr>
          <w:rFonts w:ascii="Palatino Linotype" w:hAnsi="Palatino Linotype" w:cs="TimesNewRoman"/>
          <w:szCs w:val="24"/>
        </w:rPr>
        <w:t>, IREC</w:t>
      </w:r>
      <w:r w:rsidRPr="00511954" w:rsidR="00305D88">
        <w:rPr>
          <w:rFonts w:ascii="Palatino Linotype" w:hAnsi="Palatino Linotype" w:cs="TimesNewRoman"/>
          <w:szCs w:val="24"/>
        </w:rPr>
        <w:t>/</w:t>
      </w:r>
      <w:r w:rsidRPr="00511954">
        <w:rPr>
          <w:rFonts w:ascii="Palatino Linotype" w:hAnsi="Palatino Linotype" w:cs="TimesNewRoman"/>
          <w:szCs w:val="24"/>
        </w:rPr>
        <w:t xml:space="preserve">SELC assert that </w:t>
      </w:r>
      <w:r w:rsidRPr="00511954" w:rsidR="00305D88">
        <w:rPr>
          <w:rFonts w:ascii="Palatino Linotype" w:hAnsi="Palatino Linotype" w:cs="TimesNewRoman"/>
          <w:szCs w:val="24"/>
        </w:rPr>
        <w:t xml:space="preserve">a </w:t>
      </w:r>
      <w:r w:rsidRPr="00511954" w:rsidR="00CB724A">
        <w:rPr>
          <w:rFonts w:ascii="Palatino Linotype" w:hAnsi="Palatino Linotype"/>
        </w:rPr>
        <w:t xml:space="preserve">customer participating in </w:t>
      </w:r>
      <w:r w:rsidRPr="00511954" w:rsidR="00B966A0">
        <w:rPr>
          <w:rFonts w:ascii="Palatino Linotype" w:hAnsi="Palatino Linotype"/>
        </w:rPr>
        <w:t>the</w:t>
      </w:r>
      <w:r w:rsidRPr="00511954" w:rsidR="00CB724A">
        <w:rPr>
          <w:rFonts w:ascii="Palatino Linotype" w:hAnsi="Palatino Linotype"/>
        </w:rPr>
        <w:t xml:space="preserve"> CSGT </w:t>
      </w:r>
      <w:r w:rsidRPr="00511954" w:rsidR="00F07027">
        <w:rPr>
          <w:rFonts w:ascii="Palatino Linotype" w:hAnsi="Palatino Linotype"/>
        </w:rPr>
        <w:t>program</w:t>
      </w:r>
      <w:r w:rsidRPr="00511954" w:rsidR="00B966A0">
        <w:rPr>
          <w:rFonts w:ascii="Palatino Linotype" w:hAnsi="Palatino Linotype"/>
        </w:rPr>
        <w:t xml:space="preserve"> </w:t>
      </w:r>
      <w:r w:rsidRPr="00511954" w:rsidR="00305D88">
        <w:rPr>
          <w:rFonts w:ascii="Palatino Linotype" w:hAnsi="Palatino Linotype"/>
        </w:rPr>
        <w:t>is</w:t>
      </w:r>
      <w:r w:rsidRPr="00511954" w:rsidR="005759E2">
        <w:rPr>
          <w:rFonts w:ascii="Palatino Linotype" w:hAnsi="Palatino Linotype"/>
        </w:rPr>
        <w:t xml:space="preserve"> to experience a </w:t>
      </w:r>
      <w:r w:rsidRPr="00511954" w:rsidR="00F07027">
        <w:rPr>
          <w:rFonts w:ascii="Palatino Linotype" w:hAnsi="Palatino Linotype"/>
        </w:rPr>
        <w:t>20</w:t>
      </w:r>
      <w:r w:rsidRPr="00511954" w:rsidR="00530D31">
        <w:rPr>
          <w:rFonts w:ascii="Palatino Linotype" w:hAnsi="Palatino Linotype"/>
        </w:rPr>
        <w:t xml:space="preserve"> percent</w:t>
      </w:r>
      <w:r w:rsidRPr="00511954" w:rsidR="00F07027">
        <w:rPr>
          <w:rFonts w:ascii="Palatino Linotype" w:hAnsi="Palatino Linotype"/>
        </w:rPr>
        <w:t xml:space="preserve"> </w:t>
      </w:r>
      <w:r w:rsidRPr="00511954" w:rsidR="005759E2">
        <w:rPr>
          <w:rFonts w:ascii="Palatino Linotype" w:hAnsi="Palatino Linotype"/>
        </w:rPr>
        <w:t xml:space="preserve">bill discount </w:t>
      </w:r>
      <w:proofErr w:type="gramStart"/>
      <w:r w:rsidRPr="00511954" w:rsidR="005759E2">
        <w:rPr>
          <w:rFonts w:ascii="Palatino Linotype" w:hAnsi="Palatino Linotype"/>
        </w:rPr>
        <w:t>off of</w:t>
      </w:r>
      <w:proofErr w:type="gramEnd"/>
      <w:r w:rsidRPr="00511954" w:rsidR="005759E2">
        <w:rPr>
          <w:rFonts w:ascii="Palatino Linotype" w:hAnsi="Palatino Linotype"/>
        </w:rPr>
        <w:t xml:space="preserve"> their entire bill. </w:t>
      </w:r>
      <w:r w:rsidRPr="00511954" w:rsidR="00B966A0">
        <w:rPr>
          <w:rFonts w:ascii="Palatino Linotype" w:hAnsi="Palatino Linotype"/>
        </w:rPr>
        <w:t>IREC</w:t>
      </w:r>
      <w:r w:rsidRPr="00511954" w:rsidR="00305D88">
        <w:rPr>
          <w:rFonts w:ascii="Palatino Linotype" w:hAnsi="Palatino Linotype"/>
        </w:rPr>
        <w:t>/</w:t>
      </w:r>
      <w:r w:rsidRPr="00511954" w:rsidR="00B966A0">
        <w:rPr>
          <w:rFonts w:ascii="Palatino Linotype" w:hAnsi="Palatino Linotype"/>
        </w:rPr>
        <w:t xml:space="preserve">SELC </w:t>
      </w:r>
      <w:r w:rsidRPr="00511954">
        <w:rPr>
          <w:rFonts w:ascii="Palatino Linotype" w:hAnsi="Palatino Linotype"/>
        </w:rPr>
        <w:t>note</w:t>
      </w:r>
      <w:r w:rsidRPr="00511954" w:rsidR="00CB724A">
        <w:rPr>
          <w:rFonts w:ascii="Palatino Linotype" w:hAnsi="Palatino Linotype"/>
        </w:rPr>
        <w:t xml:space="preserve"> that</w:t>
      </w:r>
      <w:r w:rsidRPr="00511954" w:rsidR="00F07027">
        <w:rPr>
          <w:rFonts w:ascii="Palatino Linotype" w:hAnsi="Palatino Linotype"/>
        </w:rPr>
        <w:t xml:space="preserve"> “both SCE and SDG&amp;E propose to provide the discount only to low-income customers and then only to the generation component of those customers’ bills.”</w:t>
      </w:r>
      <w:r w:rsidRPr="00511954" w:rsidR="00F07027">
        <w:rPr>
          <w:rStyle w:val="FootnoteReference"/>
          <w:rFonts w:ascii="Palatino Linotype" w:hAnsi="Palatino Linotype"/>
        </w:rPr>
        <w:footnoteReference w:id="21"/>
      </w:r>
      <w:r w:rsidRPr="00511954" w:rsidR="00B966A0">
        <w:rPr>
          <w:rFonts w:ascii="Palatino Linotype" w:hAnsi="Palatino Linotype"/>
        </w:rPr>
        <w:t xml:space="preserve"> The respondents further </w:t>
      </w:r>
      <w:r w:rsidRPr="00511954">
        <w:rPr>
          <w:rFonts w:ascii="Palatino Linotype" w:hAnsi="Palatino Linotype"/>
        </w:rPr>
        <w:t>comment</w:t>
      </w:r>
      <w:r w:rsidRPr="00511954" w:rsidR="00B966A0">
        <w:rPr>
          <w:rFonts w:ascii="Palatino Linotype" w:hAnsi="Palatino Linotype"/>
        </w:rPr>
        <w:t xml:space="preserve"> that SDG&amp;E’s AL lacks sufficient detail to verify </w:t>
      </w:r>
      <w:r w:rsidRPr="00511954" w:rsidR="002D7394">
        <w:rPr>
          <w:rFonts w:ascii="Palatino Linotype" w:hAnsi="Palatino Linotype"/>
        </w:rPr>
        <w:t>its</w:t>
      </w:r>
      <w:r w:rsidRPr="00511954" w:rsidR="00B966A0">
        <w:rPr>
          <w:rFonts w:ascii="Palatino Linotype" w:hAnsi="Palatino Linotype"/>
        </w:rPr>
        <w:t xml:space="preserve"> approach</w:t>
      </w:r>
      <w:r w:rsidR="00E838C2">
        <w:rPr>
          <w:rFonts w:ascii="Palatino Linotype" w:hAnsi="Palatino Linotype"/>
        </w:rPr>
        <w:t xml:space="preserve"> and</w:t>
      </w:r>
      <w:r w:rsidR="005A06C9">
        <w:rPr>
          <w:rFonts w:ascii="Palatino Linotype" w:hAnsi="Palatino Linotype"/>
        </w:rPr>
        <w:t xml:space="preserve"> </w:t>
      </w:r>
      <w:r w:rsidRPr="00511954" w:rsidR="00B966A0">
        <w:rPr>
          <w:rFonts w:ascii="Palatino Linotype" w:hAnsi="Palatino Linotype"/>
        </w:rPr>
        <w:t>that “it appears that SCE intends to charge customers for the cost of resources that would have otherwise been used by the customer, were it not for the CS-GT project.”</w:t>
      </w:r>
      <w:r w:rsidRPr="00511954" w:rsidR="00B966A0">
        <w:rPr>
          <w:rStyle w:val="FootnoteReference"/>
          <w:rFonts w:ascii="Palatino Linotype" w:hAnsi="Palatino Linotype"/>
        </w:rPr>
        <w:footnoteReference w:id="22"/>
      </w:r>
      <w:r w:rsidRPr="00511954" w:rsidR="00B966A0">
        <w:rPr>
          <w:rFonts w:ascii="Palatino Linotype" w:hAnsi="Palatino Linotype"/>
        </w:rPr>
        <w:t xml:space="preserve"> </w:t>
      </w:r>
      <w:r w:rsidRPr="00511954" w:rsidR="00B73939">
        <w:rPr>
          <w:rFonts w:ascii="Palatino Linotype" w:hAnsi="Palatino Linotype"/>
        </w:rPr>
        <w:t>In short,</w:t>
      </w:r>
      <w:r w:rsidRPr="00511954" w:rsidR="002D7394">
        <w:rPr>
          <w:rFonts w:ascii="Palatino Linotype" w:hAnsi="Palatino Linotype"/>
        </w:rPr>
        <w:t xml:space="preserve"> IREC/SELC</w:t>
      </w:r>
      <w:r w:rsidRPr="00511954" w:rsidR="00B436E9">
        <w:rPr>
          <w:rFonts w:ascii="Palatino Linotype" w:hAnsi="Palatino Linotype"/>
        </w:rPr>
        <w:t xml:space="preserve"> </w:t>
      </w:r>
      <w:r w:rsidRPr="00511954" w:rsidR="00B966A0">
        <w:rPr>
          <w:rFonts w:ascii="Palatino Linotype" w:hAnsi="Palatino Linotype"/>
        </w:rPr>
        <w:t>urge the Commission to ensure that bill discounts are handled co</w:t>
      </w:r>
      <w:r w:rsidRPr="00511954" w:rsidR="00B73939">
        <w:rPr>
          <w:rFonts w:ascii="Palatino Linotype" w:hAnsi="Palatino Linotype"/>
        </w:rPr>
        <w:t>nsistently across the three IOU</w:t>
      </w:r>
      <w:r w:rsidRPr="00511954" w:rsidR="00B966A0">
        <w:rPr>
          <w:rFonts w:ascii="Palatino Linotype" w:hAnsi="Palatino Linotype"/>
        </w:rPr>
        <w:t>s</w:t>
      </w:r>
      <w:r w:rsidRPr="00511954" w:rsidR="00B73939">
        <w:rPr>
          <w:rFonts w:ascii="Palatino Linotype" w:hAnsi="Palatino Linotype"/>
        </w:rPr>
        <w:t>’</w:t>
      </w:r>
      <w:r w:rsidRPr="00511954" w:rsidR="00B966A0">
        <w:rPr>
          <w:rFonts w:ascii="Palatino Linotype" w:hAnsi="Palatino Linotype"/>
        </w:rPr>
        <w:t xml:space="preserve"> service territories. </w:t>
      </w:r>
    </w:p>
    <w:p w:rsidRPr="00511954" w:rsidR="004F3A8B" w:rsidP="004F3A8B" w:rsidRDefault="004F3A8B" w14:paraId="478C9677" w14:textId="3C5F4225">
      <w:pPr>
        <w:pStyle w:val="BodyText"/>
        <w:rPr>
          <w:rFonts w:ascii="Palatino Linotype" w:hAnsi="Palatino Linotype"/>
          <w:b w:val="0"/>
          <w:u w:val="single"/>
        </w:rPr>
      </w:pPr>
      <w:r w:rsidRPr="00511954">
        <w:rPr>
          <w:rFonts w:ascii="Palatino Linotype" w:hAnsi="Palatino Linotype"/>
          <w:b w:val="0"/>
          <w:u w:val="single"/>
        </w:rPr>
        <w:t xml:space="preserve">Project Sponsor’s Bill </w:t>
      </w:r>
      <w:r w:rsidRPr="00511954" w:rsidR="002D7394">
        <w:rPr>
          <w:rFonts w:ascii="Palatino Linotype" w:hAnsi="Palatino Linotype"/>
          <w:b w:val="0"/>
          <w:u w:val="single"/>
        </w:rPr>
        <w:t>Discount</w:t>
      </w:r>
    </w:p>
    <w:p w:rsidRPr="00511954" w:rsidR="006A2935" w:rsidP="00EB3892" w:rsidRDefault="0010111D" w14:paraId="77752739" w14:textId="68B0A866">
      <w:pPr>
        <w:pStyle w:val="BodyText"/>
        <w:spacing w:after="240"/>
        <w:rPr>
          <w:rFonts w:ascii="Palatino Linotype" w:hAnsi="Palatino Linotype"/>
          <w:b w:val="0"/>
        </w:rPr>
      </w:pPr>
      <w:r w:rsidRPr="00511954">
        <w:rPr>
          <w:rFonts w:ascii="Palatino Linotype" w:hAnsi="Palatino Linotype"/>
          <w:b w:val="0"/>
        </w:rPr>
        <w:t>On the topic of</w:t>
      </w:r>
      <w:r w:rsidRPr="00511954" w:rsidR="00B966A0">
        <w:rPr>
          <w:rFonts w:ascii="Palatino Linotype" w:hAnsi="Palatino Linotype"/>
          <w:b w:val="0"/>
        </w:rPr>
        <w:t xml:space="preserve"> </w:t>
      </w:r>
      <w:r w:rsidRPr="00511954" w:rsidR="006A2935">
        <w:rPr>
          <w:rFonts w:ascii="Palatino Linotype" w:hAnsi="Palatino Linotype"/>
          <w:b w:val="0"/>
        </w:rPr>
        <w:t>bill discounts, IREC</w:t>
      </w:r>
      <w:r w:rsidRPr="00511954" w:rsidR="00305D88">
        <w:rPr>
          <w:rFonts w:ascii="Palatino Linotype" w:hAnsi="Palatino Linotype"/>
          <w:b w:val="0"/>
        </w:rPr>
        <w:t>/</w:t>
      </w:r>
      <w:r w:rsidRPr="00511954" w:rsidR="006A2935">
        <w:rPr>
          <w:rFonts w:ascii="Palatino Linotype" w:hAnsi="Palatino Linotype"/>
          <w:b w:val="0"/>
        </w:rPr>
        <w:t xml:space="preserve">SELC </w:t>
      </w:r>
      <w:r w:rsidRPr="00511954">
        <w:rPr>
          <w:rFonts w:ascii="Palatino Linotype" w:hAnsi="Palatino Linotype"/>
          <w:b w:val="0"/>
        </w:rPr>
        <w:t>also discuss the 20</w:t>
      </w:r>
      <w:r w:rsidRPr="00511954" w:rsidR="00530D31">
        <w:rPr>
          <w:rFonts w:ascii="Palatino Linotype" w:hAnsi="Palatino Linotype"/>
          <w:b w:val="0"/>
        </w:rPr>
        <w:t xml:space="preserve"> percent</w:t>
      </w:r>
      <w:r w:rsidRPr="00511954">
        <w:rPr>
          <w:rFonts w:ascii="Palatino Linotype" w:hAnsi="Palatino Linotype"/>
          <w:b w:val="0"/>
        </w:rPr>
        <w:t xml:space="preserve"> bill discount that is available to eligible project sponsors for up to </w:t>
      </w:r>
      <w:r w:rsidRPr="00511954" w:rsidR="006A2935">
        <w:rPr>
          <w:rFonts w:ascii="Palatino Linotype" w:hAnsi="Palatino Linotype"/>
          <w:b w:val="0"/>
        </w:rPr>
        <w:t>25</w:t>
      </w:r>
      <w:r w:rsidRPr="00511954" w:rsidR="00530D31">
        <w:rPr>
          <w:rFonts w:ascii="Palatino Linotype" w:hAnsi="Palatino Linotype"/>
          <w:b w:val="0"/>
        </w:rPr>
        <w:t xml:space="preserve"> percent</w:t>
      </w:r>
      <w:r w:rsidRPr="00511954" w:rsidR="006A2935">
        <w:rPr>
          <w:rFonts w:ascii="Palatino Linotype" w:hAnsi="Palatino Linotype"/>
          <w:b w:val="0"/>
        </w:rPr>
        <w:t xml:space="preserve"> of a </w:t>
      </w:r>
      <w:r w:rsidRPr="00511954" w:rsidR="002C275B">
        <w:rPr>
          <w:rFonts w:ascii="Palatino Linotype" w:hAnsi="Palatino Linotype"/>
          <w:b w:val="0"/>
        </w:rPr>
        <w:t xml:space="preserve">CSGT </w:t>
      </w:r>
      <w:r w:rsidRPr="00511954" w:rsidR="006A2935">
        <w:rPr>
          <w:rFonts w:ascii="Palatino Linotype" w:hAnsi="Palatino Linotype"/>
          <w:b w:val="0"/>
        </w:rPr>
        <w:t>project’s capacity</w:t>
      </w:r>
      <w:r w:rsidRPr="00511954" w:rsidR="005564B3">
        <w:rPr>
          <w:rFonts w:ascii="Palatino Linotype" w:hAnsi="Palatino Linotype"/>
          <w:b w:val="0"/>
        </w:rPr>
        <w:t xml:space="preserve">. </w:t>
      </w:r>
      <w:r w:rsidRPr="00511954">
        <w:rPr>
          <w:rFonts w:ascii="Palatino Linotype" w:hAnsi="Palatino Linotype"/>
          <w:b w:val="0"/>
        </w:rPr>
        <w:t>IREC</w:t>
      </w:r>
      <w:r w:rsidRPr="00511954" w:rsidR="00305D88">
        <w:rPr>
          <w:rFonts w:ascii="Palatino Linotype" w:hAnsi="Palatino Linotype"/>
          <w:b w:val="0"/>
        </w:rPr>
        <w:t>/</w:t>
      </w:r>
      <w:r w:rsidRPr="00511954">
        <w:rPr>
          <w:rFonts w:ascii="Palatino Linotype" w:hAnsi="Palatino Linotype"/>
          <w:b w:val="0"/>
        </w:rPr>
        <w:t>SELC advocate that project sponsors should be allowed to retain the bill discount</w:t>
      </w:r>
      <w:r w:rsidRPr="00511954" w:rsidR="006A2935">
        <w:rPr>
          <w:rFonts w:ascii="Palatino Linotype" w:hAnsi="Palatino Linotype"/>
          <w:b w:val="0"/>
        </w:rPr>
        <w:t xml:space="preserve"> once 50</w:t>
      </w:r>
      <w:r w:rsidRPr="00511954" w:rsidR="00530D31">
        <w:rPr>
          <w:rFonts w:ascii="Palatino Linotype" w:hAnsi="Palatino Linotype"/>
          <w:b w:val="0"/>
        </w:rPr>
        <w:t xml:space="preserve"> percent</w:t>
      </w:r>
      <w:r w:rsidRPr="00511954" w:rsidR="006A2935">
        <w:rPr>
          <w:rFonts w:ascii="Palatino Linotype" w:hAnsi="Palatino Linotype"/>
          <w:b w:val="0"/>
        </w:rPr>
        <w:t xml:space="preserve"> of the project’s capacity is subscribed to eligible low</w:t>
      </w:r>
      <w:r w:rsidRPr="00511954" w:rsidR="00305D88">
        <w:rPr>
          <w:rFonts w:ascii="Palatino Linotype" w:hAnsi="Palatino Linotype"/>
          <w:b w:val="0"/>
        </w:rPr>
        <w:t>-</w:t>
      </w:r>
      <w:r w:rsidRPr="00511954" w:rsidR="006A2935">
        <w:rPr>
          <w:rFonts w:ascii="Palatino Linotype" w:hAnsi="Palatino Linotype"/>
          <w:b w:val="0"/>
        </w:rPr>
        <w:t xml:space="preserve">income </w:t>
      </w:r>
      <w:r w:rsidRPr="00511954" w:rsidR="005C720B">
        <w:rPr>
          <w:rFonts w:ascii="Palatino Linotype" w:hAnsi="Palatino Linotype"/>
          <w:b w:val="0"/>
        </w:rPr>
        <w:t xml:space="preserve">(i.e. CARE- or FERA-eligible) </w:t>
      </w:r>
      <w:r w:rsidRPr="00511954" w:rsidR="006A2935">
        <w:rPr>
          <w:rFonts w:ascii="Palatino Linotype" w:hAnsi="Palatino Linotype"/>
          <w:b w:val="0"/>
        </w:rPr>
        <w:t>customers, even if low</w:t>
      </w:r>
      <w:r w:rsidRPr="00511954" w:rsidR="00305D88">
        <w:rPr>
          <w:rFonts w:ascii="Palatino Linotype" w:hAnsi="Palatino Linotype"/>
          <w:b w:val="0"/>
        </w:rPr>
        <w:t>-</w:t>
      </w:r>
      <w:r w:rsidRPr="00511954" w:rsidR="006A2935">
        <w:rPr>
          <w:rFonts w:ascii="Palatino Linotype" w:hAnsi="Palatino Linotype"/>
          <w:b w:val="0"/>
        </w:rPr>
        <w:t xml:space="preserve">income subscriptions subsequently </w:t>
      </w:r>
      <w:r w:rsidRPr="00511954" w:rsidR="000A2B42">
        <w:rPr>
          <w:rFonts w:ascii="Palatino Linotype" w:hAnsi="Palatino Linotype"/>
          <w:b w:val="0"/>
        </w:rPr>
        <w:t>decrease</w:t>
      </w:r>
      <w:r w:rsidRPr="00511954" w:rsidR="006A2935">
        <w:rPr>
          <w:rFonts w:ascii="Palatino Linotype" w:hAnsi="Palatino Linotype"/>
          <w:b w:val="0"/>
        </w:rPr>
        <w:t xml:space="preserve">. </w:t>
      </w:r>
      <w:r w:rsidRPr="00511954" w:rsidR="005759E2">
        <w:rPr>
          <w:rFonts w:ascii="Palatino Linotype" w:hAnsi="Palatino Linotype"/>
          <w:b w:val="0"/>
        </w:rPr>
        <w:t xml:space="preserve">The respondents </w:t>
      </w:r>
      <w:r w:rsidRPr="00511954" w:rsidR="006A2935">
        <w:rPr>
          <w:rFonts w:ascii="Palatino Linotype" w:hAnsi="Palatino Linotype"/>
          <w:b w:val="0"/>
        </w:rPr>
        <w:t>support PG&amp;E’s approach</w:t>
      </w:r>
      <w:r w:rsidRPr="00511954" w:rsidR="00305D88">
        <w:rPr>
          <w:rFonts w:ascii="Palatino Linotype" w:hAnsi="Palatino Linotype"/>
          <w:b w:val="0"/>
        </w:rPr>
        <w:t>,</w:t>
      </w:r>
      <w:r w:rsidRPr="00511954" w:rsidR="006A2935">
        <w:rPr>
          <w:rFonts w:ascii="Palatino Linotype" w:hAnsi="Palatino Linotype"/>
          <w:b w:val="0"/>
        </w:rPr>
        <w:t xml:space="preserve"> </w:t>
      </w:r>
      <w:r w:rsidRPr="00511954" w:rsidR="005759E2">
        <w:rPr>
          <w:rFonts w:ascii="Palatino Linotype" w:hAnsi="Palatino Linotype"/>
          <w:b w:val="0"/>
        </w:rPr>
        <w:t>which allows</w:t>
      </w:r>
      <w:r w:rsidRPr="00511954" w:rsidR="006A2935">
        <w:rPr>
          <w:rFonts w:ascii="Palatino Linotype" w:hAnsi="Palatino Linotype"/>
          <w:b w:val="0"/>
        </w:rPr>
        <w:t xml:space="preserve"> sponsors to retain bill discounts once the low</w:t>
      </w:r>
      <w:r w:rsidRPr="00511954" w:rsidR="00305D88">
        <w:rPr>
          <w:rFonts w:ascii="Palatino Linotype" w:hAnsi="Palatino Linotype"/>
          <w:b w:val="0"/>
        </w:rPr>
        <w:t>-</w:t>
      </w:r>
      <w:r w:rsidRPr="00511954" w:rsidR="006A2935">
        <w:rPr>
          <w:rFonts w:ascii="Palatino Linotype" w:hAnsi="Palatino Linotype"/>
          <w:b w:val="0"/>
        </w:rPr>
        <w:t>income subscription threshold is reached</w:t>
      </w:r>
      <w:r w:rsidRPr="00511954" w:rsidR="002C275B">
        <w:rPr>
          <w:rFonts w:ascii="Palatino Linotype" w:hAnsi="Palatino Linotype"/>
          <w:b w:val="0"/>
        </w:rPr>
        <w:t>. IREC</w:t>
      </w:r>
      <w:r w:rsidRPr="00511954" w:rsidR="00305D88">
        <w:rPr>
          <w:rFonts w:ascii="Palatino Linotype" w:hAnsi="Palatino Linotype"/>
          <w:b w:val="0"/>
        </w:rPr>
        <w:t>/</w:t>
      </w:r>
      <w:r w:rsidRPr="00511954" w:rsidR="002C275B">
        <w:rPr>
          <w:rFonts w:ascii="Palatino Linotype" w:hAnsi="Palatino Linotype"/>
          <w:b w:val="0"/>
        </w:rPr>
        <w:t xml:space="preserve">SELC </w:t>
      </w:r>
      <w:r w:rsidRPr="00511954" w:rsidR="005759E2">
        <w:rPr>
          <w:rFonts w:ascii="Palatino Linotype" w:hAnsi="Palatino Linotype"/>
          <w:b w:val="0"/>
        </w:rPr>
        <w:t xml:space="preserve">assert that not only is this </w:t>
      </w:r>
      <w:r w:rsidRPr="00511954" w:rsidR="000A2B42">
        <w:rPr>
          <w:rFonts w:ascii="Palatino Linotype" w:hAnsi="Palatino Linotype"/>
          <w:b w:val="0"/>
        </w:rPr>
        <w:t xml:space="preserve">the practical </w:t>
      </w:r>
      <w:r w:rsidRPr="00511954" w:rsidR="005759E2">
        <w:rPr>
          <w:rFonts w:ascii="Palatino Linotype" w:hAnsi="Palatino Linotype"/>
          <w:b w:val="0"/>
        </w:rPr>
        <w:t>approach, but that it is also important to provide certainty to project sponsors</w:t>
      </w:r>
      <w:r w:rsidRPr="00511954" w:rsidR="000A2B42">
        <w:rPr>
          <w:rFonts w:ascii="Palatino Linotype" w:hAnsi="Palatino Linotype"/>
          <w:b w:val="0"/>
        </w:rPr>
        <w:t xml:space="preserve"> </w:t>
      </w:r>
      <w:r w:rsidRPr="00511954">
        <w:rPr>
          <w:rFonts w:ascii="Palatino Linotype" w:hAnsi="Palatino Linotype"/>
          <w:b w:val="0"/>
        </w:rPr>
        <w:t>about</w:t>
      </w:r>
      <w:r w:rsidRPr="00511954" w:rsidR="000A2B42">
        <w:rPr>
          <w:rFonts w:ascii="Palatino Linotype" w:hAnsi="Palatino Linotype"/>
          <w:b w:val="0"/>
        </w:rPr>
        <w:t xml:space="preserve"> the benefits they will receive</w:t>
      </w:r>
      <w:r w:rsidRPr="00511954" w:rsidR="005564B3">
        <w:rPr>
          <w:rFonts w:ascii="Palatino Linotype" w:hAnsi="Palatino Linotype"/>
          <w:b w:val="0"/>
        </w:rPr>
        <w:t xml:space="preserve"> by supporting a CSGT project</w:t>
      </w:r>
      <w:r w:rsidRPr="00511954" w:rsidR="006A2935">
        <w:rPr>
          <w:rFonts w:ascii="Palatino Linotype" w:hAnsi="Palatino Linotype"/>
          <w:b w:val="0"/>
        </w:rPr>
        <w:t xml:space="preserve">. The respondents call for SCE and SDG&amp;E to adopt this approach </w:t>
      </w:r>
      <w:r w:rsidRPr="00511954" w:rsidR="005759E2">
        <w:rPr>
          <w:rFonts w:ascii="Palatino Linotype" w:hAnsi="Palatino Linotype"/>
          <w:b w:val="0"/>
        </w:rPr>
        <w:t xml:space="preserve">and </w:t>
      </w:r>
      <w:r w:rsidRPr="00511954" w:rsidR="000A2B42">
        <w:rPr>
          <w:rFonts w:ascii="Palatino Linotype" w:hAnsi="Palatino Linotype"/>
          <w:b w:val="0"/>
        </w:rPr>
        <w:t xml:space="preserve">revise their tariffs </w:t>
      </w:r>
      <w:proofErr w:type="gramStart"/>
      <w:r w:rsidRPr="00511954" w:rsidR="000A2B42">
        <w:rPr>
          <w:rFonts w:ascii="Palatino Linotype" w:hAnsi="Palatino Linotype"/>
          <w:b w:val="0"/>
        </w:rPr>
        <w:t>so as to</w:t>
      </w:r>
      <w:proofErr w:type="gramEnd"/>
      <w:r w:rsidRPr="00511954" w:rsidR="000A2B42">
        <w:rPr>
          <w:rFonts w:ascii="Palatino Linotype" w:hAnsi="Palatino Linotype"/>
          <w:b w:val="0"/>
        </w:rPr>
        <w:t xml:space="preserve"> </w:t>
      </w:r>
      <w:r w:rsidRPr="00511954" w:rsidR="005759E2">
        <w:rPr>
          <w:rFonts w:ascii="Palatino Linotype" w:hAnsi="Palatino Linotype"/>
          <w:b w:val="0"/>
        </w:rPr>
        <w:t>not subsequently rescind a sponsor’s bill discount</w:t>
      </w:r>
      <w:r w:rsidRPr="00511954" w:rsidR="006A2935">
        <w:rPr>
          <w:rFonts w:ascii="Palatino Linotype" w:hAnsi="Palatino Linotype"/>
          <w:b w:val="0"/>
        </w:rPr>
        <w:t xml:space="preserve">. </w:t>
      </w:r>
    </w:p>
    <w:p w:rsidRPr="00511954" w:rsidR="004F3A8B" w:rsidP="005564B3" w:rsidRDefault="004F3A8B" w14:paraId="646EA74C" w14:textId="77777777">
      <w:pPr>
        <w:pStyle w:val="BodyText"/>
        <w:keepNext/>
        <w:rPr>
          <w:rFonts w:ascii="Palatino Linotype" w:hAnsi="Palatino Linotype"/>
          <w:b w:val="0"/>
          <w:u w:val="single"/>
        </w:rPr>
      </w:pPr>
      <w:r w:rsidRPr="00511954">
        <w:rPr>
          <w:rFonts w:ascii="Palatino Linotype" w:hAnsi="Palatino Linotype"/>
          <w:b w:val="0"/>
          <w:u w:val="single"/>
        </w:rPr>
        <w:t xml:space="preserve">RFO Timeline </w:t>
      </w:r>
    </w:p>
    <w:p w:rsidRPr="00511954" w:rsidR="00B966A0" w:rsidP="00EB3892" w:rsidRDefault="006A2935" w14:paraId="0414F68A" w14:textId="6B7470D2">
      <w:pPr>
        <w:pStyle w:val="BodyText"/>
        <w:spacing w:after="240"/>
        <w:rPr>
          <w:rFonts w:ascii="Palatino Linotype" w:hAnsi="Palatino Linotype"/>
          <w:b w:val="0"/>
        </w:rPr>
      </w:pPr>
      <w:r w:rsidRPr="00511954">
        <w:rPr>
          <w:rFonts w:ascii="Palatino Linotype" w:hAnsi="Palatino Linotype"/>
          <w:b w:val="0"/>
        </w:rPr>
        <w:t>IREC</w:t>
      </w:r>
      <w:r w:rsidRPr="00511954" w:rsidR="00305D88">
        <w:rPr>
          <w:rFonts w:ascii="Palatino Linotype" w:hAnsi="Palatino Linotype"/>
          <w:b w:val="0"/>
        </w:rPr>
        <w:t>/</w:t>
      </w:r>
      <w:r w:rsidRPr="00511954">
        <w:rPr>
          <w:rFonts w:ascii="Palatino Linotype" w:hAnsi="Palatino Linotype"/>
          <w:b w:val="0"/>
        </w:rPr>
        <w:t xml:space="preserve">SELC </w:t>
      </w:r>
      <w:r w:rsidRPr="00511954" w:rsidR="000A2B42">
        <w:rPr>
          <w:rFonts w:ascii="Palatino Linotype" w:hAnsi="Palatino Linotype"/>
          <w:b w:val="0"/>
        </w:rPr>
        <w:t>express</w:t>
      </w:r>
      <w:r w:rsidRPr="00511954">
        <w:rPr>
          <w:rFonts w:ascii="Palatino Linotype" w:hAnsi="Palatino Linotype"/>
          <w:b w:val="0"/>
        </w:rPr>
        <w:t xml:space="preserve"> concern about delayed implementation of the CSGT program, noting </w:t>
      </w:r>
      <w:proofErr w:type="gramStart"/>
      <w:r w:rsidRPr="00511954">
        <w:rPr>
          <w:rFonts w:ascii="Palatino Linotype" w:hAnsi="Palatino Linotype"/>
          <w:b w:val="0"/>
        </w:rPr>
        <w:t xml:space="preserve">in particular </w:t>
      </w:r>
      <w:r w:rsidRPr="00511954" w:rsidR="000A2B42">
        <w:rPr>
          <w:rFonts w:ascii="Palatino Linotype" w:hAnsi="Palatino Linotype"/>
          <w:b w:val="0"/>
        </w:rPr>
        <w:t>that</w:t>
      </w:r>
      <w:proofErr w:type="gramEnd"/>
      <w:r w:rsidRPr="00511954" w:rsidR="000A2B42">
        <w:rPr>
          <w:rFonts w:ascii="Palatino Linotype" w:hAnsi="Palatino Linotype"/>
          <w:b w:val="0"/>
        </w:rPr>
        <w:t xml:space="preserve"> </w:t>
      </w:r>
      <w:r w:rsidRPr="00511954">
        <w:rPr>
          <w:rFonts w:ascii="Palatino Linotype" w:hAnsi="Palatino Linotype"/>
          <w:b w:val="0"/>
        </w:rPr>
        <w:t xml:space="preserve">SDG&amp;E’s AL appears to indicate that program implementation will not occur </w:t>
      </w:r>
      <w:r w:rsidRPr="00511954" w:rsidR="0099390C">
        <w:rPr>
          <w:rFonts w:ascii="Palatino Linotype" w:hAnsi="Palatino Linotype"/>
          <w:b w:val="0"/>
        </w:rPr>
        <w:t>until</w:t>
      </w:r>
      <w:r w:rsidRPr="00511954">
        <w:rPr>
          <w:rFonts w:ascii="Palatino Linotype" w:hAnsi="Palatino Linotype"/>
          <w:b w:val="0"/>
        </w:rPr>
        <w:t xml:space="preserve"> 2021. IREC</w:t>
      </w:r>
      <w:r w:rsidRPr="00511954" w:rsidR="00305D88">
        <w:rPr>
          <w:rFonts w:ascii="Palatino Linotype" w:hAnsi="Palatino Linotype"/>
          <w:b w:val="0"/>
        </w:rPr>
        <w:t>/</w:t>
      </w:r>
      <w:r w:rsidRPr="00511954">
        <w:rPr>
          <w:rFonts w:ascii="Palatino Linotype" w:hAnsi="Palatino Linotype"/>
          <w:b w:val="0"/>
        </w:rPr>
        <w:t xml:space="preserve">SELC </w:t>
      </w:r>
      <w:r w:rsidRPr="00511954" w:rsidR="000A2B42">
        <w:rPr>
          <w:rFonts w:ascii="Palatino Linotype" w:hAnsi="Palatino Linotype"/>
          <w:b w:val="0"/>
        </w:rPr>
        <w:t xml:space="preserve">urge </w:t>
      </w:r>
      <w:r w:rsidRPr="00511954">
        <w:rPr>
          <w:rFonts w:ascii="Palatino Linotype" w:hAnsi="Palatino Linotype"/>
          <w:b w:val="0"/>
        </w:rPr>
        <w:t xml:space="preserve">all three IOUs </w:t>
      </w:r>
      <w:r w:rsidRPr="00511954" w:rsidR="002C275B">
        <w:rPr>
          <w:rFonts w:ascii="Palatino Linotype" w:hAnsi="Palatino Linotype"/>
          <w:b w:val="0"/>
        </w:rPr>
        <w:t>to</w:t>
      </w:r>
      <w:r w:rsidRPr="00511954" w:rsidR="000A2B42">
        <w:rPr>
          <w:rFonts w:ascii="Palatino Linotype" w:hAnsi="Palatino Linotype"/>
          <w:b w:val="0"/>
        </w:rPr>
        <w:t xml:space="preserve"> </w:t>
      </w:r>
      <w:r w:rsidRPr="00511954" w:rsidR="00D9161F">
        <w:rPr>
          <w:rFonts w:ascii="Palatino Linotype" w:hAnsi="Palatino Linotype"/>
          <w:b w:val="0"/>
        </w:rPr>
        <w:t xml:space="preserve">issue </w:t>
      </w:r>
      <w:r w:rsidRPr="00511954">
        <w:rPr>
          <w:rFonts w:ascii="Palatino Linotype" w:hAnsi="Palatino Linotype"/>
          <w:b w:val="0"/>
        </w:rPr>
        <w:t>their first RFO by August 1, 2019.</w:t>
      </w:r>
    </w:p>
    <w:p w:rsidRPr="00511954" w:rsidR="004F3A8B" w:rsidP="004F3A8B" w:rsidRDefault="004F3A8B" w14:paraId="3342BD23" w14:textId="77777777">
      <w:pPr>
        <w:pStyle w:val="BodyText"/>
        <w:rPr>
          <w:rFonts w:ascii="Palatino Linotype" w:hAnsi="Palatino Linotype"/>
          <w:b w:val="0"/>
          <w:u w:val="single"/>
        </w:rPr>
      </w:pPr>
      <w:r w:rsidRPr="00511954">
        <w:rPr>
          <w:rFonts w:ascii="Palatino Linotype" w:hAnsi="Palatino Linotype"/>
          <w:b w:val="0"/>
          <w:u w:val="single"/>
        </w:rPr>
        <w:t xml:space="preserve">Customer Eligibility </w:t>
      </w:r>
    </w:p>
    <w:p w:rsidRPr="00511954" w:rsidR="00CB724A" w:rsidP="00EB3892" w:rsidRDefault="00CB724A" w14:paraId="225EB99D" w14:textId="349519CD">
      <w:pPr>
        <w:pStyle w:val="BodyText"/>
        <w:spacing w:after="240"/>
        <w:rPr>
          <w:rFonts w:ascii="Palatino Linotype" w:hAnsi="Palatino Linotype"/>
          <w:b w:val="0"/>
        </w:rPr>
      </w:pPr>
      <w:r w:rsidRPr="00511954">
        <w:rPr>
          <w:rFonts w:ascii="Palatino Linotype" w:hAnsi="Palatino Linotype"/>
          <w:b w:val="0"/>
        </w:rPr>
        <w:t xml:space="preserve">Regarding </w:t>
      </w:r>
      <w:r w:rsidRPr="00511954" w:rsidR="00B270E2">
        <w:rPr>
          <w:rFonts w:ascii="Palatino Linotype" w:hAnsi="Palatino Linotype"/>
          <w:b w:val="0"/>
        </w:rPr>
        <w:t>customer</w:t>
      </w:r>
      <w:r w:rsidRPr="00511954">
        <w:rPr>
          <w:rFonts w:ascii="Palatino Linotype" w:hAnsi="Palatino Linotype"/>
          <w:b w:val="0"/>
        </w:rPr>
        <w:t xml:space="preserve"> eligibility, IREC</w:t>
      </w:r>
      <w:r w:rsidRPr="00511954" w:rsidR="00305D88">
        <w:rPr>
          <w:rFonts w:ascii="Palatino Linotype" w:hAnsi="Palatino Linotype"/>
          <w:b w:val="0"/>
        </w:rPr>
        <w:t>/</w:t>
      </w:r>
      <w:r w:rsidRPr="00511954">
        <w:rPr>
          <w:rFonts w:ascii="Palatino Linotype" w:hAnsi="Palatino Linotype"/>
          <w:b w:val="0"/>
        </w:rPr>
        <w:t>SELC advocate that master</w:t>
      </w:r>
      <w:r w:rsidRPr="00511954" w:rsidR="00547F0B">
        <w:rPr>
          <w:rFonts w:ascii="Palatino Linotype" w:hAnsi="Palatino Linotype"/>
          <w:b w:val="0"/>
        </w:rPr>
        <w:t>-</w:t>
      </w:r>
      <w:r w:rsidRPr="00511954">
        <w:rPr>
          <w:rFonts w:ascii="Palatino Linotype" w:hAnsi="Palatino Linotype"/>
          <w:b w:val="0"/>
        </w:rPr>
        <w:t xml:space="preserve">metered customers be </w:t>
      </w:r>
      <w:r w:rsidRPr="00511954" w:rsidR="00D519E1">
        <w:rPr>
          <w:rFonts w:ascii="Palatino Linotype" w:hAnsi="Palatino Linotype"/>
          <w:b w:val="0"/>
        </w:rPr>
        <w:t>able</w:t>
      </w:r>
      <w:r w:rsidRPr="00511954">
        <w:rPr>
          <w:rFonts w:ascii="Palatino Linotype" w:hAnsi="Palatino Linotype"/>
          <w:b w:val="0"/>
        </w:rPr>
        <w:t xml:space="preserve"> to participate in the CSGT program</w:t>
      </w:r>
      <w:r w:rsidRPr="00511954" w:rsidR="002C275B">
        <w:rPr>
          <w:rFonts w:ascii="Palatino Linotype" w:hAnsi="Palatino Linotype"/>
          <w:b w:val="0"/>
        </w:rPr>
        <w:t xml:space="preserve"> across </w:t>
      </w:r>
      <w:r w:rsidRPr="00511954" w:rsidR="0099390C">
        <w:rPr>
          <w:rFonts w:ascii="Palatino Linotype" w:hAnsi="Palatino Linotype"/>
          <w:b w:val="0"/>
        </w:rPr>
        <w:t>PG&amp;E’s, SCE’s, and SDG&amp;E’s</w:t>
      </w:r>
      <w:r w:rsidRPr="00511954" w:rsidR="002C275B">
        <w:rPr>
          <w:rFonts w:ascii="Palatino Linotype" w:hAnsi="Palatino Linotype"/>
          <w:b w:val="0"/>
        </w:rPr>
        <w:t xml:space="preserve"> service territories</w:t>
      </w:r>
      <w:r w:rsidRPr="00511954">
        <w:rPr>
          <w:rFonts w:ascii="Palatino Linotype" w:hAnsi="Palatino Linotype"/>
          <w:b w:val="0"/>
        </w:rPr>
        <w:t xml:space="preserve">. </w:t>
      </w:r>
      <w:r w:rsidRPr="00511954" w:rsidR="006A2935">
        <w:rPr>
          <w:rFonts w:ascii="Palatino Linotype" w:hAnsi="Palatino Linotype"/>
          <w:b w:val="0"/>
        </w:rPr>
        <w:t xml:space="preserve">The respondents </w:t>
      </w:r>
      <w:r w:rsidRPr="00511954" w:rsidR="0099390C">
        <w:rPr>
          <w:rFonts w:ascii="Palatino Linotype" w:hAnsi="Palatino Linotype"/>
          <w:b w:val="0"/>
        </w:rPr>
        <w:t>note that all three</w:t>
      </w:r>
      <w:r w:rsidRPr="00511954" w:rsidR="002C275B">
        <w:rPr>
          <w:rFonts w:ascii="Palatino Linotype" w:hAnsi="Palatino Linotype"/>
          <w:b w:val="0"/>
        </w:rPr>
        <w:t xml:space="preserve"> IOUs appear to exclude master</w:t>
      </w:r>
      <w:r w:rsidRPr="00511954" w:rsidR="00547F0B">
        <w:rPr>
          <w:rFonts w:ascii="Palatino Linotype" w:hAnsi="Palatino Linotype"/>
          <w:b w:val="0"/>
        </w:rPr>
        <w:t>-</w:t>
      </w:r>
      <w:r w:rsidRPr="00511954" w:rsidR="002C275B">
        <w:rPr>
          <w:rFonts w:ascii="Palatino Linotype" w:hAnsi="Palatino Linotype"/>
          <w:b w:val="0"/>
        </w:rPr>
        <w:t>metered customers and comment</w:t>
      </w:r>
      <w:r w:rsidRPr="00511954" w:rsidR="006A2935">
        <w:rPr>
          <w:rFonts w:ascii="Palatino Linotype" w:hAnsi="Palatino Linotype"/>
          <w:b w:val="0"/>
        </w:rPr>
        <w:t xml:space="preserve"> that, “</w:t>
      </w:r>
      <w:r w:rsidR="00E838C2">
        <w:rPr>
          <w:rFonts w:ascii="Palatino Linotype" w:hAnsi="Palatino Linotype"/>
          <w:b w:val="0"/>
        </w:rPr>
        <w:t>[t]</w:t>
      </w:r>
      <w:r w:rsidRPr="00511954" w:rsidR="006A2935">
        <w:rPr>
          <w:rFonts w:ascii="Palatino Linotype" w:hAnsi="Palatino Linotype"/>
          <w:b w:val="0"/>
        </w:rPr>
        <w:t>his is a significant exclusion because much of the housing throughout California, including in disadvantaged communities, is multifamily housing where master</w:t>
      </w:r>
      <w:r w:rsidRPr="00511954" w:rsidR="00547F0B">
        <w:rPr>
          <w:rFonts w:ascii="Palatino Linotype" w:hAnsi="Palatino Linotype"/>
          <w:b w:val="0"/>
        </w:rPr>
        <w:t>-</w:t>
      </w:r>
      <w:r w:rsidRPr="00511954" w:rsidR="006A2935">
        <w:rPr>
          <w:rFonts w:ascii="Palatino Linotype" w:hAnsi="Palatino Linotype"/>
          <w:b w:val="0"/>
        </w:rPr>
        <w:t>meters are not uncommon.”</w:t>
      </w:r>
      <w:r w:rsidRPr="00511954" w:rsidR="006A2935">
        <w:rPr>
          <w:rStyle w:val="FootnoteReference"/>
          <w:rFonts w:ascii="Palatino Linotype" w:hAnsi="Palatino Linotype"/>
          <w:b w:val="0"/>
        </w:rPr>
        <w:footnoteReference w:id="23"/>
      </w:r>
      <w:r w:rsidRPr="00511954" w:rsidR="006A2935">
        <w:rPr>
          <w:rFonts w:ascii="Palatino Linotype" w:hAnsi="Palatino Linotype"/>
          <w:b w:val="0"/>
        </w:rPr>
        <w:t xml:space="preserve"> </w:t>
      </w:r>
      <w:r w:rsidRPr="00511954">
        <w:rPr>
          <w:rFonts w:ascii="Palatino Linotype" w:hAnsi="Palatino Linotype"/>
          <w:b w:val="0"/>
        </w:rPr>
        <w:t>Similarly, IREC</w:t>
      </w:r>
      <w:r w:rsidRPr="00511954" w:rsidR="00543EDE">
        <w:rPr>
          <w:rFonts w:ascii="Palatino Linotype" w:hAnsi="Palatino Linotype"/>
          <w:b w:val="0"/>
        </w:rPr>
        <w:t>/</w:t>
      </w:r>
      <w:r w:rsidRPr="00511954">
        <w:rPr>
          <w:rFonts w:ascii="Palatino Linotype" w:hAnsi="Palatino Linotype"/>
          <w:b w:val="0"/>
        </w:rPr>
        <w:t>SELC assert that PG&amp;E</w:t>
      </w:r>
      <w:r w:rsidRPr="00511954" w:rsidR="00D519E1">
        <w:rPr>
          <w:rFonts w:ascii="Palatino Linotype" w:hAnsi="Palatino Linotype"/>
          <w:b w:val="0"/>
        </w:rPr>
        <w:t>’s</w:t>
      </w:r>
      <w:r w:rsidRPr="00511954">
        <w:rPr>
          <w:rFonts w:ascii="Palatino Linotype" w:hAnsi="Palatino Linotype"/>
          <w:b w:val="0"/>
        </w:rPr>
        <w:t xml:space="preserve"> exclu</w:t>
      </w:r>
      <w:r w:rsidRPr="00511954" w:rsidR="00AC1973">
        <w:rPr>
          <w:rFonts w:ascii="Palatino Linotype" w:hAnsi="Palatino Linotype"/>
          <w:b w:val="0"/>
        </w:rPr>
        <w:t>sion of c</w:t>
      </w:r>
      <w:r w:rsidRPr="00511954">
        <w:rPr>
          <w:rFonts w:ascii="Palatino Linotype" w:hAnsi="Palatino Linotype"/>
          <w:b w:val="0"/>
        </w:rPr>
        <w:t>ustomers on EVA</w:t>
      </w:r>
      <w:r w:rsidRPr="00511954" w:rsidR="002C4FFF">
        <w:rPr>
          <w:rFonts w:ascii="Palatino Linotype" w:hAnsi="Palatino Linotype"/>
          <w:b w:val="0"/>
        </w:rPr>
        <w:t xml:space="preserve"> </w:t>
      </w:r>
      <w:r w:rsidRPr="00511954">
        <w:rPr>
          <w:rFonts w:ascii="Palatino Linotype" w:hAnsi="Palatino Linotype"/>
          <w:b w:val="0"/>
        </w:rPr>
        <w:t xml:space="preserve">and EVB rates </w:t>
      </w:r>
      <w:r w:rsidRPr="00511954" w:rsidR="00E33E70">
        <w:rPr>
          <w:rFonts w:ascii="Palatino Linotype" w:hAnsi="Palatino Linotype"/>
          <w:b w:val="0"/>
        </w:rPr>
        <w:t>(</w:t>
      </w:r>
      <w:r w:rsidRPr="00511954" w:rsidR="000044DB">
        <w:rPr>
          <w:rFonts w:ascii="Palatino Linotype" w:hAnsi="Palatino Linotype"/>
          <w:b w:val="0"/>
        </w:rPr>
        <w:t xml:space="preserve">Electric Vehicle Rate A and Rate B, </w:t>
      </w:r>
      <w:r w:rsidRPr="00511954">
        <w:rPr>
          <w:rFonts w:ascii="Palatino Linotype" w:hAnsi="Palatino Linotype"/>
          <w:b w:val="0"/>
        </w:rPr>
        <w:t>i.e.</w:t>
      </w:r>
      <w:r w:rsidRPr="00511954" w:rsidR="00E33E70">
        <w:rPr>
          <w:rFonts w:ascii="Palatino Linotype" w:hAnsi="Palatino Linotype"/>
          <w:b w:val="0"/>
        </w:rPr>
        <w:t>,</w:t>
      </w:r>
      <w:r w:rsidRPr="00511954">
        <w:rPr>
          <w:rFonts w:ascii="Palatino Linotype" w:hAnsi="Palatino Linotype"/>
          <w:b w:val="0"/>
        </w:rPr>
        <w:t xml:space="preserve"> rates not eligible for CARE or FERA</w:t>
      </w:r>
      <w:r w:rsidRPr="00511954" w:rsidR="00E33E70">
        <w:rPr>
          <w:rFonts w:ascii="Palatino Linotype" w:hAnsi="Palatino Linotype"/>
          <w:b w:val="0"/>
        </w:rPr>
        <w:t>)</w:t>
      </w:r>
      <w:r w:rsidRPr="00511954" w:rsidR="00AC1973">
        <w:rPr>
          <w:rFonts w:ascii="Palatino Linotype" w:hAnsi="Palatino Linotype"/>
          <w:b w:val="0"/>
        </w:rPr>
        <w:t xml:space="preserve"> </w:t>
      </w:r>
      <w:r w:rsidRPr="00511954" w:rsidR="00D519E1">
        <w:rPr>
          <w:rFonts w:ascii="Palatino Linotype" w:hAnsi="Palatino Linotype"/>
          <w:b w:val="0"/>
        </w:rPr>
        <w:t>is incorrect</w:t>
      </w:r>
      <w:r w:rsidRPr="00511954" w:rsidR="00AC1973">
        <w:rPr>
          <w:rFonts w:ascii="Palatino Linotype" w:hAnsi="Palatino Linotype"/>
          <w:b w:val="0"/>
        </w:rPr>
        <w:t xml:space="preserve"> because there is no requirement that </w:t>
      </w:r>
      <w:r w:rsidRPr="00511954" w:rsidR="0099390C">
        <w:rPr>
          <w:rFonts w:ascii="Palatino Linotype" w:hAnsi="Palatino Linotype"/>
          <w:b w:val="0"/>
        </w:rPr>
        <w:t xml:space="preserve">all </w:t>
      </w:r>
      <w:r w:rsidRPr="00511954" w:rsidR="00AC1973">
        <w:rPr>
          <w:rFonts w:ascii="Palatino Linotype" w:hAnsi="Palatino Linotype"/>
          <w:b w:val="0"/>
        </w:rPr>
        <w:t>CSGT customers be CARE</w:t>
      </w:r>
      <w:r w:rsidRPr="00511954" w:rsidR="005C720B">
        <w:rPr>
          <w:rFonts w:ascii="Palatino Linotype" w:hAnsi="Palatino Linotype"/>
          <w:b w:val="0"/>
        </w:rPr>
        <w:t>-</w:t>
      </w:r>
      <w:r w:rsidRPr="00511954" w:rsidR="00AC1973">
        <w:rPr>
          <w:rFonts w:ascii="Palatino Linotype" w:hAnsi="Palatino Linotype"/>
          <w:b w:val="0"/>
        </w:rPr>
        <w:t xml:space="preserve"> or FERA</w:t>
      </w:r>
      <w:r w:rsidRPr="00511954" w:rsidR="005C720B">
        <w:rPr>
          <w:rFonts w:ascii="Palatino Linotype" w:hAnsi="Palatino Linotype"/>
          <w:b w:val="0"/>
        </w:rPr>
        <w:t>-</w:t>
      </w:r>
      <w:r w:rsidRPr="00511954" w:rsidR="00AC1973">
        <w:rPr>
          <w:rFonts w:ascii="Palatino Linotype" w:hAnsi="Palatino Linotype"/>
          <w:b w:val="0"/>
        </w:rPr>
        <w:t xml:space="preserve">eligible. The respondents call for SCE and SDG&amp;E to </w:t>
      </w:r>
      <w:r w:rsidRPr="00511954" w:rsidR="0099390C">
        <w:rPr>
          <w:rFonts w:ascii="Palatino Linotype" w:hAnsi="Palatino Linotype"/>
          <w:b w:val="0"/>
        </w:rPr>
        <w:t>also</w:t>
      </w:r>
      <w:r w:rsidRPr="00511954" w:rsidR="00D519E1">
        <w:rPr>
          <w:rFonts w:ascii="Palatino Linotype" w:hAnsi="Palatino Linotype"/>
          <w:b w:val="0"/>
        </w:rPr>
        <w:t xml:space="preserve"> </w:t>
      </w:r>
      <w:r w:rsidRPr="00511954" w:rsidR="00AC1973">
        <w:rPr>
          <w:rFonts w:ascii="Palatino Linotype" w:hAnsi="Palatino Linotype"/>
          <w:b w:val="0"/>
        </w:rPr>
        <w:t xml:space="preserve">clarify this issue. </w:t>
      </w:r>
    </w:p>
    <w:p w:rsidRPr="00511954" w:rsidR="004F3A8B" w:rsidP="004F3A8B" w:rsidRDefault="004F3A8B" w14:paraId="270383F8" w14:textId="77777777">
      <w:pPr>
        <w:pStyle w:val="BodyText"/>
        <w:rPr>
          <w:rFonts w:ascii="Palatino Linotype" w:hAnsi="Palatino Linotype"/>
          <w:b w:val="0"/>
          <w:u w:val="single"/>
        </w:rPr>
      </w:pPr>
      <w:r w:rsidRPr="00511954">
        <w:rPr>
          <w:rFonts w:ascii="Palatino Linotype" w:hAnsi="Palatino Linotype"/>
          <w:b w:val="0"/>
          <w:u w:val="single"/>
        </w:rPr>
        <w:t>CSGT Minimum Project Size</w:t>
      </w:r>
    </w:p>
    <w:p w:rsidRPr="00511954" w:rsidR="001C313B" w:rsidP="00EB3892" w:rsidRDefault="001C313B" w14:paraId="4CEA82F5" w14:textId="20A5C8BB">
      <w:pPr>
        <w:pStyle w:val="BodyText"/>
        <w:spacing w:after="240"/>
        <w:rPr>
          <w:rFonts w:ascii="Palatino Linotype" w:hAnsi="Palatino Linotype"/>
          <w:b w:val="0"/>
        </w:rPr>
      </w:pPr>
      <w:r w:rsidRPr="00511954">
        <w:rPr>
          <w:rFonts w:ascii="Palatino Linotype" w:hAnsi="Palatino Linotype"/>
          <w:b w:val="0"/>
        </w:rPr>
        <w:t>Finally, the respondents assert that</w:t>
      </w:r>
      <w:r w:rsidRPr="00511954" w:rsidR="007E3087">
        <w:rPr>
          <w:rFonts w:ascii="Palatino Linotype" w:hAnsi="Palatino Linotype"/>
          <w:b w:val="0"/>
        </w:rPr>
        <w:t xml:space="preserve"> </w:t>
      </w:r>
      <w:r w:rsidRPr="00511954" w:rsidR="002D7394">
        <w:rPr>
          <w:rFonts w:ascii="Palatino Linotype" w:hAnsi="Palatino Linotype"/>
          <w:b w:val="0"/>
        </w:rPr>
        <w:t>contrary</w:t>
      </w:r>
      <w:r w:rsidRPr="00511954" w:rsidR="007E3087">
        <w:rPr>
          <w:rFonts w:ascii="Palatino Linotype" w:hAnsi="Palatino Linotype"/>
          <w:b w:val="0"/>
        </w:rPr>
        <w:t xml:space="preserve"> to the</w:t>
      </w:r>
      <w:r w:rsidRPr="00511954" w:rsidR="002C275B">
        <w:rPr>
          <w:rFonts w:ascii="Palatino Linotype" w:hAnsi="Palatino Linotype"/>
          <w:b w:val="0"/>
        </w:rPr>
        <w:t xml:space="preserve"> </w:t>
      </w:r>
      <w:r w:rsidRPr="00511954" w:rsidR="00543EDE">
        <w:rPr>
          <w:rFonts w:ascii="Palatino Linotype" w:hAnsi="Palatino Linotype"/>
          <w:b w:val="0"/>
        </w:rPr>
        <w:t xml:space="preserve">NEM DAC </w:t>
      </w:r>
      <w:r w:rsidRPr="00511954" w:rsidR="00A165B3">
        <w:rPr>
          <w:rFonts w:ascii="Palatino Linotype" w:hAnsi="Palatino Linotype"/>
          <w:b w:val="0"/>
        </w:rPr>
        <w:t>Decision</w:t>
      </w:r>
      <w:r w:rsidRPr="00511954" w:rsidR="002C275B">
        <w:rPr>
          <w:rFonts w:ascii="Palatino Linotype" w:hAnsi="Palatino Linotype"/>
          <w:b w:val="0"/>
        </w:rPr>
        <w:t>’s guidance on the CSGT program</w:t>
      </w:r>
      <w:r w:rsidRPr="00511954" w:rsidR="007E3087">
        <w:rPr>
          <w:rFonts w:ascii="Palatino Linotype" w:hAnsi="Palatino Linotype"/>
          <w:b w:val="0"/>
        </w:rPr>
        <w:t xml:space="preserve">, </w:t>
      </w:r>
      <w:r w:rsidRPr="00511954">
        <w:rPr>
          <w:rFonts w:ascii="Palatino Linotype" w:hAnsi="Palatino Linotype"/>
          <w:b w:val="0"/>
        </w:rPr>
        <w:t xml:space="preserve">SCE </w:t>
      </w:r>
      <w:r w:rsidRPr="00511954" w:rsidR="007E3087">
        <w:rPr>
          <w:rFonts w:ascii="Palatino Linotype" w:hAnsi="Palatino Linotype"/>
          <w:b w:val="0"/>
        </w:rPr>
        <w:t xml:space="preserve">would penalize projects smaller than 500 </w:t>
      </w:r>
      <w:r w:rsidRPr="00511954" w:rsidR="00543EDE">
        <w:rPr>
          <w:rFonts w:ascii="Palatino Linotype" w:hAnsi="Palatino Linotype"/>
          <w:b w:val="0"/>
        </w:rPr>
        <w:t>kilowatts (</w:t>
      </w:r>
      <w:r w:rsidRPr="00511954" w:rsidR="007E3087">
        <w:rPr>
          <w:rFonts w:ascii="Palatino Linotype" w:hAnsi="Palatino Linotype"/>
          <w:b w:val="0"/>
        </w:rPr>
        <w:t>kW</w:t>
      </w:r>
      <w:r w:rsidRPr="00511954" w:rsidR="00543EDE">
        <w:rPr>
          <w:rFonts w:ascii="Palatino Linotype" w:hAnsi="Palatino Linotype"/>
          <w:b w:val="0"/>
        </w:rPr>
        <w:t>)</w:t>
      </w:r>
      <w:r w:rsidRPr="00511954">
        <w:rPr>
          <w:rFonts w:ascii="Palatino Linotype" w:hAnsi="Palatino Linotype"/>
          <w:b w:val="0"/>
        </w:rPr>
        <w:t xml:space="preserve"> by requiring </w:t>
      </w:r>
      <w:r w:rsidRPr="00511954" w:rsidR="007E3087">
        <w:rPr>
          <w:rFonts w:ascii="Palatino Linotype" w:hAnsi="Palatino Linotype"/>
          <w:b w:val="0"/>
        </w:rPr>
        <w:t xml:space="preserve">these </w:t>
      </w:r>
      <w:r w:rsidRPr="00511954">
        <w:rPr>
          <w:rFonts w:ascii="Palatino Linotype" w:hAnsi="Palatino Linotype"/>
          <w:b w:val="0"/>
        </w:rPr>
        <w:t>projects</w:t>
      </w:r>
      <w:r w:rsidRPr="00511954" w:rsidR="007E3087">
        <w:rPr>
          <w:rFonts w:ascii="Palatino Linotype" w:hAnsi="Palatino Linotype"/>
          <w:b w:val="0"/>
        </w:rPr>
        <w:t xml:space="preserve"> to </w:t>
      </w:r>
      <w:r w:rsidRPr="00511954">
        <w:rPr>
          <w:rFonts w:ascii="Palatino Linotype" w:hAnsi="Palatino Linotype"/>
          <w:b w:val="0"/>
        </w:rPr>
        <w:t>be proportionally responsible for SCE’s costs associated with aggregation</w:t>
      </w:r>
      <w:r w:rsidRPr="00511954" w:rsidR="007E3087">
        <w:rPr>
          <w:rFonts w:ascii="Palatino Linotype" w:hAnsi="Palatino Linotype"/>
          <w:b w:val="0"/>
        </w:rPr>
        <w:t xml:space="preserve">, including </w:t>
      </w:r>
      <w:r w:rsidRPr="00511954">
        <w:rPr>
          <w:rFonts w:ascii="Palatino Linotype" w:hAnsi="Palatino Linotype"/>
          <w:b w:val="0"/>
        </w:rPr>
        <w:t xml:space="preserve">additional telemetry, metering, interconnection, and administrative costs. </w:t>
      </w:r>
      <w:r w:rsidRPr="00511954" w:rsidR="007E3087">
        <w:rPr>
          <w:rFonts w:ascii="Palatino Linotype" w:hAnsi="Palatino Linotype"/>
          <w:b w:val="0"/>
        </w:rPr>
        <w:t>IREC</w:t>
      </w:r>
      <w:r w:rsidRPr="00511954" w:rsidR="0007251F">
        <w:rPr>
          <w:rFonts w:ascii="Palatino Linotype" w:hAnsi="Palatino Linotype"/>
          <w:b w:val="0"/>
        </w:rPr>
        <w:t>/</w:t>
      </w:r>
      <w:r w:rsidRPr="00511954" w:rsidR="007E3087">
        <w:rPr>
          <w:rFonts w:ascii="Palatino Linotype" w:hAnsi="Palatino Linotype"/>
          <w:b w:val="0"/>
        </w:rPr>
        <w:t xml:space="preserve">SELC note that the </w:t>
      </w:r>
      <w:r w:rsidRPr="00511954" w:rsidR="00A165B3">
        <w:rPr>
          <w:rFonts w:ascii="Palatino Linotype" w:hAnsi="Palatino Linotype"/>
          <w:b w:val="0"/>
        </w:rPr>
        <w:t>Decision</w:t>
      </w:r>
      <w:r w:rsidRPr="00511954" w:rsidR="007E3087">
        <w:rPr>
          <w:rFonts w:ascii="Palatino Linotype" w:hAnsi="Palatino Linotype"/>
          <w:b w:val="0"/>
        </w:rPr>
        <w:t xml:space="preserve"> explicitly states there is no minimum size for CSGT projects and as such, “the Energy Division should ensure that the utilities do not place unnecessary impediments on smaller sized projects.”</w:t>
      </w:r>
      <w:r w:rsidRPr="00511954" w:rsidR="007E3087">
        <w:rPr>
          <w:rStyle w:val="FootnoteReference"/>
          <w:rFonts w:ascii="Palatino Linotype" w:hAnsi="Palatino Linotype"/>
          <w:b w:val="0"/>
        </w:rPr>
        <w:footnoteReference w:id="24"/>
      </w:r>
    </w:p>
    <w:p w:rsidRPr="00511954" w:rsidR="007E3087" w:rsidP="00EB3892" w:rsidRDefault="007E3087" w14:paraId="5BAEBDE1" w14:textId="4A032870">
      <w:pPr>
        <w:autoSpaceDE w:val="0"/>
        <w:autoSpaceDN w:val="0"/>
        <w:adjustRightInd w:val="0"/>
        <w:rPr>
          <w:rFonts w:ascii="Palatino Linotype" w:hAnsi="Palatino Linotype" w:cs="TimesNewRoman"/>
          <w:b/>
          <w:szCs w:val="24"/>
        </w:rPr>
      </w:pPr>
      <w:r w:rsidRPr="00511954">
        <w:rPr>
          <w:rFonts w:ascii="Palatino Linotype" w:hAnsi="Palatino Linotype" w:cs="TimesNewRoman"/>
          <w:b/>
          <w:szCs w:val="24"/>
        </w:rPr>
        <w:t>PG&amp;E’s, SCE’s, and SDG&amp;E’s Replies to IREC</w:t>
      </w:r>
      <w:r w:rsidRPr="00511954" w:rsidR="0007251F">
        <w:rPr>
          <w:rFonts w:ascii="Palatino Linotype" w:hAnsi="Palatino Linotype" w:cs="TimesNewRoman"/>
          <w:b/>
          <w:szCs w:val="24"/>
        </w:rPr>
        <w:t>/</w:t>
      </w:r>
      <w:r w:rsidRPr="00511954">
        <w:rPr>
          <w:rFonts w:ascii="Palatino Linotype" w:hAnsi="Palatino Linotype" w:cs="TimesNewRoman"/>
          <w:b/>
          <w:szCs w:val="24"/>
        </w:rPr>
        <w:t>SELC’s Response</w:t>
      </w:r>
    </w:p>
    <w:p w:rsidRPr="00511954" w:rsidR="004F3A8B" w:rsidP="004F3A8B" w:rsidRDefault="004F3A8B" w14:paraId="59B74883" w14:textId="76333816">
      <w:pPr>
        <w:autoSpaceDE w:val="0"/>
        <w:autoSpaceDN w:val="0"/>
        <w:adjustRightInd w:val="0"/>
        <w:rPr>
          <w:rFonts w:ascii="Palatino Linotype" w:hAnsi="Palatino Linotype" w:cs="TimesNewRoman"/>
          <w:szCs w:val="24"/>
          <w:u w:val="single"/>
        </w:rPr>
      </w:pPr>
      <w:r w:rsidRPr="00511954">
        <w:rPr>
          <w:rFonts w:ascii="Palatino Linotype" w:hAnsi="Palatino Linotype" w:cs="TimesNewRoman"/>
          <w:szCs w:val="24"/>
          <w:u w:val="single"/>
        </w:rPr>
        <w:t>20</w:t>
      </w:r>
      <w:r w:rsidRPr="00511954" w:rsidR="00530D31">
        <w:rPr>
          <w:rFonts w:ascii="Palatino Linotype" w:hAnsi="Palatino Linotype" w:cs="TimesNewRoman"/>
          <w:szCs w:val="24"/>
          <w:u w:val="single"/>
        </w:rPr>
        <w:t xml:space="preserve"> Percent</w:t>
      </w:r>
      <w:r w:rsidRPr="00511954">
        <w:rPr>
          <w:rFonts w:ascii="Palatino Linotype" w:hAnsi="Palatino Linotype" w:cs="TimesNewRoman"/>
          <w:szCs w:val="24"/>
          <w:u w:val="single"/>
        </w:rPr>
        <w:t xml:space="preserve"> Discount on Customer</w:t>
      </w:r>
      <w:r w:rsidRPr="00511954" w:rsidR="0007251F">
        <w:rPr>
          <w:rFonts w:ascii="Palatino Linotype" w:hAnsi="Palatino Linotype" w:cs="TimesNewRoman"/>
          <w:szCs w:val="24"/>
          <w:u w:val="single"/>
        </w:rPr>
        <w:t>’</w:t>
      </w:r>
      <w:r w:rsidRPr="00511954">
        <w:rPr>
          <w:rFonts w:ascii="Palatino Linotype" w:hAnsi="Palatino Linotype" w:cs="TimesNewRoman"/>
          <w:szCs w:val="24"/>
          <w:u w:val="single"/>
        </w:rPr>
        <w:t>s Entire Bill</w:t>
      </w:r>
    </w:p>
    <w:p w:rsidRPr="00511954" w:rsidR="00F07027" w:rsidP="00D519E1" w:rsidRDefault="007E3087" w14:paraId="6765B961" w14:textId="5D816973">
      <w:pPr>
        <w:autoSpaceDE w:val="0"/>
        <w:autoSpaceDN w:val="0"/>
        <w:adjustRightInd w:val="0"/>
        <w:spacing w:after="240"/>
        <w:rPr>
          <w:rFonts w:ascii="Palatino Linotype" w:hAnsi="Palatino Linotype"/>
        </w:rPr>
      </w:pPr>
      <w:r w:rsidRPr="00511954">
        <w:rPr>
          <w:rFonts w:ascii="Palatino Linotype" w:hAnsi="Palatino Linotype" w:cs="TimesNewRoman"/>
          <w:szCs w:val="24"/>
        </w:rPr>
        <w:t>In their replies</w:t>
      </w:r>
      <w:r w:rsidRPr="00511954" w:rsidR="00B137F0">
        <w:rPr>
          <w:rFonts w:ascii="Palatino Linotype" w:hAnsi="Palatino Linotype" w:cs="TimesNewRoman"/>
          <w:szCs w:val="24"/>
        </w:rPr>
        <w:t xml:space="preserve"> to </w:t>
      </w:r>
      <w:r w:rsidRPr="00511954" w:rsidR="0007251F">
        <w:rPr>
          <w:rFonts w:ascii="Palatino Linotype" w:hAnsi="Palatino Linotype" w:cs="TimesNewRoman"/>
          <w:szCs w:val="24"/>
        </w:rPr>
        <w:t>IREC/SELC</w:t>
      </w:r>
      <w:r w:rsidRPr="00511954">
        <w:rPr>
          <w:rFonts w:ascii="Palatino Linotype" w:hAnsi="Palatino Linotype" w:cs="TimesNewRoman"/>
          <w:szCs w:val="24"/>
        </w:rPr>
        <w:t>, both S</w:t>
      </w:r>
      <w:r w:rsidRPr="00511954" w:rsidR="00F07027">
        <w:rPr>
          <w:rFonts w:ascii="Palatino Linotype" w:hAnsi="Palatino Linotype"/>
        </w:rPr>
        <w:t>DG&amp;E and SCE clarif</w:t>
      </w:r>
      <w:r w:rsidRPr="00511954">
        <w:rPr>
          <w:rFonts w:ascii="Palatino Linotype" w:hAnsi="Palatino Linotype"/>
        </w:rPr>
        <w:t>y</w:t>
      </w:r>
      <w:r w:rsidR="00F32BA3">
        <w:rPr>
          <w:rFonts w:ascii="Palatino Linotype" w:hAnsi="Palatino Linotype"/>
        </w:rPr>
        <w:t xml:space="preserve"> that</w:t>
      </w:r>
      <w:r w:rsidRPr="00511954" w:rsidR="00F07027">
        <w:rPr>
          <w:rFonts w:ascii="Palatino Linotype" w:hAnsi="Palatino Linotype"/>
        </w:rPr>
        <w:t xml:space="preserve"> they are </w:t>
      </w:r>
      <w:r w:rsidRPr="00511954">
        <w:rPr>
          <w:rFonts w:ascii="Palatino Linotype" w:hAnsi="Palatino Linotype"/>
        </w:rPr>
        <w:t>applying the 20</w:t>
      </w:r>
      <w:r w:rsidRPr="00511954" w:rsidR="00530D31">
        <w:rPr>
          <w:rFonts w:ascii="Palatino Linotype" w:hAnsi="Palatino Linotype"/>
        </w:rPr>
        <w:t xml:space="preserve"> percent</w:t>
      </w:r>
      <w:r w:rsidRPr="00511954">
        <w:rPr>
          <w:rFonts w:ascii="Palatino Linotype" w:hAnsi="Palatino Linotype"/>
        </w:rPr>
        <w:t xml:space="preserve"> bill discount to </w:t>
      </w:r>
      <w:r w:rsidRPr="00511954" w:rsidR="0007251F">
        <w:rPr>
          <w:rFonts w:ascii="Palatino Linotype" w:hAnsi="Palatino Linotype"/>
        </w:rPr>
        <w:t xml:space="preserve">a </w:t>
      </w:r>
      <w:r w:rsidRPr="00511954">
        <w:rPr>
          <w:rFonts w:ascii="Palatino Linotype" w:hAnsi="Palatino Linotype"/>
        </w:rPr>
        <w:t>customer</w:t>
      </w:r>
      <w:r w:rsidRPr="00511954" w:rsidR="0007251F">
        <w:rPr>
          <w:rFonts w:ascii="Palatino Linotype" w:hAnsi="Palatino Linotype"/>
        </w:rPr>
        <w:t>’</w:t>
      </w:r>
      <w:r w:rsidRPr="00511954">
        <w:rPr>
          <w:rFonts w:ascii="Palatino Linotype" w:hAnsi="Palatino Linotype"/>
        </w:rPr>
        <w:t>s otherwise applicable tariff</w:t>
      </w:r>
      <w:r w:rsidRPr="00511954" w:rsidR="00D9131D">
        <w:rPr>
          <w:rFonts w:ascii="Palatino Linotype" w:hAnsi="Palatino Linotype"/>
        </w:rPr>
        <w:t xml:space="preserve"> and that</w:t>
      </w:r>
      <w:r w:rsidR="00E838C2">
        <w:rPr>
          <w:rFonts w:ascii="Palatino Linotype" w:hAnsi="Palatino Linotype"/>
        </w:rPr>
        <w:t>,</w:t>
      </w:r>
      <w:r w:rsidRPr="00511954" w:rsidR="00D9131D">
        <w:rPr>
          <w:rFonts w:ascii="Palatino Linotype" w:hAnsi="Palatino Linotype"/>
        </w:rPr>
        <w:t xml:space="preserve"> </w:t>
      </w:r>
      <w:r w:rsidRPr="00511954" w:rsidR="00C97384">
        <w:rPr>
          <w:rFonts w:ascii="Palatino Linotype" w:hAnsi="Palatino Linotype"/>
        </w:rPr>
        <w:t>therefore</w:t>
      </w:r>
      <w:r w:rsidR="00E838C2">
        <w:rPr>
          <w:rFonts w:ascii="Palatino Linotype" w:hAnsi="Palatino Linotype"/>
        </w:rPr>
        <w:t>,</w:t>
      </w:r>
      <w:r w:rsidRPr="00511954">
        <w:rPr>
          <w:rFonts w:ascii="Palatino Linotype" w:hAnsi="Palatino Linotype"/>
        </w:rPr>
        <w:t xml:space="preserve"> </w:t>
      </w:r>
      <w:r w:rsidRPr="00511954" w:rsidR="0007251F">
        <w:rPr>
          <w:rFonts w:ascii="Palatino Linotype" w:hAnsi="Palatino Linotype"/>
        </w:rPr>
        <w:t xml:space="preserve">a </w:t>
      </w:r>
      <w:r w:rsidRPr="00511954" w:rsidR="00C97384">
        <w:rPr>
          <w:rFonts w:ascii="Palatino Linotype" w:hAnsi="Palatino Linotype"/>
        </w:rPr>
        <w:t xml:space="preserve">qualified </w:t>
      </w:r>
      <w:r w:rsidRPr="00511954">
        <w:rPr>
          <w:rFonts w:ascii="Palatino Linotype" w:hAnsi="Palatino Linotype"/>
        </w:rPr>
        <w:t xml:space="preserve">customer will </w:t>
      </w:r>
      <w:r w:rsidRPr="00511954" w:rsidR="00C97384">
        <w:rPr>
          <w:rFonts w:ascii="Palatino Linotype" w:hAnsi="Palatino Linotype"/>
        </w:rPr>
        <w:t>experience</w:t>
      </w:r>
      <w:r w:rsidRPr="00511954">
        <w:rPr>
          <w:rFonts w:ascii="Palatino Linotype" w:hAnsi="Palatino Linotype"/>
        </w:rPr>
        <w:t xml:space="preserve"> a 20</w:t>
      </w:r>
      <w:r w:rsidRPr="00511954" w:rsidR="00530D31">
        <w:rPr>
          <w:rFonts w:ascii="Palatino Linotype" w:hAnsi="Palatino Linotype"/>
        </w:rPr>
        <w:t xml:space="preserve"> percent</w:t>
      </w:r>
      <w:r w:rsidRPr="00511954">
        <w:rPr>
          <w:rFonts w:ascii="Palatino Linotype" w:hAnsi="Palatino Linotype"/>
        </w:rPr>
        <w:t xml:space="preserve"> discount </w:t>
      </w:r>
      <w:r w:rsidRPr="00511954" w:rsidR="00C97384">
        <w:rPr>
          <w:rFonts w:ascii="Palatino Linotype" w:hAnsi="Palatino Linotype"/>
        </w:rPr>
        <w:t>compared to t</w:t>
      </w:r>
      <w:r w:rsidRPr="00511954">
        <w:rPr>
          <w:rFonts w:ascii="Palatino Linotype" w:hAnsi="Palatino Linotype"/>
        </w:rPr>
        <w:t xml:space="preserve">heir </w:t>
      </w:r>
      <w:r w:rsidRPr="00511954" w:rsidR="00C2335B">
        <w:rPr>
          <w:rFonts w:ascii="Palatino Linotype" w:hAnsi="Palatino Linotype"/>
        </w:rPr>
        <w:t>total</w:t>
      </w:r>
      <w:r w:rsidRPr="00511954" w:rsidR="00C97384">
        <w:rPr>
          <w:rFonts w:ascii="Palatino Linotype" w:hAnsi="Palatino Linotype"/>
        </w:rPr>
        <w:t xml:space="preserve"> </w:t>
      </w:r>
      <w:r w:rsidRPr="00511954" w:rsidR="002D7394">
        <w:rPr>
          <w:rFonts w:ascii="Palatino Linotype" w:hAnsi="Palatino Linotype"/>
        </w:rPr>
        <w:t>otherwise applicable bill</w:t>
      </w:r>
      <w:r w:rsidRPr="00511954">
        <w:rPr>
          <w:rFonts w:ascii="Palatino Linotype" w:hAnsi="Palatino Linotype"/>
        </w:rPr>
        <w:t xml:space="preserve">. SCE asserts in </w:t>
      </w:r>
      <w:r w:rsidRPr="00511954" w:rsidR="0099390C">
        <w:rPr>
          <w:rFonts w:ascii="Palatino Linotype" w:hAnsi="Palatino Linotype"/>
        </w:rPr>
        <w:t>its</w:t>
      </w:r>
      <w:r w:rsidRPr="00511954">
        <w:rPr>
          <w:rFonts w:ascii="Palatino Linotype" w:hAnsi="Palatino Linotype"/>
        </w:rPr>
        <w:t xml:space="preserve"> reply, however, that </w:t>
      </w:r>
      <w:r w:rsidRPr="00511954" w:rsidR="00F07027">
        <w:rPr>
          <w:rFonts w:ascii="Palatino Linotype" w:hAnsi="Palatino Linotype"/>
        </w:rPr>
        <w:t>“</w:t>
      </w:r>
      <w:r w:rsidRPr="00511954" w:rsidR="00D519E1">
        <w:rPr>
          <w:rFonts w:ascii="Palatino Linotype" w:hAnsi="Palatino Linotype"/>
        </w:rPr>
        <w:t xml:space="preserve">SCE interprets the </w:t>
      </w:r>
      <w:r w:rsidRPr="00511954" w:rsidR="00A165B3">
        <w:rPr>
          <w:rFonts w:ascii="Palatino Linotype" w:hAnsi="Palatino Linotype"/>
        </w:rPr>
        <w:t>Decision</w:t>
      </w:r>
      <w:r w:rsidRPr="00511954" w:rsidR="00D519E1">
        <w:rPr>
          <w:rFonts w:ascii="Palatino Linotype" w:hAnsi="Palatino Linotype"/>
        </w:rPr>
        <w:t xml:space="preserve"> to require the Community Solar Green Tariff program 20-percent discount to be only for low-income customers.</w:t>
      </w:r>
      <w:r w:rsidRPr="00511954" w:rsidR="00F07027">
        <w:rPr>
          <w:rFonts w:ascii="Palatino Linotype" w:hAnsi="Palatino Linotype"/>
        </w:rPr>
        <w:t>”</w:t>
      </w:r>
      <w:r w:rsidRPr="00511954" w:rsidR="00F07027">
        <w:rPr>
          <w:rStyle w:val="FootnoteReference"/>
          <w:rFonts w:ascii="Palatino Linotype" w:hAnsi="Palatino Linotype"/>
        </w:rPr>
        <w:footnoteReference w:id="25"/>
      </w:r>
    </w:p>
    <w:p w:rsidRPr="00511954" w:rsidR="004F3A8B" w:rsidP="004F3A8B" w:rsidRDefault="004F3A8B" w14:paraId="4485BEBE" w14:textId="7F307CEC">
      <w:pPr>
        <w:pStyle w:val="BodyText"/>
        <w:rPr>
          <w:rFonts w:ascii="Palatino Linotype" w:hAnsi="Palatino Linotype"/>
          <w:b w:val="0"/>
        </w:rPr>
      </w:pPr>
      <w:r w:rsidRPr="00511954">
        <w:rPr>
          <w:rFonts w:ascii="Palatino Linotype" w:hAnsi="Palatino Linotype"/>
          <w:b w:val="0"/>
          <w:u w:val="single"/>
        </w:rPr>
        <w:t xml:space="preserve">Project Sponsor’s Bill </w:t>
      </w:r>
      <w:r w:rsidRPr="00511954" w:rsidR="002D7394">
        <w:rPr>
          <w:rFonts w:ascii="Palatino Linotype" w:hAnsi="Palatino Linotype"/>
          <w:b w:val="0"/>
          <w:u w:val="single"/>
        </w:rPr>
        <w:t>Discount</w:t>
      </w:r>
    </w:p>
    <w:p w:rsidRPr="00511954" w:rsidR="00F07027" w:rsidP="00EE43E2" w:rsidRDefault="00D33BAF" w14:paraId="59F34634" w14:textId="6B183A06">
      <w:pPr>
        <w:pStyle w:val="BodyText"/>
        <w:spacing w:after="240"/>
        <w:rPr>
          <w:rFonts w:ascii="Palatino Linotype" w:hAnsi="Palatino Linotype"/>
          <w:b w:val="0"/>
        </w:rPr>
      </w:pPr>
      <w:r w:rsidRPr="00511954">
        <w:rPr>
          <w:rFonts w:ascii="Palatino Linotype" w:hAnsi="Palatino Linotype"/>
          <w:b w:val="0"/>
        </w:rPr>
        <w:t xml:space="preserve">Regarding </w:t>
      </w:r>
      <w:r w:rsidRPr="00511954" w:rsidR="00B137F0">
        <w:rPr>
          <w:rFonts w:ascii="Palatino Linotype" w:hAnsi="Palatino Linotype"/>
          <w:b w:val="0"/>
        </w:rPr>
        <w:t>IREC</w:t>
      </w:r>
      <w:r w:rsidRPr="00511954" w:rsidR="007C3CDD">
        <w:rPr>
          <w:rFonts w:ascii="Palatino Linotype" w:hAnsi="Palatino Linotype"/>
          <w:b w:val="0"/>
        </w:rPr>
        <w:t>/</w:t>
      </w:r>
      <w:r w:rsidRPr="00511954" w:rsidR="00B137F0">
        <w:rPr>
          <w:rFonts w:ascii="Palatino Linotype" w:hAnsi="Palatino Linotype"/>
          <w:b w:val="0"/>
        </w:rPr>
        <w:t>SELC’s assertion that</w:t>
      </w:r>
      <w:r w:rsidRPr="00511954">
        <w:rPr>
          <w:rFonts w:ascii="Palatino Linotype" w:hAnsi="Palatino Linotype"/>
          <w:b w:val="0"/>
        </w:rPr>
        <w:t xml:space="preserve"> a</w:t>
      </w:r>
      <w:r w:rsidRPr="00511954" w:rsidR="00F07027">
        <w:rPr>
          <w:rFonts w:ascii="Palatino Linotype" w:hAnsi="Palatino Linotype"/>
          <w:b w:val="0"/>
        </w:rPr>
        <w:t xml:space="preserve"> CSGT project sponsor should be able to retain the</w:t>
      </w:r>
      <w:r w:rsidRPr="00511954">
        <w:rPr>
          <w:rFonts w:ascii="Palatino Linotype" w:hAnsi="Palatino Linotype"/>
          <w:b w:val="0"/>
        </w:rPr>
        <w:t xml:space="preserve"> 20</w:t>
      </w:r>
      <w:r w:rsidRPr="00511954" w:rsidR="00530D31">
        <w:rPr>
          <w:rFonts w:ascii="Palatino Linotype" w:hAnsi="Palatino Linotype"/>
          <w:b w:val="0"/>
        </w:rPr>
        <w:t xml:space="preserve"> percent</w:t>
      </w:r>
      <w:r w:rsidRPr="00511954" w:rsidR="00F07027">
        <w:rPr>
          <w:rFonts w:ascii="Palatino Linotype" w:hAnsi="Palatino Linotype"/>
          <w:b w:val="0"/>
        </w:rPr>
        <w:t xml:space="preserve"> bill discount once </w:t>
      </w:r>
      <w:r w:rsidRPr="00511954" w:rsidR="00C97384">
        <w:rPr>
          <w:rFonts w:ascii="Palatino Linotype" w:hAnsi="Palatino Linotype"/>
          <w:b w:val="0"/>
        </w:rPr>
        <w:t xml:space="preserve">the </w:t>
      </w:r>
      <w:r w:rsidRPr="00511954" w:rsidR="00F07027">
        <w:rPr>
          <w:rFonts w:ascii="Palatino Linotype" w:hAnsi="Palatino Linotype"/>
          <w:b w:val="0"/>
        </w:rPr>
        <w:t>50</w:t>
      </w:r>
      <w:r w:rsidRPr="00511954" w:rsidR="00530D31">
        <w:rPr>
          <w:rFonts w:ascii="Palatino Linotype" w:hAnsi="Palatino Linotype"/>
          <w:b w:val="0"/>
        </w:rPr>
        <w:t xml:space="preserve"> percent</w:t>
      </w:r>
      <w:r w:rsidRPr="00511954" w:rsidR="00F07027">
        <w:rPr>
          <w:rFonts w:ascii="Palatino Linotype" w:hAnsi="Palatino Linotype"/>
          <w:b w:val="0"/>
        </w:rPr>
        <w:t xml:space="preserve"> </w:t>
      </w:r>
      <w:r w:rsidRPr="00511954" w:rsidR="00C97384">
        <w:rPr>
          <w:rFonts w:ascii="Palatino Linotype" w:hAnsi="Palatino Linotype"/>
          <w:b w:val="0"/>
        </w:rPr>
        <w:t>low</w:t>
      </w:r>
      <w:r w:rsidRPr="00511954" w:rsidR="007C3CDD">
        <w:rPr>
          <w:rFonts w:ascii="Palatino Linotype" w:hAnsi="Palatino Linotype"/>
          <w:b w:val="0"/>
        </w:rPr>
        <w:t>-</w:t>
      </w:r>
      <w:r w:rsidRPr="00511954" w:rsidR="00C97384">
        <w:rPr>
          <w:rFonts w:ascii="Palatino Linotype" w:hAnsi="Palatino Linotype"/>
          <w:b w:val="0"/>
        </w:rPr>
        <w:t>income threshold is reached,</w:t>
      </w:r>
      <w:r w:rsidRPr="00511954">
        <w:rPr>
          <w:rFonts w:ascii="Palatino Linotype" w:hAnsi="Palatino Linotype"/>
          <w:b w:val="0"/>
        </w:rPr>
        <w:t xml:space="preserve"> a</w:t>
      </w:r>
      <w:r w:rsidRPr="00511954" w:rsidR="00F07027">
        <w:rPr>
          <w:rFonts w:ascii="Palatino Linotype" w:hAnsi="Palatino Linotype"/>
          <w:b w:val="0"/>
        </w:rPr>
        <w:t>ll three IOUs agree</w:t>
      </w:r>
      <w:r w:rsidRPr="00511954" w:rsidR="002D7394">
        <w:rPr>
          <w:rFonts w:ascii="Palatino Linotype" w:hAnsi="Palatino Linotype"/>
          <w:b w:val="0"/>
        </w:rPr>
        <w:t xml:space="preserve"> </w:t>
      </w:r>
      <w:r w:rsidRPr="00511954">
        <w:rPr>
          <w:rFonts w:ascii="Palatino Linotype" w:hAnsi="Palatino Linotype"/>
          <w:b w:val="0"/>
        </w:rPr>
        <w:t>that this</w:t>
      </w:r>
      <w:r w:rsidRPr="00511954" w:rsidR="00F07027">
        <w:rPr>
          <w:rFonts w:ascii="Palatino Linotype" w:hAnsi="Palatino Linotype"/>
          <w:b w:val="0"/>
        </w:rPr>
        <w:t xml:space="preserve"> is the correct approach</w:t>
      </w:r>
      <w:r w:rsidRPr="00511954">
        <w:rPr>
          <w:rFonts w:ascii="Palatino Linotype" w:hAnsi="Palatino Linotype"/>
          <w:b w:val="0"/>
        </w:rPr>
        <w:t>.</w:t>
      </w:r>
      <w:r w:rsidRPr="00511954" w:rsidR="00F07027">
        <w:rPr>
          <w:rFonts w:ascii="Palatino Linotype" w:hAnsi="Palatino Linotype"/>
          <w:b w:val="0"/>
        </w:rPr>
        <w:t xml:space="preserve"> PG&amp;E already included </w:t>
      </w:r>
      <w:r w:rsidRPr="00511954">
        <w:rPr>
          <w:rFonts w:ascii="Palatino Linotype" w:hAnsi="Palatino Linotype"/>
          <w:b w:val="0"/>
        </w:rPr>
        <w:t xml:space="preserve">language in </w:t>
      </w:r>
      <w:r w:rsidRPr="00511954" w:rsidR="007C3CDD">
        <w:rPr>
          <w:rFonts w:ascii="Palatino Linotype" w:hAnsi="Palatino Linotype"/>
          <w:b w:val="0"/>
        </w:rPr>
        <w:t>its AL</w:t>
      </w:r>
      <w:r w:rsidRPr="00511954">
        <w:rPr>
          <w:rFonts w:ascii="Palatino Linotype" w:hAnsi="Palatino Linotype"/>
          <w:b w:val="0"/>
        </w:rPr>
        <w:t xml:space="preserve"> to enable project sponsors to retain bill credits even if low</w:t>
      </w:r>
      <w:r w:rsidRPr="00511954" w:rsidR="007C3CDD">
        <w:rPr>
          <w:rFonts w:ascii="Palatino Linotype" w:hAnsi="Palatino Linotype"/>
          <w:b w:val="0"/>
        </w:rPr>
        <w:t>-</w:t>
      </w:r>
      <w:r w:rsidRPr="00511954">
        <w:rPr>
          <w:rFonts w:ascii="Palatino Linotype" w:hAnsi="Palatino Linotype"/>
          <w:b w:val="0"/>
        </w:rPr>
        <w:t>income subscriptions subsequently fall below 50</w:t>
      </w:r>
      <w:r w:rsidRPr="00511954" w:rsidR="00530D31">
        <w:rPr>
          <w:rFonts w:ascii="Palatino Linotype" w:hAnsi="Palatino Linotype"/>
          <w:b w:val="0"/>
        </w:rPr>
        <w:t xml:space="preserve"> percent</w:t>
      </w:r>
      <w:r w:rsidRPr="00511954">
        <w:rPr>
          <w:rFonts w:ascii="Palatino Linotype" w:hAnsi="Palatino Linotype"/>
          <w:b w:val="0"/>
        </w:rPr>
        <w:t xml:space="preserve">. </w:t>
      </w:r>
      <w:r w:rsidRPr="00511954" w:rsidR="00EE43E2">
        <w:rPr>
          <w:rFonts w:ascii="Palatino Linotype" w:hAnsi="Palatino Linotype"/>
          <w:b w:val="0"/>
        </w:rPr>
        <w:t>SCE agreed</w:t>
      </w:r>
      <w:r w:rsidRPr="00511954" w:rsidR="0021702E">
        <w:rPr>
          <w:rFonts w:ascii="Palatino Linotype" w:hAnsi="Palatino Linotype"/>
          <w:b w:val="0"/>
        </w:rPr>
        <w:t xml:space="preserve"> in its reply</w:t>
      </w:r>
      <w:r w:rsidRPr="00511954" w:rsidR="00EE43E2">
        <w:rPr>
          <w:rFonts w:ascii="Palatino Linotype" w:hAnsi="Palatino Linotype"/>
          <w:b w:val="0"/>
        </w:rPr>
        <w:t xml:space="preserve"> to make the necessary change to </w:t>
      </w:r>
      <w:r w:rsidRPr="00511954" w:rsidR="0021702E">
        <w:rPr>
          <w:rFonts w:ascii="Palatino Linotype" w:hAnsi="Palatino Linotype"/>
          <w:b w:val="0"/>
        </w:rPr>
        <w:t>its</w:t>
      </w:r>
      <w:r w:rsidRPr="00511954" w:rsidR="00EE43E2">
        <w:rPr>
          <w:rFonts w:ascii="Palatino Linotype" w:hAnsi="Palatino Linotype"/>
          <w:b w:val="0"/>
        </w:rPr>
        <w:t xml:space="preserve"> implementation plan and submitted supplemental AL 3851-E-A on February 27, 2019, in part to enact this provision.  </w:t>
      </w:r>
      <w:r w:rsidRPr="00511954" w:rsidR="00F07027">
        <w:rPr>
          <w:rFonts w:ascii="Palatino Linotype" w:hAnsi="Palatino Linotype"/>
          <w:b w:val="0"/>
        </w:rPr>
        <w:t xml:space="preserve">SDG&amp;E </w:t>
      </w:r>
      <w:r w:rsidRPr="00511954" w:rsidR="00EE43E2">
        <w:rPr>
          <w:rFonts w:ascii="Palatino Linotype" w:hAnsi="Palatino Linotype"/>
          <w:b w:val="0"/>
        </w:rPr>
        <w:t>generally agreed with this approach but intends to retain some flexibility, stating in its reply, “While SDG&amp;E’s CSGT tariff contains no automatic trigger for removing Community Sponsor eligibility in the event of the low-income participation falling below 50% of the project capacity, SDG&amp;E also declines to offer a guarantee of Community Sponsor eligibility for projects that do not continue to meet the programs</w:t>
      </w:r>
      <w:r w:rsidRPr="00511954" w:rsidR="00EF295A">
        <w:rPr>
          <w:rFonts w:ascii="Palatino Linotype" w:hAnsi="Palatino Linotype"/>
          <w:b w:val="0"/>
        </w:rPr>
        <w:t xml:space="preserve"> [sic]</w:t>
      </w:r>
      <w:r w:rsidRPr="00511954" w:rsidR="00EE43E2">
        <w:rPr>
          <w:rFonts w:ascii="Palatino Linotype" w:hAnsi="Palatino Linotype"/>
          <w:b w:val="0"/>
        </w:rPr>
        <w:t xml:space="preserve"> intent.</w:t>
      </w:r>
      <w:r w:rsidRPr="00511954" w:rsidR="00C97384">
        <w:rPr>
          <w:rFonts w:ascii="Palatino Linotype" w:hAnsi="Palatino Linotype"/>
          <w:b w:val="0"/>
        </w:rPr>
        <w:t>”</w:t>
      </w:r>
      <w:r w:rsidRPr="00511954" w:rsidR="00C97384">
        <w:rPr>
          <w:rStyle w:val="FootnoteReference"/>
          <w:rFonts w:ascii="Palatino Linotype" w:hAnsi="Palatino Linotype"/>
          <w:b w:val="0"/>
        </w:rPr>
        <w:footnoteReference w:id="26"/>
      </w:r>
      <w:r w:rsidRPr="00511954" w:rsidR="00C97384">
        <w:rPr>
          <w:rFonts w:ascii="Palatino Linotype" w:hAnsi="Palatino Linotype"/>
          <w:b w:val="0"/>
        </w:rPr>
        <w:t xml:space="preserve"> </w:t>
      </w:r>
    </w:p>
    <w:p w:rsidRPr="00511954" w:rsidR="004F3A8B" w:rsidP="004F3A8B" w:rsidRDefault="004F3A8B" w14:paraId="64D92828" w14:textId="77777777">
      <w:pPr>
        <w:pStyle w:val="BodyText"/>
        <w:rPr>
          <w:rFonts w:ascii="Palatino Linotype" w:hAnsi="Palatino Linotype"/>
          <w:b w:val="0"/>
          <w:u w:val="single"/>
        </w:rPr>
      </w:pPr>
      <w:r w:rsidRPr="00511954">
        <w:rPr>
          <w:rFonts w:ascii="Palatino Linotype" w:hAnsi="Palatino Linotype"/>
          <w:b w:val="0"/>
          <w:u w:val="single"/>
        </w:rPr>
        <w:t xml:space="preserve">RFO Timeline </w:t>
      </w:r>
    </w:p>
    <w:p w:rsidRPr="00511954" w:rsidR="009E4BDE" w:rsidP="009E4BDE" w:rsidRDefault="00EE43E2" w14:paraId="79E67C9D" w14:textId="5D46DAC9">
      <w:pPr>
        <w:pStyle w:val="BodyText"/>
        <w:spacing w:after="240"/>
        <w:rPr>
          <w:rFonts w:ascii="Palatino Linotype" w:hAnsi="Palatino Linotype"/>
          <w:b w:val="0"/>
        </w:rPr>
      </w:pPr>
      <w:r w:rsidRPr="00511954">
        <w:rPr>
          <w:rFonts w:ascii="Palatino Linotype" w:hAnsi="Palatino Linotype"/>
          <w:b w:val="0"/>
        </w:rPr>
        <w:t xml:space="preserve">In their replies, </w:t>
      </w:r>
      <w:r w:rsidRPr="00511954" w:rsidR="00B60C9A">
        <w:rPr>
          <w:rFonts w:ascii="Palatino Linotype" w:hAnsi="Palatino Linotype"/>
          <w:b w:val="0"/>
        </w:rPr>
        <w:t>PG&amp;E and SDG&amp;E argue against IREC</w:t>
      </w:r>
      <w:r w:rsidRPr="00511954" w:rsidR="007C3CDD">
        <w:rPr>
          <w:rFonts w:ascii="Palatino Linotype" w:hAnsi="Palatino Linotype"/>
          <w:b w:val="0"/>
        </w:rPr>
        <w:t>/</w:t>
      </w:r>
      <w:r w:rsidRPr="00511954" w:rsidR="00B60C9A">
        <w:rPr>
          <w:rFonts w:ascii="Palatino Linotype" w:hAnsi="Palatino Linotype"/>
          <w:b w:val="0"/>
        </w:rPr>
        <w:t xml:space="preserve">SELC’s request that the </w:t>
      </w:r>
      <w:r w:rsidRPr="00511954" w:rsidR="00D33BAF">
        <w:rPr>
          <w:rFonts w:ascii="Palatino Linotype" w:hAnsi="Palatino Linotype"/>
          <w:b w:val="0"/>
        </w:rPr>
        <w:t xml:space="preserve">IOUs </w:t>
      </w:r>
      <w:r w:rsidRPr="00511954" w:rsidR="00D9161F">
        <w:rPr>
          <w:rFonts w:ascii="Palatino Linotype" w:hAnsi="Palatino Linotype"/>
          <w:b w:val="0"/>
        </w:rPr>
        <w:t xml:space="preserve">issue </w:t>
      </w:r>
      <w:r w:rsidRPr="00511954" w:rsidR="00B60C9A">
        <w:rPr>
          <w:rFonts w:ascii="Palatino Linotype" w:hAnsi="Palatino Linotype"/>
          <w:b w:val="0"/>
        </w:rPr>
        <w:t>the first</w:t>
      </w:r>
      <w:r w:rsidRPr="00511954" w:rsidR="00D33BAF">
        <w:rPr>
          <w:rFonts w:ascii="Palatino Linotype" w:hAnsi="Palatino Linotype"/>
          <w:b w:val="0"/>
        </w:rPr>
        <w:t xml:space="preserve"> RFO by August 1, 2019</w:t>
      </w:r>
      <w:r w:rsidRPr="00511954" w:rsidR="002C53C3">
        <w:rPr>
          <w:rFonts w:ascii="Palatino Linotype" w:hAnsi="Palatino Linotype"/>
          <w:b w:val="0"/>
        </w:rPr>
        <w:t xml:space="preserve">. </w:t>
      </w:r>
      <w:r w:rsidRPr="00511954" w:rsidR="00B60C9A">
        <w:rPr>
          <w:rFonts w:ascii="Palatino Linotype" w:hAnsi="Palatino Linotype"/>
          <w:b w:val="0"/>
        </w:rPr>
        <w:t xml:space="preserve">SCE </w:t>
      </w:r>
      <w:r w:rsidRPr="00511954" w:rsidR="00D9161F">
        <w:rPr>
          <w:rFonts w:ascii="Palatino Linotype" w:hAnsi="Palatino Linotype"/>
          <w:b w:val="0"/>
        </w:rPr>
        <w:t>is silent on this issue</w:t>
      </w:r>
      <w:r w:rsidRPr="00511954" w:rsidR="00B60C9A">
        <w:rPr>
          <w:rFonts w:ascii="Palatino Linotype" w:hAnsi="Palatino Linotype"/>
          <w:b w:val="0"/>
        </w:rPr>
        <w:t xml:space="preserve"> in </w:t>
      </w:r>
      <w:r w:rsidRPr="00511954" w:rsidR="009B2CA8">
        <w:rPr>
          <w:rFonts w:ascii="Palatino Linotype" w:hAnsi="Palatino Linotype"/>
          <w:b w:val="0"/>
        </w:rPr>
        <w:t>its</w:t>
      </w:r>
      <w:r w:rsidRPr="00511954" w:rsidR="00B60C9A">
        <w:rPr>
          <w:rFonts w:ascii="Palatino Linotype" w:hAnsi="Palatino Linotype"/>
          <w:b w:val="0"/>
        </w:rPr>
        <w:t xml:space="preserve"> reply. PG&amp;E notes that community sponsors should have access to Marketing, Education, and Outreach (ME&amp;O) funding prior to the first RFO for CSGT. As such, PG&amp;E seeks a minimum of </w:t>
      </w:r>
      <w:r w:rsidRPr="00511954" w:rsidR="007C3CDD">
        <w:rPr>
          <w:rFonts w:ascii="Palatino Linotype" w:hAnsi="Palatino Linotype"/>
          <w:b w:val="0"/>
        </w:rPr>
        <w:t>six</w:t>
      </w:r>
      <w:r w:rsidRPr="00511954" w:rsidR="00B60C9A">
        <w:rPr>
          <w:rFonts w:ascii="Palatino Linotype" w:hAnsi="Palatino Linotype"/>
          <w:b w:val="0"/>
        </w:rPr>
        <w:t xml:space="preserve"> months between the approval of the ME&amp;O plan and budget before the first RFO.</w:t>
      </w:r>
      <w:r w:rsidRPr="00511954" w:rsidR="00D33BAF">
        <w:rPr>
          <w:rFonts w:ascii="Palatino Linotype" w:hAnsi="Palatino Linotype"/>
          <w:b w:val="0"/>
        </w:rPr>
        <w:t xml:space="preserve"> </w:t>
      </w:r>
      <w:r w:rsidRPr="00511954" w:rsidR="009E4BDE">
        <w:rPr>
          <w:rFonts w:ascii="Palatino Linotype" w:hAnsi="Palatino Linotype"/>
          <w:b w:val="0"/>
        </w:rPr>
        <w:t xml:space="preserve">SDG&amp;E </w:t>
      </w:r>
      <w:r w:rsidRPr="00511954" w:rsidR="005345AC">
        <w:rPr>
          <w:rFonts w:ascii="Palatino Linotype" w:hAnsi="Palatino Linotype"/>
          <w:b w:val="0"/>
        </w:rPr>
        <w:t>reiterates that program implementation will be impacted by its</w:t>
      </w:r>
      <w:r w:rsidRPr="00511954" w:rsidR="009E4BDE">
        <w:rPr>
          <w:rFonts w:ascii="Palatino Linotype" w:hAnsi="Palatino Linotype"/>
          <w:b w:val="0"/>
        </w:rPr>
        <w:t xml:space="preserve"> </w:t>
      </w:r>
      <w:r w:rsidRPr="00511954" w:rsidR="002D7394">
        <w:rPr>
          <w:rFonts w:ascii="Palatino Linotype" w:hAnsi="Palatino Linotype"/>
          <w:b w:val="0"/>
        </w:rPr>
        <w:t xml:space="preserve">customer billing </w:t>
      </w:r>
      <w:r w:rsidRPr="00511954" w:rsidR="009E4BDE">
        <w:rPr>
          <w:rFonts w:ascii="Palatino Linotype" w:hAnsi="Palatino Linotype"/>
          <w:b w:val="0"/>
        </w:rPr>
        <w:t xml:space="preserve">system freeze that </w:t>
      </w:r>
      <w:r w:rsidRPr="00511954" w:rsidR="00FB5068">
        <w:rPr>
          <w:rFonts w:ascii="Palatino Linotype" w:hAnsi="Palatino Linotype"/>
          <w:b w:val="0"/>
        </w:rPr>
        <w:t>will</w:t>
      </w:r>
      <w:r w:rsidRPr="00511954" w:rsidR="009E4BDE">
        <w:rPr>
          <w:rFonts w:ascii="Palatino Linotype" w:hAnsi="Palatino Linotype"/>
          <w:b w:val="0"/>
        </w:rPr>
        <w:t xml:space="preserve"> occur as part of </w:t>
      </w:r>
      <w:r w:rsidRPr="00511954" w:rsidR="005345AC">
        <w:rPr>
          <w:rFonts w:ascii="Palatino Linotype" w:hAnsi="Palatino Linotype"/>
          <w:b w:val="0"/>
        </w:rPr>
        <w:t>its</w:t>
      </w:r>
      <w:r w:rsidRPr="00511954" w:rsidR="009E4BDE">
        <w:rPr>
          <w:rFonts w:ascii="Palatino Linotype" w:hAnsi="Palatino Linotype"/>
          <w:b w:val="0"/>
        </w:rPr>
        <w:t xml:space="preserve"> billing system replacement,</w:t>
      </w:r>
      <w:r w:rsidRPr="00511954" w:rsidR="008E0EA3">
        <w:rPr>
          <w:rStyle w:val="FootnoteReference"/>
          <w:rFonts w:ascii="Palatino Linotype" w:hAnsi="Palatino Linotype"/>
          <w:b w:val="0"/>
        </w:rPr>
        <w:footnoteReference w:id="27"/>
      </w:r>
      <w:r w:rsidRPr="00511954" w:rsidR="009E4BDE">
        <w:rPr>
          <w:rFonts w:ascii="Palatino Linotype" w:hAnsi="Palatino Linotype"/>
          <w:b w:val="0"/>
        </w:rPr>
        <w:t xml:space="preserve"> concluding, “SDG&amp;E believes that the only responsible action is to delay CSGT solicitations until 2020 so that customer enrollment will align with the integration of our new billing solutions.”</w:t>
      </w:r>
      <w:r w:rsidRPr="00511954" w:rsidR="009E4BDE">
        <w:rPr>
          <w:rStyle w:val="FootnoteReference"/>
          <w:rFonts w:ascii="Palatino Linotype" w:hAnsi="Palatino Linotype"/>
          <w:b w:val="0"/>
        </w:rPr>
        <w:footnoteReference w:id="28"/>
      </w:r>
      <w:r w:rsidRPr="00511954" w:rsidR="009E4BDE">
        <w:rPr>
          <w:rFonts w:ascii="Palatino Linotype" w:hAnsi="Palatino Linotype"/>
          <w:b w:val="0"/>
        </w:rPr>
        <w:t xml:space="preserve"> </w:t>
      </w:r>
    </w:p>
    <w:p w:rsidRPr="00511954" w:rsidR="004F3A8B" w:rsidP="004F3A8B" w:rsidRDefault="004F3A8B" w14:paraId="1A479D6E" w14:textId="77777777">
      <w:pPr>
        <w:pStyle w:val="BodyText"/>
        <w:rPr>
          <w:rFonts w:ascii="Palatino Linotype" w:hAnsi="Palatino Linotype"/>
          <w:b w:val="0"/>
        </w:rPr>
      </w:pPr>
      <w:r w:rsidRPr="00511954">
        <w:rPr>
          <w:rFonts w:ascii="Palatino Linotype" w:hAnsi="Palatino Linotype"/>
          <w:b w:val="0"/>
          <w:u w:val="single"/>
        </w:rPr>
        <w:t>Customer Eligibility</w:t>
      </w:r>
    </w:p>
    <w:p w:rsidRPr="00511954" w:rsidR="00D8252D" w:rsidP="00EB3892" w:rsidRDefault="00D33BAF" w14:paraId="486F4B52" w14:textId="4ADE1920">
      <w:pPr>
        <w:pStyle w:val="BodyText"/>
        <w:spacing w:after="240"/>
        <w:rPr>
          <w:rFonts w:ascii="Palatino Linotype" w:hAnsi="Palatino Linotype"/>
          <w:b w:val="0"/>
        </w:rPr>
      </w:pPr>
      <w:r w:rsidRPr="00511954">
        <w:rPr>
          <w:rFonts w:ascii="Palatino Linotype" w:hAnsi="Palatino Linotype"/>
          <w:b w:val="0"/>
        </w:rPr>
        <w:t xml:space="preserve">On </w:t>
      </w:r>
      <w:r w:rsidRPr="00511954" w:rsidR="00EE43E2">
        <w:rPr>
          <w:rFonts w:ascii="Palatino Linotype" w:hAnsi="Palatino Linotype"/>
          <w:b w:val="0"/>
        </w:rPr>
        <w:t>customer</w:t>
      </w:r>
      <w:r w:rsidRPr="00511954">
        <w:rPr>
          <w:rFonts w:ascii="Palatino Linotype" w:hAnsi="Palatino Linotype"/>
          <w:b w:val="0"/>
        </w:rPr>
        <w:t xml:space="preserve"> eligibility, PG&amp;E agree</w:t>
      </w:r>
      <w:r w:rsidRPr="00511954" w:rsidR="00AB01D7">
        <w:rPr>
          <w:rFonts w:ascii="Palatino Linotype" w:hAnsi="Palatino Linotype"/>
          <w:b w:val="0"/>
        </w:rPr>
        <w:t>s</w:t>
      </w:r>
      <w:r w:rsidRPr="00511954">
        <w:rPr>
          <w:rFonts w:ascii="Palatino Linotype" w:hAnsi="Palatino Linotype"/>
          <w:b w:val="0"/>
        </w:rPr>
        <w:t xml:space="preserve"> with IREC</w:t>
      </w:r>
      <w:r w:rsidRPr="00511954" w:rsidR="007C3CDD">
        <w:rPr>
          <w:rFonts w:ascii="Palatino Linotype" w:hAnsi="Palatino Linotype"/>
          <w:b w:val="0"/>
        </w:rPr>
        <w:t>/</w:t>
      </w:r>
      <w:r w:rsidRPr="00511954" w:rsidR="007F6BCE">
        <w:rPr>
          <w:rFonts w:ascii="Palatino Linotype" w:hAnsi="Palatino Linotype"/>
          <w:b w:val="0"/>
        </w:rPr>
        <w:t xml:space="preserve">SELC </w:t>
      </w:r>
      <w:r w:rsidRPr="00511954">
        <w:rPr>
          <w:rFonts w:ascii="Palatino Linotype" w:hAnsi="Palatino Linotype"/>
          <w:b w:val="0"/>
        </w:rPr>
        <w:t>that master</w:t>
      </w:r>
      <w:r w:rsidRPr="00511954" w:rsidR="00547F0B">
        <w:rPr>
          <w:rFonts w:ascii="Palatino Linotype" w:hAnsi="Palatino Linotype"/>
          <w:b w:val="0"/>
        </w:rPr>
        <w:t>-</w:t>
      </w:r>
      <w:r w:rsidRPr="00511954">
        <w:rPr>
          <w:rFonts w:ascii="Palatino Linotype" w:hAnsi="Palatino Linotype"/>
          <w:b w:val="0"/>
        </w:rPr>
        <w:t>metered customers should be eligible to participate in CSGT once the 50</w:t>
      </w:r>
      <w:r w:rsidRPr="00511954" w:rsidR="00530D31">
        <w:rPr>
          <w:rFonts w:ascii="Palatino Linotype" w:hAnsi="Palatino Linotype"/>
          <w:b w:val="0"/>
        </w:rPr>
        <w:t xml:space="preserve"> percent</w:t>
      </w:r>
      <w:r w:rsidRPr="00511954">
        <w:rPr>
          <w:rFonts w:ascii="Palatino Linotype" w:hAnsi="Palatino Linotype"/>
          <w:b w:val="0"/>
        </w:rPr>
        <w:t xml:space="preserve"> low</w:t>
      </w:r>
      <w:r w:rsidRPr="00511954" w:rsidR="007C3CDD">
        <w:rPr>
          <w:rFonts w:ascii="Palatino Linotype" w:hAnsi="Palatino Linotype"/>
          <w:b w:val="0"/>
        </w:rPr>
        <w:t>-</w:t>
      </w:r>
      <w:r w:rsidRPr="00511954">
        <w:rPr>
          <w:rFonts w:ascii="Palatino Linotype" w:hAnsi="Palatino Linotype"/>
          <w:b w:val="0"/>
        </w:rPr>
        <w:t>income threshold is met.</w:t>
      </w:r>
      <w:r w:rsidRPr="00511954" w:rsidR="007F6BCE">
        <w:rPr>
          <w:rFonts w:ascii="Palatino Linotype" w:hAnsi="Palatino Linotype"/>
          <w:b w:val="0"/>
        </w:rPr>
        <w:t xml:space="preserve"> PG&amp;E filed supplemental AL 5</w:t>
      </w:r>
      <w:r w:rsidRPr="00511954" w:rsidR="00B224BD">
        <w:rPr>
          <w:rFonts w:ascii="Palatino Linotype" w:hAnsi="Palatino Linotype"/>
          <w:b w:val="0"/>
        </w:rPr>
        <w:t>3</w:t>
      </w:r>
      <w:r w:rsidRPr="00511954" w:rsidR="007F6BCE">
        <w:rPr>
          <w:rFonts w:ascii="Palatino Linotype" w:hAnsi="Palatino Linotype"/>
          <w:b w:val="0"/>
        </w:rPr>
        <w:t>62-E-A on February 13, 2019, in part to adjust its CSGT tariff to allow master</w:t>
      </w:r>
      <w:r w:rsidRPr="00511954" w:rsidR="00547F0B">
        <w:rPr>
          <w:rFonts w:ascii="Palatino Linotype" w:hAnsi="Palatino Linotype"/>
          <w:b w:val="0"/>
        </w:rPr>
        <w:t>-</w:t>
      </w:r>
      <w:r w:rsidRPr="00511954" w:rsidR="007F6BCE">
        <w:rPr>
          <w:rFonts w:ascii="Palatino Linotype" w:hAnsi="Palatino Linotype"/>
          <w:b w:val="0"/>
        </w:rPr>
        <w:t>metered customers</w:t>
      </w:r>
      <w:r w:rsidRPr="00511954">
        <w:rPr>
          <w:rFonts w:ascii="Palatino Linotype" w:hAnsi="Palatino Linotype"/>
          <w:b w:val="0"/>
        </w:rPr>
        <w:t xml:space="preserve"> </w:t>
      </w:r>
      <w:r w:rsidRPr="00511954" w:rsidR="007F6BCE">
        <w:rPr>
          <w:rFonts w:ascii="Palatino Linotype" w:hAnsi="Palatino Linotype"/>
          <w:b w:val="0"/>
        </w:rPr>
        <w:t xml:space="preserve">to participate. </w:t>
      </w:r>
      <w:r w:rsidRPr="00511954">
        <w:rPr>
          <w:rFonts w:ascii="Palatino Linotype" w:hAnsi="Palatino Linotype"/>
          <w:b w:val="0"/>
        </w:rPr>
        <w:t xml:space="preserve">In contrast, SCE and SDG&amp;E </w:t>
      </w:r>
      <w:r w:rsidRPr="00511954" w:rsidR="00AB01D7">
        <w:rPr>
          <w:rFonts w:ascii="Palatino Linotype" w:hAnsi="Palatino Linotype"/>
          <w:b w:val="0"/>
        </w:rPr>
        <w:t xml:space="preserve">assert that </w:t>
      </w:r>
      <w:r w:rsidRPr="00511954" w:rsidR="00EE43E2">
        <w:rPr>
          <w:rFonts w:ascii="Palatino Linotype" w:hAnsi="Palatino Linotype"/>
          <w:b w:val="0"/>
        </w:rPr>
        <w:t>master</w:t>
      </w:r>
      <w:r w:rsidRPr="00511954" w:rsidR="00547F0B">
        <w:rPr>
          <w:rFonts w:ascii="Palatino Linotype" w:hAnsi="Palatino Linotype"/>
          <w:b w:val="0"/>
        </w:rPr>
        <w:t>-</w:t>
      </w:r>
      <w:r w:rsidRPr="00511954" w:rsidR="00EE43E2">
        <w:rPr>
          <w:rFonts w:ascii="Palatino Linotype" w:hAnsi="Palatino Linotype"/>
          <w:b w:val="0"/>
        </w:rPr>
        <w:t xml:space="preserve">metered customers </w:t>
      </w:r>
      <w:r w:rsidRPr="00511954" w:rsidR="00AB01D7">
        <w:rPr>
          <w:rFonts w:ascii="Palatino Linotype" w:hAnsi="Palatino Linotype"/>
          <w:b w:val="0"/>
        </w:rPr>
        <w:t>should be prohibited from participating in the</w:t>
      </w:r>
      <w:r w:rsidRPr="00511954" w:rsidR="00EE43E2">
        <w:rPr>
          <w:rFonts w:ascii="Palatino Linotype" w:hAnsi="Palatino Linotype"/>
          <w:b w:val="0"/>
        </w:rPr>
        <w:t xml:space="preserve"> CSGT</w:t>
      </w:r>
      <w:r w:rsidRPr="00511954" w:rsidR="00AB01D7">
        <w:rPr>
          <w:rFonts w:ascii="Palatino Linotype" w:hAnsi="Palatino Linotype"/>
          <w:b w:val="0"/>
        </w:rPr>
        <w:t xml:space="preserve"> program because </w:t>
      </w:r>
      <w:r w:rsidRPr="00511954">
        <w:rPr>
          <w:rFonts w:ascii="Palatino Linotype" w:hAnsi="Palatino Linotype"/>
          <w:b w:val="0"/>
        </w:rPr>
        <w:t xml:space="preserve">the IOUs do not have consumption data for </w:t>
      </w:r>
      <w:r w:rsidRPr="00511954" w:rsidR="00B224BD">
        <w:rPr>
          <w:rFonts w:ascii="Palatino Linotype" w:hAnsi="Palatino Linotype"/>
          <w:b w:val="0"/>
        </w:rPr>
        <w:t>tenants</w:t>
      </w:r>
      <w:r w:rsidRPr="00511954">
        <w:rPr>
          <w:rFonts w:ascii="Palatino Linotype" w:hAnsi="Palatino Linotype"/>
          <w:b w:val="0"/>
        </w:rPr>
        <w:t xml:space="preserve"> and th</w:t>
      </w:r>
      <w:r w:rsidRPr="00511954" w:rsidR="00B224BD">
        <w:rPr>
          <w:rFonts w:ascii="Palatino Linotype" w:hAnsi="Palatino Linotype"/>
          <w:b w:val="0"/>
        </w:rPr>
        <w:t>e</w:t>
      </w:r>
      <w:r w:rsidRPr="00511954">
        <w:rPr>
          <w:rFonts w:ascii="Palatino Linotype" w:hAnsi="Palatino Linotype"/>
          <w:b w:val="0"/>
        </w:rPr>
        <w:t xml:space="preserve"> tenants are not IOU customers. </w:t>
      </w:r>
      <w:r w:rsidRPr="00511954" w:rsidR="00D8252D">
        <w:rPr>
          <w:rFonts w:ascii="Palatino Linotype" w:hAnsi="Palatino Linotype"/>
          <w:b w:val="0"/>
        </w:rPr>
        <w:t>SCE also notes that, “If SCE applied the discount to the master</w:t>
      </w:r>
      <w:r w:rsidRPr="00511954" w:rsidR="00547F0B">
        <w:rPr>
          <w:rFonts w:ascii="Palatino Linotype" w:hAnsi="Palatino Linotype"/>
          <w:b w:val="0"/>
        </w:rPr>
        <w:t>-</w:t>
      </w:r>
      <w:r w:rsidRPr="00511954" w:rsidR="00D8252D">
        <w:rPr>
          <w:rFonts w:ascii="Palatino Linotype" w:hAnsi="Palatino Linotype"/>
          <w:b w:val="0"/>
        </w:rPr>
        <w:t>metered account, the savings would go to the property owner and SCE would have no way to guarantee or verify the property owner passes those savings on to its tenants.”</w:t>
      </w:r>
      <w:r w:rsidRPr="00511954" w:rsidR="00D8252D">
        <w:rPr>
          <w:rStyle w:val="FootnoteReference"/>
          <w:rFonts w:ascii="Palatino Linotype" w:hAnsi="Palatino Linotype"/>
          <w:b w:val="0"/>
        </w:rPr>
        <w:footnoteReference w:id="29"/>
      </w:r>
    </w:p>
    <w:p w:rsidRPr="00511954" w:rsidR="00D33BAF" w:rsidP="00EB3892" w:rsidRDefault="00D33BAF" w14:paraId="70A951C4" w14:textId="14B2FF11">
      <w:pPr>
        <w:pStyle w:val="BodyText"/>
        <w:spacing w:after="240"/>
        <w:rPr>
          <w:rFonts w:ascii="Palatino Linotype" w:hAnsi="Palatino Linotype"/>
          <w:b w:val="0"/>
        </w:rPr>
      </w:pPr>
      <w:r w:rsidRPr="00511954">
        <w:rPr>
          <w:rFonts w:ascii="Palatino Linotype" w:hAnsi="Palatino Linotype"/>
          <w:b w:val="0"/>
        </w:rPr>
        <w:t xml:space="preserve">PG&amp;E </w:t>
      </w:r>
      <w:r w:rsidRPr="00511954" w:rsidR="00B224BD">
        <w:rPr>
          <w:rFonts w:ascii="Palatino Linotype" w:hAnsi="Palatino Linotype"/>
          <w:b w:val="0"/>
        </w:rPr>
        <w:t>separately</w:t>
      </w:r>
      <w:r w:rsidRPr="00511954">
        <w:rPr>
          <w:rFonts w:ascii="Palatino Linotype" w:hAnsi="Palatino Linotype"/>
          <w:b w:val="0"/>
        </w:rPr>
        <w:t xml:space="preserve"> agreed that </w:t>
      </w:r>
      <w:r w:rsidRPr="00511954" w:rsidR="00F07027">
        <w:rPr>
          <w:rFonts w:ascii="Palatino Linotype" w:hAnsi="Palatino Linotype"/>
          <w:b w:val="0"/>
        </w:rPr>
        <w:t xml:space="preserve">customers on EVA and EVB rates </w:t>
      </w:r>
      <w:r w:rsidRPr="00511954" w:rsidR="002C53C3">
        <w:rPr>
          <w:rFonts w:ascii="Palatino Linotype" w:hAnsi="Palatino Linotype"/>
          <w:b w:val="0"/>
        </w:rPr>
        <w:t>(</w:t>
      </w:r>
      <w:r w:rsidRPr="00511954" w:rsidR="00F07027">
        <w:rPr>
          <w:rFonts w:ascii="Palatino Linotype" w:hAnsi="Palatino Linotype"/>
          <w:b w:val="0"/>
        </w:rPr>
        <w:t>i.e.</w:t>
      </w:r>
      <w:r w:rsidRPr="00511954" w:rsidR="002C53C3">
        <w:rPr>
          <w:rFonts w:ascii="Palatino Linotype" w:hAnsi="Palatino Linotype"/>
          <w:b w:val="0"/>
        </w:rPr>
        <w:t>,</w:t>
      </w:r>
      <w:r w:rsidRPr="00511954" w:rsidR="00F07027">
        <w:rPr>
          <w:rFonts w:ascii="Palatino Linotype" w:hAnsi="Palatino Linotype"/>
          <w:b w:val="0"/>
        </w:rPr>
        <w:t xml:space="preserve"> rates not eligible for CARE or FERA</w:t>
      </w:r>
      <w:r w:rsidRPr="00511954" w:rsidR="002C53C3">
        <w:rPr>
          <w:rFonts w:ascii="Palatino Linotype" w:hAnsi="Palatino Linotype"/>
          <w:b w:val="0"/>
        </w:rPr>
        <w:t>)</w:t>
      </w:r>
      <w:r w:rsidRPr="00511954">
        <w:rPr>
          <w:rFonts w:ascii="Palatino Linotype" w:hAnsi="Palatino Linotype"/>
          <w:b w:val="0"/>
        </w:rPr>
        <w:t xml:space="preserve"> </w:t>
      </w:r>
      <w:r w:rsidRPr="00511954" w:rsidR="00F07027">
        <w:rPr>
          <w:rFonts w:ascii="Palatino Linotype" w:hAnsi="Palatino Linotype"/>
          <w:b w:val="0"/>
        </w:rPr>
        <w:t>are eligible to participate in CSGT once the 50</w:t>
      </w:r>
      <w:r w:rsidRPr="00511954" w:rsidR="00530D31">
        <w:rPr>
          <w:rFonts w:ascii="Palatino Linotype" w:hAnsi="Palatino Linotype"/>
          <w:b w:val="0"/>
        </w:rPr>
        <w:t xml:space="preserve"> percent</w:t>
      </w:r>
      <w:r w:rsidRPr="00511954" w:rsidR="00F07027">
        <w:rPr>
          <w:rFonts w:ascii="Palatino Linotype" w:hAnsi="Palatino Linotype"/>
          <w:b w:val="0"/>
        </w:rPr>
        <w:t xml:space="preserve"> low</w:t>
      </w:r>
      <w:r w:rsidRPr="00511954" w:rsidR="007C3CDD">
        <w:rPr>
          <w:rFonts w:ascii="Palatino Linotype" w:hAnsi="Palatino Linotype"/>
          <w:b w:val="0"/>
        </w:rPr>
        <w:t>-</w:t>
      </w:r>
      <w:r w:rsidRPr="00511954" w:rsidR="00F07027">
        <w:rPr>
          <w:rFonts w:ascii="Palatino Linotype" w:hAnsi="Palatino Linotype"/>
          <w:b w:val="0"/>
        </w:rPr>
        <w:t>income threshold is met but clarified that non-income</w:t>
      </w:r>
      <w:r w:rsidR="004E474B">
        <w:rPr>
          <w:rFonts w:ascii="Palatino Linotype" w:hAnsi="Palatino Linotype"/>
          <w:b w:val="0"/>
        </w:rPr>
        <w:t>-</w:t>
      </w:r>
      <w:r w:rsidRPr="00511954" w:rsidR="00F07027">
        <w:rPr>
          <w:rFonts w:ascii="Palatino Linotype" w:hAnsi="Palatino Linotype"/>
          <w:b w:val="0"/>
        </w:rPr>
        <w:t xml:space="preserve">qualified customers cannot participate in DAC-GT. PG&amp;E filed supplemental AL </w:t>
      </w:r>
      <w:r w:rsidRPr="00511954" w:rsidR="00B224BD">
        <w:rPr>
          <w:rFonts w:ascii="Palatino Linotype" w:hAnsi="Palatino Linotype"/>
          <w:b w:val="0"/>
        </w:rPr>
        <w:t>53</w:t>
      </w:r>
      <w:r w:rsidRPr="00511954" w:rsidR="00AB01D7">
        <w:rPr>
          <w:rFonts w:ascii="Palatino Linotype" w:hAnsi="Palatino Linotype"/>
          <w:b w:val="0"/>
        </w:rPr>
        <w:t xml:space="preserve">62-E-A on February 13, 2019, in part </w:t>
      </w:r>
      <w:r w:rsidRPr="00511954" w:rsidR="00F07027">
        <w:rPr>
          <w:rFonts w:ascii="Palatino Linotype" w:hAnsi="Palatino Linotype"/>
          <w:b w:val="0"/>
        </w:rPr>
        <w:t xml:space="preserve">to adjust its CSGT tariff to allow customers on EVA and EVB rates to participate. </w:t>
      </w:r>
      <w:r w:rsidRPr="00511954" w:rsidR="00B224BD">
        <w:rPr>
          <w:rFonts w:ascii="Palatino Linotype" w:hAnsi="Palatino Linotype"/>
          <w:b w:val="0"/>
        </w:rPr>
        <w:t>SDG&amp;E clarified</w:t>
      </w:r>
      <w:r w:rsidRPr="00511954" w:rsidR="00B85E65">
        <w:rPr>
          <w:rFonts w:ascii="Palatino Linotype" w:hAnsi="Palatino Linotype"/>
          <w:b w:val="0"/>
        </w:rPr>
        <w:t xml:space="preserve"> in its reply that customers on SDG&amp;E’s </w:t>
      </w:r>
      <w:r w:rsidRPr="00511954" w:rsidR="00E63102">
        <w:rPr>
          <w:rFonts w:ascii="Palatino Linotype" w:hAnsi="Palatino Linotype"/>
          <w:b w:val="0"/>
        </w:rPr>
        <w:t>EV rates</w:t>
      </w:r>
      <w:r w:rsidRPr="00511954" w:rsidR="008E0EA3">
        <w:rPr>
          <w:rFonts w:ascii="Palatino Linotype" w:hAnsi="Palatino Linotype"/>
          <w:b w:val="0"/>
        </w:rPr>
        <w:t xml:space="preserve"> (EVTOU2, EVTOU5)</w:t>
      </w:r>
      <w:r w:rsidRPr="00511954" w:rsidR="00E63102">
        <w:rPr>
          <w:rFonts w:ascii="Palatino Linotype" w:hAnsi="Palatino Linotype"/>
          <w:b w:val="0"/>
        </w:rPr>
        <w:t xml:space="preserve"> are eligible for CARE and FERA.</w:t>
      </w:r>
      <w:r w:rsidRPr="00511954" w:rsidR="008E0EA3">
        <w:rPr>
          <w:rStyle w:val="FootnoteReference"/>
          <w:rFonts w:ascii="Palatino Linotype" w:hAnsi="Palatino Linotype"/>
          <w:b w:val="0"/>
        </w:rPr>
        <w:footnoteReference w:id="30"/>
      </w:r>
      <w:r w:rsidRPr="00511954" w:rsidR="00E63102">
        <w:rPr>
          <w:rFonts w:ascii="Palatino Linotype" w:hAnsi="Palatino Linotype"/>
          <w:b w:val="0"/>
        </w:rPr>
        <w:t xml:space="preserve"> </w:t>
      </w:r>
      <w:r w:rsidRPr="00511954" w:rsidR="00B85E65">
        <w:rPr>
          <w:rFonts w:ascii="Palatino Linotype" w:hAnsi="Palatino Linotype"/>
          <w:b w:val="0"/>
        </w:rPr>
        <w:t xml:space="preserve"> </w:t>
      </w:r>
      <w:r w:rsidRPr="00511954" w:rsidR="00F07027">
        <w:rPr>
          <w:rFonts w:ascii="Palatino Linotype" w:hAnsi="Palatino Linotype"/>
          <w:b w:val="0"/>
        </w:rPr>
        <w:t xml:space="preserve"> </w:t>
      </w:r>
    </w:p>
    <w:p w:rsidRPr="00511954" w:rsidR="004F3A8B" w:rsidP="004F3A8B" w:rsidRDefault="004F3A8B" w14:paraId="2AB2C943" w14:textId="77777777">
      <w:pPr>
        <w:pStyle w:val="BodyText"/>
        <w:rPr>
          <w:rFonts w:ascii="Palatino Linotype" w:hAnsi="Palatino Linotype"/>
          <w:b w:val="0"/>
          <w:u w:val="single"/>
        </w:rPr>
      </w:pPr>
      <w:r w:rsidRPr="00511954">
        <w:rPr>
          <w:rFonts w:ascii="Palatino Linotype" w:hAnsi="Palatino Linotype"/>
          <w:b w:val="0"/>
          <w:u w:val="single"/>
        </w:rPr>
        <w:t>CSGT Minimum Project Size</w:t>
      </w:r>
    </w:p>
    <w:p w:rsidRPr="00511954" w:rsidR="00F07027" w:rsidP="00EB3892" w:rsidRDefault="00D33BAF" w14:paraId="27DFC8F6" w14:textId="6E5C1CFA">
      <w:pPr>
        <w:pStyle w:val="BodyText"/>
        <w:spacing w:after="240"/>
        <w:rPr>
          <w:rFonts w:ascii="Palatino Linotype" w:hAnsi="Palatino Linotype"/>
          <w:b w:val="0"/>
        </w:rPr>
      </w:pPr>
      <w:r w:rsidRPr="00511954">
        <w:rPr>
          <w:rFonts w:ascii="Palatino Linotype" w:hAnsi="Palatino Linotype"/>
          <w:b w:val="0"/>
        </w:rPr>
        <w:t xml:space="preserve">Regarding minimum </w:t>
      </w:r>
      <w:r w:rsidRPr="00511954" w:rsidR="00AB01D7">
        <w:rPr>
          <w:rFonts w:ascii="Palatino Linotype" w:hAnsi="Palatino Linotype"/>
          <w:b w:val="0"/>
        </w:rPr>
        <w:t xml:space="preserve">project </w:t>
      </w:r>
      <w:r w:rsidRPr="00511954">
        <w:rPr>
          <w:rFonts w:ascii="Palatino Linotype" w:hAnsi="Palatino Linotype"/>
          <w:b w:val="0"/>
        </w:rPr>
        <w:t xml:space="preserve">size for </w:t>
      </w:r>
      <w:r w:rsidRPr="00511954" w:rsidR="00AB01D7">
        <w:rPr>
          <w:rFonts w:ascii="Palatino Linotype" w:hAnsi="Palatino Linotype"/>
          <w:b w:val="0"/>
        </w:rPr>
        <w:t xml:space="preserve">the </w:t>
      </w:r>
      <w:r w:rsidRPr="00511954">
        <w:rPr>
          <w:rFonts w:ascii="Palatino Linotype" w:hAnsi="Palatino Linotype"/>
          <w:b w:val="0"/>
        </w:rPr>
        <w:t>CSGT</w:t>
      </w:r>
      <w:r w:rsidRPr="00511954" w:rsidR="00AB01D7">
        <w:rPr>
          <w:rFonts w:ascii="Palatino Linotype" w:hAnsi="Palatino Linotype"/>
          <w:b w:val="0"/>
        </w:rPr>
        <w:t xml:space="preserve"> program</w:t>
      </w:r>
      <w:r w:rsidRPr="00511954">
        <w:rPr>
          <w:rFonts w:ascii="Palatino Linotype" w:hAnsi="Palatino Linotype"/>
          <w:b w:val="0"/>
        </w:rPr>
        <w:t xml:space="preserve">, </w:t>
      </w:r>
      <w:r w:rsidRPr="00511954" w:rsidR="00F07027">
        <w:rPr>
          <w:rFonts w:ascii="Palatino Linotype" w:hAnsi="Palatino Linotype"/>
          <w:b w:val="0"/>
        </w:rPr>
        <w:t>SCE assert</w:t>
      </w:r>
      <w:r w:rsidRPr="00511954">
        <w:rPr>
          <w:rFonts w:ascii="Palatino Linotype" w:hAnsi="Palatino Linotype"/>
          <w:b w:val="0"/>
        </w:rPr>
        <w:t xml:space="preserve">s in its reply </w:t>
      </w:r>
      <w:r w:rsidRPr="00511954" w:rsidR="00F07027">
        <w:rPr>
          <w:rFonts w:ascii="Palatino Linotype" w:hAnsi="Palatino Linotype"/>
          <w:b w:val="0"/>
        </w:rPr>
        <w:t xml:space="preserve">that projects must be able to aggregate to 500 kW as the RFO for CSGT should adhere to the Green Tariff Shared Renewables (GTSR) criteria and under the GSTR </w:t>
      </w:r>
      <w:r w:rsidRPr="00511954" w:rsidR="00A165B3">
        <w:rPr>
          <w:rFonts w:ascii="Palatino Linotype" w:hAnsi="Palatino Linotype"/>
          <w:b w:val="0"/>
        </w:rPr>
        <w:t>Decision</w:t>
      </w:r>
      <w:r w:rsidRPr="00511954" w:rsidR="00F07027">
        <w:rPr>
          <w:rFonts w:ascii="Palatino Linotype" w:hAnsi="Palatino Linotype"/>
          <w:b w:val="0"/>
        </w:rPr>
        <w:t xml:space="preserve"> </w:t>
      </w:r>
      <w:r w:rsidRPr="00511954" w:rsidR="007C3CDD">
        <w:rPr>
          <w:rFonts w:ascii="Palatino Linotype" w:hAnsi="Palatino Linotype"/>
          <w:b w:val="0"/>
        </w:rPr>
        <w:t>(</w:t>
      </w:r>
      <w:r w:rsidRPr="00511954" w:rsidR="00F07027">
        <w:rPr>
          <w:rFonts w:ascii="Palatino Linotype" w:hAnsi="Palatino Linotype"/>
          <w:b w:val="0"/>
        </w:rPr>
        <w:t>D.15-01-051</w:t>
      </w:r>
      <w:r w:rsidRPr="00511954" w:rsidR="007C3CDD">
        <w:rPr>
          <w:rFonts w:ascii="Palatino Linotype" w:hAnsi="Palatino Linotype"/>
          <w:b w:val="0"/>
        </w:rPr>
        <w:t>)</w:t>
      </w:r>
      <w:r w:rsidRPr="00511954" w:rsidR="00F07027">
        <w:rPr>
          <w:rFonts w:ascii="Palatino Linotype" w:hAnsi="Palatino Linotype"/>
          <w:b w:val="0"/>
        </w:rPr>
        <w:t>, each GTSR installation must generate 500 kW-20 MW and be eligible to bid into the CAISO market.</w:t>
      </w:r>
      <w:r w:rsidRPr="00511954" w:rsidR="009D022F">
        <w:rPr>
          <w:rFonts w:ascii="Palatino Linotype" w:hAnsi="Palatino Linotype"/>
          <w:b w:val="0"/>
        </w:rPr>
        <w:t xml:space="preserve"> Both PG&amp;E’s and SDG&amp;E’s replies clarify that they will not require a minimum system size for CSGT projects.</w:t>
      </w:r>
    </w:p>
    <w:p w:rsidRPr="00511954" w:rsidR="004F3A8B" w:rsidP="004F3A8B" w:rsidRDefault="004F3A8B" w14:paraId="4F2D52FE" w14:textId="77777777">
      <w:pPr>
        <w:pStyle w:val="Heading1"/>
        <w:spacing w:before="0"/>
        <w:rPr>
          <w:rFonts w:ascii="Palatino Linotype" w:hAnsi="Palatino Linotype"/>
        </w:rPr>
      </w:pPr>
      <w:r w:rsidRPr="00511954">
        <w:rPr>
          <w:rFonts w:ascii="Palatino Linotype" w:hAnsi="Palatino Linotype"/>
        </w:rPr>
        <w:t>Discussion</w:t>
      </w:r>
    </w:p>
    <w:p w:rsidRPr="00511954" w:rsidR="00380ED6" w:rsidP="00380ED6" w:rsidRDefault="00036438" w14:paraId="3A1F7137" w14:textId="1B8288C9">
      <w:pPr>
        <w:pStyle w:val="BodyText"/>
        <w:spacing w:after="120"/>
        <w:rPr>
          <w:rFonts w:ascii="Palatino Linotype" w:hAnsi="Palatino Linotype"/>
          <w:b w:val="0"/>
        </w:rPr>
      </w:pPr>
      <w:r w:rsidRPr="00511954">
        <w:rPr>
          <w:rFonts w:ascii="Palatino Linotype" w:hAnsi="Palatino Linotype" w:cs="TimesNewRoman"/>
          <w:b w:val="0"/>
          <w:szCs w:val="24"/>
        </w:rPr>
        <w:t xml:space="preserve">The discussion section is arranged into three parts. The first part addresses issues </w:t>
      </w:r>
      <w:r w:rsidRPr="00511954" w:rsidR="002903C9">
        <w:rPr>
          <w:rFonts w:ascii="Palatino Linotype" w:hAnsi="Palatino Linotype" w:cs="TimesNewRoman"/>
          <w:b w:val="0"/>
          <w:szCs w:val="24"/>
        </w:rPr>
        <w:t xml:space="preserve">raised </w:t>
      </w:r>
      <w:r w:rsidRPr="00511954">
        <w:rPr>
          <w:rFonts w:ascii="Palatino Linotype" w:hAnsi="Palatino Linotype" w:cs="TimesNewRoman"/>
          <w:b w:val="0"/>
          <w:szCs w:val="24"/>
        </w:rPr>
        <w:t>in</w:t>
      </w:r>
      <w:r w:rsidRPr="00511954" w:rsidR="002903C9">
        <w:rPr>
          <w:rFonts w:ascii="Palatino Linotype" w:hAnsi="Palatino Linotype" w:cs="TimesNewRoman"/>
          <w:b w:val="0"/>
          <w:szCs w:val="24"/>
        </w:rPr>
        <w:t xml:space="preserve"> the </w:t>
      </w:r>
      <w:r w:rsidR="00E838C2">
        <w:rPr>
          <w:rFonts w:ascii="Palatino Linotype" w:hAnsi="Palatino Linotype" w:cs="TimesNewRoman"/>
          <w:b w:val="0"/>
          <w:szCs w:val="24"/>
        </w:rPr>
        <w:t xml:space="preserve">Protesting </w:t>
      </w:r>
      <w:r w:rsidRPr="00511954" w:rsidR="002903C9">
        <w:rPr>
          <w:rFonts w:ascii="Palatino Linotype" w:hAnsi="Palatino Linotype" w:cs="TimesNewRoman"/>
          <w:b w:val="0"/>
          <w:szCs w:val="24"/>
        </w:rPr>
        <w:t>CCAs’</w:t>
      </w:r>
      <w:r w:rsidRPr="00511954">
        <w:rPr>
          <w:rFonts w:ascii="Palatino Linotype" w:hAnsi="Palatino Linotype" w:cs="TimesNewRoman"/>
          <w:b w:val="0"/>
          <w:szCs w:val="24"/>
        </w:rPr>
        <w:t xml:space="preserve"> protest o</w:t>
      </w:r>
      <w:r w:rsidRPr="00511954" w:rsidR="002903C9">
        <w:rPr>
          <w:rFonts w:ascii="Palatino Linotype" w:hAnsi="Palatino Linotype" w:cs="TimesNewRoman"/>
          <w:b w:val="0"/>
          <w:szCs w:val="24"/>
        </w:rPr>
        <w:t>f</w:t>
      </w:r>
      <w:r w:rsidRPr="00511954">
        <w:rPr>
          <w:rFonts w:ascii="Palatino Linotype" w:hAnsi="Palatino Linotype" w:cs="TimesNewRoman"/>
          <w:b w:val="0"/>
          <w:szCs w:val="24"/>
        </w:rPr>
        <w:t xml:space="preserve"> </w:t>
      </w:r>
      <w:r w:rsidRPr="00511954" w:rsidR="002903C9">
        <w:rPr>
          <w:rFonts w:ascii="Palatino Linotype" w:hAnsi="Palatino Linotype" w:cs="TimesNewRoman"/>
          <w:b w:val="0"/>
          <w:szCs w:val="24"/>
        </w:rPr>
        <w:t>PG&amp;E’s and SCE’s</w:t>
      </w:r>
      <w:r w:rsidRPr="00511954">
        <w:rPr>
          <w:rFonts w:ascii="Palatino Linotype" w:hAnsi="Palatino Linotype" w:cs="TimesNewRoman"/>
          <w:b w:val="0"/>
          <w:szCs w:val="24"/>
        </w:rPr>
        <w:t xml:space="preserve"> ALs. The second part</w:t>
      </w:r>
      <w:r w:rsidRPr="00511954" w:rsidR="002903C9">
        <w:rPr>
          <w:rFonts w:ascii="Palatino Linotype" w:hAnsi="Palatino Linotype" w:cs="TimesNewRoman"/>
          <w:b w:val="0"/>
          <w:szCs w:val="24"/>
        </w:rPr>
        <w:t xml:space="preserve"> addresses issues identified in IREC/SELC’s response to all three IOUs’ ALs. The third part addresses aspects of program implementation that were treated inconsistently by the IOUs</w:t>
      </w:r>
      <w:r w:rsidRPr="00511954" w:rsidR="00380ED6">
        <w:rPr>
          <w:rFonts w:ascii="Palatino Linotype" w:hAnsi="Palatino Linotype" w:cs="TimesNewRoman"/>
          <w:b w:val="0"/>
          <w:szCs w:val="24"/>
        </w:rPr>
        <w:t>,</w:t>
      </w:r>
      <w:r w:rsidRPr="00511954" w:rsidR="002903C9">
        <w:rPr>
          <w:rFonts w:ascii="Palatino Linotype" w:hAnsi="Palatino Linotype" w:cs="TimesNewRoman"/>
          <w:b w:val="0"/>
          <w:szCs w:val="24"/>
        </w:rPr>
        <w:t xml:space="preserve"> that contradict direction provided in the Decision</w:t>
      </w:r>
      <w:r w:rsidRPr="00511954" w:rsidR="00380ED6">
        <w:rPr>
          <w:rFonts w:ascii="Palatino Linotype" w:hAnsi="Palatino Linotype" w:cs="TimesNewRoman"/>
          <w:b w:val="0"/>
          <w:szCs w:val="24"/>
        </w:rPr>
        <w:t xml:space="preserve">, </w:t>
      </w:r>
      <w:r w:rsidRPr="00511954" w:rsidR="00380ED6">
        <w:rPr>
          <w:rFonts w:ascii="Palatino Linotype" w:hAnsi="Palatino Linotype"/>
          <w:b w:val="0"/>
        </w:rPr>
        <w:t>or that warrant clarification.</w:t>
      </w:r>
    </w:p>
    <w:p w:rsidRPr="00511954" w:rsidR="00B94B90" w:rsidP="00880386" w:rsidRDefault="004F3A8B" w14:paraId="18D5BB02" w14:textId="1E8710FC">
      <w:pPr>
        <w:keepNext/>
        <w:autoSpaceDE w:val="0"/>
        <w:autoSpaceDN w:val="0"/>
        <w:adjustRightInd w:val="0"/>
        <w:spacing w:after="240"/>
        <w:rPr>
          <w:rFonts w:ascii="Palatino Linotype" w:hAnsi="Palatino Linotype" w:cs="TimesNewRoman"/>
          <w:b/>
          <w:szCs w:val="24"/>
        </w:rPr>
      </w:pPr>
      <w:bookmarkStart w:name="_Hlk6921709" w:id="2"/>
      <w:r w:rsidRPr="00511954">
        <w:rPr>
          <w:rFonts w:ascii="Palatino Linotype" w:hAnsi="Palatino Linotype" w:cs="TimesNewRoman"/>
          <w:b/>
          <w:szCs w:val="24"/>
        </w:rPr>
        <w:t xml:space="preserve">Disposition of the </w:t>
      </w:r>
      <w:r w:rsidR="00E838C2">
        <w:rPr>
          <w:rFonts w:ascii="Palatino Linotype" w:hAnsi="Palatino Linotype" w:cs="TimesNewRoman"/>
          <w:b/>
          <w:szCs w:val="24"/>
        </w:rPr>
        <w:t xml:space="preserve">Protesting </w:t>
      </w:r>
      <w:r w:rsidRPr="00511954">
        <w:rPr>
          <w:rFonts w:ascii="Palatino Linotype" w:hAnsi="Palatino Linotype" w:cs="TimesNewRoman"/>
          <w:b/>
          <w:szCs w:val="24"/>
        </w:rPr>
        <w:t>CCAs’ Protest</w:t>
      </w:r>
    </w:p>
    <w:p w:rsidRPr="00511954" w:rsidR="00F527C6" w:rsidP="008762CC" w:rsidRDefault="00F527C6" w14:paraId="1C9B9235" w14:textId="7C6E778B">
      <w:pPr>
        <w:pStyle w:val="BodyText"/>
        <w:spacing w:after="120"/>
        <w:rPr>
          <w:rFonts w:ascii="Palatino Linotype" w:hAnsi="Palatino Linotype"/>
          <w:b w:val="0"/>
        </w:rPr>
      </w:pPr>
      <w:r w:rsidRPr="00511954">
        <w:rPr>
          <w:rFonts w:ascii="Palatino Linotype" w:hAnsi="Palatino Linotype"/>
          <w:b w:val="0"/>
        </w:rPr>
        <w:t>This section will address the</w:t>
      </w:r>
      <w:r w:rsidRPr="00511954" w:rsidR="00880386">
        <w:rPr>
          <w:rFonts w:ascii="Palatino Linotype" w:hAnsi="Palatino Linotype" w:cs="TimesNewRoman"/>
          <w:b w:val="0"/>
          <w:szCs w:val="24"/>
        </w:rPr>
        <w:t xml:space="preserve"> issues raised in the </w:t>
      </w:r>
      <w:r w:rsidR="00E838C2">
        <w:rPr>
          <w:rFonts w:ascii="Palatino Linotype" w:hAnsi="Palatino Linotype" w:cs="TimesNewRoman"/>
          <w:b w:val="0"/>
          <w:szCs w:val="24"/>
        </w:rPr>
        <w:t xml:space="preserve">Protesting </w:t>
      </w:r>
      <w:r w:rsidRPr="00511954" w:rsidR="00880386">
        <w:rPr>
          <w:rFonts w:ascii="Palatino Linotype" w:hAnsi="Palatino Linotype" w:cs="TimesNewRoman"/>
          <w:b w:val="0"/>
          <w:szCs w:val="24"/>
        </w:rPr>
        <w:t>CCAs’ protest</w:t>
      </w:r>
      <w:r w:rsidRPr="00511954" w:rsidR="00355094">
        <w:rPr>
          <w:rFonts w:ascii="Palatino Linotype" w:hAnsi="Palatino Linotype"/>
          <w:b w:val="0"/>
        </w:rPr>
        <w:t>.</w:t>
      </w:r>
    </w:p>
    <w:p w:rsidRPr="00511954" w:rsidR="009838D0" w:rsidP="008762CC" w:rsidRDefault="00365305" w14:paraId="5DAFE3D1" w14:textId="11DDAF43">
      <w:pPr>
        <w:pStyle w:val="BodyText"/>
        <w:spacing w:after="120"/>
        <w:rPr>
          <w:rFonts w:ascii="Palatino Linotype" w:hAnsi="Palatino Linotype"/>
          <w:b w:val="0"/>
        </w:rPr>
      </w:pPr>
      <w:r w:rsidRPr="00511954">
        <w:rPr>
          <w:rFonts w:ascii="Palatino Linotype" w:hAnsi="Palatino Linotype"/>
          <w:b w:val="0"/>
        </w:rPr>
        <w:t>The Commission</w:t>
      </w:r>
      <w:r w:rsidRPr="00511954" w:rsidR="008762CC">
        <w:rPr>
          <w:rFonts w:ascii="Palatino Linotype" w:hAnsi="Palatino Linotype"/>
          <w:b w:val="0"/>
        </w:rPr>
        <w:t xml:space="preserve"> recognize</w:t>
      </w:r>
      <w:r w:rsidRPr="00511954">
        <w:rPr>
          <w:rFonts w:ascii="Palatino Linotype" w:hAnsi="Palatino Linotype"/>
          <w:b w:val="0"/>
        </w:rPr>
        <w:t>s</w:t>
      </w:r>
      <w:r w:rsidRPr="00511954" w:rsidR="008762CC">
        <w:rPr>
          <w:rFonts w:ascii="Palatino Linotype" w:hAnsi="Palatino Linotype"/>
          <w:b w:val="0"/>
        </w:rPr>
        <w:t xml:space="preserve"> that CCAs are serving an increasing share of customers statewide</w:t>
      </w:r>
      <w:r w:rsidRPr="00511954" w:rsidR="00D41163">
        <w:rPr>
          <w:rFonts w:ascii="Palatino Linotype" w:hAnsi="Palatino Linotype"/>
          <w:b w:val="0"/>
        </w:rPr>
        <w:t>,</w:t>
      </w:r>
      <w:r w:rsidRPr="00511954" w:rsidR="00571F6C">
        <w:rPr>
          <w:rFonts w:ascii="Palatino Linotype" w:hAnsi="Palatino Linotype"/>
          <w:b w:val="0"/>
        </w:rPr>
        <w:t xml:space="preserve"> and </w:t>
      </w:r>
      <w:r w:rsidRPr="00511954" w:rsidR="00D41163">
        <w:rPr>
          <w:rFonts w:ascii="Palatino Linotype" w:hAnsi="Palatino Linotype"/>
          <w:b w:val="0"/>
        </w:rPr>
        <w:t>the NEM DAC Decision provided a path for</w:t>
      </w:r>
      <w:r w:rsidRPr="00511954" w:rsidR="00571F6C">
        <w:rPr>
          <w:rFonts w:ascii="Palatino Linotype" w:hAnsi="Palatino Linotype"/>
          <w:b w:val="0"/>
        </w:rPr>
        <w:t xml:space="preserve"> </w:t>
      </w:r>
      <w:r w:rsidRPr="00511954" w:rsidR="008762CC">
        <w:rPr>
          <w:rFonts w:ascii="Palatino Linotype" w:hAnsi="Palatino Linotype"/>
          <w:b w:val="0"/>
        </w:rPr>
        <w:t xml:space="preserve">CCAs </w:t>
      </w:r>
      <w:r w:rsidRPr="00511954" w:rsidR="00D41163">
        <w:rPr>
          <w:rFonts w:ascii="Palatino Linotype" w:hAnsi="Palatino Linotype"/>
          <w:b w:val="0"/>
        </w:rPr>
        <w:t>to develop</w:t>
      </w:r>
      <w:r w:rsidRPr="00511954" w:rsidR="008762CC">
        <w:rPr>
          <w:rFonts w:ascii="Palatino Linotype" w:hAnsi="Palatino Linotype"/>
          <w:b w:val="0"/>
        </w:rPr>
        <w:t xml:space="preserve"> their own DAC-GT and CSGT programs to </w:t>
      </w:r>
      <w:r w:rsidRPr="00511954" w:rsidR="00AA5EAB">
        <w:rPr>
          <w:rFonts w:ascii="Palatino Linotype" w:hAnsi="Palatino Linotype"/>
          <w:b w:val="0"/>
        </w:rPr>
        <w:t xml:space="preserve">enhance access to renewable energy for residents of </w:t>
      </w:r>
      <w:r w:rsidRPr="00511954" w:rsidR="008762CC">
        <w:rPr>
          <w:rFonts w:ascii="Palatino Linotype" w:hAnsi="Palatino Linotype"/>
          <w:b w:val="0"/>
        </w:rPr>
        <w:t xml:space="preserve">the disadvantaged communities </w:t>
      </w:r>
      <w:r w:rsidRPr="00511954" w:rsidR="00D41163">
        <w:rPr>
          <w:rFonts w:ascii="Palatino Linotype" w:hAnsi="Palatino Linotype"/>
          <w:b w:val="0"/>
        </w:rPr>
        <w:t>they</w:t>
      </w:r>
      <w:r w:rsidRPr="00511954" w:rsidR="008762CC">
        <w:rPr>
          <w:rFonts w:ascii="Palatino Linotype" w:hAnsi="Palatino Linotype"/>
          <w:b w:val="0"/>
        </w:rPr>
        <w:t xml:space="preserve"> serve. </w:t>
      </w:r>
      <w:r w:rsidRPr="00511954" w:rsidR="00E421CF">
        <w:rPr>
          <w:rFonts w:ascii="Palatino Linotype" w:hAnsi="Palatino Linotype"/>
          <w:b w:val="0"/>
        </w:rPr>
        <w:t xml:space="preserve">The primary concern raised by the Protesting CCAs is that </w:t>
      </w:r>
      <w:r w:rsidRPr="00511954" w:rsidR="000C1986">
        <w:rPr>
          <w:rFonts w:ascii="Palatino Linotype" w:hAnsi="Palatino Linotype"/>
          <w:b w:val="0"/>
        </w:rPr>
        <w:t xml:space="preserve">the </w:t>
      </w:r>
      <w:r w:rsidRPr="00511954" w:rsidR="00E421CF">
        <w:rPr>
          <w:rFonts w:ascii="Palatino Linotype" w:hAnsi="Palatino Linotype"/>
          <w:b w:val="0"/>
        </w:rPr>
        <w:t xml:space="preserve">Commission ensures that CCAs will have </w:t>
      </w:r>
      <w:proofErr w:type="gramStart"/>
      <w:r w:rsidRPr="00511954" w:rsidR="00E421CF">
        <w:rPr>
          <w:rFonts w:ascii="Palatino Linotype" w:hAnsi="Palatino Linotype"/>
          <w:b w:val="0"/>
        </w:rPr>
        <w:t>sufficient</w:t>
      </w:r>
      <w:proofErr w:type="gramEnd"/>
      <w:r w:rsidRPr="00511954" w:rsidR="00E421CF">
        <w:rPr>
          <w:rFonts w:ascii="Palatino Linotype" w:hAnsi="Palatino Linotype"/>
          <w:b w:val="0"/>
        </w:rPr>
        <w:t xml:space="preserve"> time to develop their own DAC-GT and CSGT programs, if they elect to do so. In contrast to PG&amp;E’s proposal, the</w:t>
      </w:r>
      <w:r w:rsidR="00E838C2">
        <w:rPr>
          <w:rFonts w:ascii="Palatino Linotype" w:hAnsi="Palatino Linotype"/>
          <w:b w:val="0"/>
        </w:rPr>
        <w:t xml:space="preserve"> Protesting</w:t>
      </w:r>
      <w:r w:rsidRPr="00511954" w:rsidR="00E421CF">
        <w:rPr>
          <w:rFonts w:ascii="Palatino Linotype" w:hAnsi="Palatino Linotype"/>
          <w:b w:val="0"/>
        </w:rPr>
        <w:t xml:space="preserve"> CCAs seek additional time to notify the Commission and the IOUs of </w:t>
      </w:r>
      <w:r w:rsidR="00E838C2">
        <w:rPr>
          <w:rFonts w:ascii="Palatino Linotype" w:hAnsi="Palatino Linotype"/>
          <w:b w:val="0"/>
        </w:rPr>
        <w:t>the CCAs’</w:t>
      </w:r>
      <w:r w:rsidRPr="00511954" w:rsidR="00E838C2">
        <w:rPr>
          <w:rFonts w:ascii="Palatino Linotype" w:hAnsi="Palatino Linotype"/>
          <w:b w:val="0"/>
        </w:rPr>
        <w:t xml:space="preserve"> </w:t>
      </w:r>
      <w:r w:rsidRPr="00511954" w:rsidR="00E421CF">
        <w:rPr>
          <w:rFonts w:ascii="Palatino Linotype" w:hAnsi="Palatino Linotype"/>
          <w:b w:val="0"/>
        </w:rPr>
        <w:t xml:space="preserve">intent to develop DAC-GT and CSGT programs and the amount of capacity they intend to procure under each program. The </w:t>
      </w:r>
      <w:r w:rsidR="00E838C2">
        <w:rPr>
          <w:rFonts w:ascii="Palatino Linotype" w:hAnsi="Palatino Linotype"/>
          <w:b w:val="0"/>
        </w:rPr>
        <w:t xml:space="preserve">Protesting </w:t>
      </w:r>
      <w:r w:rsidRPr="00511954" w:rsidR="00E421CF">
        <w:rPr>
          <w:rFonts w:ascii="Palatino Linotype" w:hAnsi="Palatino Linotype"/>
          <w:b w:val="0"/>
        </w:rPr>
        <w:t xml:space="preserve">CCAs also seek clarity on the date by which </w:t>
      </w:r>
      <w:r w:rsidR="00E838C2">
        <w:rPr>
          <w:rFonts w:ascii="Palatino Linotype" w:hAnsi="Palatino Linotype"/>
          <w:b w:val="0"/>
        </w:rPr>
        <w:t>CCAs</w:t>
      </w:r>
      <w:r w:rsidRPr="00511954" w:rsidR="00E838C2">
        <w:rPr>
          <w:rFonts w:ascii="Palatino Linotype" w:hAnsi="Palatino Linotype"/>
          <w:b w:val="0"/>
        </w:rPr>
        <w:t xml:space="preserve"> </w:t>
      </w:r>
      <w:r w:rsidRPr="00511954" w:rsidR="00E421CF">
        <w:rPr>
          <w:rFonts w:ascii="Palatino Linotype" w:hAnsi="Palatino Linotype"/>
          <w:b w:val="0"/>
        </w:rPr>
        <w:t xml:space="preserve">must file their Tier 3 ALs demonstrating that their program implementation plans are consistent with all rules and requirements in the NEM DAC </w:t>
      </w:r>
      <w:r w:rsidRPr="00511954" w:rsidR="00713E72">
        <w:rPr>
          <w:rFonts w:ascii="Palatino Linotype" w:hAnsi="Palatino Linotype"/>
          <w:b w:val="0"/>
        </w:rPr>
        <w:t>D</w:t>
      </w:r>
      <w:r w:rsidRPr="00511954" w:rsidR="00E421CF">
        <w:rPr>
          <w:rFonts w:ascii="Palatino Linotype" w:hAnsi="Palatino Linotype"/>
          <w:b w:val="0"/>
        </w:rPr>
        <w:t>ecision.</w:t>
      </w:r>
      <w:r w:rsidRPr="00511954" w:rsidR="00E421CF">
        <w:rPr>
          <w:rStyle w:val="FootnoteReference"/>
          <w:rFonts w:ascii="Palatino Linotype" w:hAnsi="Palatino Linotype"/>
          <w:b w:val="0"/>
        </w:rPr>
        <w:footnoteReference w:id="31"/>
      </w:r>
    </w:p>
    <w:p w:rsidR="00D512F0" w:rsidP="008762CC" w:rsidRDefault="00D17776" w14:paraId="2E1D0768" w14:textId="2E2451A9">
      <w:pPr>
        <w:pStyle w:val="BodyText"/>
        <w:spacing w:after="120"/>
        <w:rPr>
          <w:rFonts w:ascii="Palatino Linotype" w:hAnsi="Palatino Linotype" w:cs="TimesNewRoman"/>
          <w:b w:val="0"/>
          <w:szCs w:val="24"/>
        </w:rPr>
      </w:pPr>
      <w:r w:rsidRPr="00511954">
        <w:rPr>
          <w:rFonts w:ascii="Palatino Linotype" w:hAnsi="Palatino Linotype"/>
          <w:b w:val="0"/>
        </w:rPr>
        <w:t xml:space="preserve">To provide the </w:t>
      </w:r>
      <w:r w:rsidRPr="00511954" w:rsidR="00AA5EAB">
        <w:rPr>
          <w:rFonts w:ascii="Palatino Linotype" w:hAnsi="Palatino Linotype"/>
          <w:b w:val="0"/>
        </w:rPr>
        <w:t xml:space="preserve">IOUs the certainty necessary to </w:t>
      </w:r>
      <w:r w:rsidRPr="00511954" w:rsidR="008E0EA3">
        <w:rPr>
          <w:rFonts w:ascii="Palatino Linotype" w:hAnsi="Palatino Linotype"/>
          <w:b w:val="0"/>
        </w:rPr>
        <w:t xml:space="preserve">issue </w:t>
      </w:r>
      <w:r w:rsidRPr="00511954" w:rsidR="00AA5EAB">
        <w:rPr>
          <w:rFonts w:ascii="Palatino Linotype" w:hAnsi="Palatino Linotype"/>
          <w:b w:val="0"/>
        </w:rPr>
        <w:t>RFOs in the near term,</w:t>
      </w:r>
      <w:r w:rsidRPr="00511954" w:rsidR="005D202A">
        <w:rPr>
          <w:rStyle w:val="FootnoteReference"/>
          <w:rFonts w:ascii="Palatino Linotype" w:hAnsi="Palatino Linotype"/>
          <w:b w:val="0"/>
        </w:rPr>
        <w:footnoteReference w:id="32"/>
      </w:r>
      <w:r w:rsidRPr="00511954" w:rsidR="00AA5EAB">
        <w:rPr>
          <w:rFonts w:ascii="Palatino Linotype" w:hAnsi="Palatino Linotype"/>
          <w:b w:val="0"/>
        </w:rPr>
        <w:t xml:space="preserve">  </w:t>
      </w:r>
      <w:r w:rsidRPr="00511954" w:rsidR="00E421CF">
        <w:rPr>
          <w:rFonts w:ascii="Palatino Linotype" w:hAnsi="Palatino Linotype"/>
          <w:b w:val="0"/>
        </w:rPr>
        <w:t xml:space="preserve">and to provide CCAs with additional time to determine whether </w:t>
      </w:r>
      <w:r w:rsidRPr="00511954" w:rsidR="004C7232">
        <w:rPr>
          <w:rFonts w:ascii="Palatino Linotype" w:hAnsi="Palatino Linotype"/>
          <w:b w:val="0"/>
        </w:rPr>
        <w:t xml:space="preserve">the </w:t>
      </w:r>
      <w:r w:rsidRPr="00511954" w:rsidR="00E421CF">
        <w:rPr>
          <w:rFonts w:ascii="Palatino Linotype" w:hAnsi="Palatino Linotype"/>
          <w:b w:val="0"/>
        </w:rPr>
        <w:t xml:space="preserve">DAC-GT and CSGT </w:t>
      </w:r>
      <w:r w:rsidRPr="00511954" w:rsidR="004C7232">
        <w:rPr>
          <w:rFonts w:ascii="Palatino Linotype" w:hAnsi="Palatino Linotype"/>
          <w:b w:val="0"/>
        </w:rPr>
        <w:t xml:space="preserve">programs </w:t>
      </w:r>
      <w:r w:rsidRPr="00511954" w:rsidR="00E421CF">
        <w:rPr>
          <w:rFonts w:ascii="Palatino Linotype" w:hAnsi="Palatino Linotype"/>
          <w:b w:val="0"/>
        </w:rPr>
        <w:t>fit in their p</w:t>
      </w:r>
      <w:r w:rsidRPr="00511954" w:rsidR="004C7232">
        <w:rPr>
          <w:rFonts w:ascii="Palatino Linotype" w:hAnsi="Palatino Linotype"/>
          <w:b w:val="0"/>
        </w:rPr>
        <w:t>ortfolio of p</w:t>
      </w:r>
      <w:r w:rsidRPr="00511954" w:rsidR="00E421CF">
        <w:rPr>
          <w:rFonts w:ascii="Palatino Linotype" w:hAnsi="Palatino Linotype"/>
          <w:b w:val="0"/>
        </w:rPr>
        <w:t>rogram</w:t>
      </w:r>
      <w:r w:rsidRPr="00511954" w:rsidR="004C7232">
        <w:rPr>
          <w:rFonts w:ascii="Palatino Linotype" w:hAnsi="Palatino Linotype"/>
          <w:b w:val="0"/>
        </w:rPr>
        <w:t>s</w:t>
      </w:r>
      <w:r w:rsidRPr="00511954" w:rsidR="00E421CF">
        <w:rPr>
          <w:rFonts w:ascii="Palatino Linotype" w:hAnsi="Palatino Linotype"/>
          <w:b w:val="0"/>
        </w:rPr>
        <w:t xml:space="preserve">, </w:t>
      </w:r>
      <w:r w:rsidRPr="00511954" w:rsidR="00F2351C">
        <w:rPr>
          <w:rFonts w:ascii="Palatino Linotype" w:hAnsi="Palatino Linotype"/>
          <w:b w:val="0"/>
        </w:rPr>
        <w:t>we</w:t>
      </w:r>
      <w:r w:rsidRPr="00511954">
        <w:rPr>
          <w:rFonts w:ascii="Palatino Linotype" w:hAnsi="Palatino Linotype"/>
          <w:b w:val="0"/>
        </w:rPr>
        <w:t xml:space="preserve"> </w:t>
      </w:r>
      <w:r w:rsidRPr="00511954" w:rsidR="00AA5EAB">
        <w:rPr>
          <w:rFonts w:ascii="Palatino Linotype" w:hAnsi="Palatino Linotype"/>
          <w:b w:val="0"/>
        </w:rPr>
        <w:t>will reserve capacity for CCAs under both programs</w:t>
      </w:r>
      <w:r w:rsidRPr="00511954" w:rsidR="007A5879">
        <w:rPr>
          <w:rFonts w:ascii="Palatino Linotype" w:hAnsi="Palatino Linotype"/>
          <w:b w:val="0"/>
        </w:rPr>
        <w:t xml:space="preserve"> through this R</w:t>
      </w:r>
      <w:r w:rsidRPr="00511954" w:rsidR="005D202A">
        <w:rPr>
          <w:rFonts w:ascii="Palatino Linotype" w:hAnsi="Palatino Linotype"/>
          <w:b w:val="0"/>
        </w:rPr>
        <w:t>esolution</w:t>
      </w:r>
      <w:r w:rsidRPr="00511954" w:rsidR="00423D32">
        <w:rPr>
          <w:rFonts w:ascii="Palatino Linotype" w:hAnsi="Palatino Linotype"/>
          <w:b w:val="0"/>
        </w:rPr>
        <w:t xml:space="preserve">. </w:t>
      </w:r>
      <w:r w:rsidRPr="00511954" w:rsidR="008762CC">
        <w:rPr>
          <w:rFonts w:ascii="Palatino Linotype" w:hAnsi="Palatino Linotype"/>
          <w:b w:val="0"/>
        </w:rPr>
        <w:t xml:space="preserve">Since </w:t>
      </w:r>
      <w:r w:rsidRPr="00511954" w:rsidR="00AA5EAB">
        <w:rPr>
          <w:rFonts w:ascii="Palatino Linotype" w:hAnsi="Palatino Linotype"/>
          <w:b w:val="0"/>
        </w:rPr>
        <w:t>the DAC-GT and CSGT</w:t>
      </w:r>
      <w:r w:rsidRPr="00511954" w:rsidR="008762CC">
        <w:rPr>
          <w:rFonts w:ascii="Palatino Linotype" w:hAnsi="Palatino Linotype"/>
          <w:b w:val="0"/>
        </w:rPr>
        <w:t xml:space="preserve"> programs have geographic eligibility criteria</w:t>
      </w:r>
      <w:r w:rsidR="00444E27">
        <w:rPr>
          <w:rFonts w:ascii="Palatino Linotype" w:hAnsi="Palatino Linotype"/>
          <w:b w:val="0"/>
        </w:rPr>
        <w:t xml:space="preserve"> based on qualified census tracts</w:t>
      </w:r>
      <w:r w:rsidRPr="00511954" w:rsidR="00D41163">
        <w:rPr>
          <w:rFonts w:ascii="Palatino Linotype" w:hAnsi="Palatino Linotype"/>
          <w:b w:val="0"/>
        </w:rPr>
        <w:t>,</w:t>
      </w:r>
      <w:r w:rsidRPr="00511954" w:rsidR="008762CC">
        <w:rPr>
          <w:rFonts w:ascii="Palatino Linotype" w:hAnsi="Palatino Linotype"/>
          <w:b w:val="0"/>
        </w:rPr>
        <w:t xml:space="preserve"> and CCAs have clear geographic service areas, </w:t>
      </w:r>
      <w:r w:rsidRPr="00511954" w:rsidR="00F2351C">
        <w:rPr>
          <w:rFonts w:ascii="Palatino Linotype" w:hAnsi="Palatino Linotype"/>
          <w:b w:val="0"/>
        </w:rPr>
        <w:t>we find</w:t>
      </w:r>
      <w:r w:rsidRPr="00511954" w:rsidR="001C327F">
        <w:rPr>
          <w:rFonts w:ascii="Palatino Linotype" w:hAnsi="Palatino Linotype"/>
          <w:b w:val="0"/>
        </w:rPr>
        <w:t xml:space="preserve"> merit in</w:t>
      </w:r>
      <w:r w:rsidRPr="00511954" w:rsidR="009C145C">
        <w:rPr>
          <w:rFonts w:ascii="Palatino Linotype" w:hAnsi="Palatino Linotype"/>
          <w:b w:val="0"/>
        </w:rPr>
        <w:t xml:space="preserve"> </w:t>
      </w:r>
      <w:r w:rsidRPr="00511954" w:rsidR="008B79E7">
        <w:rPr>
          <w:rFonts w:ascii="Palatino Linotype" w:hAnsi="Palatino Linotype"/>
          <w:b w:val="0"/>
        </w:rPr>
        <w:t xml:space="preserve">PG&amp;E’s </w:t>
      </w:r>
      <w:r w:rsidRPr="00511954" w:rsidR="009C145C">
        <w:rPr>
          <w:rFonts w:ascii="Palatino Linotype" w:hAnsi="Palatino Linotype"/>
          <w:b w:val="0"/>
        </w:rPr>
        <w:t>propos</w:t>
      </w:r>
      <w:r w:rsidRPr="00511954" w:rsidR="00571F6C">
        <w:rPr>
          <w:rFonts w:ascii="Palatino Linotype" w:hAnsi="Palatino Linotype"/>
          <w:b w:val="0"/>
        </w:rPr>
        <w:t>al to</w:t>
      </w:r>
      <w:r w:rsidRPr="00511954" w:rsidR="008B79E7">
        <w:rPr>
          <w:rFonts w:ascii="Palatino Linotype" w:hAnsi="Palatino Linotype"/>
          <w:b w:val="0"/>
        </w:rPr>
        <w:t xml:space="preserve"> allocat</w:t>
      </w:r>
      <w:r w:rsidRPr="00511954" w:rsidR="00571F6C">
        <w:rPr>
          <w:rFonts w:ascii="Palatino Linotype" w:hAnsi="Palatino Linotype"/>
          <w:b w:val="0"/>
        </w:rPr>
        <w:t>e</w:t>
      </w:r>
      <w:r w:rsidRPr="00511954" w:rsidR="008B79E7">
        <w:rPr>
          <w:rFonts w:ascii="Palatino Linotype" w:hAnsi="Palatino Linotype"/>
          <w:b w:val="0"/>
        </w:rPr>
        <w:t xml:space="preserve"> capacity to CCAs </w:t>
      </w:r>
      <w:r w:rsidRPr="00511954" w:rsidR="008762CC">
        <w:rPr>
          <w:rFonts w:ascii="Palatino Linotype" w:hAnsi="Palatino Linotype"/>
          <w:b w:val="0"/>
        </w:rPr>
        <w:t xml:space="preserve">based on the </w:t>
      </w:r>
      <w:r w:rsidRPr="00511954" w:rsidR="008762CC">
        <w:rPr>
          <w:rFonts w:ascii="Palatino Linotype" w:hAnsi="Palatino Linotype" w:cs="TimesNewRoman"/>
          <w:b w:val="0"/>
          <w:szCs w:val="24"/>
        </w:rPr>
        <w:t>proportional share of residential customers in DACs that each CCA serves</w:t>
      </w:r>
      <w:r w:rsidRPr="00511954" w:rsidR="00D41163">
        <w:rPr>
          <w:rFonts w:ascii="Palatino Linotype" w:hAnsi="Palatino Linotype" w:cs="TimesNewRoman"/>
          <w:b w:val="0"/>
          <w:szCs w:val="24"/>
        </w:rPr>
        <w:t>. T</w:t>
      </w:r>
      <w:r w:rsidRPr="00511954" w:rsidR="00F2351C">
        <w:rPr>
          <w:rFonts w:ascii="Palatino Linotype" w:hAnsi="Palatino Linotype" w:cs="TimesNewRoman"/>
          <w:b w:val="0"/>
          <w:szCs w:val="24"/>
        </w:rPr>
        <w:t xml:space="preserve">his </w:t>
      </w:r>
      <w:r w:rsidRPr="00511954" w:rsidR="00D41163">
        <w:rPr>
          <w:rFonts w:ascii="Palatino Linotype" w:hAnsi="Palatino Linotype" w:cs="TimesNewRoman"/>
          <w:b w:val="0"/>
          <w:szCs w:val="24"/>
        </w:rPr>
        <w:t xml:space="preserve">approach </w:t>
      </w:r>
      <w:r w:rsidRPr="00511954" w:rsidR="00F2351C">
        <w:rPr>
          <w:rFonts w:ascii="Palatino Linotype" w:hAnsi="Palatino Linotype" w:cs="TimesNewRoman"/>
          <w:b w:val="0"/>
          <w:szCs w:val="24"/>
        </w:rPr>
        <w:t xml:space="preserve">will align </w:t>
      </w:r>
      <w:r w:rsidRPr="00511954" w:rsidR="008D4DC5">
        <w:rPr>
          <w:rFonts w:ascii="Palatino Linotype" w:hAnsi="Palatino Linotype" w:cs="TimesNewRoman"/>
          <w:b w:val="0"/>
          <w:szCs w:val="24"/>
        </w:rPr>
        <w:t xml:space="preserve">the IOUs’ and CCAs’ </w:t>
      </w:r>
      <w:r w:rsidRPr="00511954" w:rsidR="00F2351C">
        <w:rPr>
          <w:rFonts w:ascii="Palatino Linotype" w:hAnsi="Palatino Linotype" w:cs="TimesNewRoman"/>
          <w:b w:val="0"/>
          <w:szCs w:val="24"/>
        </w:rPr>
        <w:t>capacity allocation</w:t>
      </w:r>
      <w:r w:rsidRPr="00511954" w:rsidR="008D4DC5">
        <w:rPr>
          <w:rFonts w:ascii="Palatino Linotype" w:hAnsi="Palatino Linotype" w:cs="TimesNewRoman"/>
          <w:b w:val="0"/>
          <w:szCs w:val="24"/>
        </w:rPr>
        <w:t>s</w:t>
      </w:r>
      <w:r w:rsidRPr="00511954" w:rsidR="00F2351C">
        <w:rPr>
          <w:rFonts w:ascii="Palatino Linotype" w:hAnsi="Palatino Linotype" w:cs="TimesNewRoman"/>
          <w:b w:val="0"/>
          <w:szCs w:val="24"/>
        </w:rPr>
        <w:t xml:space="preserve"> with </w:t>
      </w:r>
      <w:r w:rsidRPr="00511954" w:rsidR="008D4DC5">
        <w:rPr>
          <w:rFonts w:ascii="Palatino Linotype" w:hAnsi="Palatino Linotype" w:cs="TimesNewRoman"/>
          <w:b w:val="0"/>
          <w:szCs w:val="24"/>
        </w:rPr>
        <w:t>their proportiona</w:t>
      </w:r>
      <w:r w:rsidR="00D512F0">
        <w:rPr>
          <w:rFonts w:ascii="Palatino Linotype" w:hAnsi="Palatino Linotype" w:cs="TimesNewRoman"/>
          <w:b w:val="0"/>
          <w:szCs w:val="24"/>
        </w:rPr>
        <w:t>l</w:t>
      </w:r>
      <w:r w:rsidRPr="00511954" w:rsidR="008D4DC5">
        <w:rPr>
          <w:rFonts w:ascii="Palatino Linotype" w:hAnsi="Palatino Linotype" w:cs="TimesNewRoman"/>
          <w:b w:val="0"/>
          <w:szCs w:val="24"/>
        </w:rPr>
        <w:t xml:space="preserve"> </w:t>
      </w:r>
      <w:r w:rsidRPr="00511954" w:rsidR="00F2351C">
        <w:rPr>
          <w:rFonts w:ascii="Palatino Linotype" w:hAnsi="Palatino Linotype" w:cs="TimesNewRoman"/>
          <w:b w:val="0"/>
          <w:szCs w:val="24"/>
        </w:rPr>
        <w:t>share</w:t>
      </w:r>
      <w:r w:rsidRPr="00511954" w:rsidR="008D4DC5">
        <w:rPr>
          <w:rFonts w:ascii="Palatino Linotype" w:hAnsi="Palatino Linotype" w:cs="TimesNewRoman"/>
          <w:b w:val="0"/>
          <w:szCs w:val="24"/>
        </w:rPr>
        <w:t>s</w:t>
      </w:r>
      <w:r w:rsidRPr="00511954" w:rsidR="00F2351C">
        <w:rPr>
          <w:rFonts w:ascii="Palatino Linotype" w:hAnsi="Palatino Linotype" w:cs="TimesNewRoman"/>
          <w:b w:val="0"/>
          <w:szCs w:val="24"/>
        </w:rPr>
        <w:t xml:space="preserve"> of residential DAC customers</w:t>
      </w:r>
      <w:r w:rsidRPr="00511954" w:rsidR="009C145C">
        <w:rPr>
          <w:rFonts w:ascii="Palatino Linotype" w:hAnsi="Palatino Linotype" w:cs="TimesNewRoman"/>
          <w:b w:val="0"/>
          <w:szCs w:val="24"/>
        </w:rPr>
        <w:t xml:space="preserve">. </w:t>
      </w:r>
    </w:p>
    <w:p w:rsidRPr="00511954" w:rsidR="009C145C" w:rsidP="008762CC" w:rsidRDefault="00F2351C" w14:paraId="2F896E96" w14:textId="12A71679">
      <w:pPr>
        <w:pStyle w:val="BodyText"/>
        <w:spacing w:after="120"/>
        <w:rPr>
          <w:rFonts w:ascii="Palatino Linotype" w:hAnsi="Palatino Linotype" w:cs="TimesNewRoman"/>
          <w:b w:val="0"/>
          <w:szCs w:val="24"/>
        </w:rPr>
      </w:pPr>
      <w:r w:rsidRPr="00511954">
        <w:rPr>
          <w:rFonts w:ascii="Palatino Linotype" w:hAnsi="Palatino Linotype" w:cs="TimesNewRoman"/>
          <w:b w:val="0"/>
          <w:szCs w:val="24"/>
        </w:rPr>
        <w:t>We</w:t>
      </w:r>
      <w:r w:rsidR="00B124E2">
        <w:rPr>
          <w:rFonts w:ascii="Palatino Linotype" w:hAnsi="Palatino Linotype" w:cs="TimesNewRoman"/>
          <w:b w:val="0"/>
          <w:szCs w:val="24"/>
        </w:rPr>
        <w:t>,</w:t>
      </w:r>
      <w:r w:rsidRPr="00511954" w:rsidR="00D17776">
        <w:rPr>
          <w:rFonts w:ascii="Palatino Linotype" w:hAnsi="Palatino Linotype" w:cs="TimesNewRoman"/>
          <w:b w:val="0"/>
          <w:szCs w:val="24"/>
        </w:rPr>
        <w:t xml:space="preserve"> </w:t>
      </w:r>
      <w:r w:rsidRPr="00511954" w:rsidR="008D4DC5">
        <w:rPr>
          <w:rFonts w:ascii="Palatino Linotype" w:hAnsi="Palatino Linotype" w:cs="TimesNewRoman"/>
          <w:b w:val="0"/>
          <w:szCs w:val="24"/>
        </w:rPr>
        <w:t>therefore</w:t>
      </w:r>
      <w:r w:rsidR="00B124E2">
        <w:rPr>
          <w:rFonts w:ascii="Palatino Linotype" w:hAnsi="Palatino Linotype" w:cs="TimesNewRoman"/>
          <w:b w:val="0"/>
          <w:szCs w:val="24"/>
        </w:rPr>
        <w:t>,</w:t>
      </w:r>
      <w:r w:rsidRPr="00511954" w:rsidR="008D4DC5">
        <w:rPr>
          <w:rFonts w:ascii="Palatino Linotype" w:hAnsi="Palatino Linotype" w:cs="TimesNewRoman"/>
          <w:b w:val="0"/>
          <w:szCs w:val="24"/>
        </w:rPr>
        <w:t xml:space="preserve"> </w:t>
      </w:r>
      <w:r w:rsidRPr="00511954" w:rsidR="009C145C">
        <w:rPr>
          <w:rFonts w:ascii="Palatino Linotype" w:hAnsi="Palatino Linotype" w:cs="TimesNewRoman"/>
          <w:b w:val="0"/>
          <w:szCs w:val="24"/>
        </w:rPr>
        <w:t>allocate capacity to CCAs based on this approach and</w:t>
      </w:r>
      <w:r w:rsidRPr="00511954" w:rsidR="00D17776">
        <w:rPr>
          <w:rFonts w:ascii="Palatino Linotype" w:hAnsi="Palatino Linotype" w:cs="TimesNewRoman"/>
          <w:b w:val="0"/>
          <w:szCs w:val="24"/>
        </w:rPr>
        <w:t xml:space="preserve"> </w:t>
      </w:r>
      <w:r w:rsidRPr="00511954" w:rsidR="001C327F">
        <w:rPr>
          <w:rFonts w:ascii="Palatino Linotype" w:hAnsi="Palatino Linotype" w:cs="TimesNewRoman"/>
          <w:b w:val="0"/>
          <w:szCs w:val="24"/>
        </w:rPr>
        <w:t>decrease</w:t>
      </w:r>
      <w:r w:rsidRPr="00511954" w:rsidR="008762CC">
        <w:rPr>
          <w:rFonts w:ascii="Palatino Linotype" w:hAnsi="Palatino Linotype" w:cs="TimesNewRoman"/>
          <w:b w:val="0"/>
          <w:szCs w:val="24"/>
        </w:rPr>
        <w:t xml:space="preserve"> </w:t>
      </w:r>
      <w:r w:rsidRPr="00511954" w:rsidR="009C145C">
        <w:rPr>
          <w:rFonts w:ascii="Palatino Linotype" w:hAnsi="Palatino Linotype" w:cs="TimesNewRoman"/>
          <w:b w:val="0"/>
          <w:szCs w:val="24"/>
        </w:rPr>
        <w:t xml:space="preserve">each </w:t>
      </w:r>
      <w:r w:rsidRPr="00511954" w:rsidR="008762CC">
        <w:rPr>
          <w:rFonts w:ascii="Palatino Linotype" w:hAnsi="Palatino Linotype" w:cs="TimesNewRoman"/>
          <w:b w:val="0"/>
          <w:szCs w:val="24"/>
        </w:rPr>
        <w:t>IOU</w:t>
      </w:r>
      <w:r w:rsidRPr="00511954" w:rsidR="00571F6C">
        <w:rPr>
          <w:rFonts w:ascii="Palatino Linotype" w:hAnsi="Palatino Linotype" w:cs="TimesNewRoman"/>
          <w:b w:val="0"/>
          <w:szCs w:val="24"/>
        </w:rPr>
        <w:t>’</w:t>
      </w:r>
      <w:r w:rsidRPr="00511954" w:rsidR="008762CC">
        <w:rPr>
          <w:rFonts w:ascii="Palatino Linotype" w:hAnsi="Palatino Linotype" w:cs="TimesNewRoman"/>
          <w:b w:val="0"/>
          <w:szCs w:val="24"/>
        </w:rPr>
        <w:t xml:space="preserve">s program capacity </w:t>
      </w:r>
      <w:r w:rsidRPr="00511954" w:rsidR="009C145C">
        <w:rPr>
          <w:rFonts w:ascii="Palatino Linotype" w:hAnsi="Palatino Linotype" w:cs="TimesNewRoman"/>
          <w:b w:val="0"/>
          <w:szCs w:val="24"/>
        </w:rPr>
        <w:t xml:space="preserve">caps by the </w:t>
      </w:r>
      <w:r w:rsidRPr="00511954" w:rsidR="00B901CD">
        <w:rPr>
          <w:rFonts w:ascii="Palatino Linotype" w:hAnsi="Palatino Linotype" w:cs="TimesNewRoman"/>
          <w:b w:val="0"/>
          <w:szCs w:val="24"/>
        </w:rPr>
        <w:t xml:space="preserve">amount </w:t>
      </w:r>
      <w:r w:rsidRPr="00511954" w:rsidR="009C145C">
        <w:rPr>
          <w:rFonts w:ascii="Palatino Linotype" w:hAnsi="Palatino Linotype" w:cs="TimesNewRoman"/>
          <w:b w:val="0"/>
          <w:szCs w:val="24"/>
        </w:rPr>
        <w:t xml:space="preserve">allocated to CCAs in their service territory. </w:t>
      </w:r>
      <w:r w:rsidR="00D512F0">
        <w:rPr>
          <w:rFonts w:ascii="Palatino Linotype" w:hAnsi="Palatino Linotype" w:cs="TimesNewRoman"/>
          <w:b w:val="0"/>
          <w:szCs w:val="24"/>
        </w:rPr>
        <w:t>In March</w:t>
      </w:r>
      <w:r w:rsidR="00C112DB">
        <w:rPr>
          <w:rFonts w:ascii="Palatino Linotype" w:hAnsi="Palatino Linotype" w:cs="TimesNewRoman"/>
          <w:b w:val="0"/>
          <w:szCs w:val="24"/>
        </w:rPr>
        <w:t xml:space="preserve"> and April</w:t>
      </w:r>
      <w:r w:rsidR="00D512F0">
        <w:rPr>
          <w:rFonts w:ascii="Palatino Linotype" w:hAnsi="Palatino Linotype" w:cs="TimesNewRoman"/>
          <w:b w:val="0"/>
          <w:szCs w:val="24"/>
        </w:rPr>
        <w:t xml:space="preserve"> 2019, in response to Energy Division data requests, the IOUs provided information on the number of residential </w:t>
      </w:r>
      <w:r w:rsidR="006D2A0D">
        <w:rPr>
          <w:rFonts w:ascii="Palatino Linotype" w:hAnsi="Palatino Linotype" w:cs="TimesNewRoman"/>
          <w:b w:val="0"/>
          <w:szCs w:val="24"/>
        </w:rPr>
        <w:t xml:space="preserve">DAC </w:t>
      </w:r>
      <w:r w:rsidR="00D512F0">
        <w:rPr>
          <w:rFonts w:ascii="Palatino Linotype" w:hAnsi="Palatino Linotype" w:cs="TimesNewRoman"/>
          <w:b w:val="0"/>
          <w:szCs w:val="24"/>
        </w:rPr>
        <w:t xml:space="preserve">customers in their service territory by load serving entity. </w:t>
      </w:r>
      <w:r w:rsidRPr="00511954" w:rsidR="00B901CD">
        <w:rPr>
          <w:rFonts w:ascii="Palatino Linotype" w:hAnsi="Palatino Linotype" w:cs="TimesNewRoman"/>
          <w:b w:val="0"/>
          <w:szCs w:val="24"/>
        </w:rPr>
        <w:t xml:space="preserve">Based on </w:t>
      </w:r>
      <w:r w:rsidR="00D512F0">
        <w:rPr>
          <w:rFonts w:ascii="Palatino Linotype" w:hAnsi="Palatino Linotype" w:cs="TimesNewRoman"/>
          <w:b w:val="0"/>
          <w:szCs w:val="24"/>
        </w:rPr>
        <w:t>this data</w:t>
      </w:r>
      <w:r w:rsidRPr="00511954" w:rsidR="003E04B6">
        <w:rPr>
          <w:rFonts w:ascii="Palatino Linotype" w:hAnsi="Palatino Linotype" w:cs="TimesNewRoman"/>
          <w:b w:val="0"/>
          <w:szCs w:val="24"/>
        </w:rPr>
        <w:t xml:space="preserve">, </w:t>
      </w:r>
      <w:r w:rsidRPr="00511954">
        <w:rPr>
          <w:rFonts w:ascii="Palatino Linotype" w:hAnsi="Palatino Linotype" w:cs="TimesNewRoman"/>
          <w:b w:val="0"/>
          <w:szCs w:val="24"/>
        </w:rPr>
        <w:t>we</w:t>
      </w:r>
      <w:r w:rsidRPr="00511954" w:rsidR="003E04B6">
        <w:rPr>
          <w:rFonts w:ascii="Palatino Linotype" w:hAnsi="Palatino Linotype" w:cs="TimesNewRoman"/>
          <w:b w:val="0"/>
          <w:szCs w:val="24"/>
        </w:rPr>
        <w:t xml:space="preserve"> allocate </w:t>
      </w:r>
      <w:r w:rsidR="00D512F0">
        <w:rPr>
          <w:rFonts w:ascii="Palatino Linotype" w:hAnsi="Palatino Linotype" w:cs="TimesNewRoman"/>
          <w:b w:val="0"/>
          <w:szCs w:val="24"/>
        </w:rPr>
        <w:t xml:space="preserve">CCAs </w:t>
      </w:r>
      <w:r w:rsidRPr="00511954" w:rsidR="003E04B6">
        <w:rPr>
          <w:rFonts w:ascii="Palatino Linotype" w:hAnsi="Palatino Linotype" w:cs="TimesNewRoman"/>
          <w:b w:val="0"/>
          <w:szCs w:val="24"/>
        </w:rPr>
        <w:t>program capacity</w:t>
      </w:r>
      <w:r w:rsidR="00D512F0">
        <w:rPr>
          <w:rFonts w:ascii="Palatino Linotype" w:hAnsi="Palatino Linotype" w:cs="TimesNewRoman"/>
          <w:b w:val="0"/>
          <w:szCs w:val="24"/>
        </w:rPr>
        <w:t xml:space="preserve"> based on their proportional share of residentially customers in DACs. The capacity allocations are detailed in</w:t>
      </w:r>
      <w:r w:rsidRPr="00511954" w:rsidR="003E04B6">
        <w:rPr>
          <w:rFonts w:ascii="Palatino Linotype" w:hAnsi="Palatino Linotype" w:cs="TimesNewRoman"/>
          <w:b w:val="0"/>
          <w:szCs w:val="24"/>
        </w:rPr>
        <w:t xml:space="preserve"> </w:t>
      </w:r>
      <w:r w:rsidRPr="00511954">
        <w:rPr>
          <w:rFonts w:ascii="Palatino Linotype" w:hAnsi="Palatino Linotype" w:cs="TimesNewRoman"/>
          <w:b w:val="0"/>
          <w:szCs w:val="24"/>
        </w:rPr>
        <w:t>Tables 1 and 2 below</w:t>
      </w:r>
      <w:r w:rsidRPr="00511954" w:rsidR="003E04B6">
        <w:rPr>
          <w:rFonts w:ascii="Palatino Linotype" w:hAnsi="Palatino Linotype" w:cs="TimesNewRoman"/>
          <w:b w:val="0"/>
          <w:szCs w:val="24"/>
        </w:rPr>
        <w:t>.</w:t>
      </w:r>
      <w:r w:rsidRPr="00511954" w:rsidR="00E8532A">
        <w:rPr>
          <w:rFonts w:ascii="Palatino Linotype" w:hAnsi="Palatino Linotype" w:cs="TimesNewRoman"/>
          <w:b w:val="0"/>
          <w:szCs w:val="24"/>
        </w:rPr>
        <w:t xml:space="preserve"> Since</w:t>
      </w:r>
      <w:r w:rsidRPr="00511954" w:rsidR="00F4061F">
        <w:rPr>
          <w:rFonts w:ascii="Palatino Linotype" w:hAnsi="Palatino Linotype" w:cs="TimesNewRoman"/>
          <w:b w:val="0"/>
          <w:szCs w:val="24"/>
        </w:rPr>
        <w:t>,</w:t>
      </w:r>
      <w:r w:rsidRPr="00511954" w:rsidR="00E8532A">
        <w:rPr>
          <w:rFonts w:ascii="Palatino Linotype" w:hAnsi="Palatino Linotype" w:cs="TimesNewRoman"/>
          <w:b w:val="0"/>
          <w:szCs w:val="24"/>
        </w:rPr>
        <w:t xml:space="preserve"> </w:t>
      </w:r>
      <w:proofErr w:type="gramStart"/>
      <w:r w:rsidRPr="00511954" w:rsidR="00286216">
        <w:rPr>
          <w:rFonts w:ascii="Palatino Linotype" w:hAnsi="Palatino Linotype" w:cs="TimesNewRoman"/>
          <w:b w:val="0"/>
          <w:szCs w:val="24"/>
        </w:rPr>
        <w:t>at this time</w:t>
      </w:r>
      <w:proofErr w:type="gramEnd"/>
      <w:r w:rsidRPr="00511954" w:rsidR="00286216">
        <w:rPr>
          <w:rFonts w:ascii="Palatino Linotype" w:hAnsi="Palatino Linotype" w:cs="TimesNewRoman"/>
          <w:b w:val="0"/>
          <w:szCs w:val="24"/>
        </w:rPr>
        <w:t>,</w:t>
      </w:r>
      <w:r w:rsidRPr="00511954" w:rsidR="00E8532A">
        <w:rPr>
          <w:rFonts w:ascii="Palatino Linotype" w:hAnsi="Palatino Linotype" w:cs="TimesNewRoman"/>
          <w:b w:val="0"/>
          <w:szCs w:val="24"/>
        </w:rPr>
        <w:t xml:space="preserve"> no CCAs in SDG&amp;E’s service territory are serving residential </w:t>
      </w:r>
      <w:r w:rsidRPr="00511954" w:rsidR="008E15F1">
        <w:rPr>
          <w:rFonts w:ascii="Palatino Linotype" w:hAnsi="Palatino Linotype" w:cs="TimesNewRoman"/>
          <w:b w:val="0"/>
          <w:szCs w:val="24"/>
        </w:rPr>
        <w:t>customers in DACs</w:t>
      </w:r>
      <w:r w:rsidRPr="00511954" w:rsidR="00E8532A">
        <w:rPr>
          <w:rFonts w:ascii="Palatino Linotype" w:hAnsi="Palatino Linotype" w:cs="TimesNewRoman"/>
          <w:b w:val="0"/>
          <w:szCs w:val="24"/>
        </w:rPr>
        <w:t xml:space="preserve">, all 18 MW and 5 MW of SDG&amp;E’s capacity under the DAC-GT and CSGT programs, respectively, remain </w:t>
      </w:r>
      <w:r w:rsidRPr="00511954" w:rsidR="00286216">
        <w:rPr>
          <w:rFonts w:ascii="Palatino Linotype" w:hAnsi="Palatino Linotype" w:cs="TimesNewRoman"/>
          <w:b w:val="0"/>
          <w:szCs w:val="24"/>
        </w:rPr>
        <w:t xml:space="preserve">allocated to </w:t>
      </w:r>
      <w:r w:rsidRPr="00511954" w:rsidR="00E8532A">
        <w:rPr>
          <w:rFonts w:ascii="Palatino Linotype" w:hAnsi="Palatino Linotype" w:cs="TimesNewRoman"/>
          <w:b w:val="0"/>
          <w:szCs w:val="24"/>
        </w:rPr>
        <w:t>the IOU.</w:t>
      </w:r>
      <w:r w:rsidRPr="00511954" w:rsidR="003E04B6">
        <w:rPr>
          <w:rFonts w:ascii="Palatino Linotype" w:hAnsi="Palatino Linotype" w:cs="TimesNewRoman"/>
          <w:b w:val="0"/>
          <w:szCs w:val="24"/>
        </w:rPr>
        <w:t xml:space="preserve"> </w:t>
      </w:r>
    </w:p>
    <w:tbl>
      <w:tblPr>
        <w:tblStyle w:val="TableGrid"/>
        <w:tblW w:w="0" w:type="auto"/>
        <w:tblLook w:val="04A0" w:firstRow="1" w:lastRow="0" w:firstColumn="1" w:lastColumn="0" w:noHBand="0" w:noVBand="1"/>
      </w:tblPr>
      <w:tblGrid>
        <w:gridCol w:w="2875"/>
        <w:gridCol w:w="1620"/>
        <w:gridCol w:w="2129"/>
        <w:gridCol w:w="1363"/>
        <w:gridCol w:w="1363"/>
      </w:tblGrid>
      <w:tr w:rsidRPr="00511954" w:rsidR="00C6650D" w:rsidTr="00D450E1" w14:paraId="0E316B53" w14:textId="77777777">
        <w:tc>
          <w:tcPr>
            <w:tcW w:w="9350" w:type="dxa"/>
            <w:gridSpan w:val="5"/>
            <w:vAlign w:val="bottom"/>
          </w:tcPr>
          <w:p w:rsidRPr="00511954" w:rsidR="00C6650D" w:rsidP="00C345D8" w:rsidRDefault="00C6650D" w14:paraId="46643AD2" w14:textId="7BD5CBEC">
            <w:pPr>
              <w:pStyle w:val="BodyText"/>
              <w:keepNext/>
              <w:spacing w:after="40"/>
              <w:rPr>
                <w:rFonts w:ascii="Palatino Linotype" w:hAnsi="Palatino Linotype" w:cs="TimesNewRoman"/>
                <w:sz w:val="24"/>
                <w:szCs w:val="24"/>
              </w:rPr>
            </w:pPr>
            <w:r w:rsidRPr="00511954">
              <w:rPr>
                <w:rFonts w:ascii="Palatino Linotype" w:hAnsi="Palatino Linotype" w:cs="TimesNewRoman"/>
                <w:sz w:val="24"/>
                <w:szCs w:val="24"/>
              </w:rPr>
              <w:t xml:space="preserve">Table 1: </w:t>
            </w:r>
            <w:r w:rsidRPr="00511954" w:rsidR="00F2351C">
              <w:rPr>
                <w:rFonts w:ascii="Palatino Linotype" w:hAnsi="Palatino Linotype" w:cs="TimesNewRoman"/>
                <w:sz w:val="24"/>
                <w:szCs w:val="24"/>
              </w:rPr>
              <w:t xml:space="preserve">IOU/CCA </w:t>
            </w:r>
            <w:r w:rsidRPr="00511954">
              <w:rPr>
                <w:rFonts w:ascii="Palatino Linotype" w:hAnsi="Palatino Linotype" w:cs="TimesNewRoman"/>
                <w:sz w:val="24"/>
                <w:szCs w:val="24"/>
              </w:rPr>
              <w:t>Program Capacity Allocation</w:t>
            </w:r>
            <w:r w:rsidRPr="00511954" w:rsidR="00C641E5">
              <w:rPr>
                <w:rFonts w:ascii="Palatino Linotype" w:hAnsi="Palatino Linotype" w:cs="TimesNewRoman"/>
                <w:sz w:val="24"/>
                <w:szCs w:val="24"/>
              </w:rPr>
              <w:t xml:space="preserve"> in PG&amp;E’s Service Territory</w:t>
            </w:r>
          </w:p>
        </w:tc>
      </w:tr>
      <w:tr w:rsidRPr="00263349" w:rsidR="00CB7F04" w:rsidTr="00F60915" w14:paraId="28EDC54D" w14:textId="77777777">
        <w:tc>
          <w:tcPr>
            <w:tcW w:w="2875" w:type="dxa"/>
            <w:vAlign w:val="bottom"/>
          </w:tcPr>
          <w:p w:rsidRPr="00511954" w:rsidR="003E04B6" w:rsidP="00C345D8" w:rsidRDefault="00C641E5" w14:paraId="18EF0B3F" w14:textId="77777777">
            <w:pPr>
              <w:pStyle w:val="BodyText"/>
              <w:keepNext/>
              <w:spacing w:after="40"/>
              <w:rPr>
                <w:rFonts w:ascii="Palatino Linotype" w:hAnsi="Palatino Linotype" w:cs="TimesNewRoman"/>
                <w:sz w:val="24"/>
                <w:szCs w:val="24"/>
              </w:rPr>
            </w:pPr>
            <w:r w:rsidRPr="00511954">
              <w:rPr>
                <w:rFonts w:ascii="Palatino Linotype" w:hAnsi="Palatino Linotype" w:cs="TimesNewRoman"/>
                <w:sz w:val="24"/>
                <w:szCs w:val="24"/>
              </w:rPr>
              <w:t>PG&amp;E</w:t>
            </w:r>
            <w:r w:rsidRPr="00511954" w:rsidR="00E91CBA">
              <w:rPr>
                <w:rFonts w:ascii="Palatino Linotype" w:hAnsi="Palatino Linotype" w:cs="TimesNewRoman"/>
                <w:sz w:val="24"/>
                <w:szCs w:val="24"/>
              </w:rPr>
              <w:t xml:space="preserve"> or CCA:</w:t>
            </w:r>
          </w:p>
        </w:tc>
        <w:tc>
          <w:tcPr>
            <w:tcW w:w="1620" w:type="dxa"/>
            <w:vAlign w:val="bottom"/>
          </w:tcPr>
          <w:p w:rsidRPr="00511954" w:rsidR="003E04B6" w:rsidP="00C345D8" w:rsidRDefault="003E04B6" w14:paraId="258F3D4A" w14:textId="53AF6B7D">
            <w:pPr>
              <w:pStyle w:val="BodyText"/>
              <w:keepNext/>
              <w:spacing w:after="40"/>
              <w:rPr>
                <w:rFonts w:ascii="Palatino Linotype" w:hAnsi="Palatino Linotype" w:cs="TimesNewRoman"/>
                <w:sz w:val="24"/>
                <w:szCs w:val="24"/>
              </w:rPr>
            </w:pPr>
            <w:r w:rsidRPr="00511954">
              <w:rPr>
                <w:rFonts w:ascii="Palatino Linotype" w:hAnsi="Palatino Linotype" w:cs="TimesNewRoman"/>
                <w:sz w:val="24"/>
                <w:szCs w:val="24"/>
              </w:rPr>
              <w:t xml:space="preserve">Residential </w:t>
            </w:r>
            <w:r w:rsidRPr="00511954" w:rsidR="00E91CBA">
              <w:rPr>
                <w:rFonts w:ascii="Palatino Linotype" w:hAnsi="Palatino Linotype" w:cs="TimesNewRoman"/>
                <w:sz w:val="24"/>
                <w:szCs w:val="24"/>
              </w:rPr>
              <w:t xml:space="preserve">DAC </w:t>
            </w:r>
            <w:r w:rsidRPr="00511954">
              <w:rPr>
                <w:rFonts w:ascii="Palatino Linotype" w:hAnsi="Palatino Linotype" w:cs="TimesNewRoman"/>
                <w:sz w:val="24"/>
                <w:szCs w:val="24"/>
              </w:rPr>
              <w:t>Customers Served</w:t>
            </w:r>
            <w:r w:rsidRPr="00511954" w:rsidR="00F2351C">
              <w:rPr>
                <w:rFonts w:ascii="Palatino Linotype" w:hAnsi="Palatino Linotype" w:cs="TimesNewRoman"/>
                <w:sz w:val="24"/>
                <w:szCs w:val="24"/>
              </w:rPr>
              <w:t xml:space="preserve"> by Entity</w:t>
            </w:r>
          </w:p>
        </w:tc>
        <w:tc>
          <w:tcPr>
            <w:tcW w:w="2129" w:type="dxa"/>
            <w:vAlign w:val="bottom"/>
          </w:tcPr>
          <w:p w:rsidRPr="00511954" w:rsidR="003E04B6" w:rsidP="00C345D8" w:rsidRDefault="00E91CBA" w14:paraId="032F0BB7" w14:textId="0BFA1F11">
            <w:pPr>
              <w:pStyle w:val="BodyText"/>
              <w:keepNext/>
              <w:spacing w:after="40"/>
              <w:rPr>
                <w:rFonts w:ascii="Palatino Linotype" w:hAnsi="Palatino Linotype" w:cs="TimesNewRoman"/>
                <w:sz w:val="24"/>
                <w:szCs w:val="24"/>
              </w:rPr>
            </w:pPr>
            <w:r w:rsidRPr="00511954">
              <w:rPr>
                <w:rFonts w:ascii="Palatino Linotype" w:hAnsi="Palatino Linotype" w:cs="TimesNewRoman"/>
                <w:sz w:val="24"/>
                <w:szCs w:val="24"/>
              </w:rPr>
              <w:t xml:space="preserve">Percent of Residential </w:t>
            </w:r>
            <w:r w:rsidRPr="00511954" w:rsidR="003E04B6">
              <w:rPr>
                <w:rFonts w:ascii="Palatino Linotype" w:hAnsi="Palatino Linotype" w:cs="TimesNewRoman"/>
                <w:sz w:val="24"/>
                <w:szCs w:val="24"/>
              </w:rPr>
              <w:t xml:space="preserve">DAC Customers </w:t>
            </w:r>
            <w:r w:rsidRPr="00511954" w:rsidR="00F2351C">
              <w:rPr>
                <w:rFonts w:ascii="Palatino Linotype" w:hAnsi="Palatino Linotype" w:cs="TimesNewRoman"/>
                <w:sz w:val="24"/>
                <w:szCs w:val="24"/>
              </w:rPr>
              <w:t>in PG&amp;E’s Service Territory</w:t>
            </w:r>
          </w:p>
        </w:tc>
        <w:tc>
          <w:tcPr>
            <w:tcW w:w="1363" w:type="dxa"/>
            <w:vAlign w:val="bottom"/>
          </w:tcPr>
          <w:p w:rsidRPr="00511954" w:rsidR="003E04B6" w:rsidP="00C345D8" w:rsidRDefault="003E04B6" w14:paraId="3EE11810" w14:textId="77777777">
            <w:pPr>
              <w:pStyle w:val="BodyText"/>
              <w:keepNext/>
              <w:spacing w:after="40"/>
              <w:rPr>
                <w:rFonts w:ascii="Palatino Linotype" w:hAnsi="Palatino Linotype" w:cs="TimesNewRoman"/>
                <w:sz w:val="24"/>
                <w:szCs w:val="24"/>
              </w:rPr>
            </w:pPr>
            <w:r w:rsidRPr="00511954">
              <w:rPr>
                <w:rFonts w:ascii="Palatino Linotype" w:hAnsi="Palatino Linotype" w:cs="TimesNewRoman"/>
                <w:sz w:val="24"/>
                <w:szCs w:val="24"/>
              </w:rPr>
              <w:t>DAC-GT Allocation (MW)</w:t>
            </w:r>
          </w:p>
        </w:tc>
        <w:tc>
          <w:tcPr>
            <w:tcW w:w="1363" w:type="dxa"/>
            <w:vAlign w:val="bottom"/>
          </w:tcPr>
          <w:p w:rsidRPr="00511954" w:rsidR="003E04B6" w:rsidP="002903E4" w:rsidRDefault="003E04B6" w14:paraId="5C64FA93" w14:textId="77777777">
            <w:pPr>
              <w:pStyle w:val="BodyText"/>
              <w:spacing w:after="40"/>
              <w:rPr>
                <w:rFonts w:ascii="Palatino Linotype" w:hAnsi="Palatino Linotype" w:cs="TimesNewRoman"/>
                <w:sz w:val="24"/>
                <w:szCs w:val="24"/>
              </w:rPr>
            </w:pPr>
            <w:r w:rsidRPr="00511954">
              <w:rPr>
                <w:rFonts w:ascii="Palatino Linotype" w:hAnsi="Palatino Linotype" w:cs="TimesNewRoman"/>
                <w:sz w:val="24"/>
                <w:szCs w:val="24"/>
              </w:rPr>
              <w:t>CSGT Allocation (MW)</w:t>
            </w:r>
          </w:p>
        </w:tc>
      </w:tr>
      <w:tr w:rsidRPr="00263349" w:rsidR="00CB7F04" w:rsidTr="00F60915" w14:paraId="326ACE87" w14:textId="77777777">
        <w:tc>
          <w:tcPr>
            <w:tcW w:w="2875" w:type="dxa"/>
            <w:vAlign w:val="bottom"/>
          </w:tcPr>
          <w:p w:rsidRPr="00511954" w:rsidR="003E04B6" w:rsidP="00C345D8" w:rsidRDefault="003E04B6" w14:paraId="44B6E407" w14:textId="77777777">
            <w:pPr>
              <w:pStyle w:val="BodyText"/>
              <w:keepNext/>
              <w:spacing w:after="40"/>
              <w:rPr>
                <w:rFonts w:ascii="Palatino Linotype" w:hAnsi="Palatino Linotype" w:cs="TimesNewRoman"/>
                <w:b w:val="0"/>
                <w:sz w:val="24"/>
                <w:szCs w:val="24"/>
              </w:rPr>
            </w:pPr>
            <w:r w:rsidRPr="00511954">
              <w:rPr>
                <w:rFonts w:ascii="Palatino Linotype" w:hAnsi="Palatino Linotype" w:cs="TimesNewRoman"/>
                <w:b w:val="0"/>
                <w:sz w:val="24"/>
                <w:szCs w:val="24"/>
              </w:rPr>
              <w:t>PG&amp;E</w:t>
            </w:r>
          </w:p>
        </w:tc>
        <w:tc>
          <w:tcPr>
            <w:tcW w:w="1620" w:type="dxa"/>
            <w:vAlign w:val="bottom"/>
          </w:tcPr>
          <w:p w:rsidRPr="00263349" w:rsidR="003E04B6" w:rsidP="00C345D8" w:rsidRDefault="007F4585" w14:paraId="3756BE34"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516,349</w:t>
            </w:r>
          </w:p>
        </w:tc>
        <w:tc>
          <w:tcPr>
            <w:tcW w:w="2129" w:type="dxa"/>
            <w:vAlign w:val="bottom"/>
          </w:tcPr>
          <w:p w:rsidRPr="00263349" w:rsidR="003E04B6" w:rsidP="00C345D8" w:rsidRDefault="00212BF6" w14:paraId="15CBACAE"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8</w:t>
            </w:r>
            <w:r w:rsidRPr="00263349" w:rsidR="0024376B">
              <w:rPr>
                <w:rFonts w:ascii="Palatino Linotype" w:hAnsi="Palatino Linotype" w:cs="TimesNewRoman"/>
                <w:b w:val="0"/>
                <w:sz w:val="24"/>
                <w:szCs w:val="24"/>
              </w:rPr>
              <w:t>0.97</w:t>
            </w:r>
            <w:r w:rsidRPr="00263349">
              <w:rPr>
                <w:rFonts w:ascii="Palatino Linotype" w:hAnsi="Palatino Linotype" w:cs="TimesNewRoman"/>
                <w:b w:val="0"/>
                <w:sz w:val="24"/>
                <w:szCs w:val="24"/>
              </w:rPr>
              <w:t>%</w:t>
            </w:r>
          </w:p>
        </w:tc>
        <w:tc>
          <w:tcPr>
            <w:tcW w:w="1363" w:type="dxa"/>
            <w:vAlign w:val="bottom"/>
          </w:tcPr>
          <w:p w:rsidRPr="00263349" w:rsidR="003E04B6" w:rsidP="00C345D8" w:rsidRDefault="002C13F7" w14:paraId="41AC563E" w14:textId="6B391656">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56.</w:t>
            </w:r>
            <w:r w:rsidR="00A72D61">
              <w:rPr>
                <w:rFonts w:ascii="Palatino Linotype" w:hAnsi="Palatino Linotype" w:cs="TimesNewRoman"/>
                <w:b w:val="0"/>
                <w:sz w:val="24"/>
                <w:szCs w:val="24"/>
              </w:rPr>
              <w:t>26</w:t>
            </w:r>
            <w:r w:rsidRPr="00263349" w:rsidR="00A81817">
              <w:rPr>
                <w:rFonts w:ascii="Palatino Linotype" w:hAnsi="Palatino Linotype" w:cs="TimesNewRoman"/>
                <w:b w:val="0"/>
                <w:sz w:val="24"/>
                <w:szCs w:val="24"/>
              </w:rPr>
              <w:t>*</w:t>
            </w:r>
          </w:p>
        </w:tc>
        <w:tc>
          <w:tcPr>
            <w:tcW w:w="1363" w:type="dxa"/>
            <w:vAlign w:val="bottom"/>
          </w:tcPr>
          <w:p w:rsidRPr="00263349" w:rsidR="003E04B6" w:rsidP="00F02DFF" w:rsidRDefault="002C13F7" w14:paraId="0B7569DC" w14:textId="005B0C8F">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14.</w:t>
            </w:r>
            <w:r w:rsidRPr="00263349" w:rsidR="00276380">
              <w:rPr>
                <w:rFonts w:ascii="Palatino Linotype" w:hAnsi="Palatino Linotype" w:cs="TimesNewRoman"/>
                <w:b w:val="0"/>
                <w:sz w:val="24"/>
                <w:szCs w:val="24"/>
              </w:rPr>
              <w:t>5</w:t>
            </w:r>
            <w:r w:rsidRPr="00263349" w:rsidR="00F02DFF">
              <w:rPr>
                <w:rFonts w:ascii="Palatino Linotype" w:hAnsi="Palatino Linotype" w:cs="TimesNewRoman"/>
                <w:b w:val="0"/>
                <w:sz w:val="24"/>
                <w:szCs w:val="24"/>
              </w:rPr>
              <w:t>7***</w:t>
            </w:r>
          </w:p>
        </w:tc>
      </w:tr>
      <w:tr w:rsidRPr="00263349" w:rsidR="00CB7F04" w:rsidTr="00F60915" w14:paraId="57D4C82E" w14:textId="77777777">
        <w:tc>
          <w:tcPr>
            <w:tcW w:w="2875" w:type="dxa"/>
            <w:vAlign w:val="bottom"/>
          </w:tcPr>
          <w:p w:rsidRPr="00511954" w:rsidR="003E04B6" w:rsidP="00C345D8" w:rsidRDefault="003E04B6" w14:paraId="4681CDF6" w14:textId="77777777">
            <w:pPr>
              <w:pStyle w:val="BodyText"/>
              <w:keepNext/>
              <w:spacing w:after="40"/>
              <w:rPr>
                <w:rFonts w:ascii="Palatino Linotype" w:hAnsi="Palatino Linotype" w:cs="TimesNewRoman"/>
                <w:b w:val="0"/>
                <w:sz w:val="24"/>
                <w:szCs w:val="24"/>
              </w:rPr>
            </w:pPr>
            <w:proofErr w:type="spellStart"/>
            <w:r w:rsidRPr="00511954">
              <w:rPr>
                <w:rFonts w:ascii="Palatino Linotype" w:hAnsi="Palatino Linotype" w:cs="TimesNewRoman"/>
                <w:b w:val="0"/>
                <w:sz w:val="24"/>
                <w:szCs w:val="24"/>
              </w:rPr>
              <w:t>CleanPowerSF</w:t>
            </w:r>
            <w:proofErr w:type="spellEnd"/>
          </w:p>
        </w:tc>
        <w:tc>
          <w:tcPr>
            <w:tcW w:w="1620" w:type="dxa"/>
            <w:vAlign w:val="bottom"/>
          </w:tcPr>
          <w:p w:rsidRPr="00263349" w:rsidR="003E04B6" w:rsidP="00C345D8" w:rsidRDefault="007F4585" w14:paraId="7CC723B1"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328</w:t>
            </w:r>
          </w:p>
        </w:tc>
        <w:tc>
          <w:tcPr>
            <w:tcW w:w="2129" w:type="dxa"/>
            <w:vAlign w:val="bottom"/>
          </w:tcPr>
          <w:p w:rsidRPr="00263349" w:rsidR="003E04B6" w:rsidP="00C345D8" w:rsidRDefault="0024376B" w14:paraId="7EB12885"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0.05%</w:t>
            </w:r>
          </w:p>
        </w:tc>
        <w:tc>
          <w:tcPr>
            <w:tcW w:w="1363" w:type="dxa"/>
            <w:vAlign w:val="bottom"/>
          </w:tcPr>
          <w:p w:rsidRPr="00263349" w:rsidR="003E04B6" w:rsidP="00C345D8" w:rsidRDefault="002C13F7" w14:paraId="6D6C73D2" w14:textId="2116630E">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0.0</w:t>
            </w:r>
            <w:r w:rsidR="00E712AD">
              <w:rPr>
                <w:rFonts w:ascii="Palatino Linotype" w:hAnsi="Palatino Linotype" w:cs="TimesNewRoman"/>
                <w:b w:val="0"/>
                <w:sz w:val="24"/>
                <w:szCs w:val="24"/>
              </w:rPr>
              <w:t>4</w:t>
            </w:r>
            <w:r w:rsidRPr="00263349" w:rsidR="00F02DFF">
              <w:rPr>
                <w:rFonts w:ascii="Palatino Linotype" w:hAnsi="Palatino Linotype" w:cs="TimesNewRoman"/>
                <w:b w:val="0"/>
                <w:sz w:val="24"/>
                <w:szCs w:val="24"/>
              </w:rPr>
              <w:t>**</w:t>
            </w:r>
          </w:p>
        </w:tc>
        <w:tc>
          <w:tcPr>
            <w:tcW w:w="1363" w:type="dxa"/>
            <w:vAlign w:val="bottom"/>
          </w:tcPr>
          <w:p w:rsidRPr="00263349" w:rsidR="003E04B6" w:rsidP="002C13F7" w:rsidRDefault="002C13F7" w14:paraId="74A422B7" w14:textId="6C254129">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w:t>
            </w:r>
            <w:r w:rsidRPr="00263349" w:rsidR="00E91CBA">
              <w:rPr>
                <w:rFonts w:ascii="Palatino Linotype" w:hAnsi="Palatino Linotype" w:cs="TimesNewRoman"/>
                <w:b w:val="0"/>
                <w:sz w:val="24"/>
                <w:szCs w:val="24"/>
              </w:rPr>
              <w:t>0</w:t>
            </w:r>
            <w:r w:rsidRPr="00263349" w:rsidR="00F02DFF">
              <w:rPr>
                <w:rFonts w:ascii="Palatino Linotype" w:hAnsi="Palatino Linotype" w:cs="TimesNewRoman"/>
                <w:b w:val="0"/>
                <w:sz w:val="24"/>
                <w:szCs w:val="24"/>
              </w:rPr>
              <w:t>1</w:t>
            </w:r>
          </w:p>
        </w:tc>
      </w:tr>
      <w:tr w:rsidRPr="00263349" w:rsidR="00CB7F04" w:rsidTr="00F60915" w14:paraId="33F8E555" w14:textId="77777777">
        <w:tc>
          <w:tcPr>
            <w:tcW w:w="2875" w:type="dxa"/>
            <w:vAlign w:val="bottom"/>
          </w:tcPr>
          <w:p w:rsidRPr="00511954" w:rsidR="003E04B6" w:rsidP="00C345D8" w:rsidRDefault="003E04B6" w14:paraId="191076BD" w14:textId="77777777">
            <w:pPr>
              <w:pStyle w:val="BodyText"/>
              <w:keepNext/>
              <w:spacing w:after="40"/>
              <w:rPr>
                <w:rFonts w:ascii="Palatino Linotype" w:hAnsi="Palatino Linotype" w:cs="TimesNewRoman"/>
                <w:b w:val="0"/>
                <w:sz w:val="24"/>
                <w:szCs w:val="24"/>
              </w:rPr>
            </w:pPr>
            <w:r w:rsidRPr="00511954">
              <w:rPr>
                <w:rFonts w:ascii="Palatino Linotype" w:hAnsi="Palatino Linotype" w:cs="TimesNewRoman"/>
                <w:b w:val="0"/>
                <w:sz w:val="24"/>
                <w:szCs w:val="24"/>
              </w:rPr>
              <w:t>San Jose Clean Energy</w:t>
            </w:r>
          </w:p>
        </w:tc>
        <w:tc>
          <w:tcPr>
            <w:tcW w:w="1620" w:type="dxa"/>
            <w:vAlign w:val="bottom"/>
          </w:tcPr>
          <w:p w:rsidRPr="00263349" w:rsidR="003E04B6" w:rsidP="00C345D8" w:rsidRDefault="007F4585" w14:paraId="27A7E4F6"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12,762</w:t>
            </w:r>
          </w:p>
        </w:tc>
        <w:tc>
          <w:tcPr>
            <w:tcW w:w="2129" w:type="dxa"/>
            <w:vAlign w:val="bottom"/>
          </w:tcPr>
          <w:p w:rsidRPr="00263349" w:rsidR="003E04B6" w:rsidP="00C345D8" w:rsidRDefault="0024376B" w14:paraId="6F0782F6"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2.00%</w:t>
            </w:r>
          </w:p>
        </w:tc>
        <w:tc>
          <w:tcPr>
            <w:tcW w:w="1363" w:type="dxa"/>
            <w:vAlign w:val="bottom"/>
          </w:tcPr>
          <w:p w:rsidRPr="00263349" w:rsidR="003E04B6" w:rsidP="00C345D8" w:rsidRDefault="002C13F7" w14:paraId="0E381028"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1.4</w:t>
            </w:r>
            <w:r w:rsidRPr="00263349" w:rsidR="00276380">
              <w:rPr>
                <w:rFonts w:ascii="Palatino Linotype" w:hAnsi="Palatino Linotype" w:cs="TimesNewRoman"/>
                <w:b w:val="0"/>
                <w:sz w:val="24"/>
                <w:szCs w:val="24"/>
              </w:rPr>
              <w:t>0</w:t>
            </w:r>
          </w:p>
        </w:tc>
        <w:tc>
          <w:tcPr>
            <w:tcW w:w="1363" w:type="dxa"/>
            <w:vAlign w:val="bottom"/>
          </w:tcPr>
          <w:p w:rsidRPr="00263349" w:rsidR="003E04B6" w:rsidP="002C13F7" w:rsidRDefault="002C13F7" w14:paraId="17D07A84" w14:textId="77777777">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w:t>
            </w:r>
            <w:r w:rsidRPr="00263349" w:rsidR="00743D39">
              <w:rPr>
                <w:rFonts w:ascii="Palatino Linotype" w:hAnsi="Palatino Linotype" w:cs="TimesNewRoman"/>
                <w:b w:val="0"/>
                <w:sz w:val="24"/>
                <w:szCs w:val="24"/>
              </w:rPr>
              <w:t>.36</w:t>
            </w:r>
          </w:p>
        </w:tc>
      </w:tr>
      <w:tr w:rsidRPr="00263349" w:rsidR="00CB7F04" w:rsidTr="00F60915" w14:paraId="2709E943" w14:textId="77777777">
        <w:tc>
          <w:tcPr>
            <w:tcW w:w="2875" w:type="dxa"/>
            <w:vAlign w:val="bottom"/>
          </w:tcPr>
          <w:p w:rsidRPr="00511954" w:rsidR="003E04B6" w:rsidP="00C345D8" w:rsidRDefault="003E04B6" w14:paraId="6E82BD60" w14:textId="77777777">
            <w:pPr>
              <w:pStyle w:val="BodyText"/>
              <w:keepNext/>
              <w:spacing w:after="40"/>
              <w:rPr>
                <w:rFonts w:ascii="Palatino Linotype" w:hAnsi="Palatino Linotype" w:cs="TimesNewRoman"/>
                <w:b w:val="0"/>
                <w:sz w:val="24"/>
                <w:szCs w:val="24"/>
              </w:rPr>
            </w:pPr>
            <w:r w:rsidRPr="00511954">
              <w:rPr>
                <w:rFonts w:ascii="Palatino Linotype" w:hAnsi="Palatino Linotype" w:cs="TimesNewRoman"/>
                <w:b w:val="0"/>
                <w:sz w:val="24"/>
                <w:szCs w:val="24"/>
              </w:rPr>
              <w:t>MCE Clean Energy</w:t>
            </w:r>
          </w:p>
        </w:tc>
        <w:tc>
          <w:tcPr>
            <w:tcW w:w="1620" w:type="dxa"/>
            <w:vAlign w:val="bottom"/>
          </w:tcPr>
          <w:p w:rsidRPr="00263349" w:rsidR="003E04B6" w:rsidP="00C345D8" w:rsidRDefault="007F4585" w14:paraId="28A8015D"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39,391</w:t>
            </w:r>
          </w:p>
        </w:tc>
        <w:tc>
          <w:tcPr>
            <w:tcW w:w="2129" w:type="dxa"/>
            <w:vAlign w:val="bottom"/>
          </w:tcPr>
          <w:p w:rsidRPr="00263349" w:rsidR="003E04B6" w:rsidP="00C345D8" w:rsidRDefault="0024376B" w14:paraId="50491F6E"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6.18%</w:t>
            </w:r>
          </w:p>
        </w:tc>
        <w:tc>
          <w:tcPr>
            <w:tcW w:w="1363" w:type="dxa"/>
            <w:vAlign w:val="bottom"/>
          </w:tcPr>
          <w:p w:rsidRPr="00263349" w:rsidR="003E04B6" w:rsidP="00C345D8" w:rsidRDefault="002C13F7" w14:paraId="2047A637"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4.3</w:t>
            </w:r>
            <w:r w:rsidRPr="00263349" w:rsidR="00276380">
              <w:rPr>
                <w:rFonts w:ascii="Palatino Linotype" w:hAnsi="Palatino Linotype" w:cs="TimesNewRoman"/>
                <w:b w:val="0"/>
                <w:sz w:val="24"/>
                <w:szCs w:val="24"/>
              </w:rPr>
              <w:t>2</w:t>
            </w:r>
          </w:p>
        </w:tc>
        <w:tc>
          <w:tcPr>
            <w:tcW w:w="1363" w:type="dxa"/>
            <w:vAlign w:val="bottom"/>
          </w:tcPr>
          <w:p w:rsidRPr="00263349" w:rsidR="003E04B6" w:rsidP="002C13F7" w:rsidRDefault="002C13F7" w14:paraId="77C04AFE" w14:textId="77777777">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1.1</w:t>
            </w:r>
            <w:r w:rsidRPr="00263349" w:rsidR="00743D39">
              <w:rPr>
                <w:rFonts w:ascii="Palatino Linotype" w:hAnsi="Palatino Linotype" w:cs="TimesNewRoman"/>
                <w:b w:val="0"/>
                <w:sz w:val="24"/>
                <w:szCs w:val="24"/>
              </w:rPr>
              <w:t>1</w:t>
            </w:r>
          </w:p>
        </w:tc>
      </w:tr>
      <w:tr w:rsidRPr="00263349" w:rsidR="00CB7F04" w:rsidTr="00F60915" w14:paraId="1F38832A" w14:textId="77777777">
        <w:tc>
          <w:tcPr>
            <w:tcW w:w="2875" w:type="dxa"/>
            <w:vAlign w:val="center"/>
          </w:tcPr>
          <w:p w:rsidRPr="00511954" w:rsidR="003E04B6" w:rsidP="00C345D8" w:rsidRDefault="003E04B6" w14:paraId="424673E6" w14:textId="0152AE13">
            <w:pPr>
              <w:pStyle w:val="BodyText"/>
              <w:keepNext/>
              <w:spacing w:after="40"/>
              <w:rPr>
                <w:rFonts w:ascii="Palatino Linotype" w:hAnsi="Palatino Linotype" w:cs="TimesNewRoman"/>
                <w:b w:val="0"/>
                <w:sz w:val="24"/>
                <w:szCs w:val="24"/>
              </w:rPr>
            </w:pPr>
            <w:r w:rsidRPr="00511954">
              <w:rPr>
                <w:rFonts w:ascii="Palatino Linotype" w:hAnsi="Palatino Linotype" w:cs="TimesNewRoman"/>
                <w:b w:val="0"/>
                <w:sz w:val="24"/>
                <w:szCs w:val="24"/>
              </w:rPr>
              <w:t>East Bay C</w:t>
            </w:r>
            <w:r w:rsidR="004A34A9">
              <w:rPr>
                <w:rFonts w:ascii="Palatino Linotype" w:hAnsi="Palatino Linotype" w:cs="TimesNewRoman"/>
                <w:b w:val="0"/>
                <w:sz w:val="24"/>
                <w:szCs w:val="24"/>
              </w:rPr>
              <w:t>ommunity</w:t>
            </w:r>
            <w:r w:rsidRPr="00511954">
              <w:rPr>
                <w:rFonts w:ascii="Palatino Linotype" w:hAnsi="Palatino Linotype" w:cs="TimesNewRoman"/>
                <w:b w:val="0"/>
                <w:sz w:val="24"/>
                <w:szCs w:val="24"/>
              </w:rPr>
              <w:t xml:space="preserve"> Energy</w:t>
            </w:r>
          </w:p>
        </w:tc>
        <w:tc>
          <w:tcPr>
            <w:tcW w:w="1620" w:type="dxa"/>
            <w:vAlign w:val="bottom"/>
          </w:tcPr>
          <w:p w:rsidRPr="00263349" w:rsidR="003E04B6" w:rsidP="00C345D8" w:rsidRDefault="007F4585" w14:paraId="23D9201D"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49,129</w:t>
            </w:r>
          </w:p>
        </w:tc>
        <w:tc>
          <w:tcPr>
            <w:tcW w:w="2129" w:type="dxa"/>
            <w:vAlign w:val="bottom"/>
          </w:tcPr>
          <w:p w:rsidRPr="00263349" w:rsidR="003E04B6" w:rsidP="00C345D8" w:rsidRDefault="0024376B" w14:paraId="5BB1BF0B"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7.70%</w:t>
            </w:r>
          </w:p>
        </w:tc>
        <w:tc>
          <w:tcPr>
            <w:tcW w:w="1363" w:type="dxa"/>
            <w:vAlign w:val="bottom"/>
          </w:tcPr>
          <w:p w:rsidRPr="00263349" w:rsidR="003E04B6" w:rsidP="00C345D8" w:rsidRDefault="002C13F7" w14:paraId="4CFADFEA"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5.</w:t>
            </w:r>
            <w:r w:rsidRPr="00263349" w:rsidR="00276380">
              <w:rPr>
                <w:rFonts w:ascii="Palatino Linotype" w:hAnsi="Palatino Linotype" w:cs="TimesNewRoman"/>
                <w:b w:val="0"/>
                <w:sz w:val="24"/>
                <w:szCs w:val="24"/>
              </w:rPr>
              <w:t>39</w:t>
            </w:r>
          </w:p>
        </w:tc>
        <w:tc>
          <w:tcPr>
            <w:tcW w:w="1363" w:type="dxa"/>
            <w:vAlign w:val="bottom"/>
          </w:tcPr>
          <w:p w:rsidRPr="00263349" w:rsidR="003E04B6" w:rsidP="002C13F7" w:rsidRDefault="002C13F7" w14:paraId="4F6CE275" w14:textId="77777777">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1.</w:t>
            </w:r>
            <w:r w:rsidRPr="00263349" w:rsidR="00743D39">
              <w:rPr>
                <w:rFonts w:ascii="Palatino Linotype" w:hAnsi="Palatino Linotype" w:cs="TimesNewRoman"/>
                <w:b w:val="0"/>
                <w:sz w:val="24"/>
                <w:szCs w:val="24"/>
              </w:rPr>
              <w:t>39</w:t>
            </w:r>
          </w:p>
        </w:tc>
      </w:tr>
      <w:tr w:rsidRPr="00263349" w:rsidR="00CB7F04" w:rsidTr="00F60915" w14:paraId="1776FAE6" w14:textId="77777777">
        <w:tc>
          <w:tcPr>
            <w:tcW w:w="2875" w:type="dxa"/>
            <w:vAlign w:val="bottom"/>
          </w:tcPr>
          <w:p w:rsidRPr="00511954" w:rsidR="003E04B6" w:rsidP="00C345D8" w:rsidRDefault="003E04B6" w14:paraId="560CA1DF" w14:textId="77777777">
            <w:pPr>
              <w:pStyle w:val="BodyText"/>
              <w:keepNext/>
              <w:spacing w:after="40"/>
              <w:rPr>
                <w:rFonts w:ascii="Palatino Linotype" w:hAnsi="Palatino Linotype" w:cs="TimesNewRoman"/>
                <w:b w:val="0"/>
                <w:sz w:val="24"/>
                <w:szCs w:val="24"/>
              </w:rPr>
            </w:pPr>
            <w:r w:rsidRPr="00511954">
              <w:rPr>
                <w:rFonts w:ascii="Palatino Linotype" w:hAnsi="Palatino Linotype" w:cs="TimesNewRoman"/>
                <w:b w:val="0"/>
                <w:sz w:val="24"/>
                <w:szCs w:val="24"/>
              </w:rPr>
              <w:t>Peninsula Clean Energy</w:t>
            </w:r>
          </w:p>
        </w:tc>
        <w:tc>
          <w:tcPr>
            <w:tcW w:w="1620" w:type="dxa"/>
            <w:vAlign w:val="bottom"/>
          </w:tcPr>
          <w:p w:rsidRPr="00263349" w:rsidR="003E04B6" w:rsidP="00C345D8" w:rsidRDefault="007F4585" w14:paraId="3DAACA05"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8,235</w:t>
            </w:r>
          </w:p>
        </w:tc>
        <w:tc>
          <w:tcPr>
            <w:tcW w:w="2129" w:type="dxa"/>
            <w:vAlign w:val="bottom"/>
          </w:tcPr>
          <w:p w:rsidRPr="00263349" w:rsidR="003E04B6" w:rsidP="00C345D8" w:rsidRDefault="0024376B" w14:paraId="5C14EBC5"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1.29%</w:t>
            </w:r>
          </w:p>
        </w:tc>
        <w:tc>
          <w:tcPr>
            <w:tcW w:w="1363" w:type="dxa"/>
            <w:vAlign w:val="bottom"/>
          </w:tcPr>
          <w:p w:rsidRPr="00263349" w:rsidR="003E04B6" w:rsidP="00C345D8" w:rsidRDefault="002C13F7" w14:paraId="29A5C91F"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0.9</w:t>
            </w:r>
            <w:r w:rsidRPr="00263349" w:rsidR="00276380">
              <w:rPr>
                <w:rFonts w:ascii="Palatino Linotype" w:hAnsi="Palatino Linotype" w:cs="TimesNewRoman"/>
                <w:b w:val="0"/>
                <w:sz w:val="24"/>
                <w:szCs w:val="24"/>
              </w:rPr>
              <w:t>0</w:t>
            </w:r>
          </w:p>
        </w:tc>
        <w:tc>
          <w:tcPr>
            <w:tcW w:w="1363" w:type="dxa"/>
            <w:vAlign w:val="bottom"/>
          </w:tcPr>
          <w:p w:rsidRPr="00263349" w:rsidR="003E04B6" w:rsidP="002C13F7" w:rsidRDefault="002C13F7" w14:paraId="58217AF5" w14:textId="77777777">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0.2</w:t>
            </w:r>
            <w:r w:rsidRPr="00263349" w:rsidR="00743D39">
              <w:rPr>
                <w:rFonts w:ascii="Palatino Linotype" w:hAnsi="Palatino Linotype" w:cs="TimesNewRoman"/>
                <w:b w:val="0"/>
                <w:sz w:val="24"/>
                <w:szCs w:val="24"/>
              </w:rPr>
              <w:t>3</w:t>
            </w:r>
          </w:p>
        </w:tc>
      </w:tr>
      <w:tr w:rsidRPr="00263349" w:rsidR="00CB7F04" w:rsidTr="00F60915" w14:paraId="5DFBA0FE" w14:textId="77777777">
        <w:tc>
          <w:tcPr>
            <w:tcW w:w="2875" w:type="dxa"/>
            <w:vAlign w:val="bottom"/>
          </w:tcPr>
          <w:p w:rsidRPr="00511954" w:rsidR="003E04B6" w:rsidP="00C345D8" w:rsidRDefault="00C6650D" w14:paraId="4A8400A0" w14:textId="77777777">
            <w:pPr>
              <w:pStyle w:val="BodyText"/>
              <w:keepNext/>
              <w:spacing w:after="40"/>
              <w:rPr>
                <w:rFonts w:ascii="Palatino Linotype" w:hAnsi="Palatino Linotype" w:cs="TimesNewRoman"/>
                <w:b w:val="0"/>
                <w:sz w:val="24"/>
                <w:szCs w:val="24"/>
              </w:rPr>
            </w:pPr>
            <w:r w:rsidRPr="00511954">
              <w:rPr>
                <w:rFonts w:ascii="Palatino Linotype" w:hAnsi="Palatino Linotype" w:cs="TimesNewRoman"/>
                <w:b w:val="0"/>
                <w:sz w:val="24"/>
                <w:szCs w:val="24"/>
              </w:rPr>
              <w:t>Sonoma Clean Power</w:t>
            </w:r>
          </w:p>
        </w:tc>
        <w:tc>
          <w:tcPr>
            <w:tcW w:w="1620" w:type="dxa"/>
            <w:vAlign w:val="bottom"/>
          </w:tcPr>
          <w:p w:rsidRPr="00263349" w:rsidR="003E04B6" w:rsidP="00C345D8" w:rsidRDefault="007F4585" w14:paraId="4518E75F"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2,098</w:t>
            </w:r>
          </w:p>
        </w:tc>
        <w:tc>
          <w:tcPr>
            <w:tcW w:w="2129" w:type="dxa"/>
            <w:vAlign w:val="bottom"/>
          </w:tcPr>
          <w:p w:rsidRPr="00263349" w:rsidR="003E04B6" w:rsidP="00C345D8" w:rsidRDefault="0024376B" w14:paraId="6770FAE8"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0.33%</w:t>
            </w:r>
          </w:p>
        </w:tc>
        <w:tc>
          <w:tcPr>
            <w:tcW w:w="1363" w:type="dxa"/>
            <w:vAlign w:val="bottom"/>
          </w:tcPr>
          <w:p w:rsidRPr="00263349" w:rsidR="003E04B6" w:rsidP="00C345D8" w:rsidRDefault="002C13F7" w14:paraId="7456767C"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0.5</w:t>
            </w:r>
            <w:r w:rsidRPr="00263349" w:rsidR="00276380">
              <w:rPr>
                <w:rFonts w:ascii="Palatino Linotype" w:hAnsi="Palatino Linotype" w:cs="TimesNewRoman"/>
                <w:b w:val="0"/>
                <w:sz w:val="24"/>
                <w:szCs w:val="24"/>
              </w:rPr>
              <w:t>0</w:t>
            </w:r>
            <w:r w:rsidRPr="00263349" w:rsidR="00A81817">
              <w:rPr>
                <w:rFonts w:ascii="Palatino Linotype" w:hAnsi="Palatino Linotype" w:cs="TimesNewRoman"/>
                <w:b w:val="0"/>
                <w:sz w:val="24"/>
                <w:szCs w:val="24"/>
              </w:rPr>
              <w:t>*</w:t>
            </w:r>
          </w:p>
        </w:tc>
        <w:tc>
          <w:tcPr>
            <w:tcW w:w="1363" w:type="dxa"/>
            <w:vAlign w:val="bottom"/>
          </w:tcPr>
          <w:p w:rsidRPr="00263349" w:rsidR="003E04B6" w:rsidP="002C13F7" w:rsidRDefault="002C13F7" w14:paraId="340C7BF1" w14:textId="77777777">
            <w:pPr>
              <w:pStyle w:val="BodyText"/>
              <w:spacing w:after="40"/>
              <w:jc w:val="right"/>
              <w:rPr>
                <w:rFonts w:ascii="Palatino Linotype" w:hAnsi="Palatino Linotype" w:cs="TimesNewRoman"/>
                <w:b w:val="0"/>
                <w:sz w:val="24"/>
                <w:szCs w:val="24"/>
                <w:vertAlign w:val="superscript"/>
              </w:rPr>
            </w:pPr>
            <w:r w:rsidRPr="00263349">
              <w:rPr>
                <w:rFonts w:ascii="Palatino Linotype" w:hAnsi="Palatino Linotype" w:cs="TimesNewRoman"/>
                <w:b w:val="0"/>
                <w:sz w:val="24"/>
                <w:szCs w:val="24"/>
              </w:rPr>
              <w:t>0.0</w:t>
            </w:r>
            <w:r w:rsidRPr="00263349" w:rsidR="00276380">
              <w:rPr>
                <w:rFonts w:ascii="Palatino Linotype" w:hAnsi="Palatino Linotype" w:cs="TimesNewRoman"/>
                <w:b w:val="0"/>
                <w:sz w:val="24"/>
                <w:szCs w:val="24"/>
              </w:rPr>
              <w:t>6</w:t>
            </w:r>
          </w:p>
        </w:tc>
      </w:tr>
      <w:tr w:rsidRPr="00263349" w:rsidR="00CB7F04" w:rsidTr="00F60915" w14:paraId="54B57CE4" w14:textId="77777777">
        <w:tc>
          <w:tcPr>
            <w:tcW w:w="2875" w:type="dxa"/>
            <w:vAlign w:val="bottom"/>
          </w:tcPr>
          <w:p w:rsidRPr="00511954" w:rsidR="003E04B6" w:rsidP="00C345D8" w:rsidRDefault="00C6650D" w14:paraId="195C2550" w14:textId="77777777">
            <w:pPr>
              <w:pStyle w:val="BodyText"/>
              <w:keepNext/>
              <w:spacing w:after="40"/>
              <w:rPr>
                <w:rFonts w:ascii="Palatino Linotype" w:hAnsi="Palatino Linotype" w:cs="TimesNewRoman"/>
                <w:b w:val="0"/>
                <w:sz w:val="24"/>
                <w:szCs w:val="24"/>
              </w:rPr>
            </w:pPr>
            <w:r w:rsidRPr="00511954">
              <w:rPr>
                <w:rFonts w:ascii="Palatino Linotype" w:hAnsi="Palatino Linotype" w:cs="TimesNewRoman"/>
                <w:b w:val="0"/>
                <w:sz w:val="24"/>
                <w:szCs w:val="24"/>
              </w:rPr>
              <w:t>Monterey Bay Community Power</w:t>
            </w:r>
          </w:p>
        </w:tc>
        <w:tc>
          <w:tcPr>
            <w:tcW w:w="1620" w:type="dxa"/>
            <w:vAlign w:val="bottom"/>
          </w:tcPr>
          <w:p w:rsidRPr="00263349" w:rsidR="003E04B6" w:rsidP="00C345D8" w:rsidRDefault="007F4585" w14:paraId="7F103D42"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6,226</w:t>
            </w:r>
          </w:p>
        </w:tc>
        <w:tc>
          <w:tcPr>
            <w:tcW w:w="2129" w:type="dxa"/>
            <w:vAlign w:val="bottom"/>
          </w:tcPr>
          <w:p w:rsidRPr="00263349" w:rsidR="003E04B6" w:rsidP="00C345D8" w:rsidRDefault="0024376B" w14:paraId="2D0B0CF5"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0.98%</w:t>
            </w:r>
          </w:p>
        </w:tc>
        <w:tc>
          <w:tcPr>
            <w:tcW w:w="1363" w:type="dxa"/>
            <w:vAlign w:val="bottom"/>
          </w:tcPr>
          <w:p w:rsidRPr="00263349" w:rsidR="003E04B6" w:rsidP="00C345D8" w:rsidRDefault="002C13F7" w14:paraId="1BFCCFC6"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w:t>
            </w:r>
            <w:r w:rsidRPr="00263349" w:rsidR="00276380">
              <w:rPr>
                <w:rFonts w:ascii="Palatino Linotype" w:hAnsi="Palatino Linotype" w:cs="TimesNewRoman"/>
                <w:b w:val="0"/>
                <w:sz w:val="24"/>
                <w:szCs w:val="24"/>
              </w:rPr>
              <w:t>68</w:t>
            </w:r>
          </w:p>
        </w:tc>
        <w:tc>
          <w:tcPr>
            <w:tcW w:w="1363" w:type="dxa"/>
            <w:vAlign w:val="bottom"/>
          </w:tcPr>
          <w:p w:rsidRPr="00263349" w:rsidR="003E04B6" w:rsidP="002C13F7" w:rsidRDefault="002C13F7" w14:paraId="4CBB9E52" w14:textId="77777777">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w:t>
            </w:r>
            <w:r w:rsidRPr="00263349" w:rsidR="00743D39">
              <w:rPr>
                <w:rFonts w:ascii="Palatino Linotype" w:hAnsi="Palatino Linotype" w:cs="TimesNewRoman"/>
                <w:b w:val="0"/>
                <w:sz w:val="24"/>
                <w:szCs w:val="24"/>
              </w:rPr>
              <w:t>18</w:t>
            </w:r>
          </w:p>
        </w:tc>
      </w:tr>
      <w:tr w:rsidRPr="00263349" w:rsidR="00CB7F04" w:rsidTr="00F60915" w14:paraId="5ECA827E" w14:textId="77777777">
        <w:tc>
          <w:tcPr>
            <w:tcW w:w="2875" w:type="dxa"/>
            <w:vAlign w:val="bottom"/>
          </w:tcPr>
          <w:p w:rsidRPr="00511954" w:rsidR="003E04B6" w:rsidP="00C345D8" w:rsidRDefault="00C6650D" w14:paraId="51850D25" w14:textId="77777777">
            <w:pPr>
              <w:pStyle w:val="BodyText"/>
              <w:keepNext/>
              <w:spacing w:after="40"/>
              <w:rPr>
                <w:rFonts w:ascii="Palatino Linotype" w:hAnsi="Palatino Linotype" w:cs="TimesNewRoman"/>
                <w:b w:val="0"/>
                <w:sz w:val="24"/>
                <w:szCs w:val="24"/>
              </w:rPr>
            </w:pPr>
            <w:r w:rsidRPr="00511954">
              <w:rPr>
                <w:rFonts w:ascii="Palatino Linotype" w:hAnsi="Palatino Linotype" w:cs="TimesNewRoman"/>
                <w:b w:val="0"/>
                <w:sz w:val="24"/>
                <w:szCs w:val="24"/>
              </w:rPr>
              <w:t>Silicon Valley Clean Energy</w:t>
            </w:r>
          </w:p>
        </w:tc>
        <w:tc>
          <w:tcPr>
            <w:tcW w:w="1620" w:type="dxa"/>
            <w:vAlign w:val="bottom"/>
          </w:tcPr>
          <w:p w:rsidRPr="00263349" w:rsidR="003E04B6" w:rsidP="00C345D8" w:rsidRDefault="007F4585" w14:paraId="785627DE"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3,110</w:t>
            </w:r>
          </w:p>
        </w:tc>
        <w:tc>
          <w:tcPr>
            <w:tcW w:w="2129" w:type="dxa"/>
            <w:vAlign w:val="bottom"/>
          </w:tcPr>
          <w:p w:rsidRPr="00263349" w:rsidR="003E04B6" w:rsidP="00C345D8" w:rsidRDefault="0024376B" w14:paraId="1C447147"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0.49%</w:t>
            </w:r>
          </w:p>
        </w:tc>
        <w:tc>
          <w:tcPr>
            <w:tcW w:w="1363" w:type="dxa"/>
            <w:vAlign w:val="bottom"/>
          </w:tcPr>
          <w:p w:rsidRPr="00263349" w:rsidR="003E04B6" w:rsidP="00C345D8" w:rsidRDefault="002C13F7" w14:paraId="08BA6D90"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0.5</w:t>
            </w:r>
            <w:r w:rsidRPr="00263349" w:rsidR="00276380">
              <w:rPr>
                <w:rFonts w:ascii="Palatino Linotype" w:hAnsi="Palatino Linotype" w:cs="TimesNewRoman"/>
                <w:b w:val="0"/>
                <w:sz w:val="24"/>
                <w:szCs w:val="24"/>
              </w:rPr>
              <w:t>0</w:t>
            </w:r>
            <w:r w:rsidRPr="00263349" w:rsidR="00A81817">
              <w:rPr>
                <w:rFonts w:ascii="Palatino Linotype" w:hAnsi="Palatino Linotype" w:cs="TimesNewRoman"/>
                <w:b w:val="0"/>
                <w:sz w:val="24"/>
                <w:szCs w:val="24"/>
              </w:rPr>
              <w:t>*</w:t>
            </w:r>
          </w:p>
        </w:tc>
        <w:tc>
          <w:tcPr>
            <w:tcW w:w="1363" w:type="dxa"/>
            <w:vAlign w:val="bottom"/>
          </w:tcPr>
          <w:p w:rsidRPr="00263349" w:rsidR="003E04B6" w:rsidP="002C13F7" w:rsidRDefault="002C13F7" w14:paraId="7309ECB3" w14:textId="77777777">
            <w:pPr>
              <w:pStyle w:val="BodyText"/>
              <w:spacing w:after="40"/>
              <w:jc w:val="right"/>
              <w:rPr>
                <w:rFonts w:ascii="Palatino Linotype" w:hAnsi="Palatino Linotype" w:cs="TimesNewRoman"/>
                <w:b w:val="0"/>
                <w:sz w:val="24"/>
                <w:szCs w:val="24"/>
                <w:vertAlign w:val="superscript"/>
              </w:rPr>
            </w:pPr>
            <w:r w:rsidRPr="00263349">
              <w:rPr>
                <w:rFonts w:ascii="Palatino Linotype" w:hAnsi="Palatino Linotype" w:cs="TimesNewRoman"/>
                <w:b w:val="0"/>
                <w:sz w:val="24"/>
                <w:szCs w:val="24"/>
              </w:rPr>
              <w:t>0.0</w:t>
            </w:r>
            <w:r w:rsidRPr="00263349" w:rsidR="0048376C">
              <w:rPr>
                <w:rFonts w:ascii="Palatino Linotype" w:hAnsi="Palatino Linotype" w:cs="TimesNewRoman"/>
                <w:b w:val="0"/>
                <w:sz w:val="24"/>
                <w:szCs w:val="24"/>
              </w:rPr>
              <w:t>9</w:t>
            </w:r>
          </w:p>
        </w:tc>
      </w:tr>
      <w:tr w:rsidRPr="00263349" w:rsidR="00CB7F04" w:rsidTr="00F60915" w14:paraId="7C465D65" w14:textId="77777777">
        <w:tc>
          <w:tcPr>
            <w:tcW w:w="2875" w:type="dxa"/>
            <w:vAlign w:val="bottom"/>
          </w:tcPr>
          <w:p w:rsidRPr="00511954" w:rsidR="00E91CBA" w:rsidP="00C345D8" w:rsidRDefault="00E91CBA" w14:paraId="19FCF22B" w14:textId="77777777">
            <w:pPr>
              <w:pStyle w:val="BodyText"/>
              <w:keepNext/>
              <w:spacing w:after="40"/>
              <w:rPr>
                <w:rFonts w:ascii="Palatino Linotype" w:hAnsi="Palatino Linotype" w:cs="TimesNewRoman"/>
                <w:b w:val="0"/>
                <w:sz w:val="24"/>
                <w:szCs w:val="24"/>
              </w:rPr>
            </w:pPr>
            <w:r w:rsidRPr="00511954">
              <w:rPr>
                <w:rFonts w:ascii="Palatino Linotype" w:hAnsi="Palatino Linotype" w:cs="TimesNewRoman"/>
                <w:b w:val="0"/>
                <w:sz w:val="24"/>
                <w:szCs w:val="24"/>
              </w:rPr>
              <w:t>Valley Clean Energy Authority</w:t>
            </w:r>
          </w:p>
        </w:tc>
        <w:tc>
          <w:tcPr>
            <w:tcW w:w="1620" w:type="dxa"/>
            <w:vAlign w:val="bottom"/>
          </w:tcPr>
          <w:p w:rsidRPr="00263349" w:rsidR="00E91CBA" w:rsidP="00C345D8" w:rsidRDefault="00E91CBA" w14:paraId="17E31FA9" w14:textId="77777777">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54</w:t>
            </w:r>
          </w:p>
        </w:tc>
        <w:tc>
          <w:tcPr>
            <w:tcW w:w="2129" w:type="dxa"/>
            <w:vAlign w:val="bottom"/>
          </w:tcPr>
          <w:p w:rsidRPr="00263349" w:rsidR="00E91CBA" w:rsidP="00C345D8" w:rsidRDefault="00E91CBA" w14:paraId="7F42472B" w14:textId="22C6F302">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0.0</w:t>
            </w:r>
            <w:r w:rsidRPr="00263349" w:rsidR="00F02DFF">
              <w:rPr>
                <w:rFonts w:ascii="Palatino Linotype" w:hAnsi="Palatino Linotype" w:cs="TimesNewRoman"/>
                <w:b w:val="0"/>
                <w:sz w:val="24"/>
                <w:szCs w:val="24"/>
              </w:rPr>
              <w:t>1</w:t>
            </w:r>
            <w:r w:rsidRPr="00263349">
              <w:rPr>
                <w:rFonts w:ascii="Palatino Linotype" w:hAnsi="Palatino Linotype" w:cs="TimesNewRoman"/>
                <w:b w:val="0"/>
                <w:sz w:val="24"/>
                <w:szCs w:val="24"/>
              </w:rPr>
              <w:t>%</w:t>
            </w:r>
          </w:p>
        </w:tc>
        <w:tc>
          <w:tcPr>
            <w:tcW w:w="1363" w:type="dxa"/>
            <w:vAlign w:val="bottom"/>
          </w:tcPr>
          <w:p w:rsidRPr="00263349" w:rsidR="00E91CBA" w:rsidP="00C345D8" w:rsidRDefault="00E91CBA" w14:paraId="2CB14657" w14:textId="3B0776EE">
            <w:pPr>
              <w:pStyle w:val="BodyText"/>
              <w:keepN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0.0</w:t>
            </w:r>
            <w:r w:rsidR="00A72D61">
              <w:rPr>
                <w:rFonts w:ascii="Palatino Linotype" w:hAnsi="Palatino Linotype" w:cs="TimesNewRoman"/>
                <w:b w:val="0"/>
                <w:sz w:val="24"/>
                <w:szCs w:val="24"/>
              </w:rPr>
              <w:t>1</w:t>
            </w:r>
            <w:r w:rsidRPr="00263349" w:rsidR="00F02DFF">
              <w:rPr>
                <w:rFonts w:ascii="Palatino Linotype" w:hAnsi="Palatino Linotype" w:cs="TimesNewRoman"/>
                <w:b w:val="0"/>
                <w:sz w:val="24"/>
                <w:szCs w:val="24"/>
              </w:rPr>
              <w:t>**</w:t>
            </w:r>
          </w:p>
        </w:tc>
        <w:tc>
          <w:tcPr>
            <w:tcW w:w="1363" w:type="dxa"/>
            <w:vAlign w:val="bottom"/>
          </w:tcPr>
          <w:p w:rsidRPr="00263349" w:rsidR="00E91CBA" w:rsidP="00E91CBA" w:rsidRDefault="00E91CBA" w14:paraId="27E44C0D" w14:textId="77777777">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0.0</w:t>
            </w:r>
          </w:p>
        </w:tc>
      </w:tr>
      <w:tr w:rsidRPr="00263349" w:rsidR="00CB7F04" w:rsidTr="00F60915" w14:paraId="7A053EA9" w14:textId="77777777">
        <w:tc>
          <w:tcPr>
            <w:tcW w:w="2875" w:type="dxa"/>
            <w:vAlign w:val="bottom"/>
          </w:tcPr>
          <w:p w:rsidRPr="00263349" w:rsidR="003E04B6" w:rsidP="00C345D8" w:rsidRDefault="007F4585" w14:paraId="3279E141" w14:textId="77777777">
            <w:pPr>
              <w:pStyle w:val="BodyText"/>
              <w:keepNext/>
              <w:spacing w:after="40"/>
              <w:rPr>
                <w:rFonts w:ascii="Palatino Linotype" w:hAnsi="Palatino Linotype" w:cs="TimesNewRoman"/>
                <w:sz w:val="24"/>
                <w:szCs w:val="24"/>
              </w:rPr>
            </w:pPr>
            <w:r w:rsidRPr="00511954">
              <w:rPr>
                <w:rFonts w:ascii="Palatino Linotype" w:hAnsi="Palatino Linotype" w:cs="TimesNewRoman"/>
                <w:sz w:val="24"/>
                <w:szCs w:val="24"/>
              </w:rPr>
              <w:t xml:space="preserve">Total </w:t>
            </w:r>
            <w:r w:rsidRPr="00511954" w:rsidR="00C641E5">
              <w:rPr>
                <w:rFonts w:ascii="Palatino Linotype" w:hAnsi="Palatino Linotype" w:cs="TimesNewRoman"/>
                <w:sz w:val="24"/>
                <w:szCs w:val="24"/>
              </w:rPr>
              <w:t xml:space="preserve">PG&amp;E </w:t>
            </w:r>
            <w:r w:rsidRPr="00511954">
              <w:rPr>
                <w:rFonts w:ascii="Palatino Linotype" w:hAnsi="Palatino Linotype" w:cs="TimesNewRoman"/>
                <w:sz w:val="24"/>
                <w:szCs w:val="24"/>
              </w:rPr>
              <w:t>DAC Residential Customers</w:t>
            </w:r>
          </w:p>
        </w:tc>
        <w:tc>
          <w:tcPr>
            <w:tcW w:w="1620" w:type="dxa"/>
            <w:vAlign w:val="bottom"/>
          </w:tcPr>
          <w:p w:rsidRPr="00263349" w:rsidR="003E04B6" w:rsidP="00C345D8" w:rsidRDefault="00212BF6" w14:paraId="08C3544E" w14:textId="77777777">
            <w:pPr>
              <w:pStyle w:val="BodyText"/>
              <w:keepNext/>
              <w:spacing w:after="40"/>
              <w:jc w:val="right"/>
              <w:rPr>
                <w:rFonts w:ascii="Palatino Linotype" w:hAnsi="Palatino Linotype" w:cs="TimesNewRoman"/>
                <w:sz w:val="24"/>
                <w:szCs w:val="24"/>
              </w:rPr>
            </w:pPr>
            <w:r w:rsidRPr="00263349">
              <w:rPr>
                <w:rFonts w:ascii="Palatino Linotype" w:hAnsi="Palatino Linotype" w:cs="TimesNewRoman"/>
                <w:sz w:val="24"/>
                <w:szCs w:val="24"/>
              </w:rPr>
              <w:t>637,682</w:t>
            </w:r>
          </w:p>
        </w:tc>
        <w:tc>
          <w:tcPr>
            <w:tcW w:w="2129" w:type="dxa"/>
            <w:vAlign w:val="bottom"/>
          </w:tcPr>
          <w:p w:rsidRPr="00263349" w:rsidR="003E04B6" w:rsidP="00C345D8" w:rsidRDefault="0024376B" w14:paraId="4885F812" w14:textId="77777777">
            <w:pPr>
              <w:pStyle w:val="BodyText"/>
              <w:keepNext/>
              <w:spacing w:after="40"/>
              <w:jc w:val="right"/>
              <w:rPr>
                <w:rFonts w:ascii="Palatino Linotype" w:hAnsi="Palatino Linotype" w:cs="TimesNewRoman"/>
                <w:sz w:val="24"/>
                <w:szCs w:val="24"/>
              </w:rPr>
            </w:pPr>
            <w:r w:rsidRPr="00263349">
              <w:rPr>
                <w:rFonts w:ascii="Palatino Linotype" w:hAnsi="Palatino Linotype" w:cs="TimesNewRoman"/>
                <w:sz w:val="24"/>
                <w:szCs w:val="24"/>
              </w:rPr>
              <w:t>100%</w:t>
            </w:r>
          </w:p>
        </w:tc>
        <w:tc>
          <w:tcPr>
            <w:tcW w:w="1363" w:type="dxa"/>
            <w:vAlign w:val="bottom"/>
          </w:tcPr>
          <w:p w:rsidRPr="00263349" w:rsidR="003E04B6" w:rsidP="00C345D8" w:rsidRDefault="002C13F7" w14:paraId="568AAC2B" w14:textId="77777777">
            <w:pPr>
              <w:pStyle w:val="BodyText"/>
              <w:keepNext/>
              <w:spacing w:after="40"/>
              <w:jc w:val="right"/>
              <w:rPr>
                <w:rFonts w:ascii="Palatino Linotype" w:hAnsi="Palatino Linotype" w:cs="TimesNewRoman"/>
                <w:sz w:val="24"/>
                <w:szCs w:val="24"/>
              </w:rPr>
            </w:pPr>
            <w:r w:rsidRPr="00263349">
              <w:rPr>
                <w:rFonts w:ascii="Palatino Linotype" w:hAnsi="Palatino Linotype" w:cs="TimesNewRoman"/>
                <w:sz w:val="24"/>
                <w:szCs w:val="24"/>
              </w:rPr>
              <w:t xml:space="preserve">70 </w:t>
            </w:r>
          </w:p>
        </w:tc>
        <w:tc>
          <w:tcPr>
            <w:tcW w:w="1363" w:type="dxa"/>
            <w:vAlign w:val="bottom"/>
          </w:tcPr>
          <w:p w:rsidRPr="00263349" w:rsidR="003E04B6" w:rsidP="002C13F7" w:rsidRDefault="002C13F7" w14:paraId="20FBE176" w14:textId="77777777">
            <w:pPr>
              <w:pStyle w:val="BodyText"/>
              <w:spacing w:after="40"/>
              <w:jc w:val="right"/>
              <w:rPr>
                <w:rFonts w:ascii="Palatino Linotype" w:hAnsi="Palatino Linotype" w:cs="TimesNewRoman"/>
                <w:sz w:val="24"/>
                <w:szCs w:val="24"/>
              </w:rPr>
            </w:pPr>
            <w:r w:rsidRPr="00263349">
              <w:rPr>
                <w:rFonts w:ascii="Palatino Linotype" w:hAnsi="Palatino Linotype" w:cs="TimesNewRoman"/>
                <w:sz w:val="24"/>
                <w:szCs w:val="24"/>
              </w:rPr>
              <w:t>18</w:t>
            </w:r>
          </w:p>
        </w:tc>
      </w:tr>
      <w:tr w:rsidRPr="00263349" w:rsidR="00273ED3" w:rsidTr="00D450E1" w14:paraId="159F0745" w14:textId="77777777">
        <w:tc>
          <w:tcPr>
            <w:tcW w:w="9350" w:type="dxa"/>
            <w:gridSpan w:val="5"/>
            <w:vAlign w:val="bottom"/>
          </w:tcPr>
          <w:p w:rsidRPr="00263349" w:rsidR="00273ED3" w:rsidP="00AA026C" w:rsidRDefault="00273ED3" w14:paraId="0B2667B3" w14:textId="469DC8BE">
            <w:pPr>
              <w:pStyle w:val="BodyText"/>
              <w:spacing w:after="40"/>
              <w:rPr>
                <w:rFonts w:ascii="Palatino Linotype" w:hAnsi="Palatino Linotype" w:cs="TimesNewRoman"/>
                <w:b w:val="0"/>
                <w:sz w:val="24"/>
                <w:szCs w:val="24"/>
              </w:rPr>
            </w:pPr>
            <w:r w:rsidRPr="00511954">
              <w:rPr>
                <w:rFonts w:ascii="Palatino Linotype" w:hAnsi="Palatino Linotype" w:cs="TimesNewRoman"/>
                <w:b w:val="0"/>
                <w:sz w:val="24"/>
                <w:szCs w:val="24"/>
              </w:rPr>
              <w:t xml:space="preserve">*According to the percent of residential DAC customers that Sonoma Clean Power </w:t>
            </w:r>
            <w:r w:rsidRPr="00263349" w:rsidR="007E01CA">
              <w:rPr>
                <w:rFonts w:ascii="Palatino Linotype" w:hAnsi="Palatino Linotype" w:cs="TimesNewRoman"/>
                <w:b w:val="0"/>
                <w:sz w:val="24"/>
                <w:szCs w:val="24"/>
              </w:rPr>
              <w:t xml:space="preserve">(Sonoma) </w:t>
            </w:r>
            <w:r w:rsidRPr="00263349">
              <w:rPr>
                <w:rFonts w:ascii="Palatino Linotype" w:hAnsi="Palatino Linotype" w:cs="TimesNewRoman"/>
                <w:b w:val="0"/>
                <w:sz w:val="24"/>
                <w:szCs w:val="24"/>
              </w:rPr>
              <w:t>and Silicon Valley Clean Energy</w:t>
            </w:r>
            <w:r w:rsidRPr="00263349" w:rsidR="007E01CA">
              <w:rPr>
                <w:rFonts w:ascii="Palatino Linotype" w:hAnsi="Palatino Linotype" w:cs="TimesNewRoman"/>
                <w:b w:val="0"/>
                <w:sz w:val="24"/>
                <w:szCs w:val="24"/>
              </w:rPr>
              <w:t xml:space="preserve"> (Silicon)</w:t>
            </w:r>
            <w:r w:rsidRPr="00263349">
              <w:rPr>
                <w:rFonts w:ascii="Palatino Linotype" w:hAnsi="Palatino Linotype" w:cs="TimesNewRoman"/>
                <w:b w:val="0"/>
                <w:sz w:val="24"/>
                <w:szCs w:val="24"/>
              </w:rPr>
              <w:t xml:space="preserve"> serve, the</w:t>
            </w:r>
            <w:r w:rsidR="00F60915">
              <w:rPr>
                <w:rFonts w:ascii="Palatino Linotype" w:hAnsi="Palatino Linotype" w:cs="TimesNewRoman"/>
                <w:b w:val="0"/>
                <w:sz w:val="24"/>
                <w:szCs w:val="24"/>
              </w:rPr>
              <w:t>y</w:t>
            </w:r>
            <w:r w:rsidRPr="00263349">
              <w:rPr>
                <w:rFonts w:ascii="Palatino Linotype" w:hAnsi="Palatino Linotype" w:cs="TimesNewRoman"/>
                <w:b w:val="0"/>
                <w:sz w:val="24"/>
                <w:szCs w:val="24"/>
              </w:rPr>
              <w:t xml:space="preserve"> would be allocated 2</w:t>
            </w:r>
            <w:r w:rsidRPr="00263349" w:rsidR="00743D39">
              <w:rPr>
                <w:rFonts w:ascii="Palatino Linotype" w:hAnsi="Palatino Linotype" w:cs="TimesNewRoman"/>
                <w:b w:val="0"/>
                <w:sz w:val="24"/>
                <w:szCs w:val="24"/>
              </w:rPr>
              <w:t>3</w:t>
            </w:r>
            <w:r w:rsidRPr="00263349">
              <w:rPr>
                <w:rFonts w:ascii="Palatino Linotype" w:hAnsi="Palatino Linotype" w:cs="TimesNewRoman"/>
                <w:b w:val="0"/>
                <w:sz w:val="24"/>
                <w:szCs w:val="24"/>
              </w:rPr>
              <w:t>0 k</w:t>
            </w:r>
            <w:r w:rsidRPr="00263349" w:rsidR="00826DAB">
              <w:rPr>
                <w:rFonts w:ascii="Palatino Linotype" w:hAnsi="Palatino Linotype" w:cs="TimesNewRoman"/>
                <w:b w:val="0"/>
                <w:sz w:val="24"/>
                <w:szCs w:val="24"/>
              </w:rPr>
              <w:t>W</w:t>
            </w:r>
            <w:r w:rsidRPr="00263349">
              <w:rPr>
                <w:rFonts w:ascii="Palatino Linotype" w:hAnsi="Palatino Linotype" w:cs="TimesNewRoman"/>
                <w:b w:val="0"/>
                <w:sz w:val="24"/>
                <w:szCs w:val="24"/>
              </w:rPr>
              <w:t xml:space="preserve"> and 3</w:t>
            </w:r>
            <w:r w:rsidRPr="00263349" w:rsidR="00743D39">
              <w:rPr>
                <w:rFonts w:ascii="Palatino Linotype" w:hAnsi="Palatino Linotype" w:cs="TimesNewRoman"/>
                <w:b w:val="0"/>
                <w:sz w:val="24"/>
                <w:szCs w:val="24"/>
              </w:rPr>
              <w:t>4</w:t>
            </w:r>
            <w:r w:rsidRPr="00263349">
              <w:rPr>
                <w:rFonts w:ascii="Palatino Linotype" w:hAnsi="Palatino Linotype" w:cs="TimesNewRoman"/>
                <w:b w:val="0"/>
                <w:sz w:val="24"/>
                <w:szCs w:val="24"/>
              </w:rPr>
              <w:t>0 k</w:t>
            </w:r>
            <w:r w:rsidRPr="00263349" w:rsidR="00826DAB">
              <w:rPr>
                <w:rFonts w:ascii="Palatino Linotype" w:hAnsi="Palatino Linotype" w:cs="TimesNewRoman"/>
                <w:b w:val="0"/>
                <w:sz w:val="24"/>
                <w:szCs w:val="24"/>
              </w:rPr>
              <w:t>W</w:t>
            </w:r>
            <w:r w:rsidRPr="00263349">
              <w:rPr>
                <w:rFonts w:ascii="Palatino Linotype" w:hAnsi="Palatino Linotype" w:cs="TimesNewRoman"/>
                <w:b w:val="0"/>
                <w:sz w:val="24"/>
                <w:szCs w:val="24"/>
              </w:rPr>
              <w:t>, respectively, for DAC-GT. Since DAC-GT projects must be at least 500 k</w:t>
            </w:r>
            <w:r w:rsidRPr="00263349" w:rsidR="00826DAB">
              <w:rPr>
                <w:rFonts w:ascii="Palatino Linotype" w:hAnsi="Palatino Linotype" w:cs="TimesNewRoman"/>
                <w:b w:val="0"/>
                <w:sz w:val="24"/>
                <w:szCs w:val="24"/>
              </w:rPr>
              <w:t>W</w:t>
            </w:r>
            <w:r w:rsidRPr="00263349">
              <w:rPr>
                <w:rFonts w:ascii="Palatino Linotype" w:hAnsi="Palatino Linotype" w:cs="TimesNewRoman"/>
                <w:b w:val="0"/>
                <w:sz w:val="24"/>
                <w:szCs w:val="24"/>
              </w:rPr>
              <w:t xml:space="preserve">, </w:t>
            </w:r>
            <w:r w:rsidRPr="00263349" w:rsidR="00D17776">
              <w:rPr>
                <w:rFonts w:ascii="Palatino Linotype" w:hAnsi="Palatino Linotype" w:cs="TimesNewRoman"/>
                <w:b w:val="0"/>
                <w:sz w:val="24"/>
                <w:szCs w:val="24"/>
              </w:rPr>
              <w:t>the Commission</w:t>
            </w:r>
            <w:r w:rsidRPr="00263349">
              <w:rPr>
                <w:rFonts w:ascii="Palatino Linotype" w:hAnsi="Palatino Linotype" w:cs="TimesNewRoman"/>
                <w:b w:val="0"/>
                <w:sz w:val="24"/>
                <w:szCs w:val="24"/>
              </w:rPr>
              <w:t xml:space="preserve"> increase</w:t>
            </w:r>
            <w:r w:rsidRPr="00263349" w:rsidR="00D17776">
              <w:rPr>
                <w:rFonts w:ascii="Palatino Linotype" w:hAnsi="Palatino Linotype" w:cs="TimesNewRoman"/>
                <w:b w:val="0"/>
                <w:sz w:val="24"/>
                <w:szCs w:val="24"/>
              </w:rPr>
              <w:t>s</w:t>
            </w:r>
            <w:r w:rsidRPr="00263349">
              <w:rPr>
                <w:rFonts w:ascii="Palatino Linotype" w:hAnsi="Palatino Linotype" w:cs="TimesNewRoman"/>
                <w:b w:val="0"/>
                <w:sz w:val="24"/>
                <w:szCs w:val="24"/>
              </w:rPr>
              <w:t xml:space="preserve"> </w:t>
            </w:r>
            <w:r w:rsidRPr="00263349" w:rsidR="007E01CA">
              <w:rPr>
                <w:rFonts w:ascii="Palatino Linotype" w:hAnsi="Palatino Linotype" w:cs="TimesNewRoman"/>
                <w:b w:val="0"/>
                <w:sz w:val="24"/>
                <w:szCs w:val="24"/>
              </w:rPr>
              <w:t xml:space="preserve">Sonoma’s and Silicon’s </w:t>
            </w:r>
            <w:r w:rsidRPr="00263349">
              <w:rPr>
                <w:rFonts w:ascii="Palatino Linotype" w:hAnsi="Palatino Linotype" w:cs="TimesNewRoman"/>
                <w:b w:val="0"/>
                <w:sz w:val="24"/>
                <w:szCs w:val="24"/>
              </w:rPr>
              <w:t xml:space="preserve">capacity allocations </w:t>
            </w:r>
            <w:r w:rsidR="00E838C2">
              <w:rPr>
                <w:rFonts w:ascii="Palatino Linotype" w:hAnsi="Palatino Linotype" w:cs="TimesNewRoman"/>
                <w:b w:val="0"/>
                <w:sz w:val="24"/>
                <w:szCs w:val="24"/>
              </w:rPr>
              <w:t xml:space="preserve">by 270 kW and 160 kW, respectively, </w:t>
            </w:r>
            <w:r w:rsidRPr="00263349">
              <w:rPr>
                <w:rFonts w:ascii="Palatino Linotype" w:hAnsi="Palatino Linotype" w:cs="TimesNewRoman"/>
                <w:b w:val="0"/>
                <w:sz w:val="24"/>
                <w:szCs w:val="24"/>
              </w:rPr>
              <w:t>and subtract</w:t>
            </w:r>
            <w:r w:rsidRPr="00263349" w:rsidR="00D17776">
              <w:rPr>
                <w:rFonts w:ascii="Palatino Linotype" w:hAnsi="Palatino Linotype" w:cs="TimesNewRoman"/>
                <w:b w:val="0"/>
                <w:sz w:val="24"/>
                <w:szCs w:val="24"/>
              </w:rPr>
              <w:t>s</w:t>
            </w:r>
            <w:r w:rsidRPr="00263349">
              <w:rPr>
                <w:rFonts w:ascii="Palatino Linotype" w:hAnsi="Palatino Linotype" w:cs="TimesNewRoman"/>
                <w:b w:val="0"/>
                <w:sz w:val="24"/>
                <w:szCs w:val="24"/>
              </w:rPr>
              <w:t xml:space="preserve"> a total of </w:t>
            </w:r>
            <w:r w:rsidR="00A72D61">
              <w:rPr>
                <w:rFonts w:ascii="Palatino Linotype" w:hAnsi="Palatino Linotype" w:cs="TimesNewRoman"/>
                <w:b w:val="0"/>
                <w:sz w:val="24"/>
                <w:szCs w:val="24"/>
              </w:rPr>
              <w:t>420</w:t>
            </w:r>
            <w:r w:rsidRPr="00263349">
              <w:rPr>
                <w:rFonts w:ascii="Palatino Linotype" w:hAnsi="Palatino Linotype" w:cs="TimesNewRoman"/>
                <w:b w:val="0"/>
                <w:sz w:val="24"/>
                <w:szCs w:val="24"/>
              </w:rPr>
              <w:t xml:space="preserve"> k</w:t>
            </w:r>
            <w:r w:rsidRPr="00263349" w:rsidR="00826DAB">
              <w:rPr>
                <w:rFonts w:ascii="Palatino Linotype" w:hAnsi="Palatino Linotype" w:cs="TimesNewRoman"/>
                <w:b w:val="0"/>
                <w:sz w:val="24"/>
                <w:szCs w:val="24"/>
              </w:rPr>
              <w:t>W</w:t>
            </w:r>
            <w:r w:rsidRPr="00263349" w:rsidR="00350421">
              <w:rPr>
                <w:rFonts w:ascii="Palatino Linotype" w:hAnsi="Palatino Linotype" w:cs="TimesNewRoman"/>
                <w:b w:val="0"/>
                <w:sz w:val="24"/>
                <w:szCs w:val="24"/>
              </w:rPr>
              <w:t xml:space="preserve"> from PG&amp;E’s allocation </w:t>
            </w:r>
            <w:r w:rsidRPr="00263349" w:rsidR="00826DAB">
              <w:rPr>
                <w:rFonts w:ascii="Palatino Linotype" w:hAnsi="Palatino Linotype" w:cs="TimesNewRoman"/>
                <w:b w:val="0"/>
                <w:sz w:val="24"/>
                <w:szCs w:val="24"/>
              </w:rPr>
              <w:t xml:space="preserve">(decreased by </w:t>
            </w:r>
            <w:r w:rsidRPr="00263349" w:rsidR="00743D39">
              <w:rPr>
                <w:rFonts w:ascii="Palatino Linotype" w:hAnsi="Palatino Linotype" w:cs="TimesNewRoman"/>
                <w:b w:val="0"/>
                <w:sz w:val="24"/>
                <w:szCs w:val="24"/>
              </w:rPr>
              <w:t>430</w:t>
            </w:r>
            <w:r w:rsidRPr="00263349" w:rsidR="00826DAB">
              <w:rPr>
                <w:rFonts w:ascii="Palatino Linotype" w:hAnsi="Palatino Linotype" w:cs="TimesNewRoman"/>
                <w:b w:val="0"/>
                <w:sz w:val="24"/>
                <w:szCs w:val="24"/>
              </w:rPr>
              <w:t xml:space="preserve"> kW</w:t>
            </w:r>
            <w:r w:rsidR="00F60915">
              <w:rPr>
                <w:rFonts w:ascii="Palatino Linotype" w:hAnsi="Palatino Linotype" w:cs="TimesNewRoman"/>
                <w:b w:val="0"/>
                <w:sz w:val="24"/>
                <w:szCs w:val="24"/>
              </w:rPr>
              <w:t xml:space="preserve"> but</w:t>
            </w:r>
            <w:r w:rsidRPr="00263349">
              <w:rPr>
                <w:rFonts w:ascii="Palatino Linotype" w:hAnsi="Palatino Linotype" w:cs="TimesNewRoman"/>
                <w:b w:val="0"/>
                <w:sz w:val="24"/>
                <w:szCs w:val="24"/>
              </w:rPr>
              <w:t xml:space="preserve"> increased by </w:t>
            </w:r>
            <w:r w:rsidR="00A72D61">
              <w:rPr>
                <w:rFonts w:ascii="Palatino Linotype" w:hAnsi="Palatino Linotype" w:cs="TimesNewRoman"/>
                <w:b w:val="0"/>
                <w:sz w:val="24"/>
                <w:szCs w:val="24"/>
              </w:rPr>
              <w:t>1</w:t>
            </w:r>
            <w:r w:rsidRPr="00263349">
              <w:rPr>
                <w:rFonts w:ascii="Palatino Linotype" w:hAnsi="Palatino Linotype" w:cs="TimesNewRoman"/>
                <w:b w:val="0"/>
                <w:sz w:val="24"/>
                <w:szCs w:val="24"/>
              </w:rPr>
              <w:t>0 k</w:t>
            </w:r>
            <w:r w:rsidRPr="00263349" w:rsidR="00826DAB">
              <w:rPr>
                <w:rFonts w:ascii="Palatino Linotype" w:hAnsi="Palatino Linotype" w:cs="TimesNewRoman"/>
                <w:b w:val="0"/>
                <w:sz w:val="24"/>
                <w:szCs w:val="24"/>
              </w:rPr>
              <w:t>W</w:t>
            </w:r>
            <w:r w:rsidRPr="00263349">
              <w:rPr>
                <w:rFonts w:ascii="Palatino Linotype" w:hAnsi="Palatino Linotype" w:cs="TimesNewRoman"/>
                <w:b w:val="0"/>
                <w:sz w:val="24"/>
                <w:szCs w:val="24"/>
              </w:rPr>
              <w:t xml:space="preserve"> to account for rounding).</w:t>
            </w:r>
            <w:r w:rsidRPr="00263349" w:rsidR="00AA026C">
              <w:rPr>
                <w:rFonts w:ascii="Palatino Linotype" w:hAnsi="Palatino Linotype" w:cs="TimesNewRoman"/>
                <w:b w:val="0"/>
                <w:sz w:val="24"/>
                <w:szCs w:val="24"/>
              </w:rPr>
              <w:t xml:space="preserve"> </w:t>
            </w:r>
          </w:p>
          <w:p w:rsidRPr="00263349" w:rsidR="00F02DFF" w:rsidP="00AA026C" w:rsidRDefault="00F02DFF" w14:paraId="7905AAF4" w14:textId="2F95E379">
            <w:pPr>
              <w:pStyle w:val="BodyText"/>
              <w:spacing w:after="40"/>
              <w:rPr>
                <w:rFonts w:ascii="Palatino Linotype" w:hAnsi="Palatino Linotype" w:cs="TimesNewRoman"/>
                <w:b w:val="0"/>
                <w:sz w:val="24"/>
                <w:szCs w:val="24"/>
              </w:rPr>
            </w:pPr>
            <w:r w:rsidRPr="00263349">
              <w:rPr>
                <w:rFonts w:ascii="Palatino Linotype" w:hAnsi="Palatino Linotype" w:cs="TimesNewRoman"/>
                <w:b w:val="0"/>
                <w:sz w:val="24"/>
                <w:szCs w:val="24"/>
              </w:rPr>
              <w:t xml:space="preserve">**According to the percent of residential DAC customers that </w:t>
            </w:r>
            <w:proofErr w:type="spellStart"/>
            <w:r w:rsidRPr="00263349">
              <w:rPr>
                <w:rFonts w:ascii="Palatino Linotype" w:hAnsi="Palatino Linotype" w:cs="TimesNewRoman"/>
                <w:b w:val="0"/>
                <w:sz w:val="24"/>
                <w:szCs w:val="24"/>
              </w:rPr>
              <w:t>CleanPowerSF</w:t>
            </w:r>
            <w:proofErr w:type="spellEnd"/>
            <w:r w:rsidRPr="00263349">
              <w:rPr>
                <w:rFonts w:ascii="Palatino Linotype" w:hAnsi="Palatino Linotype" w:cs="TimesNewRoman"/>
                <w:b w:val="0"/>
                <w:sz w:val="24"/>
                <w:szCs w:val="24"/>
              </w:rPr>
              <w:t xml:space="preserve"> and Valley Clean Energy Authority serve, </w:t>
            </w:r>
            <w:r w:rsidRPr="00263349" w:rsidR="00A964DC">
              <w:rPr>
                <w:rFonts w:ascii="Palatino Linotype" w:hAnsi="Palatino Linotype" w:cs="TimesNewRoman"/>
                <w:b w:val="0"/>
                <w:sz w:val="24"/>
                <w:szCs w:val="24"/>
              </w:rPr>
              <w:t>the</w:t>
            </w:r>
            <w:r w:rsidR="00F60915">
              <w:rPr>
                <w:rFonts w:ascii="Palatino Linotype" w:hAnsi="Palatino Linotype" w:cs="TimesNewRoman"/>
                <w:b w:val="0"/>
                <w:sz w:val="24"/>
                <w:szCs w:val="24"/>
              </w:rPr>
              <w:t>y</w:t>
            </w:r>
            <w:r w:rsidRPr="00263349" w:rsidR="00A964DC">
              <w:rPr>
                <w:rFonts w:ascii="Palatino Linotype" w:hAnsi="Palatino Linotype" w:cs="TimesNewRoman"/>
                <w:b w:val="0"/>
                <w:sz w:val="24"/>
                <w:szCs w:val="24"/>
              </w:rPr>
              <w:t xml:space="preserve"> would be allocated 40</w:t>
            </w:r>
            <w:r w:rsidRPr="00263349">
              <w:rPr>
                <w:rFonts w:ascii="Palatino Linotype" w:hAnsi="Palatino Linotype" w:cs="TimesNewRoman"/>
                <w:b w:val="0"/>
                <w:sz w:val="24"/>
                <w:szCs w:val="24"/>
              </w:rPr>
              <w:t xml:space="preserve"> kW and </w:t>
            </w:r>
            <w:r w:rsidRPr="00263349" w:rsidR="00A964DC">
              <w:rPr>
                <w:rFonts w:ascii="Palatino Linotype" w:hAnsi="Palatino Linotype" w:cs="TimesNewRoman"/>
                <w:b w:val="0"/>
                <w:sz w:val="24"/>
                <w:szCs w:val="24"/>
              </w:rPr>
              <w:t xml:space="preserve">10 </w:t>
            </w:r>
            <w:r w:rsidRPr="00263349">
              <w:rPr>
                <w:rFonts w:ascii="Palatino Linotype" w:hAnsi="Palatino Linotype" w:cs="TimesNewRoman"/>
                <w:b w:val="0"/>
                <w:sz w:val="24"/>
                <w:szCs w:val="24"/>
              </w:rPr>
              <w:t xml:space="preserve">kW, respectively, for DAC-GT. Since these </w:t>
            </w:r>
            <w:r w:rsidRPr="00263349" w:rsidR="00A964DC">
              <w:rPr>
                <w:rFonts w:ascii="Palatino Linotype" w:hAnsi="Palatino Linotype" w:cs="TimesNewRoman"/>
                <w:b w:val="0"/>
                <w:sz w:val="24"/>
                <w:szCs w:val="24"/>
              </w:rPr>
              <w:t xml:space="preserve">figures </w:t>
            </w:r>
            <w:r w:rsidRPr="00263349" w:rsidR="008D4DC5">
              <w:rPr>
                <w:rFonts w:ascii="Palatino Linotype" w:hAnsi="Palatino Linotype" w:cs="TimesNewRoman"/>
                <w:b w:val="0"/>
                <w:sz w:val="24"/>
                <w:szCs w:val="24"/>
              </w:rPr>
              <w:t xml:space="preserve">represent </w:t>
            </w:r>
            <w:r w:rsidRPr="00263349" w:rsidR="00A964DC">
              <w:rPr>
                <w:rFonts w:ascii="Palatino Linotype" w:hAnsi="Palatino Linotype" w:cs="TimesNewRoman"/>
                <w:b w:val="0"/>
                <w:sz w:val="24"/>
                <w:szCs w:val="24"/>
              </w:rPr>
              <w:t xml:space="preserve">less than 10 percent of the </w:t>
            </w:r>
            <w:proofErr w:type="gramStart"/>
            <w:r w:rsidRPr="00263349" w:rsidR="00A964DC">
              <w:rPr>
                <w:rFonts w:ascii="Palatino Linotype" w:hAnsi="Palatino Linotype" w:cs="TimesNewRoman"/>
                <w:b w:val="0"/>
                <w:sz w:val="24"/>
                <w:szCs w:val="24"/>
              </w:rPr>
              <w:t>500 kW</w:t>
            </w:r>
            <w:proofErr w:type="gramEnd"/>
            <w:r w:rsidRPr="00263349" w:rsidR="00A964DC">
              <w:rPr>
                <w:rFonts w:ascii="Palatino Linotype" w:hAnsi="Palatino Linotype" w:cs="TimesNewRoman"/>
                <w:b w:val="0"/>
                <w:sz w:val="24"/>
                <w:szCs w:val="24"/>
              </w:rPr>
              <w:t xml:space="preserve"> minimum size requirement for DAC-GT, </w:t>
            </w:r>
            <w:r w:rsidRPr="00263349" w:rsidR="00ED5E3B">
              <w:rPr>
                <w:rFonts w:ascii="Palatino Linotype" w:hAnsi="Palatino Linotype" w:cs="TimesNewRoman"/>
                <w:b w:val="0"/>
                <w:sz w:val="24"/>
                <w:szCs w:val="24"/>
              </w:rPr>
              <w:t>it would not be appropriate to allocate the minimum 500 kW to them</w:t>
            </w:r>
            <w:r w:rsidR="00A72D61">
              <w:rPr>
                <w:rFonts w:ascii="Palatino Linotype" w:hAnsi="Palatino Linotype" w:cs="TimesNewRoman"/>
                <w:b w:val="0"/>
                <w:sz w:val="24"/>
                <w:szCs w:val="24"/>
              </w:rPr>
              <w:t>. As discussed further below</w:t>
            </w:r>
            <w:r w:rsidRPr="00263349" w:rsidR="00ED5E3B">
              <w:rPr>
                <w:rFonts w:ascii="Palatino Linotype" w:hAnsi="Palatino Linotype" w:cs="TimesNewRoman"/>
                <w:b w:val="0"/>
                <w:sz w:val="24"/>
                <w:szCs w:val="24"/>
              </w:rPr>
              <w:t>,</w:t>
            </w:r>
            <w:r w:rsidR="00A72D61">
              <w:rPr>
                <w:rFonts w:ascii="Palatino Linotype" w:hAnsi="Palatino Linotype" w:cs="TimesNewRoman"/>
                <w:b w:val="0"/>
                <w:sz w:val="24"/>
                <w:szCs w:val="24"/>
              </w:rPr>
              <w:t xml:space="preserve"> however,</w:t>
            </w:r>
            <w:r w:rsidRPr="00263349" w:rsidR="00ED5E3B">
              <w:rPr>
                <w:rFonts w:ascii="Palatino Linotype" w:hAnsi="Palatino Linotype" w:cs="TimesNewRoman"/>
                <w:b w:val="0"/>
                <w:sz w:val="24"/>
                <w:szCs w:val="24"/>
              </w:rPr>
              <w:t xml:space="preserve"> </w:t>
            </w:r>
            <w:r w:rsidR="00A72D61">
              <w:rPr>
                <w:rFonts w:ascii="Palatino Linotype" w:hAnsi="Palatino Linotype" w:cs="TimesNewRoman"/>
                <w:b w:val="0"/>
                <w:sz w:val="24"/>
                <w:szCs w:val="24"/>
              </w:rPr>
              <w:t>these CCAs could elect to pool their DAC-GT capacity with other CCAs to meet the minimum 500 kW project size</w:t>
            </w:r>
            <w:r w:rsidRPr="00263349" w:rsidR="00A964DC">
              <w:rPr>
                <w:rFonts w:ascii="Palatino Linotype" w:hAnsi="Palatino Linotype" w:cs="TimesNewRoman"/>
                <w:b w:val="0"/>
                <w:sz w:val="24"/>
                <w:szCs w:val="24"/>
              </w:rPr>
              <w:t>.</w:t>
            </w:r>
          </w:p>
          <w:p w:rsidRPr="00263349" w:rsidR="00FC1ABB" w:rsidP="00F02DFF" w:rsidRDefault="00FC1ABB" w14:paraId="3641CE95" w14:textId="7CAD5FC2">
            <w:pPr>
              <w:pStyle w:val="BodyText"/>
              <w:spacing w:after="40"/>
              <w:rPr>
                <w:rFonts w:ascii="Palatino Linotype" w:hAnsi="Palatino Linotype" w:cs="TimesNewRoman"/>
                <w:b w:val="0"/>
                <w:sz w:val="24"/>
                <w:szCs w:val="24"/>
              </w:rPr>
            </w:pPr>
            <w:r w:rsidRPr="00263349">
              <w:rPr>
                <w:rFonts w:ascii="Palatino Linotype" w:hAnsi="Palatino Linotype" w:cs="TimesNewRoman"/>
                <w:b w:val="0"/>
                <w:sz w:val="24"/>
                <w:szCs w:val="24"/>
              </w:rPr>
              <w:t>**</w:t>
            </w:r>
            <w:r w:rsidRPr="00263349" w:rsidR="00F02DFF">
              <w:rPr>
                <w:rFonts w:ascii="Palatino Linotype" w:hAnsi="Palatino Linotype" w:cs="TimesNewRoman"/>
                <w:b w:val="0"/>
                <w:sz w:val="24"/>
                <w:szCs w:val="24"/>
              </w:rPr>
              <w:t>*</w:t>
            </w:r>
            <w:r w:rsidRPr="00263349">
              <w:rPr>
                <w:rFonts w:ascii="Palatino Linotype" w:hAnsi="Palatino Linotype" w:cs="TimesNewRoman"/>
                <w:b w:val="0"/>
                <w:sz w:val="24"/>
                <w:szCs w:val="24"/>
              </w:rPr>
              <w:t xml:space="preserve">PG&amp;E’s allocation for CSGT is rounded </w:t>
            </w:r>
            <w:r w:rsidRPr="00263349" w:rsidR="00F02DFF">
              <w:rPr>
                <w:rFonts w:ascii="Palatino Linotype" w:hAnsi="Palatino Linotype" w:cs="TimesNewRoman"/>
                <w:b w:val="0"/>
                <w:sz w:val="24"/>
                <w:szCs w:val="24"/>
              </w:rPr>
              <w:t>down</w:t>
            </w:r>
            <w:r w:rsidRPr="00263349">
              <w:rPr>
                <w:rFonts w:ascii="Palatino Linotype" w:hAnsi="Palatino Linotype" w:cs="TimesNewRoman"/>
                <w:b w:val="0"/>
                <w:sz w:val="24"/>
                <w:szCs w:val="24"/>
              </w:rPr>
              <w:t xml:space="preserve"> by 10 kw to account for rounding.</w:t>
            </w:r>
          </w:p>
        </w:tc>
      </w:tr>
    </w:tbl>
    <w:p w:rsidRPr="00511954" w:rsidR="003E04B6" w:rsidP="008762CC" w:rsidRDefault="003E04B6" w14:paraId="10E68D14" w14:textId="77777777">
      <w:pPr>
        <w:pStyle w:val="BodyText"/>
        <w:spacing w:after="120"/>
        <w:rPr>
          <w:rFonts w:ascii="Palatino Linotype" w:hAnsi="Palatino Linotype" w:cs="TimesNewRoman"/>
          <w:b w:val="0"/>
          <w:sz w:val="24"/>
          <w:szCs w:val="24"/>
        </w:rPr>
      </w:pPr>
    </w:p>
    <w:tbl>
      <w:tblPr>
        <w:tblStyle w:val="TableGrid"/>
        <w:tblW w:w="0" w:type="auto"/>
        <w:tblLook w:val="04A0" w:firstRow="1" w:lastRow="0" w:firstColumn="1" w:lastColumn="0" w:noHBand="0" w:noVBand="1"/>
      </w:tblPr>
      <w:tblGrid>
        <w:gridCol w:w="2875"/>
        <w:gridCol w:w="1620"/>
        <w:gridCol w:w="2129"/>
        <w:gridCol w:w="1363"/>
        <w:gridCol w:w="1363"/>
      </w:tblGrid>
      <w:tr w:rsidRPr="00263349" w:rsidR="00C641E5" w:rsidTr="008E0EA3" w14:paraId="73E7D85D" w14:textId="77777777">
        <w:tc>
          <w:tcPr>
            <w:tcW w:w="9350" w:type="dxa"/>
            <w:gridSpan w:val="5"/>
            <w:vAlign w:val="bottom"/>
          </w:tcPr>
          <w:p w:rsidRPr="00263349" w:rsidR="00C641E5" w:rsidP="00F60915" w:rsidRDefault="00C641E5" w14:paraId="77BEF5C7" w14:textId="12FC1259">
            <w:pPr>
              <w:pStyle w:val="BodyText"/>
              <w:spacing w:after="40"/>
              <w:rPr>
                <w:rFonts w:ascii="Palatino Linotype" w:hAnsi="Palatino Linotype" w:cs="TimesNewRoman"/>
                <w:sz w:val="24"/>
                <w:szCs w:val="24"/>
              </w:rPr>
            </w:pPr>
            <w:r w:rsidRPr="00263349">
              <w:rPr>
                <w:rFonts w:ascii="Palatino Linotype" w:hAnsi="Palatino Linotype" w:cs="TimesNewRoman"/>
                <w:sz w:val="24"/>
                <w:szCs w:val="24"/>
              </w:rPr>
              <w:t xml:space="preserve">Table 2: </w:t>
            </w:r>
            <w:r w:rsidRPr="00263349" w:rsidR="00F2351C">
              <w:rPr>
                <w:rFonts w:ascii="Palatino Linotype" w:hAnsi="Palatino Linotype" w:cs="TimesNewRoman"/>
                <w:sz w:val="24"/>
                <w:szCs w:val="24"/>
              </w:rPr>
              <w:t xml:space="preserve">IOU/CCA </w:t>
            </w:r>
            <w:r w:rsidRPr="00263349">
              <w:rPr>
                <w:rFonts w:ascii="Palatino Linotype" w:hAnsi="Palatino Linotype" w:cs="TimesNewRoman"/>
                <w:sz w:val="24"/>
                <w:szCs w:val="24"/>
              </w:rPr>
              <w:t>Program Capacity Allocation in SCE’s Service Territory</w:t>
            </w:r>
          </w:p>
        </w:tc>
      </w:tr>
      <w:tr w:rsidRPr="00263349" w:rsidR="00C641E5" w:rsidTr="00F60915" w14:paraId="352E810F" w14:textId="77777777">
        <w:tc>
          <w:tcPr>
            <w:tcW w:w="2875" w:type="dxa"/>
            <w:vAlign w:val="bottom"/>
          </w:tcPr>
          <w:p w:rsidRPr="00511954" w:rsidR="00C641E5" w:rsidP="00F60915" w:rsidRDefault="00C641E5" w14:paraId="20645868" w14:textId="77777777">
            <w:pPr>
              <w:pStyle w:val="BodyText"/>
              <w:spacing w:after="40"/>
              <w:rPr>
                <w:rFonts w:ascii="Palatino Linotype" w:hAnsi="Palatino Linotype" w:cs="TimesNewRoman"/>
                <w:sz w:val="24"/>
                <w:szCs w:val="24"/>
              </w:rPr>
            </w:pPr>
            <w:r w:rsidRPr="00511954">
              <w:rPr>
                <w:rFonts w:ascii="Palatino Linotype" w:hAnsi="Palatino Linotype" w:cs="TimesNewRoman"/>
                <w:sz w:val="24"/>
                <w:szCs w:val="24"/>
              </w:rPr>
              <w:t>SCE or CCA:</w:t>
            </w:r>
          </w:p>
        </w:tc>
        <w:tc>
          <w:tcPr>
            <w:tcW w:w="1620" w:type="dxa"/>
            <w:vAlign w:val="bottom"/>
          </w:tcPr>
          <w:p w:rsidRPr="00263349" w:rsidR="00C641E5" w:rsidP="00F60915" w:rsidRDefault="00C641E5" w14:paraId="44A0418F" w14:textId="1421EA4A">
            <w:pPr>
              <w:pStyle w:val="BodyText"/>
              <w:spacing w:after="40"/>
              <w:rPr>
                <w:rFonts w:ascii="Palatino Linotype" w:hAnsi="Palatino Linotype" w:cs="TimesNewRoman"/>
                <w:sz w:val="24"/>
                <w:szCs w:val="24"/>
              </w:rPr>
            </w:pPr>
            <w:r w:rsidRPr="00263349">
              <w:rPr>
                <w:rFonts w:ascii="Palatino Linotype" w:hAnsi="Palatino Linotype" w:cs="TimesNewRoman"/>
                <w:sz w:val="24"/>
                <w:szCs w:val="24"/>
              </w:rPr>
              <w:t>Residential DAC Customers Served</w:t>
            </w:r>
            <w:r w:rsidRPr="00263349" w:rsidR="00F2351C">
              <w:rPr>
                <w:rFonts w:ascii="Palatino Linotype" w:hAnsi="Palatino Linotype" w:cs="TimesNewRoman"/>
                <w:sz w:val="24"/>
                <w:szCs w:val="24"/>
              </w:rPr>
              <w:t xml:space="preserve"> by Entity</w:t>
            </w:r>
          </w:p>
        </w:tc>
        <w:tc>
          <w:tcPr>
            <w:tcW w:w="2129" w:type="dxa"/>
            <w:vAlign w:val="bottom"/>
          </w:tcPr>
          <w:p w:rsidRPr="00263349" w:rsidR="00C641E5" w:rsidP="00F60915" w:rsidRDefault="00C641E5" w14:paraId="52FFD221" w14:textId="622CEAE9">
            <w:pPr>
              <w:pStyle w:val="BodyText"/>
              <w:spacing w:after="40"/>
              <w:rPr>
                <w:rFonts w:ascii="Palatino Linotype" w:hAnsi="Palatino Linotype" w:cs="TimesNewRoman"/>
                <w:sz w:val="24"/>
                <w:szCs w:val="24"/>
              </w:rPr>
            </w:pPr>
            <w:r w:rsidRPr="00263349">
              <w:rPr>
                <w:rFonts w:ascii="Palatino Linotype" w:hAnsi="Palatino Linotype" w:cs="TimesNewRoman"/>
                <w:sz w:val="24"/>
                <w:szCs w:val="24"/>
              </w:rPr>
              <w:t xml:space="preserve">Percent of Residential DAC Customers </w:t>
            </w:r>
            <w:r w:rsidRPr="00263349" w:rsidR="00F2351C">
              <w:rPr>
                <w:rFonts w:ascii="Palatino Linotype" w:hAnsi="Palatino Linotype" w:cs="TimesNewRoman"/>
                <w:sz w:val="24"/>
                <w:szCs w:val="24"/>
              </w:rPr>
              <w:t>in S</w:t>
            </w:r>
            <w:r w:rsidRPr="00263349" w:rsidR="00FC1ABB">
              <w:rPr>
                <w:rFonts w:ascii="Palatino Linotype" w:hAnsi="Palatino Linotype" w:cs="TimesNewRoman"/>
                <w:sz w:val="24"/>
                <w:szCs w:val="24"/>
              </w:rPr>
              <w:t>C</w:t>
            </w:r>
            <w:r w:rsidRPr="00263349" w:rsidR="00F2351C">
              <w:rPr>
                <w:rFonts w:ascii="Palatino Linotype" w:hAnsi="Palatino Linotype" w:cs="TimesNewRoman"/>
                <w:sz w:val="24"/>
                <w:szCs w:val="24"/>
              </w:rPr>
              <w:t>E’s Service Territory</w:t>
            </w:r>
          </w:p>
        </w:tc>
        <w:tc>
          <w:tcPr>
            <w:tcW w:w="1363" w:type="dxa"/>
            <w:vAlign w:val="bottom"/>
          </w:tcPr>
          <w:p w:rsidRPr="00263349" w:rsidR="00C641E5" w:rsidP="00F60915" w:rsidRDefault="00C641E5" w14:paraId="3B2D2B42" w14:textId="77777777">
            <w:pPr>
              <w:pStyle w:val="BodyText"/>
              <w:spacing w:after="40"/>
              <w:rPr>
                <w:rFonts w:ascii="Palatino Linotype" w:hAnsi="Palatino Linotype" w:cs="TimesNewRoman"/>
                <w:sz w:val="24"/>
                <w:szCs w:val="24"/>
              </w:rPr>
            </w:pPr>
            <w:r w:rsidRPr="00263349">
              <w:rPr>
                <w:rFonts w:ascii="Palatino Linotype" w:hAnsi="Palatino Linotype" w:cs="TimesNewRoman"/>
                <w:sz w:val="24"/>
                <w:szCs w:val="24"/>
              </w:rPr>
              <w:t>DAC-GT Allocation (MW)</w:t>
            </w:r>
          </w:p>
        </w:tc>
        <w:tc>
          <w:tcPr>
            <w:tcW w:w="1363" w:type="dxa"/>
            <w:vAlign w:val="bottom"/>
          </w:tcPr>
          <w:p w:rsidRPr="00263349" w:rsidR="00C641E5" w:rsidP="00F60915" w:rsidRDefault="00C641E5" w14:paraId="4EE152B3" w14:textId="77777777">
            <w:pPr>
              <w:pStyle w:val="BodyText"/>
              <w:spacing w:after="40"/>
              <w:rPr>
                <w:rFonts w:ascii="Palatino Linotype" w:hAnsi="Palatino Linotype" w:cs="TimesNewRoman"/>
                <w:sz w:val="24"/>
                <w:szCs w:val="24"/>
              </w:rPr>
            </w:pPr>
            <w:r w:rsidRPr="00263349">
              <w:rPr>
                <w:rFonts w:ascii="Palatino Linotype" w:hAnsi="Palatino Linotype" w:cs="TimesNewRoman"/>
                <w:sz w:val="24"/>
                <w:szCs w:val="24"/>
              </w:rPr>
              <w:t>CSGT Allocation (MW)</w:t>
            </w:r>
          </w:p>
        </w:tc>
      </w:tr>
      <w:tr w:rsidRPr="00263349" w:rsidR="00C641E5" w:rsidTr="00F60915" w14:paraId="2C75001A" w14:textId="77777777">
        <w:tc>
          <w:tcPr>
            <w:tcW w:w="2875" w:type="dxa"/>
            <w:vAlign w:val="bottom"/>
          </w:tcPr>
          <w:p w:rsidRPr="00511954" w:rsidR="00C641E5" w:rsidP="00F60915" w:rsidRDefault="00C641E5" w14:paraId="5419E2BB" w14:textId="77777777">
            <w:pPr>
              <w:pStyle w:val="BodyText"/>
              <w:spacing w:after="40"/>
              <w:rPr>
                <w:rFonts w:ascii="Palatino Linotype" w:hAnsi="Palatino Linotype" w:cs="TimesNewRoman"/>
                <w:b w:val="0"/>
                <w:sz w:val="24"/>
                <w:szCs w:val="24"/>
              </w:rPr>
            </w:pPr>
            <w:r w:rsidRPr="00511954">
              <w:rPr>
                <w:rFonts w:ascii="Palatino Linotype" w:hAnsi="Palatino Linotype" w:cs="TimesNewRoman"/>
                <w:b w:val="0"/>
                <w:sz w:val="24"/>
                <w:szCs w:val="24"/>
              </w:rPr>
              <w:t xml:space="preserve">SCE </w:t>
            </w:r>
          </w:p>
        </w:tc>
        <w:tc>
          <w:tcPr>
            <w:tcW w:w="1620" w:type="dxa"/>
            <w:vAlign w:val="bottom"/>
          </w:tcPr>
          <w:p w:rsidRPr="00263349" w:rsidR="00C641E5" w:rsidP="00F60915" w:rsidRDefault="000E5FFE" w14:paraId="001C0850" w14:textId="74F9320A">
            <w:pPr>
              <w:pStyle w:val="BodyText"/>
              <w:spacing w:after="40"/>
              <w:jc w:val="right"/>
              <w:rPr>
                <w:rFonts w:ascii="Palatino Linotype" w:hAnsi="Palatino Linotype" w:cs="TimesNewRoman"/>
                <w:b w:val="0"/>
                <w:sz w:val="24"/>
                <w:szCs w:val="24"/>
              </w:rPr>
            </w:pPr>
            <w:r>
              <w:rPr>
                <w:rFonts w:ascii="Palatino Linotype" w:hAnsi="Palatino Linotype" w:cs="TimesNewRoman"/>
                <w:b w:val="0"/>
                <w:sz w:val="24"/>
                <w:szCs w:val="24"/>
              </w:rPr>
              <w:t>856,520</w:t>
            </w:r>
          </w:p>
        </w:tc>
        <w:tc>
          <w:tcPr>
            <w:tcW w:w="2129" w:type="dxa"/>
            <w:vAlign w:val="bottom"/>
          </w:tcPr>
          <w:p w:rsidRPr="00263349" w:rsidR="00C641E5" w:rsidP="00F60915" w:rsidRDefault="002C1F00" w14:paraId="4E779983" w14:textId="5E4FBB85">
            <w:pPr>
              <w:pStyle w:val="BodyText"/>
              <w:spacing w:after="40"/>
              <w:jc w:val="right"/>
              <w:rPr>
                <w:rFonts w:ascii="Palatino Linotype" w:hAnsi="Palatino Linotype" w:cs="TimesNewRoman"/>
                <w:b w:val="0"/>
                <w:sz w:val="24"/>
                <w:szCs w:val="24"/>
              </w:rPr>
            </w:pPr>
            <w:r>
              <w:rPr>
                <w:rFonts w:ascii="Palatino Linotype" w:hAnsi="Palatino Linotype" w:cs="TimesNewRoman"/>
                <w:b w:val="0"/>
                <w:sz w:val="24"/>
                <w:szCs w:val="24"/>
              </w:rPr>
              <w:t>81.25</w:t>
            </w:r>
            <w:r w:rsidRPr="00263349" w:rsidR="00DF00F5">
              <w:rPr>
                <w:rFonts w:ascii="Palatino Linotype" w:hAnsi="Palatino Linotype" w:cs="TimesNewRoman"/>
                <w:b w:val="0"/>
                <w:sz w:val="24"/>
                <w:szCs w:val="24"/>
              </w:rPr>
              <w:t>%</w:t>
            </w:r>
          </w:p>
        </w:tc>
        <w:tc>
          <w:tcPr>
            <w:tcW w:w="1363" w:type="dxa"/>
            <w:vAlign w:val="bottom"/>
          </w:tcPr>
          <w:p w:rsidRPr="00263349" w:rsidR="00C641E5" w:rsidP="00F60915" w:rsidRDefault="002C1F00" w14:paraId="5D491620" w14:textId="0153F9BB">
            <w:pPr>
              <w:pStyle w:val="BodyText"/>
              <w:spacing w:after="40"/>
              <w:jc w:val="right"/>
              <w:rPr>
                <w:rFonts w:ascii="Palatino Linotype" w:hAnsi="Palatino Linotype" w:cs="TimesNewRoman"/>
                <w:b w:val="0"/>
                <w:sz w:val="24"/>
                <w:szCs w:val="24"/>
              </w:rPr>
            </w:pPr>
            <w:r>
              <w:rPr>
                <w:rFonts w:ascii="Palatino Linotype" w:hAnsi="Palatino Linotype" w:cs="TimesNewRoman"/>
                <w:b w:val="0"/>
                <w:sz w:val="24"/>
                <w:szCs w:val="24"/>
              </w:rPr>
              <w:t>56.</w:t>
            </w:r>
            <w:r w:rsidR="002F40D7">
              <w:rPr>
                <w:rFonts w:ascii="Palatino Linotype" w:hAnsi="Palatino Linotype" w:cs="TimesNewRoman"/>
                <w:b w:val="0"/>
                <w:sz w:val="24"/>
                <w:szCs w:val="24"/>
              </w:rPr>
              <w:t>50</w:t>
            </w:r>
            <w:r w:rsidRPr="00263349" w:rsidR="00AA026C">
              <w:rPr>
                <w:rFonts w:ascii="Palatino Linotype" w:hAnsi="Palatino Linotype" w:cs="TimesNewRoman"/>
                <w:b w:val="0"/>
                <w:sz w:val="24"/>
                <w:szCs w:val="24"/>
              </w:rPr>
              <w:t>*</w:t>
            </w:r>
          </w:p>
        </w:tc>
        <w:tc>
          <w:tcPr>
            <w:tcW w:w="1363" w:type="dxa"/>
            <w:vAlign w:val="bottom"/>
          </w:tcPr>
          <w:p w:rsidRPr="00263349" w:rsidR="00C641E5" w:rsidP="00F60915" w:rsidRDefault="002C1F00" w14:paraId="57E2A230" w14:textId="56C76E1B">
            <w:pPr>
              <w:pStyle w:val="BodyText"/>
              <w:spacing w:after="40"/>
              <w:jc w:val="right"/>
              <w:rPr>
                <w:rFonts w:ascii="Palatino Linotype" w:hAnsi="Palatino Linotype" w:cs="TimesNewRoman"/>
                <w:b w:val="0"/>
                <w:sz w:val="24"/>
                <w:szCs w:val="24"/>
              </w:rPr>
            </w:pPr>
            <w:r>
              <w:rPr>
                <w:rFonts w:ascii="Palatino Linotype" w:hAnsi="Palatino Linotype" w:cs="TimesNewRoman"/>
                <w:b w:val="0"/>
                <w:sz w:val="24"/>
                <w:szCs w:val="24"/>
              </w:rPr>
              <w:t>14.63</w:t>
            </w:r>
          </w:p>
        </w:tc>
      </w:tr>
      <w:tr w:rsidRPr="00263349" w:rsidR="00C641E5" w:rsidTr="00F60915" w14:paraId="4E71B358" w14:textId="77777777">
        <w:tc>
          <w:tcPr>
            <w:tcW w:w="2875" w:type="dxa"/>
            <w:vAlign w:val="bottom"/>
          </w:tcPr>
          <w:p w:rsidRPr="00511954" w:rsidR="00C641E5" w:rsidP="00F60915" w:rsidRDefault="00C641E5" w14:paraId="1F91B82B" w14:textId="77777777">
            <w:pPr>
              <w:pStyle w:val="BodyText"/>
              <w:spacing w:after="40"/>
              <w:rPr>
                <w:rFonts w:ascii="Palatino Linotype" w:hAnsi="Palatino Linotype" w:cs="TimesNewRoman"/>
                <w:b w:val="0"/>
                <w:sz w:val="24"/>
                <w:szCs w:val="24"/>
              </w:rPr>
            </w:pPr>
            <w:r w:rsidRPr="00511954">
              <w:rPr>
                <w:rFonts w:ascii="Palatino Linotype" w:hAnsi="Palatino Linotype" w:cs="TimesNewRoman"/>
                <w:b w:val="0"/>
                <w:sz w:val="24"/>
                <w:szCs w:val="24"/>
              </w:rPr>
              <w:t>Apple Valley Choice Energy</w:t>
            </w:r>
          </w:p>
        </w:tc>
        <w:tc>
          <w:tcPr>
            <w:tcW w:w="1620" w:type="dxa"/>
            <w:vAlign w:val="bottom"/>
          </w:tcPr>
          <w:p w:rsidRPr="00263349" w:rsidR="00C641E5" w:rsidP="00F60915" w:rsidRDefault="000E5FFE" w14:paraId="3453117A" w14:textId="1701A292">
            <w:pPr>
              <w:pStyle w:val="BodyText"/>
              <w:spacing w:after="40"/>
              <w:jc w:val="right"/>
              <w:rPr>
                <w:rFonts w:ascii="Palatino Linotype" w:hAnsi="Palatino Linotype" w:cs="TimesNewRoman"/>
                <w:b w:val="0"/>
                <w:sz w:val="24"/>
                <w:szCs w:val="24"/>
              </w:rPr>
            </w:pPr>
            <w:r>
              <w:rPr>
                <w:rFonts w:ascii="Palatino Linotype" w:hAnsi="Palatino Linotype" w:cs="TimesNewRoman"/>
                <w:b w:val="0"/>
                <w:sz w:val="24"/>
                <w:szCs w:val="24"/>
              </w:rPr>
              <w:t>2</w:t>
            </w:r>
          </w:p>
        </w:tc>
        <w:tc>
          <w:tcPr>
            <w:tcW w:w="2129" w:type="dxa"/>
            <w:vAlign w:val="bottom"/>
          </w:tcPr>
          <w:p w:rsidRPr="00263349" w:rsidR="00C641E5" w:rsidP="00F60915" w:rsidRDefault="00C641E5" w14:paraId="71D25693" w14:textId="77777777">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0.00%</w:t>
            </w:r>
          </w:p>
        </w:tc>
        <w:tc>
          <w:tcPr>
            <w:tcW w:w="1363" w:type="dxa"/>
            <w:vAlign w:val="bottom"/>
          </w:tcPr>
          <w:p w:rsidRPr="00263349" w:rsidR="00C641E5" w:rsidP="00F60915" w:rsidRDefault="00551A9F" w14:paraId="2D503CC4" w14:textId="5688FBE9">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w:t>
            </w:r>
            <w:r w:rsidR="002C1F00">
              <w:rPr>
                <w:rFonts w:ascii="Palatino Linotype" w:hAnsi="Palatino Linotype" w:cs="TimesNewRoman"/>
                <w:b w:val="0"/>
                <w:sz w:val="24"/>
                <w:szCs w:val="24"/>
              </w:rPr>
              <w:t>.00</w:t>
            </w:r>
          </w:p>
        </w:tc>
        <w:tc>
          <w:tcPr>
            <w:tcW w:w="1363" w:type="dxa"/>
            <w:vAlign w:val="bottom"/>
          </w:tcPr>
          <w:p w:rsidRPr="00263349" w:rsidR="00C641E5" w:rsidP="00F60915" w:rsidRDefault="00551A9F" w14:paraId="7A37EC50" w14:textId="1893AF51">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w:t>
            </w:r>
            <w:r w:rsidR="002C1F00">
              <w:rPr>
                <w:rFonts w:ascii="Palatino Linotype" w:hAnsi="Palatino Linotype" w:cs="TimesNewRoman"/>
                <w:b w:val="0"/>
                <w:sz w:val="24"/>
                <w:szCs w:val="24"/>
              </w:rPr>
              <w:t>.00</w:t>
            </w:r>
          </w:p>
        </w:tc>
      </w:tr>
      <w:tr w:rsidRPr="00263349" w:rsidR="00C641E5" w:rsidTr="00F60915" w14:paraId="36FAB417" w14:textId="77777777">
        <w:tc>
          <w:tcPr>
            <w:tcW w:w="2875" w:type="dxa"/>
            <w:vAlign w:val="bottom"/>
          </w:tcPr>
          <w:p w:rsidRPr="00511954" w:rsidR="00C641E5" w:rsidP="00F60915" w:rsidRDefault="00C641E5" w14:paraId="7AFA2197" w14:textId="34C6751C">
            <w:pPr>
              <w:pStyle w:val="BodyText"/>
              <w:spacing w:after="40"/>
              <w:rPr>
                <w:rFonts w:ascii="Palatino Linotype" w:hAnsi="Palatino Linotype" w:cs="TimesNewRoman"/>
                <w:b w:val="0"/>
                <w:sz w:val="24"/>
                <w:szCs w:val="24"/>
              </w:rPr>
            </w:pPr>
            <w:r w:rsidRPr="00511954">
              <w:rPr>
                <w:rFonts w:ascii="Palatino Linotype" w:hAnsi="Palatino Linotype" w:cs="TimesNewRoman"/>
                <w:b w:val="0"/>
                <w:sz w:val="24"/>
                <w:szCs w:val="24"/>
              </w:rPr>
              <w:t>Clean Power Alliance</w:t>
            </w:r>
          </w:p>
        </w:tc>
        <w:tc>
          <w:tcPr>
            <w:tcW w:w="1620" w:type="dxa"/>
            <w:vAlign w:val="bottom"/>
          </w:tcPr>
          <w:p w:rsidRPr="00263349" w:rsidR="00C641E5" w:rsidP="00F60915" w:rsidRDefault="000E5FFE" w14:paraId="68E789E6" w14:textId="0FD49FC2">
            <w:pPr>
              <w:pStyle w:val="BodyText"/>
              <w:spacing w:after="40"/>
              <w:jc w:val="right"/>
              <w:rPr>
                <w:rFonts w:ascii="Palatino Linotype" w:hAnsi="Palatino Linotype" w:cs="TimesNewRoman"/>
                <w:b w:val="0"/>
                <w:sz w:val="24"/>
                <w:szCs w:val="24"/>
              </w:rPr>
            </w:pPr>
            <w:r>
              <w:rPr>
                <w:rFonts w:ascii="Palatino Linotype" w:hAnsi="Palatino Linotype" w:cs="TimesNewRoman"/>
                <w:b w:val="0"/>
                <w:sz w:val="24"/>
                <w:szCs w:val="24"/>
              </w:rPr>
              <w:t>183,594</w:t>
            </w:r>
          </w:p>
        </w:tc>
        <w:tc>
          <w:tcPr>
            <w:tcW w:w="2129" w:type="dxa"/>
            <w:vAlign w:val="bottom"/>
          </w:tcPr>
          <w:p w:rsidRPr="00263349" w:rsidR="00C641E5" w:rsidP="00F60915" w:rsidRDefault="002C1F00" w14:paraId="15A23A10" w14:textId="3BD7E743">
            <w:pPr>
              <w:pStyle w:val="BodyText"/>
              <w:spacing w:after="40"/>
              <w:jc w:val="right"/>
              <w:rPr>
                <w:rFonts w:ascii="Palatino Linotype" w:hAnsi="Palatino Linotype" w:cs="TimesNewRoman"/>
                <w:b w:val="0"/>
                <w:sz w:val="24"/>
                <w:szCs w:val="24"/>
              </w:rPr>
            </w:pPr>
            <w:r>
              <w:rPr>
                <w:rFonts w:ascii="Palatino Linotype" w:hAnsi="Palatino Linotype" w:cs="TimesNewRoman"/>
                <w:b w:val="0"/>
                <w:sz w:val="24"/>
                <w:szCs w:val="24"/>
              </w:rPr>
              <w:t>17.42</w:t>
            </w:r>
            <w:r w:rsidRPr="00263349" w:rsidR="00DF00F5">
              <w:rPr>
                <w:rFonts w:ascii="Palatino Linotype" w:hAnsi="Palatino Linotype" w:cs="TimesNewRoman"/>
                <w:b w:val="0"/>
                <w:sz w:val="24"/>
                <w:szCs w:val="24"/>
              </w:rPr>
              <w:t>%</w:t>
            </w:r>
          </w:p>
        </w:tc>
        <w:tc>
          <w:tcPr>
            <w:tcW w:w="1363" w:type="dxa"/>
            <w:vAlign w:val="bottom"/>
          </w:tcPr>
          <w:p w:rsidRPr="00263349" w:rsidR="00C641E5" w:rsidP="00F60915" w:rsidRDefault="002C1F00" w14:paraId="0B9A34CF" w14:textId="12F5AD44">
            <w:pPr>
              <w:pStyle w:val="BodyText"/>
              <w:spacing w:after="40"/>
              <w:jc w:val="right"/>
              <w:rPr>
                <w:rFonts w:ascii="Palatino Linotype" w:hAnsi="Palatino Linotype" w:cs="TimesNewRoman"/>
                <w:b w:val="0"/>
                <w:sz w:val="24"/>
                <w:szCs w:val="24"/>
              </w:rPr>
            </w:pPr>
            <w:r>
              <w:rPr>
                <w:rFonts w:ascii="Palatino Linotype" w:hAnsi="Palatino Linotype" w:cs="TimesNewRoman"/>
                <w:b w:val="0"/>
                <w:sz w:val="24"/>
                <w:szCs w:val="24"/>
              </w:rPr>
              <w:t>12.19</w:t>
            </w:r>
          </w:p>
        </w:tc>
        <w:tc>
          <w:tcPr>
            <w:tcW w:w="1363" w:type="dxa"/>
            <w:vAlign w:val="bottom"/>
          </w:tcPr>
          <w:p w:rsidRPr="00263349" w:rsidR="00C641E5" w:rsidP="00F60915" w:rsidRDefault="002C1F00" w14:paraId="35E89722" w14:textId="2D33A2E3">
            <w:pPr>
              <w:pStyle w:val="BodyText"/>
              <w:spacing w:after="40"/>
              <w:jc w:val="right"/>
              <w:rPr>
                <w:rFonts w:ascii="Palatino Linotype" w:hAnsi="Palatino Linotype" w:cs="TimesNewRoman"/>
                <w:b w:val="0"/>
                <w:sz w:val="24"/>
                <w:szCs w:val="24"/>
              </w:rPr>
            </w:pPr>
            <w:r>
              <w:rPr>
                <w:rFonts w:ascii="Palatino Linotype" w:hAnsi="Palatino Linotype" w:cs="TimesNewRoman"/>
                <w:b w:val="0"/>
                <w:sz w:val="24"/>
                <w:szCs w:val="24"/>
              </w:rPr>
              <w:t>3.1</w:t>
            </w:r>
            <w:r w:rsidR="00F3305F">
              <w:rPr>
                <w:rFonts w:ascii="Palatino Linotype" w:hAnsi="Palatino Linotype" w:cs="TimesNewRoman"/>
                <w:b w:val="0"/>
                <w:sz w:val="24"/>
                <w:szCs w:val="24"/>
              </w:rPr>
              <w:t>3</w:t>
            </w:r>
          </w:p>
        </w:tc>
      </w:tr>
      <w:tr w:rsidRPr="00263349" w:rsidR="00C641E5" w:rsidTr="00F60915" w14:paraId="67566E49" w14:textId="77777777">
        <w:tc>
          <w:tcPr>
            <w:tcW w:w="2875" w:type="dxa"/>
            <w:vAlign w:val="bottom"/>
          </w:tcPr>
          <w:p w:rsidRPr="00511954" w:rsidR="00C641E5" w:rsidP="00F60915" w:rsidRDefault="00C641E5" w14:paraId="4ADBADCC" w14:textId="77777777">
            <w:pPr>
              <w:pStyle w:val="BodyText"/>
              <w:spacing w:after="40"/>
              <w:rPr>
                <w:rFonts w:ascii="Palatino Linotype" w:hAnsi="Palatino Linotype" w:cs="TimesNewRoman"/>
                <w:b w:val="0"/>
                <w:sz w:val="24"/>
                <w:szCs w:val="24"/>
              </w:rPr>
            </w:pPr>
            <w:r w:rsidRPr="00511954">
              <w:rPr>
                <w:rFonts w:ascii="Palatino Linotype" w:hAnsi="Palatino Linotype" w:cs="TimesNewRoman"/>
                <w:b w:val="0"/>
                <w:sz w:val="24"/>
                <w:szCs w:val="24"/>
              </w:rPr>
              <w:t>Lancaster Choice Energy</w:t>
            </w:r>
          </w:p>
        </w:tc>
        <w:tc>
          <w:tcPr>
            <w:tcW w:w="1620" w:type="dxa"/>
            <w:vAlign w:val="bottom"/>
          </w:tcPr>
          <w:p w:rsidRPr="00263349" w:rsidR="00C641E5" w:rsidP="00F60915" w:rsidRDefault="00C641E5" w14:paraId="68A743F9" w14:textId="6B0198E9">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72</w:t>
            </w:r>
            <w:r w:rsidR="000E5FFE">
              <w:rPr>
                <w:rFonts w:ascii="Palatino Linotype" w:hAnsi="Palatino Linotype" w:cs="TimesNewRoman"/>
                <w:b w:val="0"/>
                <w:sz w:val="24"/>
                <w:szCs w:val="24"/>
              </w:rPr>
              <w:t>4</w:t>
            </w:r>
          </w:p>
        </w:tc>
        <w:tc>
          <w:tcPr>
            <w:tcW w:w="2129" w:type="dxa"/>
            <w:vAlign w:val="bottom"/>
          </w:tcPr>
          <w:p w:rsidRPr="00263349" w:rsidR="00C641E5" w:rsidP="00F60915" w:rsidRDefault="00DF00F5" w14:paraId="73E791A1" w14:textId="77777777">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0.07%</w:t>
            </w:r>
          </w:p>
        </w:tc>
        <w:tc>
          <w:tcPr>
            <w:tcW w:w="1363" w:type="dxa"/>
            <w:vAlign w:val="bottom"/>
          </w:tcPr>
          <w:p w:rsidRPr="00263349" w:rsidR="00C641E5" w:rsidP="00F60915" w:rsidRDefault="00551A9F" w14:paraId="15CAB617" w14:textId="70789D89">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w:t>
            </w:r>
            <w:r w:rsidRPr="00263349" w:rsidR="00912F4E">
              <w:rPr>
                <w:rFonts w:ascii="Palatino Linotype" w:hAnsi="Palatino Linotype" w:cs="TimesNewRoman"/>
                <w:b w:val="0"/>
                <w:sz w:val="24"/>
                <w:szCs w:val="24"/>
              </w:rPr>
              <w:t>.0</w:t>
            </w:r>
            <w:r w:rsidR="00A72D61">
              <w:rPr>
                <w:rFonts w:ascii="Palatino Linotype" w:hAnsi="Palatino Linotype" w:cs="TimesNewRoman"/>
                <w:b w:val="0"/>
                <w:sz w:val="24"/>
                <w:szCs w:val="24"/>
              </w:rPr>
              <w:t>5</w:t>
            </w:r>
            <w:r w:rsidRPr="00263349" w:rsidR="00912F4E">
              <w:rPr>
                <w:rFonts w:ascii="Palatino Linotype" w:hAnsi="Palatino Linotype" w:cs="TimesNewRoman"/>
                <w:b w:val="0"/>
                <w:sz w:val="24"/>
                <w:szCs w:val="24"/>
              </w:rPr>
              <w:t>**</w:t>
            </w:r>
          </w:p>
        </w:tc>
        <w:tc>
          <w:tcPr>
            <w:tcW w:w="1363" w:type="dxa"/>
            <w:vAlign w:val="bottom"/>
          </w:tcPr>
          <w:p w:rsidRPr="00263349" w:rsidR="00C641E5" w:rsidP="00F60915" w:rsidRDefault="00551A9F" w14:paraId="1CB859B6" w14:textId="77777777">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w:t>
            </w:r>
            <w:r w:rsidRPr="00263349" w:rsidR="00AE0332">
              <w:rPr>
                <w:rFonts w:ascii="Palatino Linotype" w:hAnsi="Palatino Linotype" w:cs="TimesNewRoman"/>
                <w:b w:val="0"/>
                <w:sz w:val="24"/>
                <w:szCs w:val="24"/>
              </w:rPr>
              <w:t>.01</w:t>
            </w:r>
          </w:p>
        </w:tc>
      </w:tr>
      <w:tr w:rsidRPr="00263349" w:rsidR="00C641E5" w:rsidTr="00F60915" w14:paraId="3AD02EB9" w14:textId="77777777">
        <w:tc>
          <w:tcPr>
            <w:tcW w:w="2875" w:type="dxa"/>
            <w:vAlign w:val="bottom"/>
          </w:tcPr>
          <w:p w:rsidRPr="00511954" w:rsidR="00C641E5" w:rsidP="00F60915" w:rsidRDefault="00C641E5" w14:paraId="79D1D82F" w14:textId="77777777">
            <w:pPr>
              <w:pStyle w:val="BodyText"/>
              <w:spacing w:after="40"/>
              <w:rPr>
                <w:rFonts w:ascii="Palatino Linotype" w:hAnsi="Palatino Linotype" w:cs="TimesNewRoman"/>
                <w:b w:val="0"/>
                <w:sz w:val="24"/>
                <w:szCs w:val="24"/>
              </w:rPr>
            </w:pPr>
            <w:r w:rsidRPr="00511954">
              <w:rPr>
                <w:rFonts w:ascii="Palatino Linotype" w:hAnsi="Palatino Linotype" w:cs="TimesNewRoman"/>
                <w:b w:val="0"/>
                <w:sz w:val="24"/>
                <w:szCs w:val="24"/>
              </w:rPr>
              <w:t>Pico Rivera Prime</w:t>
            </w:r>
          </w:p>
        </w:tc>
        <w:tc>
          <w:tcPr>
            <w:tcW w:w="1620" w:type="dxa"/>
            <w:vAlign w:val="bottom"/>
          </w:tcPr>
          <w:p w:rsidRPr="00263349" w:rsidR="00C641E5" w:rsidP="00F60915" w:rsidRDefault="00C641E5" w14:paraId="025F71F9" w14:textId="37540EC4">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11,4</w:t>
            </w:r>
            <w:r w:rsidR="000E5FFE">
              <w:rPr>
                <w:rFonts w:ascii="Palatino Linotype" w:hAnsi="Palatino Linotype" w:cs="TimesNewRoman"/>
                <w:b w:val="0"/>
                <w:sz w:val="24"/>
                <w:szCs w:val="24"/>
              </w:rPr>
              <w:t>52</w:t>
            </w:r>
          </w:p>
        </w:tc>
        <w:tc>
          <w:tcPr>
            <w:tcW w:w="2129" w:type="dxa"/>
            <w:vAlign w:val="bottom"/>
          </w:tcPr>
          <w:p w:rsidRPr="00263349" w:rsidR="00C641E5" w:rsidP="00F60915" w:rsidRDefault="00DF00F5" w14:paraId="22A40A57" w14:textId="77777777">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1.09%</w:t>
            </w:r>
          </w:p>
        </w:tc>
        <w:tc>
          <w:tcPr>
            <w:tcW w:w="1363" w:type="dxa"/>
            <w:vAlign w:val="bottom"/>
          </w:tcPr>
          <w:p w:rsidRPr="00263349" w:rsidR="00C641E5" w:rsidP="00F60915" w:rsidRDefault="00551A9F" w14:paraId="0A2D7DE2" w14:textId="5E0B5F9D">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w:t>
            </w:r>
            <w:r w:rsidRPr="00263349" w:rsidR="00912F4E">
              <w:rPr>
                <w:rFonts w:ascii="Palatino Linotype" w:hAnsi="Palatino Linotype" w:cs="TimesNewRoman"/>
                <w:b w:val="0"/>
                <w:sz w:val="24"/>
                <w:szCs w:val="24"/>
              </w:rPr>
              <w:t>76</w:t>
            </w:r>
          </w:p>
        </w:tc>
        <w:tc>
          <w:tcPr>
            <w:tcW w:w="1363" w:type="dxa"/>
            <w:vAlign w:val="bottom"/>
          </w:tcPr>
          <w:p w:rsidRPr="00263349" w:rsidR="00C641E5" w:rsidP="00F60915" w:rsidRDefault="00551A9F" w14:paraId="0E42FC27" w14:textId="77777777">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0.2</w:t>
            </w:r>
            <w:r w:rsidRPr="00263349" w:rsidR="00AE0332">
              <w:rPr>
                <w:rFonts w:ascii="Palatino Linotype" w:hAnsi="Palatino Linotype" w:cs="TimesNewRoman"/>
                <w:b w:val="0"/>
                <w:sz w:val="24"/>
                <w:szCs w:val="24"/>
              </w:rPr>
              <w:t>0</w:t>
            </w:r>
          </w:p>
        </w:tc>
      </w:tr>
      <w:tr w:rsidRPr="00263349" w:rsidR="00C641E5" w:rsidTr="00F60915" w14:paraId="570B96EE" w14:textId="77777777">
        <w:tc>
          <w:tcPr>
            <w:tcW w:w="2875" w:type="dxa"/>
            <w:vAlign w:val="bottom"/>
          </w:tcPr>
          <w:p w:rsidRPr="00511954" w:rsidR="00C641E5" w:rsidP="00F60915" w:rsidRDefault="00C641E5" w14:paraId="5F9D3EC7" w14:textId="77777777">
            <w:pPr>
              <w:pStyle w:val="BodyText"/>
              <w:spacing w:after="40"/>
              <w:rPr>
                <w:rFonts w:ascii="Palatino Linotype" w:hAnsi="Palatino Linotype" w:cs="TimesNewRoman"/>
                <w:b w:val="0"/>
                <w:sz w:val="24"/>
                <w:szCs w:val="24"/>
              </w:rPr>
            </w:pPr>
            <w:r w:rsidRPr="00511954">
              <w:rPr>
                <w:rFonts w:ascii="Palatino Linotype" w:hAnsi="Palatino Linotype" w:cs="TimesNewRoman"/>
                <w:b w:val="0"/>
                <w:sz w:val="24"/>
                <w:szCs w:val="24"/>
              </w:rPr>
              <w:t>San Jacinto Power</w:t>
            </w:r>
          </w:p>
        </w:tc>
        <w:tc>
          <w:tcPr>
            <w:tcW w:w="1620" w:type="dxa"/>
            <w:vAlign w:val="bottom"/>
          </w:tcPr>
          <w:p w:rsidRPr="00263349" w:rsidR="00C641E5" w:rsidP="00F60915" w:rsidRDefault="00C641E5" w14:paraId="2E7E54C0" w14:textId="2EC7533D">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1,85</w:t>
            </w:r>
            <w:r w:rsidR="000E5FFE">
              <w:rPr>
                <w:rFonts w:ascii="Palatino Linotype" w:hAnsi="Palatino Linotype" w:cs="TimesNewRoman"/>
                <w:b w:val="0"/>
                <w:sz w:val="24"/>
                <w:szCs w:val="24"/>
              </w:rPr>
              <w:t>4</w:t>
            </w:r>
          </w:p>
        </w:tc>
        <w:tc>
          <w:tcPr>
            <w:tcW w:w="2129" w:type="dxa"/>
            <w:vAlign w:val="bottom"/>
          </w:tcPr>
          <w:p w:rsidRPr="00263349" w:rsidR="00C641E5" w:rsidP="00F60915" w:rsidRDefault="00DF00F5" w14:paraId="3F861846" w14:textId="77777777">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0.18%</w:t>
            </w:r>
          </w:p>
        </w:tc>
        <w:tc>
          <w:tcPr>
            <w:tcW w:w="1363" w:type="dxa"/>
            <w:vAlign w:val="bottom"/>
          </w:tcPr>
          <w:p w:rsidRPr="00263349" w:rsidR="00C641E5" w:rsidP="00F60915" w:rsidRDefault="00551A9F" w14:paraId="165E1D0F" w14:textId="77777777">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w:t>
            </w:r>
            <w:r w:rsidRPr="00263349" w:rsidR="00F80CDE">
              <w:rPr>
                <w:rFonts w:ascii="Palatino Linotype" w:hAnsi="Palatino Linotype" w:cs="TimesNewRoman"/>
                <w:b w:val="0"/>
                <w:sz w:val="24"/>
                <w:szCs w:val="24"/>
              </w:rPr>
              <w:t>5</w:t>
            </w:r>
            <w:r w:rsidRPr="00263349" w:rsidR="00AA026C">
              <w:rPr>
                <w:rFonts w:ascii="Palatino Linotype" w:hAnsi="Palatino Linotype" w:cs="TimesNewRoman"/>
                <w:b w:val="0"/>
                <w:sz w:val="24"/>
                <w:szCs w:val="24"/>
              </w:rPr>
              <w:t>*</w:t>
            </w:r>
          </w:p>
        </w:tc>
        <w:tc>
          <w:tcPr>
            <w:tcW w:w="1363" w:type="dxa"/>
            <w:vAlign w:val="bottom"/>
          </w:tcPr>
          <w:p w:rsidRPr="00263349" w:rsidR="00C641E5" w:rsidP="00F60915" w:rsidRDefault="00551A9F" w14:paraId="338D83F2" w14:textId="77777777">
            <w:pPr>
              <w:pStyle w:val="BodyText"/>
              <w:spacing w:after="40"/>
              <w:jc w:val="right"/>
              <w:rPr>
                <w:rFonts w:ascii="Palatino Linotype" w:hAnsi="Palatino Linotype" w:cs="TimesNewRoman"/>
                <w:b w:val="0"/>
                <w:sz w:val="24"/>
                <w:szCs w:val="24"/>
              </w:rPr>
            </w:pPr>
            <w:r w:rsidRPr="00263349">
              <w:rPr>
                <w:rFonts w:ascii="Palatino Linotype" w:hAnsi="Palatino Linotype" w:cs="TimesNewRoman"/>
                <w:b w:val="0"/>
                <w:sz w:val="24"/>
                <w:szCs w:val="24"/>
              </w:rPr>
              <w:t>0.0</w:t>
            </w:r>
            <w:r w:rsidRPr="00263349" w:rsidR="00743D39">
              <w:rPr>
                <w:rFonts w:ascii="Palatino Linotype" w:hAnsi="Palatino Linotype" w:cs="TimesNewRoman"/>
                <w:b w:val="0"/>
                <w:sz w:val="24"/>
                <w:szCs w:val="24"/>
              </w:rPr>
              <w:t>3</w:t>
            </w:r>
          </w:p>
        </w:tc>
      </w:tr>
      <w:tr w:rsidRPr="00263349" w:rsidR="00C641E5" w:rsidTr="00F60915" w14:paraId="0F958A1F" w14:textId="77777777">
        <w:tc>
          <w:tcPr>
            <w:tcW w:w="2875" w:type="dxa"/>
            <w:vAlign w:val="bottom"/>
          </w:tcPr>
          <w:p w:rsidRPr="00263349" w:rsidR="00C641E5" w:rsidP="00F60915" w:rsidRDefault="00C641E5" w14:paraId="72AA1541" w14:textId="77777777">
            <w:pPr>
              <w:pStyle w:val="BodyText"/>
              <w:spacing w:after="40"/>
              <w:rPr>
                <w:rFonts w:ascii="Palatino Linotype" w:hAnsi="Palatino Linotype" w:cs="TimesNewRoman"/>
                <w:sz w:val="24"/>
                <w:szCs w:val="24"/>
              </w:rPr>
            </w:pPr>
            <w:r w:rsidRPr="00511954">
              <w:rPr>
                <w:rFonts w:ascii="Palatino Linotype" w:hAnsi="Palatino Linotype" w:cs="TimesNewRoman"/>
                <w:sz w:val="24"/>
                <w:szCs w:val="24"/>
              </w:rPr>
              <w:t xml:space="preserve">Total PG&amp;E DAC Residential </w:t>
            </w:r>
            <w:r w:rsidRPr="00263349">
              <w:rPr>
                <w:rFonts w:ascii="Palatino Linotype" w:hAnsi="Palatino Linotype" w:cs="TimesNewRoman"/>
                <w:sz w:val="24"/>
                <w:szCs w:val="24"/>
              </w:rPr>
              <w:t>Customers</w:t>
            </w:r>
          </w:p>
        </w:tc>
        <w:tc>
          <w:tcPr>
            <w:tcW w:w="1620" w:type="dxa"/>
            <w:vAlign w:val="bottom"/>
          </w:tcPr>
          <w:p w:rsidRPr="00263349" w:rsidR="00C641E5" w:rsidP="00F60915" w:rsidRDefault="00C641E5" w14:paraId="01FE54EE" w14:textId="7618073E">
            <w:pPr>
              <w:pStyle w:val="BodyText"/>
              <w:spacing w:after="40"/>
              <w:jc w:val="right"/>
              <w:rPr>
                <w:rFonts w:ascii="Palatino Linotype" w:hAnsi="Palatino Linotype" w:cs="TimesNewRoman"/>
                <w:sz w:val="24"/>
                <w:szCs w:val="24"/>
              </w:rPr>
            </w:pPr>
            <w:r w:rsidRPr="00263349">
              <w:rPr>
                <w:rFonts w:ascii="Palatino Linotype" w:hAnsi="Palatino Linotype" w:cs="TimesNewRoman"/>
                <w:sz w:val="24"/>
                <w:szCs w:val="24"/>
              </w:rPr>
              <w:t>1,05</w:t>
            </w:r>
            <w:r w:rsidR="002C1F00">
              <w:rPr>
                <w:rFonts w:ascii="Palatino Linotype" w:hAnsi="Palatino Linotype" w:cs="TimesNewRoman"/>
                <w:sz w:val="24"/>
                <w:szCs w:val="24"/>
              </w:rPr>
              <w:t>4</w:t>
            </w:r>
            <w:r w:rsidRPr="00263349">
              <w:rPr>
                <w:rFonts w:ascii="Palatino Linotype" w:hAnsi="Palatino Linotype" w:cs="TimesNewRoman"/>
                <w:sz w:val="24"/>
                <w:szCs w:val="24"/>
              </w:rPr>
              <w:t>,</w:t>
            </w:r>
            <w:r w:rsidR="002C1F00">
              <w:rPr>
                <w:rFonts w:ascii="Palatino Linotype" w:hAnsi="Palatino Linotype" w:cs="TimesNewRoman"/>
                <w:sz w:val="24"/>
                <w:szCs w:val="24"/>
              </w:rPr>
              <w:t>146</w:t>
            </w:r>
          </w:p>
        </w:tc>
        <w:tc>
          <w:tcPr>
            <w:tcW w:w="2129" w:type="dxa"/>
            <w:vAlign w:val="bottom"/>
          </w:tcPr>
          <w:p w:rsidRPr="00263349" w:rsidR="00C641E5" w:rsidP="00F60915" w:rsidRDefault="00DF00F5" w14:paraId="150CDABF" w14:textId="77777777">
            <w:pPr>
              <w:pStyle w:val="BodyText"/>
              <w:spacing w:after="40"/>
              <w:jc w:val="right"/>
              <w:rPr>
                <w:rFonts w:ascii="Palatino Linotype" w:hAnsi="Palatino Linotype" w:cs="TimesNewRoman"/>
                <w:sz w:val="24"/>
                <w:szCs w:val="24"/>
              </w:rPr>
            </w:pPr>
            <w:r w:rsidRPr="00263349">
              <w:rPr>
                <w:rFonts w:ascii="Palatino Linotype" w:hAnsi="Palatino Linotype" w:cs="TimesNewRoman"/>
                <w:sz w:val="24"/>
                <w:szCs w:val="24"/>
              </w:rPr>
              <w:t>100%</w:t>
            </w:r>
          </w:p>
        </w:tc>
        <w:tc>
          <w:tcPr>
            <w:tcW w:w="1363" w:type="dxa"/>
            <w:vAlign w:val="bottom"/>
          </w:tcPr>
          <w:p w:rsidRPr="00263349" w:rsidR="00C641E5" w:rsidP="00F60915" w:rsidRDefault="00F80CDE" w14:paraId="29309247" w14:textId="77777777">
            <w:pPr>
              <w:pStyle w:val="BodyText"/>
              <w:spacing w:after="40"/>
              <w:jc w:val="right"/>
              <w:rPr>
                <w:rFonts w:ascii="Palatino Linotype" w:hAnsi="Palatino Linotype" w:cs="TimesNewRoman"/>
                <w:sz w:val="24"/>
                <w:szCs w:val="24"/>
              </w:rPr>
            </w:pPr>
            <w:r w:rsidRPr="00263349">
              <w:rPr>
                <w:rFonts w:ascii="Palatino Linotype" w:hAnsi="Palatino Linotype" w:cs="TimesNewRoman"/>
                <w:sz w:val="24"/>
                <w:szCs w:val="24"/>
              </w:rPr>
              <w:t>70</w:t>
            </w:r>
          </w:p>
        </w:tc>
        <w:tc>
          <w:tcPr>
            <w:tcW w:w="1363" w:type="dxa"/>
            <w:vAlign w:val="bottom"/>
          </w:tcPr>
          <w:p w:rsidRPr="00263349" w:rsidR="00C641E5" w:rsidP="00F60915" w:rsidRDefault="00F80CDE" w14:paraId="476883CF" w14:textId="77777777">
            <w:pPr>
              <w:pStyle w:val="BodyText"/>
              <w:spacing w:after="40"/>
              <w:jc w:val="right"/>
              <w:rPr>
                <w:rFonts w:ascii="Palatino Linotype" w:hAnsi="Palatino Linotype" w:cs="TimesNewRoman"/>
                <w:sz w:val="24"/>
                <w:szCs w:val="24"/>
              </w:rPr>
            </w:pPr>
            <w:r w:rsidRPr="00263349">
              <w:rPr>
                <w:rFonts w:ascii="Palatino Linotype" w:hAnsi="Palatino Linotype" w:cs="TimesNewRoman"/>
                <w:sz w:val="24"/>
                <w:szCs w:val="24"/>
              </w:rPr>
              <w:t>18</w:t>
            </w:r>
          </w:p>
        </w:tc>
      </w:tr>
      <w:tr w:rsidRPr="00263349" w:rsidR="00273ED3" w:rsidTr="008E0EA3" w14:paraId="1E725037" w14:textId="77777777">
        <w:tc>
          <w:tcPr>
            <w:tcW w:w="9350" w:type="dxa"/>
            <w:gridSpan w:val="5"/>
            <w:vAlign w:val="bottom"/>
          </w:tcPr>
          <w:p w:rsidRPr="002F40D7" w:rsidR="00912F4E" w:rsidP="00ED2308" w:rsidRDefault="00273ED3" w14:paraId="0D00334B" w14:textId="0FAC816C">
            <w:pPr>
              <w:pStyle w:val="BodyText"/>
              <w:contextualSpacing/>
              <w:rPr>
                <w:rFonts w:ascii="Palatino Linotype" w:hAnsi="Palatino Linotype" w:cs="TimesNewRoman"/>
                <w:b w:val="0"/>
                <w:sz w:val="24"/>
                <w:szCs w:val="24"/>
              </w:rPr>
            </w:pPr>
            <w:r w:rsidRPr="00263349">
              <w:rPr>
                <w:rFonts w:ascii="Palatino Linotype" w:hAnsi="Palatino Linotype" w:cs="TimesNewRoman"/>
                <w:b w:val="0"/>
                <w:sz w:val="24"/>
                <w:szCs w:val="24"/>
              </w:rPr>
              <w:t xml:space="preserve">*According to the percent of residential DAC customers that San Jacinto Power serves, it would be </w:t>
            </w:r>
            <w:r w:rsidRPr="002F40D7">
              <w:rPr>
                <w:rFonts w:ascii="Palatino Linotype" w:hAnsi="Palatino Linotype" w:cs="TimesNewRoman"/>
                <w:b w:val="0"/>
                <w:sz w:val="24"/>
                <w:szCs w:val="24"/>
              </w:rPr>
              <w:t>allocated 1</w:t>
            </w:r>
            <w:r w:rsidRPr="002F40D7" w:rsidR="00165F32">
              <w:rPr>
                <w:rFonts w:ascii="Palatino Linotype" w:hAnsi="Palatino Linotype" w:cs="TimesNewRoman"/>
                <w:b w:val="0"/>
                <w:sz w:val="24"/>
                <w:szCs w:val="24"/>
              </w:rPr>
              <w:t>2</w:t>
            </w:r>
            <w:r w:rsidRPr="002F40D7">
              <w:rPr>
                <w:rFonts w:ascii="Palatino Linotype" w:hAnsi="Palatino Linotype" w:cs="TimesNewRoman"/>
                <w:b w:val="0"/>
                <w:sz w:val="24"/>
                <w:szCs w:val="24"/>
              </w:rPr>
              <w:t>0 k</w:t>
            </w:r>
            <w:r w:rsidRPr="002F40D7" w:rsidR="00826DAB">
              <w:rPr>
                <w:rFonts w:ascii="Palatino Linotype" w:hAnsi="Palatino Linotype" w:cs="TimesNewRoman"/>
                <w:b w:val="0"/>
                <w:sz w:val="24"/>
                <w:szCs w:val="24"/>
              </w:rPr>
              <w:t>W</w:t>
            </w:r>
            <w:r w:rsidRPr="002F40D7">
              <w:rPr>
                <w:rFonts w:ascii="Palatino Linotype" w:hAnsi="Palatino Linotype" w:cs="TimesNewRoman"/>
                <w:b w:val="0"/>
                <w:sz w:val="24"/>
                <w:szCs w:val="24"/>
              </w:rPr>
              <w:t xml:space="preserve"> for DAC-GT. Since DAC-GT projects must be at least 500 k</w:t>
            </w:r>
            <w:r w:rsidRPr="002F40D7" w:rsidR="00826DAB">
              <w:rPr>
                <w:rFonts w:ascii="Palatino Linotype" w:hAnsi="Palatino Linotype" w:cs="TimesNewRoman"/>
                <w:b w:val="0"/>
                <w:sz w:val="24"/>
                <w:szCs w:val="24"/>
              </w:rPr>
              <w:t>W</w:t>
            </w:r>
            <w:r w:rsidRPr="002F40D7">
              <w:rPr>
                <w:rFonts w:ascii="Palatino Linotype" w:hAnsi="Palatino Linotype" w:cs="TimesNewRoman"/>
                <w:b w:val="0"/>
                <w:sz w:val="24"/>
                <w:szCs w:val="24"/>
              </w:rPr>
              <w:t xml:space="preserve">, </w:t>
            </w:r>
            <w:r w:rsidRPr="002F40D7" w:rsidR="00350421">
              <w:rPr>
                <w:rFonts w:ascii="Palatino Linotype" w:hAnsi="Palatino Linotype" w:cs="TimesNewRoman"/>
                <w:b w:val="0"/>
                <w:sz w:val="24"/>
                <w:szCs w:val="24"/>
              </w:rPr>
              <w:t>the Commission</w:t>
            </w:r>
            <w:r w:rsidRPr="002F40D7">
              <w:rPr>
                <w:rFonts w:ascii="Palatino Linotype" w:hAnsi="Palatino Linotype" w:cs="TimesNewRoman"/>
                <w:b w:val="0"/>
                <w:sz w:val="24"/>
                <w:szCs w:val="24"/>
              </w:rPr>
              <w:t xml:space="preserve"> increase</w:t>
            </w:r>
            <w:r w:rsidRPr="002F40D7" w:rsidR="00350421">
              <w:rPr>
                <w:rFonts w:ascii="Palatino Linotype" w:hAnsi="Palatino Linotype" w:cs="TimesNewRoman"/>
                <w:b w:val="0"/>
                <w:sz w:val="24"/>
                <w:szCs w:val="24"/>
              </w:rPr>
              <w:t>s</w:t>
            </w:r>
            <w:r w:rsidRPr="002F40D7">
              <w:rPr>
                <w:rFonts w:ascii="Palatino Linotype" w:hAnsi="Palatino Linotype" w:cs="TimesNewRoman"/>
                <w:b w:val="0"/>
                <w:sz w:val="24"/>
                <w:szCs w:val="24"/>
              </w:rPr>
              <w:t xml:space="preserve"> San Jacinto Power’s capacity allocation to that threshold and subtract</w:t>
            </w:r>
            <w:r w:rsidRPr="002F40D7" w:rsidR="00350421">
              <w:rPr>
                <w:rFonts w:ascii="Palatino Linotype" w:hAnsi="Palatino Linotype" w:cs="TimesNewRoman"/>
                <w:b w:val="0"/>
                <w:sz w:val="24"/>
                <w:szCs w:val="24"/>
              </w:rPr>
              <w:t>s</w:t>
            </w:r>
            <w:r w:rsidRPr="002F40D7">
              <w:rPr>
                <w:rFonts w:ascii="Palatino Linotype" w:hAnsi="Palatino Linotype" w:cs="TimesNewRoman"/>
                <w:b w:val="0"/>
                <w:sz w:val="24"/>
                <w:szCs w:val="24"/>
              </w:rPr>
              <w:t xml:space="preserve"> a total of 3</w:t>
            </w:r>
            <w:r w:rsidRPr="002F40D7" w:rsidR="002F40D7">
              <w:rPr>
                <w:rFonts w:ascii="Palatino Linotype" w:hAnsi="Palatino Linotype" w:cs="TimesNewRoman"/>
                <w:b w:val="0"/>
                <w:sz w:val="24"/>
                <w:szCs w:val="24"/>
              </w:rPr>
              <w:t>8</w:t>
            </w:r>
            <w:r w:rsidRPr="002F40D7">
              <w:rPr>
                <w:rFonts w:ascii="Palatino Linotype" w:hAnsi="Palatino Linotype" w:cs="TimesNewRoman"/>
                <w:b w:val="0"/>
                <w:sz w:val="24"/>
                <w:szCs w:val="24"/>
              </w:rPr>
              <w:t>0 k</w:t>
            </w:r>
            <w:r w:rsidRPr="002F40D7" w:rsidR="00826DAB">
              <w:rPr>
                <w:rFonts w:ascii="Palatino Linotype" w:hAnsi="Palatino Linotype" w:cs="TimesNewRoman"/>
                <w:b w:val="0"/>
                <w:sz w:val="24"/>
                <w:szCs w:val="24"/>
              </w:rPr>
              <w:t>W</w:t>
            </w:r>
            <w:r w:rsidRPr="002F40D7" w:rsidR="00350421">
              <w:rPr>
                <w:rFonts w:ascii="Palatino Linotype" w:hAnsi="Palatino Linotype" w:cs="TimesNewRoman"/>
                <w:b w:val="0"/>
                <w:sz w:val="24"/>
                <w:szCs w:val="24"/>
              </w:rPr>
              <w:t xml:space="preserve"> from </w:t>
            </w:r>
            <w:r w:rsidRPr="002F40D7" w:rsidR="00A81817">
              <w:rPr>
                <w:rFonts w:ascii="Palatino Linotype" w:hAnsi="Palatino Linotype" w:cs="TimesNewRoman"/>
                <w:b w:val="0"/>
                <w:sz w:val="24"/>
                <w:szCs w:val="24"/>
              </w:rPr>
              <w:t>SC</w:t>
            </w:r>
            <w:r w:rsidRPr="002F40D7" w:rsidR="00350421">
              <w:rPr>
                <w:rFonts w:ascii="Palatino Linotype" w:hAnsi="Palatino Linotype" w:cs="TimesNewRoman"/>
                <w:b w:val="0"/>
                <w:sz w:val="24"/>
                <w:szCs w:val="24"/>
              </w:rPr>
              <w:t>E’s allocation</w:t>
            </w:r>
            <w:r w:rsidRPr="002F40D7">
              <w:rPr>
                <w:rFonts w:ascii="Palatino Linotype" w:hAnsi="Palatino Linotype" w:cs="TimesNewRoman"/>
                <w:b w:val="0"/>
                <w:sz w:val="24"/>
                <w:szCs w:val="24"/>
              </w:rPr>
              <w:t>.</w:t>
            </w:r>
          </w:p>
          <w:p w:rsidRPr="00263349" w:rsidR="00273ED3" w:rsidP="00F60915" w:rsidRDefault="00912F4E" w14:paraId="1F80776D" w14:textId="7F3FCEA2">
            <w:pPr>
              <w:pStyle w:val="BodyText"/>
              <w:spacing w:after="40"/>
              <w:rPr>
                <w:rFonts w:ascii="Palatino Linotype" w:hAnsi="Palatino Linotype" w:cs="TimesNewRoman"/>
                <w:b w:val="0"/>
                <w:sz w:val="24"/>
                <w:szCs w:val="24"/>
              </w:rPr>
            </w:pPr>
            <w:r w:rsidRPr="002F40D7">
              <w:rPr>
                <w:rFonts w:ascii="Palatino Linotype" w:hAnsi="Palatino Linotype" w:cs="TimesNewRoman"/>
                <w:b w:val="0"/>
                <w:sz w:val="24"/>
                <w:szCs w:val="24"/>
              </w:rPr>
              <w:t>**</w:t>
            </w:r>
            <w:r w:rsidRPr="002F40D7" w:rsidR="00273ED3">
              <w:rPr>
                <w:rFonts w:ascii="Palatino Linotype" w:hAnsi="Palatino Linotype" w:cs="TimesNewRoman"/>
                <w:b w:val="0"/>
                <w:sz w:val="24"/>
                <w:szCs w:val="24"/>
              </w:rPr>
              <w:t xml:space="preserve"> </w:t>
            </w:r>
            <w:r w:rsidRPr="002F40D7">
              <w:rPr>
                <w:rFonts w:ascii="Palatino Linotype" w:hAnsi="Palatino Linotype" w:cs="TimesNewRoman"/>
                <w:b w:val="0"/>
                <w:sz w:val="24"/>
                <w:szCs w:val="24"/>
              </w:rPr>
              <w:t xml:space="preserve">According to the percent of residential DAC customers that Lancaster Choice Energy serves, it would be allocated 50 kW for DAC-GT. Since </w:t>
            </w:r>
            <w:r w:rsidRPr="002F40D7" w:rsidR="00ED5E3B">
              <w:rPr>
                <w:rFonts w:ascii="Palatino Linotype" w:hAnsi="Palatino Linotype" w:cs="TimesNewRoman"/>
                <w:b w:val="0"/>
                <w:sz w:val="24"/>
                <w:szCs w:val="24"/>
              </w:rPr>
              <w:t xml:space="preserve">this represents only 10 percent of the </w:t>
            </w:r>
            <w:proofErr w:type="gramStart"/>
            <w:r w:rsidRPr="002F40D7" w:rsidR="00ED5E3B">
              <w:rPr>
                <w:rFonts w:ascii="Palatino Linotype" w:hAnsi="Palatino Linotype" w:cs="TimesNewRoman"/>
                <w:b w:val="0"/>
                <w:sz w:val="24"/>
                <w:szCs w:val="24"/>
              </w:rPr>
              <w:t>500 kW</w:t>
            </w:r>
            <w:proofErr w:type="gramEnd"/>
            <w:r w:rsidRPr="002F40D7" w:rsidR="00ED5E3B">
              <w:rPr>
                <w:rFonts w:ascii="Palatino Linotype" w:hAnsi="Palatino Linotype" w:cs="TimesNewRoman"/>
                <w:b w:val="0"/>
                <w:sz w:val="24"/>
                <w:szCs w:val="24"/>
              </w:rPr>
              <w:t xml:space="preserve"> minimum size requirement</w:t>
            </w:r>
            <w:r w:rsidRPr="00263349" w:rsidR="00ED5E3B">
              <w:rPr>
                <w:rFonts w:ascii="Palatino Linotype" w:hAnsi="Palatino Linotype" w:cs="TimesNewRoman"/>
                <w:b w:val="0"/>
                <w:sz w:val="24"/>
                <w:szCs w:val="24"/>
              </w:rPr>
              <w:t xml:space="preserve"> for DAC-GT, it would not be appropriate to allocate the minimum 500 kW to them</w:t>
            </w:r>
            <w:r w:rsidR="00A72D61">
              <w:rPr>
                <w:rFonts w:ascii="Palatino Linotype" w:hAnsi="Palatino Linotype" w:cs="TimesNewRoman"/>
                <w:b w:val="0"/>
                <w:sz w:val="24"/>
                <w:szCs w:val="24"/>
              </w:rPr>
              <w:t>. As discussed further below</w:t>
            </w:r>
            <w:r w:rsidRPr="00263349" w:rsidR="00A72D61">
              <w:rPr>
                <w:rFonts w:ascii="Palatino Linotype" w:hAnsi="Palatino Linotype" w:cs="TimesNewRoman"/>
                <w:b w:val="0"/>
                <w:sz w:val="24"/>
                <w:szCs w:val="24"/>
              </w:rPr>
              <w:t>,</w:t>
            </w:r>
            <w:r w:rsidR="00A72D61">
              <w:rPr>
                <w:rFonts w:ascii="Palatino Linotype" w:hAnsi="Palatino Linotype" w:cs="TimesNewRoman"/>
                <w:b w:val="0"/>
                <w:sz w:val="24"/>
                <w:szCs w:val="24"/>
              </w:rPr>
              <w:t xml:space="preserve"> however,</w:t>
            </w:r>
            <w:r w:rsidRPr="00263349" w:rsidR="00A72D61">
              <w:rPr>
                <w:rFonts w:ascii="Palatino Linotype" w:hAnsi="Palatino Linotype" w:cs="TimesNewRoman"/>
                <w:b w:val="0"/>
                <w:sz w:val="24"/>
                <w:szCs w:val="24"/>
              </w:rPr>
              <w:t xml:space="preserve"> </w:t>
            </w:r>
            <w:r w:rsidR="00A72D61">
              <w:rPr>
                <w:rFonts w:ascii="Palatino Linotype" w:hAnsi="Palatino Linotype" w:cs="TimesNewRoman"/>
                <w:b w:val="0"/>
                <w:sz w:val="24"/>
                <w:szCs w:val="24"/>
              </w:rPr>
              <w:t>Lancaster Choice Energy could elect to pool its DAC-GT capacity with other CCAs to meet the minimum 500 kW project size</w:t>
            </w:r>
            <w:r w:rsidRPr="00263349" w:rsidR="00ED5E3B">
              <w:rPr>
                <w:rFonts w:ascii="Palatino Linotype" w:hAnsi="Palatino Linotype" w:cs="TimesNewRoman"/>
                <w:b w:val="0"/>
                <w:sz w:val="24"/>
                <w:szCs w:val="24"/>
              </w:rPr>
              <w:t>.</w:t>
            </w:r>
          </w:p>
        </w:tc>
      </w:tr>
    </w:tbl>
    <w:p w:rsidRPr="00511954" w:rsidR="00E8532A" w:rsidP="00AA026C" w:rsidRDefault="00E8532A" w14:paraId="227C09A0" w14:textId="77777777">
      <w:pPr>
        <w:pStyle w:val="BodyText"/>
        <w:rPr>
          <w:rFonts w:ascii="Palatino Linotype" w:hAnsi="Palatino Linotype" w:cs="TimesNewRoman"/>
          <w:b w:val="0"/>
          <w:szCs w:val="24"/>
        </w:rPr>
      </w:pPr>
    </w:p>
    <w:p w:rsidR="00D512F0" w:rsidP="00CF2281" w:rsidRDefault="00444E27" w14:paraId="65C294CC" w14:textId="7F5E3CD7">
      <w:pPr>
        <w:pStyle w:val="BodyText"/>
        <w:spacing w:after="120"/>
        <w:rPr>
          <w:rFonts w:ascii="Palatino Linotype" w:hAnsi="Palatino Linotype" w:cs="TimesNewRoman"/>
          <w:b w:val="0"/>
          <w:szCs w:val="24"/>
        </w:rPr>
      </w:pPr>
      <w:r>
        <w:rPr>
          <w:rFonts w:ascii="Palatino Linotype" w:hAnsi="Palatino Linotype" w:cs="TimesNewRoman"/>
          <w:b w:val="0"/>
          <w:szCs w:val="24"/>
        </w:rPr>
        <w:t xml:space="preserve">As previously stated, the primary goal in allocating program capacity is to provide the IOUs with </w:t>
      </w:r>
      <w:r w:rsidR="009F34BD">
        <w:rPr>
          <w:rFonts w:ascii="Palatino Linotype" w:hAnsi="Palatino Linotype" w:cs="TimesNewRoman"/>
          <w:b w:val="0"/>
          <w:szCs w:val="24"/>
        </w:rPr>
        <w:t>the</w:t>
      </w:r>
      <w:r>
        <w:rPr>
          <w:rFonts w:ascii="Palatino Linotype" w:hAnsi="Palatino Linotype" w:cs="TimesNewRoman"/>
          <w:b w:val="0"/>
          <w:szCs w:val="24"/>
        </w:rPr>
        <w:t xml:space="preserve"> certainty </w:t>
      </w:r>
      <w:r w:rsidR="009F34BD">
        <w:rPr>
          <w:rFonts w:ascii="Palatino Linotype" w:hAnsi="Palatino Linotype" w:cs="TimesNewRoman"/>
          <w:b w:val="0"/>
          <w:szCs w:val="24"/>
        </w:rPr>
        <w:t xml:space="preserve">need </w:t>
      </w:r>
      <w:r>
        <w:rPr>
          <w:rFonts w:ascii="Palatino Linotype" w:hAnsi="Palatino Linotype" w:cs="TimesNewRoman"/>
          <w:b w:val="0"/>
          <w:szCs w:val="24"/>
        </w:rPr>
        <w:t>to launch their DAC-GT and CSGT RFOs</w:t>
      </w:r>
      <w:r w:rsidR="009F34BD">
        <w:rPr>
          <w:rFonts w:ascii="Palatino Linotype" w:hAnsi="Palatino Linotype" w:cs="TimesNewRoman"/>
          <w:b w:val="0"/>
          <w:szCs w:val="24"/>
        </w:rPr>
        <w:t xml:space="preserve"> </w:t>
      </w:r>
      <w:r w:rsidR="00D512F0">
        <w:rPr>
          <w:rFonts w:ascii="Palatino Linotype" w:hAnsi="Palatino Linotype" w:cs="TimesNewRoman"/>
          <w:b w:val="0"/>
          <w:szCs w:val="24"/>
        </w:rPr>
        <w:t>as expeditiously as possible</w:t>
      </w:r>
      <w:r>
        <w:rPr>
          <w:rFonts w:ascii="Palatino Linotype" w:hAnsi="Palatino Linotype" w:cs="TimesNewRoman"/>
          <w:b w:val="0"/>
          <w:szCs w:val="24"/>
        </w:rPr>
        <w:t>.</w:t>
      </w:r>
      <w:r w:rsidR="00CF2281">
        <w:rPr>
          <w:rFonts w:ascii="Palatino Linotype" w:hAnsi="Palatino Linotype" w:cs="TimesNewRoman"/>
          <w:b w:val="0"/>
          <w:szCs w:val="24"/>
        </w:rPr>
        <w:t xml:space="preserve"> </w:t>
      </w:r>
      <w:r w:rsidRPr="00263349" w:rsidR="00CF2281">
        <w:rPr>
          <w:rFonts w:ascii="Palatino Linotype" w:hAnsi="Palatino Linotype" w:cs="TimesNewRoman"/>
          <w:b w:val="0"/>
          <w:szCs w:val="24"/>
        </w:rPr>
        <w:t xml:space="preserve">By setting aside capacity allocations </w:t>
      </w:r>
      <w:r w:rsidR="00152E66">
        <w:rPr>
          <w:rFonts w:ascii="Palatino Linotype" w:hAnsi="Palatino Linotype" w:cs="TimesNewRoman"/>
          <w:b w:val="0"/>
          <w:szCs w:val="24"/>
        </w:rPr>
        <w:t>for the CCAs</w:t>
      </w:r>
      <w:r w:rsidRPr="00263349" w:rsidR="00152E66">
        <w:rPr>
          <w:rFonts w:ascii="Palatino Linotype" w:hAnsi="Palatino Linotype" w:cs="TimesNewRoman"/>
          <w:b w:val="0"/>
          <w:szCs w:val="24"/>
        </w:rPr>
        <w:t xml:space="preserve"> </w:t>
      </w:r>
      <w:r w:rsidRPr="00263349" w:rsidR="00CF2281">
        <w:rPr>
          <w:rFonts w:ascii="Palatino Linotype" w:hAnsi="Palatino Linotype" w:cs="TimesNewRoman"/>
          <w:b w:val="0"/>
          <w:szCs w:val="24"/>
        </w:rPr>
        <w:t>based on share of</w:t>
      </w:r>
      <w:r w:rsidR="005F322D">
        <w:rPr>
          <w:rFonts w:ascii="Palatino Linotype" w:hAnsi="Palatino Linotype" w:cs="TimesNewRoman"/>
          <w:b w:val="0"/>
          <w:szCs w:val="24"/>
        </w:rPr>
        <w:t xml:space="preserve"> DAC</w:t>
      </w:r>
      <w:r w:rsidR="00D512F0">
        <w:rPr>
          <w:rFonts w:ascii="Palatino Linotype" w:hAnsi="Palatino Linotype" w:cs="TimesNewRoman"/>
          <w:b w:val="0"/>
          <w:szCs w:val="24"/>
        </w:rPr>
        <w:t xml:space="preserve"> residential</w:t>
      </w:r>
      <w:r w:rsidRPr="00263349" w:rsidR="00CF2281">
        <w:rPr>
          <w:rFonts w:ascii="Palatino Linotype" w:hAnsi="Palatino Linotype" w:cs="TimesNewRoman"/>
          <w:b w:val="0"/>
          <w:szCs w:val="24"/>
        </w:rPr>
        <w:t xml:space="preserve"> customers served, </w:t>
      </w:r>
      <w:r w:rsidRPr="00263349" w:rsidR="00CF2281">
        <w:rPr>
          <w:rFonts w:ascii="Palatino Linotype" w:hAnsi="Palatino Linotype"/>
          <w:b w:val="0"/>
        </w:rPr>
        <w:t>the IOUs have</w:t>
      </w:r>
      <w:r w:rsidR="00786345">
        <w:rPr>
          <w:rFonts w:ascii="Palatino Linotype" w:hAnsi="Palatino Linotype"/>
          <w:b w:val="0"/>
        </w:rPr>
        <w:t xml:space="preserve"> </w:t>
      </w:r>
      <w:proofErr w:type="gramStart"/>
      <w:r w:rsidRPr="00263349" w:rsidR="00CF2281">
        <w:rPr>
          <w:rFonts w:ascii="Palatino Linotype" w:hAnsi="Palatino Linotype"/>
          <w:b w:val="0"/>
        </w:rPr>
        <w:t>sufficient</w:t>
      </w:r>
      <w:proofErr w:type="gramEnd"/>
      <w:r w:rsidRPr="00263349" w:rsidR="00CF2281">
        <w:rPr>
          <w:rFonts w:ascii="Palatino Linotype" w:hAnsi="Palatino Linotype"/>
          <w:b w:val="0"/>
        </w:rPr>
        <w:t xml:space="preserve"> certainty to issue their RFOs, including specifying the maximum allowable CSGT project size.</w:t>
      </w:r>
      <w:r w:rsidRPr="00511954" w:rsidR="00CF2281">
        <w:rPr>
          <w:rStyle w:val="FootnoteReference"/>
          <w:rFonts w:ascii="Palatino Linotype" w:hAnsi="Palatino Linotype"/>
          <w:b w:val="0"/>
        </w:rPr>
        <w:footnoteReference w:id="33"/>
      </w:r>
      <w:r w:rsidRPr="00511954" w:rsidR="00CF2281">
        <w:rPr>
          <w:rFonts w:ascii="Palatino Linotype" w:hAnsi="Palatino Linotype"/>
          <w:b w:val="0"/>
        </w:rPr>
        <w:t xml:space="preserve"> </w:t>
      </w:r>
      <w:r>
        <w:rPr>
          <w:rFonts w:ascii="Palatino Linotype" w:hAnsi="Palatino Linotype" w:cs="TimesNewRoman"/>
          <w:b w:val="0"/>
          <w:szCs w:val="24"/>
        </w:rPr>
        <w:t xml:space="preserve"> </w:t>
      </w:r>
    </w:p>
    <w:p w:rsidR="002B690B" w:rsidP="00CF2281" w:rsidRDefault="00D512F0" w14:paraId="0EF1C1EF" w14:textId="7B446551">
      <w:pPr>
        <w:pStyle w:val="BodyText"/>
        <w:spacing w:after="120"/>
        <w:rPr>
          <w:rFonts w:ascii="Palatino Linotype" w:hAnsi="Palatino Linotype" w:cs="TimesNewRoman"/>
          <w:b w:val="0"/>
          <w:szCs w:val="24"/>
        </w:rPr>
      </w:pPr>
      <w:r>
        <w:rPr>
          <w:rFonts w:ascii="Palatino Linotype" w:hAnsi="Palatino Linotype" w:cs="TimesNewRoman"/>
          <w:b w:val="0"/>
          <w:szCs w:val="24"/>
        </w:rPr>
        <w:t xml:space="preserve">We note that some CCAs who serve relatively small portions of </w:t>
      </w:r>
      <w:r w:rsidR="00ED2308">
        <w:rPr>
          <w:rFonts w:ascii="Palatino Linotype" w:hAnsi="Palatino Linotype" w:cs="TimesNewRoman"/>
          <w:b w:val="0"/>
          <w:szCs w:val="24"/>
        </w:rPr>
        <w:t xml:space="preserve">total </w:t>
      </w:r>
      <w:r>
        <w:rPr>
          <w:rFonts w:ascii="Palatino Linotype" w:hAnsi="Palatino Linotype" w:cs="TimesNewRoman"/>
          <w:b w:val="0"/>
          <w:szCs w:val="24"/>
        </w:rPr>
        <w:t>residential DAC customers have received concomitantly small capacity allocations. To provide CCAs flexibility in approaching implementation of their DAC-GT or CSGT programs,</w:t>
      </w:r>
      <w:r w:rsidR="002B690B">
        <w:rPr>
          <w:rFonts w:ascii="Palatino Linotype" w:hAnsi="Palatino Linotype" w:cs="TimesNewRoman"/>
          <w:b w:val="0"/>
          <w:szCs w:val="24"/>
        </w:rPr>
        <w:t xml:space="preserve"> we will allow CCAs</w:t>
      </w:r>
      <w:r>
        <w:rPr>
          <w:rFonts w:ascii="Palatino Linotype" w:hAnsi="Palatino Linotype" w:cs="TimesNewRoman"/>
          <w:b w:val="0"/>
          <w:szCs w:val="24"/>
        </w:rPr>
        <w:t xml:space="preserve"> </w:t>
      </w:r>
      <w:r w:rsidR="008C5C25">
        <w:rPr>
          <w:rFonts w:ascii="Palatino Linotype" w:hAnsi="Palatino Linotype" w:cs="TimesNewRoman"/>
          <w:b w:val="0"/>
          <w:szCs w:val="24"/>
        </w:rPr>
        <w:t xml:space="preserve">that </w:t>
      </w:r>
      <w:r>
        <w:rPr>
          <w:rFonts w:ascii="Palatino Linotype" w:hAnsi="Palatino Linotype" w:cs="TimesNewRoman"/>
          <w:b w:val="0"/>
          <w:szCs w:val="24"/>
        </w:rPr>
        <w:t>serve customers that are served by the same IOU</w:t>
      </w:r>
      <w:r w:rsidR="002B690B">
        <w:rPr>
          <w:rFonts w:ascii="Palatino Linotype" w:hAnsi="Palatino Linotype" w:cs="TimesNewRoman"/>
          <w:b w:val="0"/>
          <w:szCs w:val="24"/>
        </w:rPr>
        <w:t xml:space="preserve"> to share and/or trade </w:t>
      </w:r>
      <w:r w:rsidR="00477DE6">
        <w:rPr>
          <w:rFonts w:ascii="Palatino Linotype" w:hAnsi="Palatino Linotype" w:cs="TimesNewRoman"/>
          <w:b w:val="0"/>
          <w:szCs w:val="24"/>
        </w:rPr>
        <w:t xml:space="preserve">program </w:t>
      </w:r>
      <w:r w:rsidR="002B690B">
        <w:rPr>
          <w:rFonts w:ascii="Palatino Linotype" w:hAnsi="Palatino Linotype" w:cs="TimesNewRoman"/>
          <w:b w:val="0"/>
          <w:szCs w:val="24"/>
        </w:rPr>
        <w:t>capacity.</w:t>
      </w:r>
      <w:r w:rsidR="00CF2281">
        <w:rPr>
          <w:rFonts w:ascii="Palatino Linotype" w:hAnsi="Palatino Linotype" w:cs="TimesNewRoman"/>
          <w:b w:val="0"/>
          <w:szCs w:val="24"/>
        </w:rPr>
        <w:t xml:space="preserve"> Specifically,</w:t>
      </w:r>
      <w:r w:rsidR="002B690B">
        <w:rPr>
          <w:rFonts w:ascii="Palatino Linotype" w:hAnsi="Palatino Linotype" w:cs="TimesNewRoman"/>
          <w:b w:val="0"/>
          <w:szCs w:val="24"/>
        </w:rPr>
        <w:t xml:space="preserve"> </w:t>
      </w:r>
      <w:r w:rsidR="00CF2281">
        <w:rPr>
          <w:rFonts w:ascii="Palatino Linotype" w:hAnsi="Palatino Linotype" w:cs="TimesNewRoman"/>
          <w:b w:val="0"/>
          <w:szCs w:val="24"/>
        </w:rPr>
        <w:t>f</w:t>
      </w:r>
      <w:r w:rsidR="002B690B">
        <w:rPr>
          <w:rFonts w:ascii="Palatino Linotype" w:hAnsi="Palatino Linotype" w:cs="TimesNewRoman"/>
          <w:b w:val="0"/>
          <w:szCs w:val="24"/>
        </w:rPr>
        <w:t>or DAC-GT</w:t>
      </w:r>
      <w:r w:rsidR="00B124E2">
        <w:rPr>
          <w:rFonts w:ascii="Palatino Linotype" w:hAnsi="Palatino Linotype" w:cs="TimesNewRoman"/>
          <w:b w:val="0"/>
          <w:szCs w:val="24"/>
        </w:rPr>
        <w:t>,</w:t>
      </w:r>
      <w:r w:rsidR="002B690B">
        <w:rPr>
          <w:rFonts w:ascii="Palatino Linotype" w:hAnsi="Palatino Linotype" w:cs="TimesNewRoman"/>
          <w:b w:val="0"/>
          <w:szCs w:val="24"/>
        </w:rPr>
        <w:t xml:space="preserve"> two or more CCAs may elect to pool some or </w:t>
      </w:r>
      <w:proofErr w:type="gramStart"/>
      <w:r w:rsidR="002B690B">
        <w:rPr>
          <w:rFonts w:ascii="Palatino Linotype" w:hAnsi="Palatino Linotype" w:cs="TimesNewRoman"/>
          <w:b w:val="0"/>
          <w:szCs w:val="24"/>
        </w:rPr>
        <w:t>all of</w:t>
      </w:r>
      <w:proofErr w:type="gramEnd"/>
      <w:r w:rsidR="002B690B">
        <w:rPr>
          <w:rFonts w:ascii="Palatino Linotype" w:hAnsi="Palatino Linotype" w:cs="TimesNewRoman"/>
          <w:b w:val="0"/>
          <w:szCs w:val="24"/>
        </w:rPr>
        <w:t xml:space="preserve"> their capacity allocation</w:t>
      </w:r>
      <w:r w:rsidR="00477DE6">
        <w:rPr>
          <w:rFonts w:ascii="Palatino Linotype" w:hAnsi="Palatino Linotype" w:cs="TimesNewRoman"/>
          <w:b w:val="0"/>
          <w:szCs w:val="24"/>
        </w:rPr>
        <w:t>s</w:t>
      </w:r>
      <w:r w:rsidR="002B690B">
        <w:rPr>
          <w:rFonts w:ascii="Palatino Linotype" w:hAnsi="Palatino Linotype" w:cs="TimesNewRoman"/>
          <w:b w:val="0"/>
          <w:szCs w:val="24"/>
        </w:rPr>
        <w:t xml:space="preserve"> to offer a shared </w:t>
      </w:r>
      <w:r>
        <w:rPr>
          <w:rFonts w:ascii="Palatino Linotype" w:hAnsi="Palatino Linotype" w:cs="TimesNewRoman"/>
          <w:b w:val="0"/>
          <w:szCs w:val="24"/>
        </w:rPr>
        <w:t>RFO for projects to serve their DAC customers</w:t>
      </w:r>
      <w:r w:rsidR="002B690B">
        <w:rPr>
          <w:rFonts w:ascii="Palatino Linotype" w:hAnsi="Palatino Linotype" w:cs="TimesNewRoman"/>
          <w:b w:val="0"/>
          <w:szCs w:val="24"/>
        </w:rPr>
        <w:t xml:space="preserve">. In addition, for DAC-GT or CSGT, a CCA that does not wish to launch </w:t>
      </w:r>
      <w:r w:rsidR="00D269E9">
        <w:rPr>
          <w:rFonts w:ascii="Palatino Linotype" w:hAnsi="Palatino Linotype" w:cs="TimesNewRoman"/>
          <w:b w:val="0"/>
          <w:szCs w:val="24"/>
        </w:rPr>
        <w:t>its</w:t>
      </w:r>
      <w:r w:rsidR="002B690B">
        <w:rPr>
          <w:rFonts w:ascii="Palatino Linotype" w:hAnsi="Palatino Linotype" w:cs="TimesNewRoman"/>
          <w:b w:val="0"/>
          <w:szCs w:val="24"/>
        </w:rPr>
        <w:t xml:space="preserve"> own program may designate another CCA </w:t>
      </w:r>
      <w:r w:rsidR="00D269E9">
        <w:rPr>
          <w:rFonts w:ascii="Palatino Linotype" w:hAnsi="Palatino Linotype" w:cs="TimesNewRoman"/>
          <w:b w:val="0"/>
          <w:szCs w:val="24"/>
        </w:rPr>
        <w:t>who serves customers that are also served by the same IOU</w:t>
      </w:r>
      <w:r w:rsidR="002B690B">
        <w:rPr>
          <w:rFonts w:ascii="Palatino Linotype" w:hAnsi="Palatino Linotype" w:cs="TimesNewRoman"/>
          <w:b w:val="0"/>
          <w:szCs w:val="24"/>
        </w:rPr>
        <w:t xml:space="preserve"> to receive </w:t>
      </w:r>
      <w:r w:rsidR="00D269E9">
        <w:rPr>
          <w:rFonts w:ascii="Palatino Linotype" w:hAnsi="Palatino Linotype" w:cs="TimesNewRoman"/>
          <w:b w:val="0"/>
          <w:szCs w:val="24"/>
        </w:rPr>
        <w:t>its</w:t>
      </w:r>
      <w:r w:rsidR="002B690B">
        <w:rPr>
          <w:rFonts w:ascii="Palatino Linotype" w:hAnsi="Palatino Linotype" w:cs="TimesNewRoman"/>
          <w:b w:val="0"/>
          <w:szCs w:val="24"/>
        </w:rPr>
        <w:t xml:space="preserve"> program capacity allocation</w:t>
      </w:r>
      <w:r w:rsidR="00492CF6">
        <w:rPr>
          <w:rFonts w:ascii="Palatino Linotype" w:hAnsi="Palatino Linotype" w:cs="TimesNewRoman"/>
          <w:b w:val="0"/>
          <w:szCs w:val="24"/>
        </w:rPr>
        <w:t xml:space="preserve">. If a CCA elects to utilize any of these options, </w:t>
      </w:r>
      <w:r w:rsidR="00D269E9">
        <w:rPr>
          <w:rFonts w:ascii="Palatino Linotype" w:hAnsi="Palatino Linotype" w:cs="TimesNewRoman"/>
          <w:b w:val="0"/>
          <w:szCs w:val="24"/>
        </w:rPr>
        <w:t>it</w:t>
      </w:r>
      <w:r w:rsidR="00492CF6">
        <w:rPr>
          <w:rFonts w:ascii="Palatino Linotype" w:hAnsi="Palatino Linotype" w:cs="TimesNewRoman"/>
          <w:b w:val="0"/>
          <w:szCs w:val="24"/>
        </w:rPr>
        <w:t xml:space="preserve"> must detail the proposal in </w:t>
      </w:r>
      <w:r w:rsidR="00D269E9">
        <w:rPr>
          <w:rFonts w:ascii="Palatino Linotype" w:hAnsi="Palatino Linotype" w:cs="TimesNewRoman"/>
          <w:b w:val="0"/>
          <w:szCs w:val="24"/>
        </w:rPr>
        <w:t>its</w:t>
      </w:r>
      <w:r w:rsidR="00492CF6">
        <w:rPr>
          <w:rFonts w:ascii="Palatino Linotype" w:hAnsi="Palatino Linotype" w:cs="TimesNewRoman"/>
          <w:b w:val="0"/>
          <w:szCs w:val="24"/>
        </w:rPr>
        <w:t xml:space="preserve"> Tier 3 AL filing</w:t>
      </w:r>
      <w:r w:rsidR="00477DE6">
        <w:rPr>
          <w:rFonts w:ascii="Palatino Linotype" w:hAnsi="Palatino Linotype" w:cs="TimesNewRoman"/>
          <w:b w:val="0"/>
          <w:szCs w:val="24"/>
        </w:rPr>
        <w:t xml:space="preserve"> and the filing must be </w:t>
      </w:r>
      <w:r w:rsidR="00D269E9">
        <w:rPr>
          <w:rFonts w:ascii="Palatino Linotype" w:hAnsi="Palatino Linotype" w:cs="TimesNewRoman"/>
          <w:b w:val="0"/>
          <w:szCs w:val="24"/>
        </w:rPr>
        <w:t xml:space="preserve">affirmed </w:t>
      </w:r>
      <w:r w:rsidR="00B124E2">
        <w:rPr>
          <w:rFonts w:ascii="Palatino Linotype" w:hAnsi="Palatino Linotype" w:cs="TimesNewRoman"/>
          <w:b w:val="0"/>
          <w:szCs w:val="24"/>
        </w:rPr>
        <w:t xml:space="preserve">in writing through comments on the AL filing </w:t>
      </w:r>
      <w:r w:rsidR="00492CF6">
        <w:rPr>
          <w:rFonts w:ascii="Palatino Linotype" w:hAnsi="Palatino Linotype" w:cs="TimesNewRoman"/>
          <w:b w:val="0"/>
          <w:szCs w:val="24"/>
        </w:rPr>
        <w:t xml:space="preserve">by any CCA whose program capacity is implicated in the proposal. </w:t>
      </w:r>
    </w:p>
    <w:p w:rsidRPr="00263349" w:rsidR="00B61B8A" w:rsidP="00B61B8A" w:rsidRDefault="00ED5E3B" w14:paraId="0B8A0915" w14:textId="0C07F5DE">
      <w:pPr>
        <w:pStyle w:val="BodyText"/>
        <w:spacing w:after="120"/>
        <w:rPr>
          <w:rFonts w:ascii="Palatino Linotype" w:hAnsi="Palatino Linotype"/>
          <w:b w:val="0"/>
        </w:rPr>
      </w:pPr>
      <w:r w:rsidRPr="00511954">
        <w:rPr>
          <w:rFonts w:ascii="Palatino Linotype" w:hAnsi="Palatino Linotype"/>
          <w:b w:val="0"/>
        </w:rPr>
        <w:t>So that capacity that could otherwise be subscribed by customers</w:t>
      </w:r>
      <w:r w:rsidR="006F3912">
        <w:rPr>
          <w:rFonts w:ascii="Palatino Linotype" w:hAnsi="Palatino Linotype"/>
          <w:b w:val="0"/>
        </w:rPr>
        <w:t xml:space="preserve"> </w:t>
      </w:r>
      <w:r w:rsidRPr="00511954" w:rsidR="006F3912">
        <w:rPr>
          <w:rFonts w:ascii="Palatino Linotype" w:hAnsi="Palatino Linotype"/>
          <w:b w:val="0"/>
        </w:rPr>
        <w:t>does not stand idle</w:t>
      </w:r>
      <w:r w:rsidRPr="00511954">
        <w:rPr>
          <w:rFonts w:ascii="Palatino Linotype" w:hAnsi="Palatino Linotype"/>
          <w:b w:val="0"/>
        </w:rPr>
        <w:t>,</w:t>
      </w:r>
      <w:r w:rsidR="00EF4271">
        <w:rPr>
          <w:rFonts w:ascii="Palatino Linotype" w:hAnsi="Palatino Linotype"/>
          <w:b w:val="0"/>
        </w:rPr>
        <w:t xml:space="preserve"> </w:t>
      </w:r>
      <w:r w:rsidRPr="00511954">
        <w:rPr>
          <w:rFonts w:ascii="Palatino Linotype" w:hAnsi="Palatino Linotype"/>
          <w:b w:val="0"/>
        </w:rPr>
        <w:t>w</w:t>
      </w:r>
      <w:r w:rsidRPr="00263349" w:rsidR="00F2351C">
        <w:rPr>
          <w:rFonts w:ascii="Palatino Linotype" w:hAnsi="Palatino Linotype"/>
          <w:b w:val="0"/>
        </w:rPr>
        <w:t>e</w:t>
      </w:r>
      <w:r w:rsidRPr="00263349" w:rsidR="001536FC">
        <w:rPr>
          <w:rFonts w:ascii="Palatino Linotype" w:hAnsi="Palatino Linotype"/>
          <w:b w:val="0"/>
        </w:rPr>
        <w:t xml:space="preserve"> find it reasonable</w:t>
      </w:r>
      <w:r w:rsidRPr="00263349" w:rsidR="00B61B8A">
        <w:rPr>
          <w:rFonts w:ascii="Palatino Linotype" w:hAnsi="Palatino Linotype"/>
          <w:b w:val="0"/>
        </w:rPr>
        <w:t xml:space="preserve"> </w:t>
      </w:r>
      <w:r w:rsidRPr="00263349" w:rsidR="001536FC">
        <w:rPr>
          <w:rFonts w:ascii="Palatino Linotype" w:hAnsi="Palatino Linotype"/>
          <w:b w:val="0"/>
        </w:rPr>
        <w:t xml:space="preserve">to </w:t>
      </w:r>
      <w:r w:rsidRPr="00263349" w:rsidR="00B61B8A">
        <w:rPr>
          <w:rFonts w:ascii="Palatino Linotype" w:hAnsi="Palatino Linotype"/>
          <w:b w:val="0"/>
        </w:rPr>
        <w:t xml:space="preserve">establish a </w:t>
      </w:r>
      <w:proofErr w:type="spellStart"/>
      <w:r w:rsidRPr="00263349" w:rsidR="00B61B8A">
        <w:rPr>
          <w:rFonts w:ascii="Palatino Linotype" w:hAnsi="Palatino Linotype"/>
          <w:b w:val="0"/>
        </w:rPr>
        <w:t>clawback</w:t>
      </w:r>
      <w:proofErr w:type="spellEnd"/>
      <w:r w:rsidRPr="00263349" w:rsidR="00B61B8A">
        <w:rPr>
          <w:rFonts w:ascii="Palatino Linotype" w:hAnsi="Palatino Linotype"/>
          <w:b w:val="0"/>
        </w:rPr>
        <w:t xml:space="preserve"> provision such that</w:t>
      </w:r>
      <w:r w:rsidR="006F3912">
        <w:rPr>
          <w:rFonts w:ascii="Palatino Linotype" w:hAnsi="Palatino Linotype"/>
          <w:b w:val="0"/>
        </w:rPr>
        <w:t>, if the Commission deems appropriate,</w:t>
      </w:r>
      <w:r w:rsidRPr="00263349" w:rsidR="00B61B8A">
        <w:rPr>
          <w:rFonts w:ascii="Palatino Linotype" w:hAnsi="Palatino Linotype"/>
          <w:b w:val="0"/>
        </w:rPr>
        <w:t xml:space="preserve"> the capacity allocated to CCAs </w:t>
      </w:r>
      <w:r w:rsidRPr="00263349" w:rsidR="007A5879">
        <w:rPr>
          <w:rFonts w:ascii="Palatino Linotype" w:hAnsi="Palatino Linotype"/>
          <w:b w:val="0"/>
        </w:rPr>
        <w:t>in Table 1 and Table 2 of this R</w:t>
      </w:r>
      <w:r w:rsidRPr="00263349" w:rsidR="00B61B8A">
        <w:rPr>
          <w:rFonts w:ascii="Palatino Linotype" w:hAnsi="Palatino Linotype"/>
          <w:b w:val="0"/>
        </w:rPr>
        <w:t xml:space="preserve">esolution </w:t>
      </w:r>
      <w:r w:rsidR="00B124E2">
        <w:rPr>
          <w:rFonts w:ascii="Palatino Linotype" w:hAnsi="Palatino Linotype"/>
          <w:b w:val="0"/>
        </w:rPr>
        <w:t>shall</w:t>
      </w:r>
      <w:r w:rsidRPr="00263349" w:rsidR="00B124E2">
        <w:rPr>
          <w:rFonts w:ascii="Palatino Linotype" w:hAnsi="Palatino Linotype"/>
          <w:b w:val="0"/>
        </w:rPr>
        <w:t xml:space="preserve"> </w:t>
      </w:r>
      <w:r w:rsidRPr="00263349" w:rsidR="00B61B8A">
        <w:rPr>
          <w:rFonts w:ascii="Palatino Linotype" w:hAnsi="Palatino Linotype"/>
          <w:b w:val="0"/>
        </w:rPr>
        <w:t xml:space="preserve">revert back to the IOUs if </w:t>
      </w:r>
      <w:r w:rsidRPr="00263349" w:rsidR="00F4061F">
        <w:rPr>
          <w:rFonts w:ascii="Palatino Linotype" w:hAnsi="Palatino Linotype"/>
          <w:b w:val="0"/>
        </w:rPr>
        <w:t xml:space="preserve">the </w:t>
      </w:r>
      <w:r w:rsidRPr="00263349" w:rsidR="00B61B8A">
        <w:rPr>
          <w:rFonts w:ascii="Palatino Linotype" w:hAnsi="Palatino Linotype"/>
          <w:b w:val="0"/>
        </w:rPr>
        <w:t>CCAs do not file Tier 3 AL</w:t>
      </w:r>
      <w:r w:rsidRPr="00263349" w:rsidR="00473AB3">
        <w:rPr>
          <w:rFonts w:ascii="Palatino Linotype" w:hAnsi="Palatino Linotype"/>
          <w:b w:val="0"/>
        </w:rPr>
        <w:t>s</w:t>
      </w:r>
      <w:r w:rsidRPr="00263349" w:rsidR="00B61B8A">
        <w:rPr>
          <w:rFonts w:ascii="Palatino Linotype" w:hAnsi="Palatino Linotype"/>
          <w:b w:val="0"/>
        </w:rPr>
        <w:t xml:space="preserve"> detailing their plan</w:t>
      </w:r>
      <w:r w:rsidRPr="00263349" w:rsidR="00473AB3">
        <w:rPr>
          <w:rFonts w:ascii="Palatino Linotype" w:hAnsi="Palatino Linotype"/>
          <w:b w:val="0"/>
        </w:rPr>
        <w:t>s</w:t>
      </w:r>
      <w:r w:rsidRPr="00263349" w:rsidR="00B61B8A">
        <w:rPr>
          <w:rFonts w:ascii="Palatino Linotype" w:hAnsi="Palatino Linotype"/>
          <w:b w:val="0"/>
        </w:rPr>
        <w:t xml:space="preserve"> to implement DAC-GT and CSGT programs</w:t>
      </w:r>
      <w:r w:rsidRPr="00263349" w:rsidR="00F2351C">
        <w:rPr>
          <w:rFonts w:ascii="Palatino Linotype" w:hAnsi="Palatino Linotype"/>
          <w:b w:val="0"/>
        </w:rPr>
        <w:t>,</w:t>
      </w:r>
      <w:r w:rsidRPr="00263349" w:rsidR="00B61B8A">
        <w:rPr>
          <w:rFonts w:ascii="Palatino Linotype" w:hAnsi="Palatino Linotype"/>
          <w:b w:val="0"/>
        </w:rPr>
        <w:t xml:space="preserve"> and stating the capacity they will procure for each program</w:t>
      </w:r>
      <w:r w:rsidRPr="00263349" w:rsidR="00F2351C">
        <w:rPr>
          <w:rFonts w:ascii="Palatino Linotype" w:hAnsi="Palatino Linotype"/>
          <w:b w:val="0"/>
        </w:rPr>
        <w:t>,</w:t>
      </w:r>
      <w:r w:rsidRPr="00263349" w:rsidR="00B61B8A">
        <w:rPr>
          <w:rFonts w:ascii="Palatino Linotype" w:hAnsi="Palatino Linotype"/>
          <w:b w:val="0"/>
        </w:rPr>
        <w:t xml:space="preserve"> by </w:t>
      </w:r>
      <w:r w:rsidRPr="00263349" w:rsidR="00473AB3">
        <w:rPr>
          <w:rFonts w:ascii="Palatino Linotype" w:hAnsi="Palatino Linotype"/>
          <w:b w:val="0"/>
        </w:rPr>
        <w:t>January</w:t>
      </w:r>
      <w:r w:rsidRPr="00263349" w:rsidR="00B61B8A">
        <w:rPr>
          <w:rFonts w:ascii="Palatino Linotype" w:hAnsi="Palatino Linotype"/>
          <w:b w:val="0"/>
        </w:rPr>
        <w:t xml:space="preserve"> 1, 202</w:t>
      </w:r>
      <w:r w:rsidRPr="00263349" w:rsidR="00473AB3">
        <w:rPr>
          <w:rFonts w:ascii="Palatino Linotype" w:hAnsi="Palatino Linotype"/>
          <w:b w:val="0"/>
        </w:rPr>
        <w:t>1</w:t>
      </w:r>
      <w:r w:rsidRPr="00263349" w:rsidR="00B61B8A">
        <w:rPr>
          <w:rFonts w:ascii="Palatino Linotype" w:hAnsi="Palatino Linotype"/>
          <w:b w:val="0"/>
        </w:rPr>
        <w:t>. A determination of whether it is appropriate</w:t>
      </w:r>
      <w:r w:rsidRPr="00263349" w:rsidR="007E01CA">
        <w:rPr>
          <w:rFonts w:ascii="Palatino Linotype" w:hAnsi="Palatino Linotype"/>
          <w:b w:val="0"/>
        </w:rPr>
        <w:t xml:space="preserve"> and necessary</w:t>
      </w:r>
      <w:r w:rsidRPr="00263349" w:rsidR="00B61B8A">
        <w:rPr>
          <w:rFonts w:ascii="Palatino Linotype" w:hAnsi="Palatino Linotype"/>
          <w:b w:val="0"/>
        </w:rPr>
        <w:t xml:space="preserve"> to use this </w:t>
      </w:r>
      <w:proofErr w:type="spellStart"/>
      <w:r w:rsidRPr="00263349" w:rsidR="00B61B8A">
        <w:rPr>
          <w:rFonts w:ascii="Palatino Linotype" w:hAnsi="Palatino Linotype"/>
          <w:b w:val="0"/>
        </w:rPr>
        <w:t>clawback</w:t>
      </w:r>
      <w:proofErr w:type="spellEnd"/>
      <w:r w:rsidRPr="00263349" w:rsidR="00B61B8A">
        <w:rPr>
          <w:rFonts w:ascii="Palatino Linotype" w:hAnsi="Palatino Linotype"/>
          <w:b w:val="0"/>
        </w:rPr>
        <w:t xml:space="preserve"> </w:t>
      </w:r>
      <w:r w:rsidRPr="00263349" w:rsidR="007E01CA">
        <w:rPr>
          <w:rFonts w:ascii="Palatino Linotype" w:hAnsi="Palatino Linotype"/>
          <w:b w:val="0"/>
        </w:rPr>
        <w:t>option</w:t>
      </w:r>
      <w:r w:rsidRPr="00263349" w:rsidR="00B61B8A">
        <w:rPr>
          <w:rFonts w:ascii="Palatino Linotype" w:hAnsi="Palatino Linotype"/>
          <w:b w:val="0"/>
        </w:rPr>
        <w:t xml:space="preserve"> will be made through </w:t>
      </w:r>
      <w:r w:rsidRPr="00263349" w:rsidR="00BE20FC">
        <w:rPr>
          <w:rFonts w:ascii="Palatino Linotype" w:hAnsi="Palatino Linotype"/>
          <w:b w:val="0"/>
        </w:rPr>
        <w:t xml:space="preserve">the proceeding on </w:t>
      </w:r>
      <w:r w:rsidRPr="00263349" w:rsidR="00B61B8A">
        <w:rPr>
          <w:rFonts w:ascii="Palatino Linotype" w:hAnsi="Palatino Linotype"/>
          <w:b w:val="0"/>
        </w:rPr>
        <w:t xml:space="preserve">each IOU’s application for review </w:t>
      </w:r>
      <w:r w:rsidRPr="00263349" w:rsidR="00BE20FC">
        <w:rPr>
          <w:rFonts w:ascii="Palatino Linotype" w:hAnsi="Palatino Linotype"/>
          <w:b w:val="0"/>
        </w:rPr>
        <w:t xml:space="preserve">of </w:t>
      </w:r>
      <w:r w:rsidRPr="00263349" w:rsidR="00B61B8A">
        <w:rPr>
          <w:rFonts w:ascii="Palatino Linotype" w:hAnsi="Palatino Linotype"/>
          <w:b w:val="0"/>
        </w:rPr>
        <w:t xml:space="preserve">the DAC-GT and CSGT programs </w:t>
      </w:r>
      <w:r w:rsidRPr="00263349" w:rsidR="00BE20FC">
        <w:rPr>
          <w:rFonts w:ascii="Palatino Linotype" w:hAnsi="Palatino Linotype"/>
          <w:b w:val="0"/>
        </w:rPr>
        <w:t xml:space="preserve">that </w:t>
      </w:r>
      <w:r w:rsidRPr="00263349" w:rsidR="007E01CA">
        <w:rPr>
          <w:rFonts w:ascii="Palatino Linotype" w:hAnsi="Palatino Linotype"/>
          <w:b w:val="0"/>
        </w:rPr>
        <w:t xml:space="preserve">must be filed </w:t>
      </w:r>
      <w:r w:rsidRPr="00263349" w:rsidR="00B61B8A">
        <w:rPr>
          <w:rFonts w:ascii="Palatino Linotype" w:hAnsi="Palatino Linotype"/>
          <w:b w:val="0"/>
        </w:rPr>
        <w:t>no later than January 1, 2021.</w:t>
      </w:r>
      <w:r w:rsidRPr="00511954" w:rsidR="00B61B8A">
        <w:rPr>
          <w:rStyle w:val="FootnoteReference"/>
          <w:rFonts w:ascii="Palatino Linotype" w:hAnsi="Palatino Linotype"/>
          <w:b w:val="0"/>
        </w:rPr>
        <w:footnoteReference w:id="34"/>
      </w:r>
      <w:r w:rsidRPr="00511954" w:rsidR="0019705B">
        <w:rPr>
          <w:rFonts w:ascii="Palatino Linotype" w:hAnsi="Palatino Linotype"/>
          <w:b w:val="0"/>
        </w:rPr>
        <w:t xml:space="preserve"> </w:t>
      </w:r>
      <w:r w:rsidRPr="00511954" w:rsidR="007B2E76">
        <w:rPr>
          <w:rFonts w:ascii="Palatino Linotype" w:hAnsi="Palatino Linotype"/>
          <w:b w:val="0"/>
        </w:rPr>
        <w:t xml:space="preserve">Having established that the CCAs have until January 1, 2021 to </w:t>
      </w:r>
      <w:r w:rsidRPr="00263349" w:rsidR="001E4EC0">
        <w:rPr>
          <w:rFonts w:ascii="Palatino Linotype" w:hAnsi="Palatino Linotype"/>
          <w:b w:val="0"/>
        </w:rPr>
        <w:t>file their Tier 3 ALs</w:t>
      </w:r>
      <w:r w:rsidRPr="00263349" w:rsidR="007B2E76">
        <w:rPr>
          <w:rFonts w:ascii="Palatino Linotype" w:hAnsi="Palatino Linotype"/>
          <w:b w:val="0"/>
        </w:rPr>
        <w:t xml:space="preserve">, the </w:t>
      </w:r>
      <w:r w:rsidR="006F3912">
        <w:rPr>
          <w:rFonts w:ascii="Palatino Linotype" w:hAnsi="Palatino Linotype"/>
          <w:b w:val="0"/>
        </w:rPr>
        <w:t xml:space="preserve">Protesting </w:t>
      </w:r>
      <w:r w:rsidRPr="00263349" w:rsidR="007B2E76">
        <w:rPr>
          <w:rFonts w:ascii="Palatino Linotype" w:hAnsi="Palatino Linotype"/>
          <w:b w:val="0"/>
        </w:rPr>
        <w:t>CCAs</w:t>
      </w:r>
      <w:r w:rsidRPr="00263349">
        <w:rPr>
          <w:rFonts w:ascii="Palatino Linotype" w:hAnsi="Palatino Linotype"/>
          <w:b w:val="0"/>
        </w:rPr>
        <w:t>’</w:t>
      </w:r>
      <w:r w:rsidRPr="00263349" w:rsidR="007B2E76">
        <w:rPr>
          <w:rFonts w:ascii="Palatino Linotype" w:hAnsi="Palatino Linotype"/>
          <w:b w:val="0"/>
        </w:rPr>
        <w:t xml:space="preserve"> protest of PG&amp;E’s suggested timeline</w:t>
      </w:r>
      <w:r w:rsidRPr="00263349" w:rsidR="001E4EC0">
        <w:rPr>
          <w:rFonts w:ascii="Palatino Linotype" w:hAnsi="Palatino Linotype"/>
          <w:b w:val="0"/>
        </w:rPr>
        <w:t xml:space="preserve"> is rejected. </w:t>
      </w:r>
    </w:p>
    <w:p w:rsidRPr="00263349" w:rsidR="001E4EC0" w:rsidP="00B61B8A" w:rsidRDefault="001E4EC0" w14:paraId="2D6218A9" w14:textId="30DC7069">
      <w:pPr>
        <w:pStyle w:val="BodyText"/>
        <w:spacing w:after="120"/>
        <w:rPr>
          <w:rFonts w:ascii="Palatino Linotype" w:hAnsi="Palatino Linotype"/>
          <w:b w:val="0"/>
        </w:rPr>
      </w:pPr>
      <w:r w:rsidRPr="00263349">
        <w:rPr>
          <w:rFonts w:ascii="Palatino Linotype" w:hAnsi="Palatino Linotype"/>
          <w:b w:val="0"/>
        </w:rPr>
        <w:t>In their protest, the Protesting CCAs also raise the issue of how to address the allocation of program capacity if CCAs expand significantly into DACs currently served by the IOUs. The opposite situation can also occur (</w:t>
      </w:r>
      <w:r w:rsidR="00B124E2">
        <w:rPr>
          <w:rFonts w:ascii="Palatino Linotype" w:hAnsi="Palatino Linotype"/>
          <w:b w:val="0"/>
        </w:rPr>
        <w:t>e.g.</w:t>
      </w:r>
      <w:r w:rsidRPr="00263349">
        <w:rPr>
          <w:rFonts w:ascii="Palatino Linotype" w:hAnsi="Palatino Linotype"/>
          <w:b w:val="0"/>
        </w:rPr>
        <w:t xml:space="preserve">, because customers can opt out of CCAs at any time, the number of residential DAC customers served by the IOUs could potentially increase in the future). Since the likelihood of these situations occurring and the magnitude and directionality of their potential impact cannot be predicted at this time, it would be premature to determine the appropriate approach to address this issue. </w:t>
      </w:r>
      <w:r w:rsidRPr="00511954" w:rsidR="006F3912">
        <w:rPr>
          <w:rFonts w:ascii="Palatino Linotype" w:hAnsi="Palatino Linotype"/>
          <w:b w:val="0"/>
          <w:szCs w:val="26"/>
        </w:rPr>
        <w:t>As such, the CCAs’ protest on this matter is rejected</w:t>
      </w:r>
      <w:r w:rsidRPr="00263349" w:rsidR="006F3912">
        <w:rPr>
          <w:rFonts w:ascii="Palatino Linotype" w:hAnsi="Palatino Linotype"/>
          <w:b w:val="0"/>
        </w:rPr>
        <w:t>.</w:t>
      </w:r>
    </w:p>
    <w:p w:rsidRPr="00263349" w:rsidR="009838D0" w:rsidP="009838D0" w:rsidRDefault="009838D0" w14:paraId="062868DE" w14:textId="325116C0">
      <w:pPr>
        <w:pStyle w:val="BodyText"/>
        <w:spacing w:after="120"/>
        <w:rPr>
          <w:rFonts w:ascii="Palatino Linotype" w:hAnsi="Palatino Linotype"/>
          <w:b w:val="0"/>
        </w:rPr>
      </w:pPr>
      <w:r w:rsidRPr="00263349">
        <w:rPr>
          <w:rFonts w:ascii="Palatino Linotype" w:hAnsi="Palatino Linotype"/>
          <w:b w:val="0"/>
        </w:rPr>
        <w:t xml:space="preserve">The Protesting CCAs </w:t>
      </w:r>
      <w:r w:rsidRPr="00263349" w:rsidR="007B2E76">
        <w:rPr>
          <w:rFonts w:ascii="Palatino Linotype" w:hAnsi="Palatino Linotype"/>
          <w:b w:val="0"/>
        </w:rPr>
        <w:t xml:space="preserve">also </w:t>
      </w:r>
      <w:r w:rsidRPr="00263349">
        <w:rPr>
          <w:rFonts w:ascii="Palatino Linotype" w:hAnsi="Palatino Linotype"/>
          <w:b w:val="0"/>
        </w:rPr>
        <w:t>request that the Commission not approve PG&amp;E’s and SCE’s ALs until after stakeholder workshops are held. In contrast, PG&amp;E encourages the Commission to reject this aspect of the protest to avoid further delaying implementation of the DAC-GT and CSGT programs. PG&amp;E also suggests t</w:t>
      </w:r>
      <w:r w:rsidRPr="00263349">
        <w:rPr>
          <w:rFonts w:ascii="Palatino Linotype" w:hAnsi="Palatino Linotype" w:cs="TimesNewRoman"/>
          <w:b w:val="0"/>
          <w:szCs w:val="24"/>
        </w:rPr>
        <w:t xml:space="preserve">hat any modifications to the DAC-GT and CSGT programs that may result from future workshops could be incorporated into the IOUs’ program implementation plans via an advice letter filing. </w:t>
      </w:r>
      <w:r w:rsidRPr="00263349">
        <w:rPr>
          <w:rFonts w:ascii="Palatino Linotype" w:hAnsi="Palatino Linotype"/>
          <w:b w:val="0"/>
        </w:rPr>
        <w:t xml:space="preserve">We find that while the Protesting CCAs raise several issues in their protest that may benefit from further discussion at a stakeholder workshop, it is not necessary to delay implementation of the </w:t>
      </w:r>
      <w:r w:rsidRPr="00263349" w:rsidR="008A13DB">
        <w:rPr>
          <w:rFonts w:ascii="Palatino Linotype" w:hAnsi="Palatino Linotype"/>
          <w:b w:val="0"/>
        </w:rPr>
        <w:t xml:space="preserve">IOUs’ </w:t>
      </w:r>
      <w:r w:rsidRPr="00263349">
        <w:rPr>
          <w:rFonts w:ascii="Palatino Linotype" w:hAnsi="Palatino Linotype"/>
          <w:b w:val="0"/>
        </w:rPr>
        <w:t xml:space="preserve">DAC-GT and CSGT programs until after a workshop is held. As discussed </w:t>
      </w:r>
      <w:r w:rsidRPr="00263349" w:rsidR="000133B4">
        <w:rPr>
          <w:rFonts w:ascii="Palatino Linotype" w:hAnsi="Palatino Linotype"/>
          <w:b w:val="0"/>
        </w:rPr>
        <w:t>above</w:t>
      </w:r>
      <w:r w:rsidRPr="00263349">
        <w:rPr>
          <w:rFonts w:ascii="Palatino Linotype" w:hAnsi="Palatino Linotype"/>
          <w:b w:val="0"/>
        </w:rPr>
        <w:t>,</w:t>
      </w:r>
      <w:r w:rsidRPr="00263349" w:rsidR="000133B4">
        <w:rPr>
          <w:rFonts w:ascii="Palatino Linotype" w:hAnsi="Palatino Linotype"/>
          <w:b w:val="0"/>
        </w:rPr>
        <w:t xml:space="preserve"> through this Resolution</w:t>
      </w:r>
      <w:r w:rsidRPr="00263349">
        <w:rPr>
          <w:rFonts w:ascii="Palatino Linotype" w:hAnsi="Palatino Linotype"/>
          <w:b w:val="0"/>
        </w:rPr>
        <w:t xml:space="preserve"> we </w:t>
      </w:r>
      <w:r w:rsidRPr="00263349" w:rsidR="000133B4">
        <w:rPr>
          <w:rFonts w:ascii="Palatino Linotype" w:hAnsi="Palatino Linotype"/>
          <w:b w:val="0"/>
        </w:rPr>
        <w:t>have established a</w:t>
      </w:r>
      <w:r w:rsidRPr="00263349">
        <w:rPr>
          <w:rFonts w:ascii="Palatino Linotype" w:hAnsi="Palatino Linotype"/>
          <w:b w:val="0"/>
        </w:rPr>
        <w:t xml:space="preserve"> timeline </w:t>
      </w:r>
      <w:r w:rsidRPr="00263349" w:rsidR="000133B4">
        <w:rPr>
          <w:rFonts w:ascii="Palatino Linotype" w:hAnsi="Palatino Linotype"/>
          <w:b w:val="0"/>
        </w:rPr>
        <w:t>that provides the</w:t>
      </w:r>
      <w:r w:rsidRPr="00263349">
        <w:rPr>
          <w:rFonts w:ascii="Palatino Linotype" w:hAnsi="Palatino Linotype"/>
          <w:b w:val="0"/>
        </w:rPr>
        <w:t xml:space="preserve"> CCAs </w:t>
      </w:r>
      <w:r w:rsidRPr="00263349" w:rsidR="000133B4">
        <w:rPr>
          <w:rFonts w:ascii="Palatino Linotype" w:hAnsi="Palatino Linotype"/>
          <w:b w:val="0"/>
        </w:rPr>
        <w:t xml:space="preserve">additional time </w:t>
      </w:r>
      <w:r w:rsidRPr="00263349">
        <w:rPr>
          <w:rFonts w:ascii="Palatino Linotype" w:hAnsi="Palatino Linotype"/>
          <w:b w:val="0"/>
        </w:rPr>
        <w:t>to determine whether to offer the DAC-GT and/or CSGT programs to their customers</w:t>
      </w:r>
      <w:r w:rsidRPr="00263349" w:rsidR="008A13DB">
        <w:rPr>
          <w:rFonts w:ascii="Palatino Linotype" w:hAnsi="Palatino Linotype"/>
          <w:b w:val="0"/>
        </w:rPr>
        <w:t xml:space="preserve"> and to discuss implementation questions with the IOUs</w:t>
      </w:r>
      <w:r w:rsidRPr="00263349">
        <w:rPr>
          <w:rFonts w:ascii="Palatino Linotype" w:hAnsi="Palatino Linotype"/>
          <w:b w:val="0"/>
        </w:rPr>
        <w:t xml:space="preserve">. If </w:t>
      </w:r>
      <w:r w:rsidRPr="00263349" w:rsidR="007B2E76">
        <w:rPr>
          <w:rFonts w:ascii="Palatino Linotype" w:hAnsi="Palatino Linotype"/>
          <w:b w:val="0"/>
        </w:rPr>
        <w:t xml:space="preserve">in </w:t>
      </w:r>
      <w:r w:rsidRPr="00263349" w:rsidR="00942AFA">
        <w:rPr>
          <w:rFonts w:ascii="Palatino Linotype" w:hAnsi="Palatino Linotype"/>
          <w:b w:val="0"/>
        </w:rPr>
        <w:t xml:space="preserve">the </w:t>
      </w:r>
      <w:r w:rsidRPr="00263349" w:rsidR="007B2E76">
        <w:rPr>
          <w:rFonts w:ascii="Palatino Linotype" w:hAnsi="Palatino Linotype"/>
          <w:b w:val="0"/>
        </w:rPr>
        <w:t xml:space="preserve">future, conflicts are identified </w:t>
      </w:r>
      <w:r w:rsidRPr="00263349">
        <w:rPr>
          <w:rFonts w:ascii="Palatino Linotype" w:hAnsi="Palatino Linotype"/>
          <w:b w:val="0"/>
        </w:rPr>
        <w:t xml:space="preserve">between the IOUs’ </w:t>
      </w:r>
      <w:r w:rsidRPr="00263349" w:rsidR="001E4EC0">
        <w:rPr>
          <w:rFonts w:ascii="Palatino Linotype" w:hAnsi="Palatino Linotype"/>
          <w:b w:val="0"/>
        </w:rPr>
        <w:t>implementation</w:t>
      </w:r>
      <w:r w:rsidRPr="00263349">
        <w:rPr>
          <w:rFonts w:ascii="Palatino Linotype" w:hAnsi="Palatino Linotype"/>
          <w:b w:val="0"/>
        </w:rPr>
        <w:t xml:space="preserve"> plans and a CCA’s program implementation plan, </w:t>
      </w:r>
      <w:r w:rsidRPr="00263349" w:rsidR="007B2E76">
        <w:rPr>
          <w:rFonts w:ascii="Palatino Linotype" w:hAnsi="Palatino Linotype"/>
          <w:b w:val="0"/>
        </w:rPr>
        <w:t xml:space="preserve">they can be </w:t>
      </w:r>
      <w:r w:rsidRPr="00263349">
        <w:rPr>
          <w:rFonts w:ascii="Palatino Linotype" w:hAnsi="Palatino Linotype"/>
          <w:b w:val="0"/>
        </w:rPr>
        <w:t>addressed in the resolution a</w:t>
      </w:r>
      <w:r w:rsidR="00BF6C83">
        <w:rPr>
          <w:rFonts w:ascii="Palatino Linotype" w:hAnsi="Palatino Linotype"/>
          <w:b w:val="0"/>
        </w:rPr>
        <w:t>ddressing</w:t>
      </w:r>
      <w:r w:rsidRPr="00263349">
        <w:rPr>
          <w:rFonts w:ascii="Palatino Linotype" w:hAnsi="Palatino Linotype"/>
          <w:b w:val="0"/>
        </w:rPr>
        <w:t xml:space="preserve"> the CCA’s Tier 3 AL filing.</w:t>
      </w:r>
      <w:r w:rsidRPr="00263349" w:rsidR="001E4EC0">
        <w:rPr>
          <w:rFonts w:ascii="Palatino Linotype" w:hAnsi="Palatino Linotype"/>
          <w:b w:val="0"/>
        </w:rPr>
        <w:t xml:space="preserve"> Thus, the </w:t>
      </w:r>
      <w:r w:rsidR="00BF6C83">
        <w:rPr>
          <w:rFonts w:ascii="Palatino Linotype" w:hAnsi="Palatino Linotype"/>
          <w:b w:val="0"/>
        </w:rPr>
        <w:t xml:space="preserve">Protesting </w:t>
      </w:r>
      <w:r w:rsidRPr="00263349" w:rsidR="001E4EC0">
        <w:rPr>
          <w:rFonts w:ascii="Palatino Linotype" w:hAnsi="Palatino Linotype"/>
          <w:b w:val="0"/>
        </w:rPr>
        <w:t>CCAs</w:t>
      </w:r>
      <w:r w:rsidRPr="00263349" w:rsidR="00942AFA">
        <w:rPr>
          <w:rFonts w:ascii="Palatino Linotype" w:hAnsi="Palatino Linotype"/>
          <w:b w:val="0"/>
        </w:rPr>
        <w:t>’</w:t>
      </w:r>
      <w:r w:rsidRPr="00263349" w:rsidR="001E4EC0">
        <w:rPr>
          <w:rFonts w:ascii="Palatino Linotype" w:hAnsi="Palatino Linotype"/>
          <w:b w:val="0"/>
        </w:rPr>
        <w:t xml:space="preserve"> request that the IOUs’ ALs not be approved until after a workshop is held is rejected.</w:t>
      </w:r>
    </w:p>
    <w:p w:rsidRPr="00263349" w:rsidR="008B79E7" w:rsidP="00755176" w:rsidRDefault="00473AB3" w14:paraId="7AA9D0FC" w14:textId="62FFECE8">
      <w:pPr>
        <w:autoSpaceDE w:val="0"/>
        <w:autoSpaceDN w:val="0"/>
        <w:adjustRightInd w:val="0"/>
        <w:spacing w:after="240"/>
        <w:rPr>
          <w:rFonts w:ascii="Palatino Linotype" w:hAnsi="Palatino Linotype" w:cs="TimesNewRoman"/>
          <w:szCs w:val="24"/>
        </w:rPr>
      </w:pPr>
      <w:r w:rsidRPr="00263349">
        <w:rPr>
          <w:rFonts w:ascii="Palatino Linotype" w:hAnsi="Palatino Linotype" w:cs="TimesNewRoman"/>
          <w:szCs w:val="24"/>
        </w:rPr>
        <w:t>T</w:t>
      </w:r>
      <w:r w:rsidRPr="00263349" w:rsidR="009947E1">
        <w:rPr>
          <w:rFonts w:ascii="Palatino Linotype" w:hAnsi="Palatino Linotype" w:cs="TimesNewRoman"/>
          <w:szCs w:val="24"/>
        </w:rPr>
        <w:t xml:space="preserve">he Protesting CCAs </w:t>
      </w:r>
      <w:r w:rsidRPr="00263349">
        <w:rPr>
          <w:rFonts w:ascii="Palatino Linotype" w:hAnsi="Palatino Linotype" w:cs="TimesNewRoman"/>
          <w:szCs w:val="24"/>
        </w:rPr>
        <w:t xml:space="preserve">also seek guidance on </w:t>
      </w:r>
      <w:r w:rsidRPr="00263349" w:rsidR="009947E1">
        <w:rPr>
          <w:rFonts w:ascii="Palatino Linotype" w:hAnsi="Palatino Linotype" w:cs="TimesNewRoman"/>
          <w:szCs w:val="24"/>
        </w:rPr>
        <w:t>how to address situations in which a CCA expands</w:t>
      </w:r>
      <w:r w:rsidRPr="00263349" w:rsidR="004F59D8">
        <w:rPr>
          <w:rFonts w:ascii="Palatino Linotype" w:hAnsi="Palatino Linotype" w:cs="TimesNewRoman"/>
          <w:szCs w:val="24"/>
        </w:rPr>
        <w:t>,</w:t>
      </w:r>
      <w:r w:rsidRPr="00263349" w:rsidR="009947E1">
        <w:rPr>
          <w:rFonts w:ascii="Palatino Linotype" w:hAnsi="Palatino Linotype" w:cs="TimesNewRoman"/>
          <w:szCs w:val="24"/>
        </w:rPr>
        <w:t xml:space="preserve"> or a new CCA launches</w:t>
      </w:r>
      <w:r w:rsidRPr="00263349" w:rsidR="004F59D8">
        <w:rPr>
          <w:rFonts w:ascii="Palatino Linotype" w:hAnsi="Palatino Linotype" w:cs="TimesNewRoman"/>
          <w:szCs w:val="24"/>
        </w:rPr>
        <w:t>,</w:t>
      </w:r>
      <w:r w:rsidRPr="00263349" w:rsidR="009947E1">
        <w:rPr>
          <w:rFonts w:ascii="Palatino Linotype" w:hAnsi="Palatino Linotype" w:cs="TimesNewRoman"/>
          <w:szCs w:val="24"/>
        </w:rPr>
        <w:t xml:space="preserve"> in an area where a CSGT project exist</w:t>
      </w:r>
      <w:r w:rsidRPr="00263349" w:rsidR="00F4061F">
        <w:rPr>
          <w:rFonts w:ascii="Palatino Linotype" w:hAnsi="Palatino Linotype" w:cs="TimesNewRoman"/>
          <w:szCs w:val="24"/>
        </w:rPr>
        <w:t>s</w:t>
      </w:r>
      <w:r w:rsidRPr="00263349" w:rsidR="009947E1">
        <w:rPr>
          <w:rFonts w:ascii="Palatino Linotype" w:hAnsi="Palatino Linotype" w:cs="TimesNewRoman"/>
          <w:szCs w:val="24"/>
        </w:rPr>
        <w:t xml:space="preserve"> or is in development.</w:t>
      </w:r>
      <w:r w:rsidRPr="00263349" w:rsidR="00695023">
        <w:rPr>
          <w:rFonts w:ascii="Palatino Linotype" w:hAnsi="Palatino Linotype" w:cs="TimesNewRoman"/>
          <w:szCs w:val="24"/>
        </w:rPr>
        <w:t xml:space="preserve"> Since that situation is </w:t>
      </w:r>
      <w:r w:rsidRPr="00263349">
        <w:rPr>
          <w:rFonts w:ascii="Palatino Linotype" w:hAnsi="Palatino Linotype" w:cs="TimesNewRoman"/>
          <w:szCs w:val="24"/>
        </w:rPr>
        <w:t>a</w:t>
      </w:r>
      <w:r w:rsidRPr="00263349" w:rsidR="00695023">
        <w:rPr>
          <w:rFonts w:ascii="Palatino Linotype" w:hAnsi="Palatino Linotype" w:cs="TimesNewRoman"/>
          <w:szCs w:val="24"/>
        </w:rPr>
        <w:t xml:space="preserve"> hypothetical at this point in time, </w:t>
      </w:r>
      <w:r w:rsidRPr="00263349" w:rsidR="006A3C0C">
        <w:rPr>
          <w:rFonts w:ascii="Palatino Linotype" w:hAnsi="Palatino Linotype" w:cs="TimesNewRoman"/>
          <w:szCs w:val="24"/>
        </w:rPr>
        <w:t>the Commission</w:t>
      </w:r>
      <w:r w:rsidRPr="00263349" w:rsidR="00695023">
        <w:rPr>
          <w:rFonts w:ascii="Palatino Linotype" w:hAnsi="Palatino Linotype" w:cs="TimesNewRoman"/>
          <w:szCs w:val="24"/>
        </w:rPr>
        <w:t xml:space="preserve"> </w:t>
      </w:r>
      <w:r w:rsidR="003911E7">
        <w:rPr>
          <w:rFonts w:ascii="Palatino Linotype" w:hAnsi="Palatino Linotype" w:cs="TimesNewRoman"/>
          <w:szCs w:val="24"/>
        </w:rPr>
        <w:t>finds it appropriate for</w:t>
      </w:r>
      <w:r w:rsidRPr="00263349" w:rsidR="003911E7">
        <w:rPr>
          <w:rFonts w:ascii="Palatino Linotype" w:hAnsi="Palatino Linotype" w:cs="TimesNewRoman"/>
          <w:szCs w:val="24"/>
        </w:rPr>
        <w:t xml:space="preserve"> </w:t>
      </w:r>
      <w:r w:rsidRPr="00263349" w:rsidR="00695023">
        <w:rPr>
          <w:rFonts w:ascii="Palatino Linotype" w:hAnsi="Palatino Linotype" w:cs="TimesNewRoman"/>
          <w:szCs w:val="24"/>
        </w:rPr>
        <w:t>t</w:t>
      </w:r>
      <w:r w:rsidRPr="00263349" w:rsidR="00346D8B">
        <w:rPr>
          <w:rFonts w:ascii="Palatino Linotype" w:hAnsi="Palatino Linotype" w:cs="TimesNewRoman"/>
          <w:szCs w:val="24"/>
        </w:rPr>
        <w:t xml:space="preserve">his issue to be </w:t>
      </w:r>
      <w:r w:rsidRPr="00263349" w:rsidR="0000541A">
        <w:rPr>
          <w:rFonts w:ascii="Palatino Linotype" w:hAnsi="Palatino Linotype" w:cs="TimesNewRoman"/>
          <w:szCs w:val="24"/>
        </w:rPr>
        <w:t xml:space="preserve">addressed, </w:t>
      </w:r>
      <w:r w:rsidRPr="00263349">
        <w:rPr>
          <w:rFonts w:ascii="Palatino Linotype" w:hAnsi="Palatino Linotype" w:cs="TimesNewRoman"/>
          <w:szCs w:val="24"/>
        </w:rPr>
        <w:t xml:space="preserve">as warranted, in the </w:t>
      </w:r>
      <w:r w:rsidRPr="00263349">
        <w:rPr>
          <w:rFonts w:ascii="Palatino Linotype" w:hAnsi="Palatino Linotype"/>
        </w:rPr>
        <w:t>proceeding on each IOU’s application for review of the DAC-GT and CSGT programs</w:t>
      </w:r>
      <w:r w:rsidRPr="00263349" w:rsidR="00F4061F">
        <w:rPr>
          <w:rFonts w:ascii="Palatino Linotype" w:hAnsi="Palatino Linotype"/>
        </w:rPr>
        <w:t>,</w:t>
      </w:r>
      <w:r w:rsidRPr="00263349">
        <w:rPr>
          <w:rFonts w:ascii="Palatino Linotype" w:hAnsi="Palatino Linotype"/>
        </w:rPr>
        <w:t xml:space="preserve"> as well as </w:t>
      </w:r>
      <w:r w:rsidRPr="00263349" w:rsidR="00695023">
        <w:rPr>
          <w:rFonts w:ascii="Palatino Linotype" w:hAnsi="Palatino Linotype" w:cs="TimesNewRoman"/>
          <w:szCs w:val="24"/>
        </w:rPr>
        <w:t xml:space="preserve">in future reports by the independent evaluator </w:t>
      </w:r>
      <w:r w:rsidRPr="00263349" w:rsidR="00346D8B">
        <w:rPr>
          <w:rFonts w:ascii="Palatino Linotype" w:hAnsi="Palatino Linotype" w:cs="TimesNewRoman"/>
          <w:szCs w:val="24"/>
        </w:rPr>
        <w:t>of these programs</w:t>
      </w:r>
      <w:r w:rsidRPr="00263349" w:rsidR="00695023">
        <w:rPr>
          <w:rFonts w:ascii="Palatino Linotype" w:hAnsi="Palatino Linotype" w:cs="TimesNewRoman"/>
          <w:szCs w:val="24"/>
        </w:rPr>
        <w:t>.</w:t>
      </w:r>
      <w:r w:rsidRPr="00511954" w:rsidR="00695023">
        <w:rPr>
          <w:rStyle w:val="FootnoteReference"/>
          <w:rFonts w:ascii="Palatino Linotype" w:hAnsi="Palatino Linotype" w:cs="TimesNewRoman"/>
          <w:szCs w:val="24"/>
        </w:rPr>
        <w:footnoteReference w:id="35"/>
      </w:r>
      <w:r w:rsidRPr="00511954" w:rsidR="007A00BC">
        <w:rPr>
          <w:rFonts w:ascii="Palatino Linotype" w:hAnsi="Palatino Linotype" w:cs="TimesNewRoman"/>
          <w:szCs w:val="24"/>
        </w:rPr>
        <w:t xml:space="preserve"> </w:t>
      </w:r>
      <w:r w:rsidRPr="00511954" w:rsidR="00675996">
        <w:rPr>
          <w:rFonts w:ascii="Palatino Linotype" w:hAnsi="Palatino Linotype" w:cs="TimesNewRoman"/>
          <w:szCs w:val="24"/>
        </w:rPr>
        <w:t>In particular, by January 1, 2021, there should be new data available on CSGT project siting that can inform an approach to this unique</w:t>
      </w:r>
      <w:r w:rsidRPr="00263349" w:rsidR="00E363B0">
        <w:rPr>
          <w:rFonts w:ascii="Palatino Linotype" w:hAnsi="Palatino Linotype" w:cs="TimesNewRoman"/>
          <w:szCs w:val="24"/>
        </w:rPr>
        <w:t>, and currently hypothetical,</w:t>
      </w:r>
      <w:r w:rsidRPr="00263349" w:rsidR="00675996">
        <w:rPr>
          <w:rFonts w:ascii="Palatino Linotype" w:hAnsi="Palatino Linotype" w:cs="TimesNewRoman"/>
          <w:szCs w:val="24"/>
        </w:rPr>
        <w:t xml:space="preserve"> situation. </w:t>
      </w:r>
      <w:r w:rsidRPr="00263349" w:rsidR="00E363B0">
        <w:rPr>
          <w:rFonts w:ascii="Palatino Linotype" w:hAnsi="Palatino Linotype" w:cs="TimesNewRoman"/>
          <w:szCs w:val="24"/>
        </w:rPr>
        <w:t>If future stakeholder workshops are held, this issue could also be further explored in that forum</w:t>
      </w:r>
      <w:r w:rsidRPr="00263349" w:rsidR="007A00BC">
        <w:rPr>
          <w:rFonts w:ascii="Palatino Linotype" w:hAnsi="Palatino Linotype" w:cs="TimesNewRoman"/>
          <w:szCs w:val="24"/>
        </w:rPr>
        <w:t xml:space="preserve">. </w:t>
      </w:r>
      <w:r w:rsidRPr="00263349" w:rsidR="0000541A">
        <w:rPr>
          <w:rFonts w:ascii="Palatino Linotype" w:hAnsi="Palatino Linotype" w:cs="TimesNewRoman"/>
          <w:szCs w:val="24"/>
        </w:rPr>
        <w:t>The</w:t>
      </w:r>
      <w:r w:rsidRPr="00263349" w:rsidR="0019705B">
        <w:rPr>
          <w:rFonts w:ascii="Palatino Linotype" w:hAnsi="Palatino Linotype"/>
        </w:rPr>
        <w:t xml:space="preserve"> </w:t>
      </w:r>
      <w:r w:rsidR="00BF6C83">
        <w:rPr>
          <w:rFonts w:ascii="Palatino Linotype" w:hAnsi="Palatino Linotype"/>
        </w:rPr>
        <w:t xml:space="preserve">Protesting </w:t>
      </w:r>
      <w:r w:rsidRPr="00263349" w:rsidR="0019705B">
        <w:rPr>
          <w:rFonts w:ascii="Palatino Linotype" w:hAnsi="Palatino Linotype"/>
        </w:rPr>
        <w:t>CCAs’ protest o</w:t>
      </w:r>
      <w:r w:rsidRPr="00263349" w:rsidR="007F2708">
        <w:rPr>
          <w:rFonts w:ascii="Palatino Linotype" w:hAnsi="Palatino Linotype"/>
        </w:rPr>
        <w:t xml:space="preserve">n this issue is </w:t>
      </w:r>
      <w:r w:rsidRPr="00263349" w:rsidR="00295AF3">
        <w:rPr>
          <w:rFonts w:ascii="Palatino Linotype" w:hAnsi="Palatino Linotype"/>
        </w:rPr>
        <w:t xml:space="preserve">therefore </w:t>
      </w:r>
      <w:r w:rsidRPr="00263349" w:rsidR="007F2708">
        <w:rPr>
          <w:rFonts w:ascii="Palatino Linotype" w:hAnsi="Palatino Linotype"/>
        </w:rPr>
        <w:t xml:space="preserve">rejected. </w:t>
      </w:r>
    </w:p>
    <w:p w:rsidRPr="00263349" w:rsidR="007A00BC" w:rsidP="00273ED3" w:rsidRDefault="00E363B0" w14:paraId="614BB71F" w14:textId="32A068F2">
      <w:pPr>
        <w:pStyle w:val="BodyText"/>
        <w:spacing w:after="120"/>
        <w:rPr>
          <w:rFonts w:ascii="Palatino Linotype" w:hAnsi="Palatino Linotype" w:cs="TimesNewRoman"/>
          <w:b w:val="0"/>
          <w:szCs w:val="24"/>
        </w:rPr>
      </w:pPr>
      <w:r w:rsidRPr="00263349">
        <w:rPr>
          <w:rFonts w:ascii="Palatino Linotype" w:hAnsi="Palatino Linotype"/>
          <w:b w:val="0"/>
        </w:rPr>
        <w:t>Finally, o</w:t>
      </w:r>
      <w:r w:rsidRPr="00263349" w:rsidR="007A00BC">
        <w:rPr>
          <w:rFonts w:ascii="Palatino Linotype" w:hAnsi="Palatino Linotype"/>
          <w:b w:val="0"/>
        </w:rPr>
        <w:t xml:space="preserve">n the </w:t>
      </w:r>
      <w:r w:rsidR="00BF6C83">
        <w:rPr>
          <w:rFonts w:ascii="Palatino Linotype" w:hAnsi="Palatino Linotype"/>
          <w:b w:val="0"/>
        </w:rPr>
        <w:t xml:space="preserve">Protesting </w:t>
      </w:r>
      <w:r w:rsidRPr="00263349" w:rsidR="007A00BC">
        <w:rPr>
          <w:rFonts w:ascii="Palatino Linotype" w:hAnsi="Palatino Linotype"/>
          <w:b w:val="0"/>
        </w:rPr>
        <w:t>CCAs</w:t>
      </w:r>
      <w:r w:rsidRPr="00263349">
        <w:rPr>
          <w:rFonts w:ascii="Palatino Linotype" w:hAnsi="Palatino Linotype"/>
          <w:b w:val="0"/>
        </w:rPr>
        <w:t>’</w:t>
      </w:r>
      <w:r w:rsidRPr="00263349" w:rsidR="007A00BC">
        <w:rPr>
          <w:rFonts w:ascii="Palatino Linotype" w:hAnsi="Palatino Linotype"/>
          <w:b w:val="0"/>
        </w:rPr>
        <w:t xml:space="preserve"> </w:t>
      </w:r>
      <w:r w:rsidRPr="00263349" w:rsidR="00E95F06">
        <w:rPr>
          <w:rFonts w:ascii="Palatino Linotype" w:hAnsi="Palatino Linotype" w:cs="TimesNewRoman"/>
          <w:b w:val="0"/>
          <w:szCs w:val="24"/>
        </w:rPr>
        <w:t>concerns about cross-subsidization between bundled and unbundled customers</w:t>
      </w:r>
      <w:r w:rsidRPr="00263349" w:rsidR="00733249">
        <w:rPr>
          <w:rFonts w:ascii="Palatino Linotype" w:hAnsi="Palatino Linotype" w:cs="TimesNewRoman"/>
          <w:b w:val="0"/>
          <w:szCs w:val="24"/>
        </w:rPr>
        <w:t xml:space="preserve">, </w:t>
      </w:r>
      <w:r w:rsidRPr="00263349" w:rsidR="006A3C0C">
        <w:rPr>
          <w:rFonts w:ascii="Palatino Linotype" w:hAnsi="Palatino Linotype" w:cs="TimesNewRoman"/>
          <w:b w:val="0"/>
          <w:szCs w:val="24"/>
        </w:rPr>
        <w:t>the Commission</w:t>
      </w:r>
      <w:r w:rsidRPr="00263349" w:rsidR="00733249">
        <w:rPr>
          <w:rFonts w:ascii="Palatino Linotype" w:hAnsi="Palatino Linotype" w:cs="TimesNewRoman"/>
          <w:b w:val="0"/>
          <w:szCs w:val="24"/>
        </w:rPr>
        <w:t xml:space="preserve"> concur</w:t>
      </w:r>
      <w:r w:rsidRPr="00263349" w:rsidR="006A3C0C">
        <w:rPr>
          <w:rFonts w:ascii="Palatino Linotype" w:hAnsi="Palatino Linotype" w:cs="TimesNewRoman"/>
          <w:b w:val="0"/>
          <w:szCs w:val="24"/>
        </w:rPr>
        <w:t>s</w:t>
      </w:r>
      <w:r w:rsidRPr="00263349" w:rsidR="00733249">
        <w:rPr>
          <w:rFonts w:ascii="Palatino Linotype" w:hAnsi="Palatino Linotype" w:cs="TimesNewRoman"/>
          <w:b w:val="0"/>
          <w:szCs w:val="24"/>
        </w:rPr>
        <w:t xml:space="preserve"> with PG&amp;E th</w:t>
      </w:r>
      <w:r w:rsidRPr="00263349" w:rsidR="00346D8B">
        <w:rPr>
          <w:rFonts w:ascii="Palatino Linotype" w:hAnsi="Palatino Linotype" w:cs="TimesNewRoman"/>
          <w:b w:val="0"/>
          <w:szCs w:val="24"/>
        </w:rPr>
        <w:t>at th</w:t>
      </w:r>
      <w:r w:rsidRPr="00263349" w:rsidR="00733249">
        <w:rPr>
          <w:rFonts w:ascii="Palatino Linotype" w:hAnsi="Palatino Linotype" w:cs="TimesNewRoman"/>
          <w:b w:val="0"/>
          <w:szCs w:val="24"/>
        </w:rPr>
        <w:t xml:space="preserve">e </w:t>
      </w:r>
      <w:r w:rsidRPr="00263349" w:rsidR="00A165B3">
        <w:rPr>
          <w:rFonts w:ascii="Palatino Linotype" w:hAnsi="Palatino Linotype" w:cs="TimesNewRoman"/>
          <w:b w:val="0"/>
          <w:szCs w:val="24"/>
        </w:rPr>
        <w:t>Decision</w:t>
      </w:r>
      <w:r w:rsidRPr="00263349" w:rsidR="00733249">
        <w:rPr>
          <w:rFonts w:ascii="Palatino Linotype" w:hAnsi="Palatino Linotype" w:cs="TimesNewRoman"/>
          <w:b w:val="0"/>
          <w:szCs w:val="24"/>
        </w:rPr>
        <w:t xml:space="preserve"> is clear on the use of GHG revenue and public purpose program </w:t>
      </w:r>
      <w:r w:rsidRPr="00263349">
        <w:rPr>
          <w:rFonts w:ascii="Palatino Linotype" w:hAnsi="Palatino Linotype" w:cs="TimesNewRoman"/>
          <w:b w:val="0"/>
          <w:szCs w:val="24"/>
        </w:rPr>
        <w:t>funds</w:t>
      </w:r>
      <w:r w:rsidRPr="00263349" w:rsidR="00733249">
        <w:rPr>
          <w:rFonts w:ascii="Palatino Linotype" w:hAnsi="Palatino Linotype" w:cs="TimesNewRoman"/>
          <w:b w:val="0"/>
          <w:szCs w:val="24"/>
        </w:rPr>
        <w:t xml:space="preserve">. In responding to CCA concerns about </w:t>
      </w:r>
      <w:r w:rsidRPr="00263349" w:rsidR="00934BED">
        <w:rPr>
          <w:rFonts w:ascii="Palatino Linotype" w:hAnsi="Palatino Linotype" w:cs="TimesNewRoman"/>
          <w:b w:val="0"/>
          <w:szCs w:val="24"/>
        </w:rPr>
        <w:t xml:space="preserve">the </w:t>
      </w:r>
      <w:r w:rsidRPr="00263349">
        <w:rPr>
          <w:rFonts w:ascii="Palatino Linotype" w:hAnsi="Palatino Linotype" w:cs="TimesNewRoman"/>
          <w:b w:val="0"/>
          <w:szCs w:val="24"/>
        </w:rPr>
        <w:t xml:space="preserve">appropriateness of using </w:t>
      </w:r>
      <w:r w:rsidRPr="00263349" w:rsidR="00733249">
        <w:rPr>
          <w:rFonts w:ascii="Palatino Linotype" w:hAnsi="Palatino Linotype" w:cs="TimesNewRoman"/>
          <w:b w:val="0"/>
          <w:szCs w:val="24"/>
        </w:rPr>
        <w:t>GHG allowance proceeds</w:t>
      </w:r>
      <w:r w:rsidRPr="00263349">
        <w:rPr>
          <w:rFonts w:ascii="Palatino Linotype" w:hAnsi="Palatino Linotype" w:cs="TimesNewRoman"/>
          <w:b w:val="0"/>
          <w:szCs w:val="24"/>
        </w:rPr>
        <w:t xml:space="preserve"> for these programs,</w:t>
      </w:r>
      <w:r w:rsidRPr="00263349" w:rsidR="00733249">
        <w:rPr>
          <w:rFonts w:ascii="Palatino Linotype" w:hAnsi="Palatino Linotype" w:cs="TimesNewRoman"/>
          <w:b w:val="0"/>
          <w:szCs w:val="24"/>
        </w:rPr>
        <w:t xml:space="preserve"> the </w:t>
      </w:r>
      <w:r w:rsidRPr="00263349" w:rsidR="00A165B3">
        <w:rPr>
          <w:rFonts w:ascii="Palatino Linotype" w:hAnsi="Palatino Linotype" w:cs="TimesNewRoman"/>
          <w:b w:val="0"/>
          <w:szCs w:val="24"/>
        </w:rPr>
        <w:t>Decision</w:t>
      </w:r>
      <w:r w:rsidRPr="00263349" w:rsidR="00733249">
        <w:rPr>
          <w:rFonts w:ascii="Palatino Linotype" w:hAnsi="Palatino Linotype" w:cs="TimesNewRoman"/>
          <w:b w:val="0"/>
          <w:szCs w:val="24"/>
        </w:rPr>
        <w:t xml:space="preserve"> states, “our DAC-Green Tariff would be open to both bundled and unbundled customers . . . As with the DAC-SASH program, it is appropriate that all customers pay for the DAC-Green Tariff program.”</w:t>
      </w:r>
      <w:r w:rsidRPr="00511954" w:rsidR="00733249">
        <w:rPr>
          <w:rStyle w:val="FootnoteReference"/>
          <w:rFonts w:ascii="Palatino Linotype" w:hAnsi="Palatino Linotype" w:cs="TimesNewRoman"/>
          <w:b w:val="0"/>
          <w:szCs w:val="24"/>
        </w:rPr>
        <w:footnoteReference w:id="36"/>
      </w:r>
      <w:r w:rsidRPr="00511954" w:rsidR="00E95F06">
        <w:rPr>
          <w:rFonts w:ascii="Palatino Linotype" w:hAnsi="Palatino Linotype" w:cs="TimesNewRoman"/>
          <w:b w:val="0"/>
          <w:szCs w:val="24"/>
        </w:rPr>
        <w:t xml:space="preserve"> </w:t>
      </w:r>
      <w:r w:rsidRPr="00511954">
        <w:rPr>
          <w:rFonts w:ascii="Palatino Linotype" w:hAnsi="Palatino Linotype" w:cs="TimesNewRoman"/>
          <w:b w:val="0"/>
          <w:szCs w:val="24"/>
        </w:rPr>
        <w:t xml:space="preserve">It is informative to review the allocation of funding for the </w:t>
      </w:r>
      <w:r w:rsidRPr="00511954" w:rsidR="002C2486">
        <w:rPr>
          <w:rFonts w:ascii="Palatino Linotype" w:hAnsi="Palatino Linotype" w:cs="TimesNewRoman"/>
          <w:b w:val="0"/>
          <w:szCs w:val="24"/>
        </w:rPr>
        <w:t>DAC-SASH program</w:t>
      </w:r>
      <w:r w:rsidRPr="00263349">
        <w:rPr>
          <w:rFonts w:ascii="Palatino Linotype" w:hAnsi="Palatino Linotype" w:cs="TimesNewRoman"/>
          <w:b w:val="0"/>
          <w:szCs w:val="24"/>
        </w:rPr>
        <w:t xml:space="preserve">: </w:t>
      </w:r>
      <w:r w:rsidRPr="00263349" w:rsidR="002C2486">
        <w:rPr>
          <w:rFonts w:ascii="Palatino Linotype" w:hAnsi="Palatino Linotype" w:cs="TimesNewRoman"/>
          <w:b w:val="0"/>
          <w:szCs w:val="24"/>
        </w:rPr>
        <w:t xml:space="preserve">GHG allowance proceeds and public purpose program funds </w:t>
      </w:r>
      <w:r w:rsidRPr="00263349">
        <w:rPr>
          <w:rFonts w:ascii="Palatino Linotype" w:hAnsi="Palatino Linotype" w:cs="TimesNewRoman"/>
          <w:b w:val="0"/>
          <w:szCs w:val="24"/>
        </w:rPr>
        <w:t>collected</w:t>
      </w:r>
      <w:r w:rsidRPr="00263349" w:rsidR="00346D8B">
        <w:rPr>
          <w:rFonts w:ascii="Palatino Linotype" w:hAnsi="Palatino Linotype" w:cs="TimesNewRoman"/>
          <w:b w:val="0"/>
          <w:szCs w:val="24"/>
        </w:rPr>
        <w:t xml:space="preserve"> </w:t>
      </w:r>
      <w:r w:rsidRPr="00263349">
        <w:rPr>
          <w:rFonts w:ascii="Palatino Linotype" w:hAnsi="Palatino Linotype" w:cs="TimesNewRoman"/>
          <w:b w:val="0"/>
          <w:szCs w:val="24"/>
        </w:rPr>
        <w:t xml:space="preserve">within </w:t>
      </w:r>
      <w:r w:rsidRPr="00263349" w:rsidR="00346D8B">
        <w:rPr>
          <w:rFonts w:ascii="Palatino Linotype" w:hAnsi="Palatino Linotype" w:cs="TimesNewRoman"/>
          <w:b w:val="0"/>
          <w:szCs w:val="24"/>
        </w:rPr>
        <w:t xml:space="preserve">an IOU’s </w:t>
      </w:r>
      <w:r w:rsidRPr="00263349" w:rsidR="006A3C0C">
        <w:rPr>
          <w:rFonts w:ascii="Palatino Linotype" w:hAnsi="Palatino Linotype" w:cs="TimesNewRoman"/>
          <w:b w:val="0"/>
          <w:szCs w:val="24"/>
        </w:rPr>
        <w:t xml:space="preserve">distribution </w:t>
      </w:r>
      <w:r w:rsidRPr="00263349" w:rsidR="00346D8B">
        <w:rPr>
          <w:rFonts w:ascii="Palatino Linotype" w:hAnsi="Palatino Linotype" w:cs="TimesNewRoman"/>
          <w:b w:val="0"/>
          <w:szCs w:val="24"/>
        </w:rPr>
        <w:t xml:space="preserve">service territory </w:t>
      </w:r>
      <w:r w:rsidRPr="00263349">
        <w:rPr>
          <w:rFonts w:ascii="Palatino Linotype" w:hAnsi="Palatino Linotype" w:cs="TimesNewRoman"/>
          <w:b w:val="0"/>
          <w:szCs w:val="24"/>
        </w:rPr>
        <w:t>will be</w:t>
      </w:r>
      <w:r w:rsidRPr="00263349" w:rsidR="00346D8B">
        <w:rPr>
          <w:rFonts w:ascii="Palatino Linotype" w:hAnsi="Palatino Linotype" w:cs="TimesNewRoman"/>
          <w:b w:val="0"/>
          <w:szCs w:val="24"/>
        </w:rPr>
        <w:t xml:space="preserve"> </w:t>
      </w:r>
      <w:r w:rsidRPr="00263349" w:rsidR="002C2486">
        <w:rPr>
          <w:rFonts w:ascii="Palatino Linotype" w:hAnsi="Palatino Linotype" w:cs="TimesNewRoman"/>
          <w:b w:val="0"/>
          <w:szCs w:val="24"/>
        </w:rPr>
        <w:t>used to install solar on</w:t>
      </w:r>
      <w:r w:rsidRPr="00263349">
        <w:rPr>
          <w:rFonts w:ascii="Palatino Linotype" w:hAnsi="Palatino Linotype" w:cs="TimesNewRoman"/>
          <w:b w:val="0"/>
          <w:szCs w:val="24"/>
        </w:rPr>
        <w:t xml:space="preserve"> the homes of</w:t>
      </w:r>
      <w:r w:rsidRPr="00263349" w:rsidR="002C2486">
        <w:rPr>
          <w:rFonts w:ascii="Palatino Linotype" w:hAnsi="Palatino Linotype" w:cs="TimesNewRoman"/>
          <w:b w:val="0"/>
          <w:szCs w:val="24"/>
        </w:rPr>
        <w:t xml:space="preserve"> income</w:t>
      </w:r>
      <w:r w:rsidRPr="00263349">
        <w:rPr>
          <w:rFonts w:ascii="Palatino Linotype" w:hAnsi="Palatino Linotype" w:cs="TimesNewRoman"/>
          <w:b w:val="0"/>
          <w:szCs w:val="24"/>
        </w:rPr>
        <w:t>-</w:t>
      </w:r>
      <w:r w:rsidRPr="00263349" w:rsidR="002C2486">
        <w:rPr>
          <w:rFonts w:ascii="Palatino Linotype" w:hAnsi="Palatino Linotype" w:cs="TimesNewRoman"/>
          <w:b w:val="0"/>
          <w:szCs w:val="24"/>
        </w:rPr>
        <w:t>qualified</w:t>
      </w:r>
      <w:r w:rsidRPr="00263349" w:rsidR="00934BED">
        <w:rPr>
          <w:rFonts w:ascii="Palatino Linotype" w:hAnsi="Palatino Linotype" w:cs="TimesNewRoman"/>
          <w:b w:val="0"/>
          <w:szCs w:val="24"/>
        </w:rPr>
        <w:t>,</w:t>
      </w:r>
      <w:r w:rsidRPr="00263349" w:rsidR="002C2486">
        <w:rPr>
          <w:rFonts w:ascii="Palatino Linotype" w:hAnsi="Palatino Linotype" w:cs="TimesNewRoman"/>
          <w:b w:val="0"/>
          <w:szCs w:val="24"/>
        </w:rPr>
        <w:t xml:space="preserve"> single family hom</w:t>
      </w:r>
      <w:r w:rsidRPr="00263349">
        <w:rPr>
          <w:rFonts w:ascii="Palatino Linotype" w:hAnsi="Palatino Linotype" w:cs="TimesNewRoman"/>
          <w:b w:val="0"/>
          <w:szCs w:val="24"/>
        </w:rPr>
        <w:t>eowner</w:t>
      </w:r>
      <w:r w:rsidRPr="00263349" w:rsidR="002C2486">
        <w:rPr>
          <w:rFonts w:ascii="Palatino Linotype" w:hAnsi="Palatino Linotype" w:cs="TimesNewRoman"/>
          <w:b w:val="0"/>
          <w:szCs w:val="24"/>
        </w:rPr>
        <w:t>s in DACs</w:t>
      </w:r>
      <w:r w:rsidRPr="00263349">
        <w:rPr>
          <w:rFonts w:ascii="Palatino Linotype" w:hAnsi="Palatino Linotype" w:cs="TimesNewRoman"/>
          <w:b w:val="0"/>
          <w:szCs w:val="24"/>
        </w:rPr>
        <w:t xml:space="preserve"> across that IOU’s service territory</w:t>
      </w:r>
      <w:r w:rsidRPr="00263349" w:rsidR="002C2486">
        <w:rPr>
          <w:rFonts w:ascii="Palatino Linotype" w:hAnsi="Palatino Linotype" w:cs="TimesNewRoman"/>
          <w:b w:val="0"/>
          <w:szCs w:val="24"/>
        </w:rPr>
        <w:t xml:space="preserve"> (irrespective of whether those </w:t>
      </w:r>
      <w:r w:rsidRPr="00263349">
        <w:rPr>
          <w:rFonts w:ascii="Palatino Linotype" w:hAnsi="Palatino Linotype" w:cs="TimesNewRoman"/>
          <w:b w:val="0"/>
          <w:szCs w:val="24"/>
        </w:rPr>
        <w:t>homeowners</w:t>
      </w:r>
      <w:r w:rsidRPr="00263349" w:rsidR="002C2486">
        <w:rPr>
          <w:rFonts w:ascii="Palatino Linotype" w:hAnsi="Palatino Linotype" w:cs="TimesNewRoman"/>
          <w:b w:val="0"/>
          <w:szCs w:val="24"/>
        </w:rPr>
        <w:t xml:space="preserve"> are </w:t>
      </w:r>
      <w:r w:rsidRPr="00263349" w:rsidR="00346D8B">
        <w:rPr>
          <w:rFonts w:ascii="Palatino Linotype" w:hAnsi="Palatino Linotype" w:cs="TimesNewRoman"/>
          <w:b w:val="0"/>
          <w:szCs w:val="24"/>
        </w:rPr>
        <w:t xml:space="preserve">bundled </w:t>
      </w:r>
      <w:r w:rsidRPr="00263349" w:rsidR="002C2486">
        <w:rPr>
          <w:rFonts w:ascii="Palatino Linotype" w:hAnsi="Palatino Linotype" w:cs="TimesNewRoman"/>
          <w:b w:val="0"/>
          <w:szCs w:val="24"/>
        </w:rPr>
        <w:t>IOU customers</w:t>
      </w:r>
      <w:r w:rsidRPr="00263349" w:rsidR="00346D8B">
        <w:rPr>
          <w:rFonts w:ascii="Palatino Linotype" w:hAnsi="Palatino Linotype" w:cs="TimesNewRoman"/>
          <w:b w:val="0"/>
          <w:szCs w:val="24"/>
        </w:rPr>
        <w:t xml:space="preserve"> or CCA customers</w:t>
      </w:r>
      <w:r w:rsidRPr="00263349" w:rsidR="002C2486">
        <w:rPr>
          <w:rFonts w:ascii="Palatino Linotype" w:hAnsi="Palatino Linotype" w:cs="TimesNewRoman"/>
          <w:b w:val="0"/>
          <w:szCs w:val="24"/>
        </w:rPr>
        <w:t>)</w:t>
      </w:r>
      <w:r w:rsidRPr="00263349">
        <w:rPr>
          <w:rFonts w:ascii="Palatino Linotype" w:hAnsi="Palatino Linotype" w:cs="TimesNewRoman"/>
          <w:b w:val="0"/>
          <w:szCs w:val="24"/>
        </w:rPr>
        <w:t xml:space="preserve">. </w:t>
      </w:r>
      <w:r w:rsidRPr="00263349" w:rsidR="00AB0073">
        <w:rPr>
          <w:rFonts w:ascii="Palatino Linotype" w:hAnsi="Palatino Linotype" w:cs="TimesNewRoman"/>
          <w:b w:val="0"/>
          <w:szCs w:val="24"/>
        </w:rPr>
        <w:t xml:space="preserve">Similarly, </w:t>
      </w:r>
      <w:r w:rsidRPr="00263349" w:rsidR="002C2486">
        <w:rPr>
          <w:rFonts w:ascii="Palatino Linotype" w:hAnsi="Palatino Linotype" w:cs="TimesNewRoman"/>
          <w:b w:val="0"/>
          <w:szCs w:val="24"/>
        </w:rPr>
        <w:t xml:space="preserve">DAC-GT and CSGT program funding </w:t>
      </w:r>
      <w:r w:rsidRPr="00263349" w:rsidR="00AB0073">
        <w:rPr>
          <w:rFonts w:ascii="Palatino Linotype" w:hAnsi="Palatino Linotype" w:cs="TimesNewRoman"/>
          <w:b w:val="0"/>
          <w:szCs w:val="24"/>
        </w:rPr>
        <w:t xml:space="preserve">will </w:t>
      </w:r>
      <w:r w:rsidRPr="00263349" w:rsidR="002C2486">
        <w:rPr>
          <w:rFonts w:ascii="Palatino Linotype" w:hAnsi="Palatino Linotype" w:cs="TimesNewRoman"/>
          <w:b w:val="0"/>
          <w:szCs w:val="24"/>
        </w:rPr>
        <w:t xml:space="preserve">be available for </w:t>
      </w:r>
      <w:r w:rsidRPr="00263349" w:rsidR="00FC1ABB">
        <w:rPr>
          <w:rFonts w:ascii="Palatino Linotype" w:hAnsi="Palatino Linotype" w:cs="TimesNewRoman"/>
          <w:b w:val="0"/>
          <w:szCs w:val="24"/>
        </w:rPr>
        <w:t xml:space="preserve">any </w:t>
      </w:r>
      <w:r w:rsidRPr="00263349" w:rsidR="002C2486">
        <w:rPr>
          <w:rFonts w:ascii="Palatino Linotype" w:hAnsi="Palatino Linotype" w:cs="TimesNewRoman"/>
          <w:b w:val="0"/>
          <w:szCs w:val="24"/>
        </w:rPr>
        <w:t>qualified projects in DACs</w:t>
      </w:r>
      <w:r w:rsidRPr="00263349" w:rsidR="00AB0073">
        <w:rPr>
          <w:rFonts w:ascii="Palatino Linotype" w:hAnsi="Palatino Linotype" w:cs="TimesNewRoman"/>
          <w:b w:val="0"/>
          <w:szCs w:val="24"/>
        </w:rPr>
        <w:t xml:space="preserve"> throughout an IOU’s service territory</w:t>
      </w:r>
      <w:r w:rsidRPr="00263349" w:rsidR="00713E72">
        <w:rPr>
          <w:rFonts w:ascii="Palatino Linotype" w:hAnsi="Palatino Linotype" w:cs="TimesNewRoman"/>
          <w:b w:val="0"/>
          <w:szCs w:val="24"/>
        </w:rPr>
        <w:t>, regardless of whether the Power Purchase Agreement (PPA) is held by the IOU or a CCA</w:t>
      </w:r>
      <w:r w:rsidRPr="00263349" w:rsidR="002C2486">
        <w:rPr>
          <w:rFonts w:ascii="Palatino Linotype" w:hAnsi="Palatino Linotype" w:cs="TimesNewRoman"/>
          <w:b w:val="0"/>
          <w:szCs w:val="24"/>
        </w:rPr>
        <w:t>.</w:t>
      </w:r>
      <w:r w:rsidRPr="00511954" w:rsidR="00BD5998">
        <w:rPr>
          <w:rStyle w:val="FootnoteReference"/>
          <w:rFonts w:ascii="Palatino Linotype" w:hAnsi="Palatino Linotype" w:cs="TimesNewRoman"/>
          <w:b w:val="0"/>
          <w:szCs w:val="24"/>
        </w:rPr>
        <w:footnoteReference w:id="37"/>
      </w:r>
      <w:r w:rsidRPr="00511954" w:rsidR="002C2486">
        <w:rPr>
          <w:rFonts w:ascii="Palatino Linotype" w:hAnsi="Palatino Linotype" w:cs="TimesNewRoman"/>
          <w:b w:val="0"/>
          <w:szCs w:val="24"/>
        </w:rPr>
        <w:t xml:space="preserve"> </w:t>
      </w:r>
      <w:r w:rsidRPr="00511954" w:rsidR="00713E72">
        <w:rPr>
          <w:rFonts w:ascii="Palatino Linotype" w:hAnsi="Palatino Linotype" w:cs="TimesNewRoman"/>
          <w:b w:val="0"/>
          <w:szCs w:val="24"/>
        </w:rPr>
        <w:t>T</w:t>
      </w:r>
      <w:r w:rsidRPr="00511954" w:rsidR="001A7925">
        <w:rPr>
          <w:rFonts w:ascii="Palatino Linotype" w:hAnsi="Palatino Linotype" w:cs="TimesNewRoman"/>
          <w:b w:val="0"/>
          <w:szCs w:val="24"/>
        </w:rPr>
        <w:t xml:space="preserve">he </w:t>
      </w:r>
      <w:r w:rsidR="00BF6C83">
        <w:rPr>
          <w:rFonts w:ascii="Palatino Linotype" w:hAnsi="Palatino Linotype" w:cs="TimesNewRoman"/>
          <w:b w:val="0"/>
          <w:szCs w:val="24"/>
        </w:rPr>
        <w:t xml:space="preserve">Protesting </w:t>
      </w:r>
      <w:r w:rsidRPr="00511954" w:rsidR="001A7925">
        <w:rPr>
          <w:rFonts w:ascii="Palatino Linotype" w:hAnsi="Palatino Linotype" w:cs="TimesNewRoman"/>
          <w:b w:val="0"/>
          <w:szCs w:val="24"/>
        </w:rPr>
        <w:t>CCAs’ protest on the issues of cross-subsidization between bundled and unbundled customers and accounting and cost recovery</w:t>
      </w:r>
      <w:r w:rsidRPr="00263349" w:rsidR="006A3C0C">
        <w:rPr>
          <w:rFonts w:ascii="Palatino Linotype" w:hAnsi="Palatino Linotype" w:cs="TimesNewRoman"/>
          <w:b w:val="0"/>
          <w:szCs w:val="24"/>
        </w:rPr>
        <w:t xml:space="preserve"> is rejected</w:t>
      </w:r>
      <w:r w:rsidRPr="00263349" w:rsidR="00713E72">
        <w:rPr>
          <w:rFonts w:ascii="Palatino Linotype" w:hAnsi="Palatino Linotype" w:cs="TimesNewRoman"/>
          <w:b w:val="0"/>
          <w:szCs w:val="24"/>
        </w:rPr>
        <w:t xml:space="preserve"> because the NEM DAC Decision is clear that all customers will pay for these programs through GHG allowance proceeds and public purpose program funds</w:t>
      </w:r>
      <w:r w:rsidRPr="00263349" w:rsidR="006A3C0C">
        <w:rPr>
          <w:rFonts w:ascii="Palatino Linotype" w:hAnsi="Palatino Linotype" w:cs="TimesNewRoman"/>
          <w:b w:val="0"/>
          <w:szCs w:val="24"/>
        </w:rPr>
        <w:t xml:space="preserve">. </w:t>
      </w:r>
    </w:p>
    <w:bookmarkEnd w:id="2"/>
    <w:p w:rsidRPr="00263349" w:rsidR="004F3A8B" w:rsidP="00934BED" w:rsidRDefault="004F3A8B" w14:paraId="30BD0D82" w14:textId="16AABBB4">
      <w:pPr>
        <w:keepNext/>
        <w:autoSpaceDE w:val="0"/>
        <w:autoSpaceDN w:val="0"/>
        <w:adjustRightInd w:val="0"/>
        <w:spacing w:after="240"/>
        <w:rPr>
          <w:rFonts w:ascii="Palatino Linotype" w:hAnsi="Palatino Linotype" w:cs="TimesNewRoman"/>
          <w:b/>
          <w:szCs w:val="24"/>
        </w:rPr>
      </w:pPr>
      <w:r w:rsidRPr="00263349">
        <w:rPr>
          <w:rFonts w:ascii="Palatino Linotype" w:hAnsi="Palatino Linotype" w:cs="TimesNewRoman"/>
          <w:b/>
          <w:szCs w:val="24"/>
        </w:rPr>
        <w:t xml:space="preserve">Disposition of IREC and SELC’s </w:t>
      </w:r>
      <w:r w:rsidRPr="00263349" w:rsidR="002903C9">
        <w:rPr>
          <w:rFonts w:ascii="Palatino Linotype" w:hAnsi="Palatino Linotype" w:cs="TimesNewRoman"/>
          <w:b/>
          <w:szCs w:val="24"/>
        </w:rPr>
        <w:t>Response</w:t>
      </w:r>
    </w:p>
    <w:p w:rsidRPr="00263349" w:rsidR="00D450E1" w:rsidP="00501851" w:rsidRDefault="003E565B" w14:paraId="75933A79" w14:textId="77777777">
      <w:pPr>
        <w:pStyle w:val="BodyText"/>
        <w:spacing w:after="120"/>
        <w:rPr>
          <w:rFonts w:ascii="Palatino Linotype" w:hAnsi="Palatino Linotype"/>
          <w:b w:val="0"/>
        </w:rPr>
      </w:pPr>
      <w:r w:rsidRPr="00263349">
        <w:rPr>
          <w:rFonts w:ascii="Palatino Linotype" w:hAnsi="Palatino Linotype"/>
          <w:b w:val="0"/>
        </w:rPr>
        <w:t xml:space="preserve">This section will address </w:t>
      </w:r>
      <w:r w:rsidRPr="00263349" w:rsidR="002903C9">
        <w:rPr>
          <w:rFonts w:ascii="Palatino Linotype" w:hAnsi="Palatino Linotype"/>
          <w:b w:val="0"/>
        </w:rPr>
        <w:t xml:space="preserve">the </w:t>
      </w:r>
      <w:r w:rsidRPr="00263349" w:rsidR="00BE419A">
        <w:rPr>
          <w:rFonts w:ascii="Palatino Linotype" w:hAnsi="Palatino Linotype"/>
          <w:b w:val="0"/>
        </w:rPr>
        <w:t xml:space="preserve">issues raised in </w:t>
      </w:r>
      <w:r w:rsidRPr="00263349" w:rsidR="002903C9">
        <w:rPr>
          <w:rFonts w:ascii="Palatino Linotype" w:hAnsi="Palatino Linotype"/>
          <w:b w:val="0"/>
        </w:rPr>
        <w:t>IREC/SELC’s response.</w:t>
      </w:r>
      <w:r w:rsidRPr="00263349" w:rsidR="00501851">
        <w:rPr>
          <w:rFonts w:ascii="Palatino Linotype" w:hAnsi="Palatino Linotype"/>
          <w:b w:val="0"/>
        </w:rPr>
        <w:t xml:space="preserve"> </w:t>
      </w:r>
    </w:p>
    <w:p w:rsidRPr="00511954" w:rsidR="00501851" w:rsidP="00501851" w:rsidRDefault="00501851" w14:paraId="588D10F1" w14:textId="6BE29CB0">
      <w:pPr>
        <w:pStyle w:val="BodyText"/>
        <w:spacing w:after="120"/>
        <w:rPr>
          <w:rFonts w:ascii="Palatino Linotype" w:hAnsi="Palatino Linotype"/>
          <w:b w:val="0"/>
        </w:rPr>
      </w:pPr>
      <w:r w:rsidRPr="00263349">
        <w:rPr>
          <w:rFonts w:ascii="Palatino Linotype" w:hAnsi="Palatino Linotype"/>
          <w:b w:val="0"/>
        </w:rPr>
        <w:t xml:space="preserve">IREC/SELC’s concerns </w:t>
      </w:r>
      <w:r w:rsidRPr="00263349" w:rsidR="00DA5F88">
        <w:rPr>
          <w:rFonts w:ascii="Palatino Linotype" w:hAnsi="Palatino Linotype"/>
          <w:b w:val="0"/>
        </w:rPr>
        <w:t>reg</w:t>
      </w:r>
      <w:r w:rsidRPr="00511954" w:rsidR="00DA5F88">
        <w:rPr>
          <w:rFonts w:ascii="Palatino Linotype" w:hAnsi="Palatino Linotype"/>
          <w:b w:val="0"/>
        </w:rPr>
        <w:t xml:space="preserve">arding the </w:t>
      </w:r>
      <w:r w:rsidRPr="00511954">
        <w:rPr>
          <w:rFonts w:ascii="Palatino Linotype" w:hAnsi="Palatino Linotype"/>
          <w:b w:val="0"/>
        </w:rPr>
        <w:t>appl</w:t>
      </w:r>
      <w:r w:rsidRPr="00511954" w:rsidR="00DA5F88">
        <w:rPr>
          <w:rFonts w:ascii="Palatino Linotype" w:hAnsi="Palatino Linotype"/>
          <w:b w:val="0"/>
        </w:rPr>
        <w:t>ication of</w:t>
      </w:r>
      <w:r w:rsidRPr="00511954">
        <w:rPr>
          <w:rFonts w:ascii="Palatino Linotype" w:hAnsi="Palatino Linotype"/>
          <w:b w:val="0"/>
        </w:rPr>
        <w:t xml:space="preserve"> the 20 percent bill discount to a customer’s whole bill</w:t>
      </w:r>
      <w:r w:rsidRPr="00511954" w:rsidR="00396D5E">
        <w:rPr>
          <w:rFonts w:ascii="Palatino Linotype" w:hAnsi="Palatino Linotype"/>
          <w:b w:val="0"/>
        </w:rPr>
        <w:t xml:space="preserve"> </w:t>
      </w:r>
      <w:r w:rsidRPr="00511954">
        <w:rPr>
          <w:rFonts w:ascii="Palatino Linotype" w:hAnsi="Palatino Linotype"/>
          <w:b w:val="0"/>
        </w:rPr>
        <w:t>and PG&amp;E customers not on CARE and FERA-eligible rates being able to participate in the CSGT program</w:t>
      </w:r>
      <w:r w:rsidRPr="00511954" w:rsidR="00DA5F88">
        <w:rPr>
          <w:rFonts w:ascii="Palatino Linotype" w:hAnsi="Palatino Linotype"/>
          <w:b w:val="0"/>
        </w:rPr>
        <w:t>,</w:t>
      </w:r>
      <w:r w:rsidRPr="00511954">
        <w:rPr>
          <w:rFonts w:ascii="Palatino Linotype" w:hAnsi="Palatino Linotype"/>
          <w:b w:val="0"/>
        </w:rPr>
        <w:t xml:space="preserve"> have been addressed by the IOUs in their replies and rectified in the IOUs’ </w:t>
      </w:r>
      <w:r w:rsidR="003911E7">
        <w:rPr>
          <w:rFonts w:ascii="Palatino Linotype" w:hAnsi="Palatino Linotype"/>
          <w:b w:val="0"/>
        </w:rPr>
        <w:t>supplemental AL filings,</w:t>
      </w:r>
      <w:r w:rsidRPr="00511954">
        <w:rPr>
          <w:rFonts w:ascii="Palatino Linotype" w:hAnsi="Palatino Linotype"/>
          <w:b w:val="0"/>
        </w:rPr>
        <w:t xml:space="preserve"> as necessary. </w:t>
      </w:r>
      <w:r w:rsidRPr="00511954" w:rsidR="005C43E3">
        <w:rPr>
          <w:rFonts w:ascii="Palatino Linotype" w:hAnsi="Palatino Linotype"/>
          <w:b w:val="0"/>
        </w:rPr>
        <w:t xml:space="preserve"> </w:t>
      </w:r>
      <w:r w:rsidRPr="00511954">
        <w:rPr>
          <w:rFonts w:ascii="Palatino Linotype" w:hAnsi="Palatino Linotype"/>
          <w:b w:val="0"/>
        </w:rPr>
        <w:t>These aspects of IREC/SELC’s protest have been addressed, and therefore are</w:t>
      </w:r>
      <w:r w:rsidR="00511954">
        <w:rPr>
          <w:rFonts w:ascii="Palatino Linotype" w:hAnsi="Palatino Linotype"/>
          <w:b w:val="0"/>
        </w:rPr>
        <w:t xml:space="preserve"> </w:t>
      </w:r>
      <w:r w:rsidRPr="00511954">
        <w:rPr>
          <w:rFonts w:ascii="Palatino Linotype" w:hAnsi="Palatino Linotype"/>
          <w:b w:val="0"/>
        </w:rPr>
        <w:t>moot</w:t>
      </w:r>
      <w:r w:rsidRPr="00511954" w:rsidR="00942AFA">
        <w:rPr>
          <w:rFonts w:ascii="Palatino Linotype" w:hAnsi="Palatino Linotype"/>
          <w:b w:val="0"/>
        </w:rPr>
        <w:t>.</w:t>
      </w:r>
    </w:p>
    <w:p w:rsidRPr="00511954" w:rsidR="00396D5E" w:rsidP="00BE419A" w:rsidRDefault="00396D5E" w14:paraId="561B52EF" w14:textId="631C9079">
      <w:pPr>
        <w:pStyle w:val="BodyText"/>
        <w:rPr>
          <w:rFonts w:ascii="Palatino Linotype" w:hAnsi="Palatino Linotype"/>
          <w:b w:val="0"/>
          <w:u w:val="single"/>
        </w:rPr>
      </w:pPr>
      <w:r w:rsidRPr="00511954">
        <w:rPr>
          <w:rFonts w:ascii="Palatino Linotype" w:hAnsi="Palatino Linotype"/>
          <w:b w:val="0"/>
          <w:u w:val="single"/>
        </w:rPr>
        <w:t xml:space="preserve">Community Sponsor Bill Discount Retention </w:t>
      </w:r>
    </w:p>
    <w:p w:rsidRPr="00511954" w:rsidR="00396D5E" w:rsidP="006A6F3E" w:rsidRDefault="00396D5E" w14:paraId="34F170DD" w14:textId="17E517C0">
      <w:pPr>
        <w:pStyle w:val="BodyText"/>
        <w:spacing w:after="120"/>
        <w:rPr>
          <w:rFonts w:ascii="Palatino Linotype" w:hAnsi="Palatino Linotype"/>
          <w:b w:val="0"/>
        </w:rPr>
      </w:pPr>
      <w:r w:rsidRPr="00511954">
        <w:rPr>
          <w:rFonts w:ascii="Palatino Linotype" w:hAnsi="Palatino Linotype"/>
          <w:b w:val="0"/>
        </w:rPr>
        <w:t>As previously discussed,</w:t>
      </w:r>
      <w:r w:rsidRPr="00511954" w:rsidR="00E135CE">
        <w:rPr>
          <w:rFonts w:ascii="Palatino Linotype" w:hAnsi="Palatino Linotype"/>
          <w:b w:val="0"/>
        </w:rPr>
        <w:t xml:space="preserve"> in their replies</w:t>
      </w:r>
      <w:r w:rsidRPr="00511954">
        <w:rPr>
          <w:rFonts w:ascii="Palatino Linotype" w:hAnsi="Palatino Linotype"/>
          <w:b w:val="0"/>
        </w:rPr>
        <w:t xml:space="preserve"> all three IOUs agree</w:t>
      </w:r>
      <w:r w:rsidRPr="00511954" w:rsidR="00655B6A">
        <w:rPr>
          <w:rFonts w:ascii="Palatino Linotype" w:hAnsi="Palatino Linotype"/>
          <w:b w:val="0"/>
        </w:rPr>
        <w:t xml:space="preserve"> </w:t>
      </w:r>
      <w:r w:rsidRPr="00511954">
        <w:rPr>
          <w:rFonts w:ascii="Palatino Linotype" w:hAnsi="Palatino Linotype"/>
          <w:b w:val="0"/>
        </w:rPr>
        <w:t>with IREC/SELC that a CSGT project sponsor should be able to retain the 20 percent bill discount once the 50 percent low</w:t>
      </w:r>
      <w:r w:rsidRPr="00511954" w:rsidR="00655B6A">
        <w:rPr>
          <w:rFonts w:ascii="Palatino Linotype" w:hAnsi="Palatino Linotype"/>
          <w:b w:val="0"/>
        </w:rPr>
        <w:t>-</w:t>
      </w:r>
      <w:r w:rsidRPr="00511954">
        <w:rPr>
          <w:rFonts w:ascii="Palatino Linotype" w:hAnsi="Palatino Linotype"/>
          <w:b w:val="0"/>
        </w:rPr>
        <w:t xml:space="preserve">income threshold is reached. PG&amp;E already included </w:t>
      </w:r>
      <w:r w:rsidRPr="00511954" w:rsidR="00655B6A">
        <w:rPr>
          <w:rFonts w:ascii="Palatino Linotype" w:hAnsi="Palatino Linotype"/>
          <w:b w:val="0"/>
        </w:rPr>
        <w:t xml:space="preserve">relevant </w:t>
      </w:r>
      <w:r w:rsidRPr="00511954">
        <w:rPr>
          <w:rFonts w:ascii="Palatino Linotype" w:hAnsi="Palatino Linotype"/>
          <w:b w:val="0"/>
        </w:rPr>
        <w:t xml:space="preserve">language in its AL and SCE submitted a supplemental AL in part to enact this provision. </w:t>
      </w:r>
      <w:r w:rsidRPr="00511954" w:rsidR="00EC2F6A">
        <w:rPr>
          <w:rFonts w:ascii="Palatino Linotype" w:hAnsi="Palatino Linotype"/>
          <w:b w:val="0"/>
        </w:rPr>
        <w:t xml:space="preserve">SDG&amp;E states that its CSGT tariff does not contain a trigger to remove </w:t>
      </w:r>
      <w:r w:rsidRPr="00511954" w:rsidR="00B3756A">
        <w:rPr>
          <w:rFonts w:ascii="Palatino Linotype" w:hAnsi="Palatino Linotype"/>
          <w:b w:val="0"/>
        </w:rPr>
        <w:t>a</w:t>
      </w:r>
      <w:r w:rsidRPr="00511954" w:rsidR="00EC2F6A">
        <w:rPr>
          <w:rFonts w:ascii="Palatino Linotype" w:hAnsi="Palatino Linotype"/>
          <w:b w:val="0"/>
        </w:rPr>
        <w:t xml:space="preserve"> community sponsor</w:t>
      </w:r>
      <w:r w:rsidRPr="00511954" w:rsidR="00B3756A">
        <w:rPr>
          <w:rFonts w:ascii="Palatino Linotype" w:hAnsi="Palatino Linotype"/>
          <w:b w:val="0"/>
        </w:rPr>
        <w:t>’</w:t>
      </w:r>
      <w:r w:rsidRPr="00511954" w:rsidR="00EC2F6A">
        <w:rPr>
          <w:rFonts w:ascii="Palatino Linotype" w:hAnsi="Palatino Linotype"/>
          <w:b w:val="0"/>
        </w:rPr>
        <w:t>s bill discount</w:t>
      </w:r>
      <w:r w:rsidRPr="00511954" w:rsidR="00D35842">
        <w:rPr>
          <w:rFonts w:ascii="Palatino Linotype" w:hAnsi="Palatino Linotype"/>
          <w:b w:val="0"/>
        </w:rPr>
        <w:t>.</w:t>
      </w:r>
      <w:r w:rsidRPr="00511954" w:rsidR="00EC2F6A">
        <w:rPr>
          <w:rFonts w:ascii="Palatino Linotype" w:hAnsi="Palatino Linotype"/>
          <w:b w:val="0"/>
        </w:rPr>
        <w:t xml:space="preserve"> </w:t>
      </w:r>
      <w:r w:rsidRPr="00511954" w:rsidR="00D35842">
        <w:rPr>
          <w:rFonts w:ascii="Palatino Linotype" w:hAnsi="Palatino Linotype"/>
          <w:b w:val="0"/>
        </w:rPr>
        <w:t>N</w:t>
      </w:r>
      <w:r w:rsidRPr="00511954" w:rsidR="00B3756A">
        <w:rPr>
          <w:rFonts w:ascii="Palatino Linotype" w:hAnsi="Palatino Linotype"/>
          <w:b w:val="0"/>
        </w:rPr>
        <w:t>otably</w:t>
      </w:r>
      <w:r w:rsidRPr="00511954" w:rsidR="00D35842">
        <w:rPr>
          <w:rFonts w:ascii="Palatino Linotype" w:hAnsi="Palatino Linotype"/>
          <w:b w:val="0"/>
        </w:rPr>
        <w:t>,</w:t>
      </w:r>
      <w:r w:rsidRPr="00511954" w:rsidR="00B3756A">
        <w:rPr>
          <w:rFonts w:ascii="Palatino Linotype" w:hAnsi="Palatino Linotype"/>
          <w:b w:val="0"/>
        </w:rPr>
        <w:t xml:space="preserve"> </w:t>
      </w:r>
      <w:r w:rsidRPr="00511954" w:rsidR="00EC2F6A">
        <w:rPr>
          <w:rFonts w:ascii="Palatino Linotype" w:hAnsi="Palatino Linotype"/>
          <w:b w:val="0"/>
        </w:rPr>
        <w:t xml:space="preserve">however, </w:t>
      </w:r>
      <w:r w:rsidRPr="00511954" w:rsidR="00B3756A">
        <w:rPr>
          <w:rFonts w:ascii="Palatino Linotype" w:hAnsi="Palatino Linotype"/>
          <w:b w:val="0"/>
        </w:rPr>
        <w:t xml:space="preserve">SDG&amp;E’s tariff </w:t>
      </w:r>
      <w:r w:rsidRPr="00511954" w:rsidR="00655B6A">
        <w:rPr>
          <w:rFonts w:ascii="Palatino Linotype" w:hAnsi="Palatino Linotype"/>
          <w:b w:val="0"/>
        </w:rPr>
        <w:t xml:space="preserve">also </w:t>
      </w:r>
      <w:r w:rsidRPr="00511954" w:rsidR="00B3756A">
        <w:rPr>
          <w:rFonts w:ascii="Palatino Linotype" w:hAnsi="Palatino Linotype"/>
          <w:b w:val="0"/>
        </w:rPr>
        <w:t xml:space="preserve">does not explicitly state that the community sponsor is </w:t>
      </w:r>
      <w:r w:rsidRPr="00E135CE" w:rsidR="0067074E">
        <w:rPr>
          <w:rFonts w:ascii="Palatino Linotype" w:hAnsi="Palatino Linotype"/>
          <w:b w:val="0"/>
        </w:rPr>
        <w:t>only</w:t>
      </w:r>
      <w:r w:rsidRPr="00511954" w:rsidR="00B3756A">
        <w:rPr>
          <w:rFonts w:ascii="Palatino Linotype" w:hAnsi="Palatino Linotype"/>
          <w:b w:val="0"/>
        </w:rPr>
        <w:t xml:space="preserve"> eligible to receive the 20 percent discount </w:t>
      </w:r>
      <w:r w:rsidRPr="00E135CE" w:rsidR="0067074E">
        <w:rPr>
          <w:rFonts w:ascii="Palatino Linotype" w:hAnsi="Palatino Linotype"/>
          <w:b w:val="0"/>
        </w:rPr>
        <w:t>once</w:t>
      </w:r>
      <w:r w:rsidRPr="00511954" w:rsidR="00B3756A">
        <w:rPr>
          <w:rFonts w:ascii="Palatino Linotype" w:hAnsi="Palatino Linotype"/>
          <w:b w:val="0"/>
        </w:rPr>
        <w:t xml:space="preserve"> the 50 percent low-income subscription threshold is reached. In addition, </w:t>
      </w:r>
      <w:r w:rsidRPr="00511954" w:rsidR="00655B6A">
        <w:rPr>
          <w:rFonts w:ascii="Palatino Linotype" w:hAnsi="Palatino Linotype"/>
          <w:b w:val="0"/>
        </w:rPr>
        <w:t>on SDG&amp;E’s desire to have flexibility in handling the community sponsor’s bill discount</w:t>
      </w:r>
      <w:r w:rsidRPr="00511954" w:rsidR="0067074E">
        <w:rPr>
          <w:rFonts w:ascii="Palatino Linotype" w:hAnsi="Palatino Linotype"/>
          <w:b w:val="0"/>
        </w:rPr>
        <w:t xml:space="preserve"> if circumstances change</w:t>
      </w:r>
      <w:r w:rsidRPr="00511954" w:rsidR="00655B6A">
        <w:rPr>
          <w:rFonts w:ascii="Palatino Linotype" w:hAnsi="Palatino Linotype"/>
          <w:b w:val="0"/>
        </w:rPr>
        <w:t xml:space="preserve">, </w:t>
      </w:r>
      <w:r w:rsidRPr="00511954" w:rsidR="00B3756A">
        <w:rPr>
          <w:rFonts w:ascii="Palatino Linotype" w:hAnsi="Palatino Linotype"/>
          <w:b w:val="0"/>
        </w:rPr>
        <w:t xml:space="preserve">we find that </w:t>
      </w:r>
      <w:r w:rsidRPr="00511954" w:rsidR="00EC2F6A">
        <w:rPr>
          <w:rFonts w:ascii="Palatino Linotype" w:hAnsi="Palatino Linotype"/>
          <w:b w:val="0"/>
        </w:rPr>
        <w:t>for consistency</w:t>
      </w:r>
      <w:r w:rsidRPr="00511954" w:rsidR="00D35842">
        <w:rPr>
          <w:rFonts w:ascii="Palatino Linotype" w:hAnsi="Palatino Linotype"/>
          <w:b w:val="0"/>
        </w:rPr>
        <w:t xml:space="preserve"> across IOU programs</w:t>
      </w:r>
      <w:r w:rsidRPr="00511954" w:rsidR="00EC2F6A">
        <w:rPr>
          <w:rFonts w:ascii="Palatino Linotype" w:hAnsi="Palatino Linotype"/>
          <w:b w:val="0"/>
        </w:rPr>
        <w:t xml:space="preserve">, </w:t>
      </w:r>
      <w:r w:rsidRPr="00511954" w:rsidR="00655B6A">
        <w:rPr>
          <w:rFonts w:ascii="Palatino Linotype" w:hAnsi="Palatino Linotype"/>
          <w:b w:val="0"/>
        </w:rPr>
        <w:t xml:space="preserve">qualified </w:t>
      </w:r>
      <w:r w:rsidRPr="00511954" w:rsidR="00EC2F6A">
        <w:rPr>
          <w:rFonts w:ascii="Palatino Linotype" w:hAnsi="Palatino Linotype"/>
          <w:b w:val="0"/>
        </w:rPr>
        <w:t>community sponsor</w:t>
      </w:r>
      <w:r w:rsidRPr="00511954" w:rsidR="00655B6A">
        <w:rPr>
          <w:rFonts w:ascii="Palatino Linotype" w:hAnsi="Palatino Linotype"/>
          <w:b w:val="0"/>
        </w:rPr>
        <w:t>s</w:t>
      </w:r>
      <w:r w:rsidRPr="00511954" w:rsidR="00EC2F6A">
        <w:rPr>
          <w:rFonts w:ascii="Palatino Linotype" w:hAnsi="Palatino Linotype"/>
          <w:b w:val="0"/>
        </w:rPr>
        <w:t xml:space="preserve"> should </w:t>
      </w:r>
      <w:r w:rsidRPr="00511954" w:rsidR="00FB1767">
        <w:rPr>
          <w:rFonts w:ascii="Palatino Linotype" w:hAnsi="Palatino Linotype"/>
          <w:b w:val="0"/>
        </w:rPr>
        <w:t xml:space="preserve">have assurances that they can </w:t>
      </w:r>
      <w:r w:rsidRPr="00511954" w:rsidR="00EC2F6A">
        <w:rPr>
          <w:rFonts w:ascii="Palatino Linotype" w:hAnsi="Palatino Linotype"/>
          <w:b w:val="0"/>
        </w:rPr>
        <w:t xml:space="preserve">retain the bill discount </w:t>
      </w:r>
      <w:r w:rsidRPr="00511954" w:rsidR="0067074E">
        <w:rPr>
          <w:rFonts w:ascii="Palatino Linotype" w:hAnsi="Palatino Linotype"/>
          <w:b w:val="0"/>
        </w:rPr>
        <w:t xml:space="preserve">for the life of the project </w:t>
      </w:r>
      <w:r w:rsidRPr="00511954" w:rsidR="00EC2F6A">
        <w:rPr>
          <w:rFonts w:ascii="Palatino Linotype" w:hAnsi="Palatino Linotype"/>
          <w:b w:val="0"/>
        </w:rPr>
        <w:t>once the low-income subscription threshold is reached.</w:t>
      </w:r>
      <w:r w:rsidRPr="00511954" w:rsidR="00B3756A">
        <w:rPr>
          <w:rFonts w:ascii="Palatino Linotype" w:hAnsi="Palatino Linotype"/>
          <w:b w:val="0"/>
        </w:rPr>
        <w:t xml:space="preserve"> SDG&amp;E must rev</w:t>
      </w:r>
      <w:r w:rsidRPr="00511954" w:rsidR="00EC2F6A">
        <w:rPr>
          <w:rFonts w:ascii="Palatino Linotype" w:hAnsi="Palatino Linotype"/>
          <w:b w:val="0"/>
        </w:rPr>
        <w:t xml:space="preserve">ise its </w:t>
      </w:r>
      <w:r w:rsidRPr="00511954" w:rsidR="00150FEC">
        <w:rPr>
          <w:rFonts w:ascii="Palatino Linotype" w:hAnsi="Palatino Linotype"/>
          <w:b w:val="0"/>
        </w:rPr>
        <w:t xml:space="preserve">CSGT </w:t>
      </w:r>
      <w:r w:rsidRPr="00511954" w:rsidR="00EC2F6A">
        <w:rPr>
          <w:rFonts w:ascii="Palatino Linotype" w:hAnsi="Palatino Linotype"/>
          <w:b w:val="0"/>
        </w:rPr>
        <w:t>tariff</w:t>
      </w:r>
      <w:r w:rsidRPr="00511954" w:rsidR="00B3756A">
        <w:rPr>
          <w:rFonts w:ascii="Palatino Linotype" w:hAnsi="Palatino Linotype"/>
          <w:b w:val="0"/>
        </w:rPr>
        <w:t xml:space="preserve"> to include the</w:t>
      </w:r>
      <w:r w:rsidRPr="00511954" w:rsidR="00FB1767">
        <w:rPr>
          <w:rFonts w:ascii="Palatino Linotype" w:hAnsi="Palatino Linotype"/>
          <w:b w:val="0"/>
        </w:rPr>
        <w:t xml:space="preserve"> condition that 50 percent of a CSGT project’s capacity must be</w:t>
      </w:r>
      <w:r w:rsidRPr="00511954" w:rsidR="00B3756A">
        <w:rPr>
          <w:rFonts w:ascii="Palatino Linotype" w:hAnsi="Palatino Linotype"/>
          <w:b w:val="0"/>
        </w:rPr>
        <w:t xml:space="preserve"> </w:t>
      </w:r>
      <w:r w:rsidRPr="00511954" w:rsidR="00FB1767">
        <w:rPr>
          <w:rFonts w:ascii="Palatino Linotype" w:hAnsi="Palatino Linotype"/>
          <w:b w:val="0"/>
        </w:rPr>
        <w:t xml:space="preserve">subscribed to </w:t>
      </w:r>
      <w:r w:rsidRPr="00511954" w:rsidR="00B3756A">
        <w:rPr>
          <w:rFonts w:ascii="Palatino Linotype" w:hAnsi="Palatino Linotype"/>
          <w:b w:val="0"/>
        </w:rPr>
        <w:t xml:space="preserve">low-income </w:t>
      </w:r>
      <w:r w:rsidRPr="00511954" w:rsidR="00FB1767">
        <w:rPr>
          <w:rFonts w:ascii="Palatino Linotype" w:hAnsi="Palatino Linotype"/>
          <w:b w:val="0"/>
        </w:rPr>
        <w:t xml:space="preserve">customers </w:t>
      </w:r>
      <w:r w:rsidRPr="00511954" w:rsidR="00B3756A">
        <w:rPr>
          <w:rFonts w:ascii="Palatino Linotype" w:hAnsi="Palatino Linotype"/>
          <w:b w:val="0"/>
        </w:rPr>
        <w:t>before a community sponsor can receive bill discounts and to enable community sponsors to retain bill discount</w:t>
      </w:r>
      <w:r w:rsidRPr="00511954" w:rsidR="0067074E">
        <w:rPr>
          <w:rFonts w:ascii="Palatino Linotype" w:hAnsi="Palatino Linotype"/>
          <w:b w:val="0"/>
        </w:rPr>
        <w:t>s for the life of the project</w:t>
      </w:r>
      <w:r w:rsidRPr="00511954" w:rsidR="00B3756A">
        <w:rPr>
          <w:rFonts w:ascii="Palatino Linotype" w:hAnsi="Palatino Linotype"/>
          <w:b w:val="0"/>
        </w:rPr>
        <w:t xml:space="preserve"> once this condition is met</w:t>
      </w:r>
      <w:r w:rsidRPr="00511954" w:rsidR="00EC2F6A">
        <w:rPr>
          <w:rFonts w:ascii="Palatino Linotype" w:hAnsi="Palatino Linotype"/>
          <w:b w:val="0"/>
        </w:rPr>
        <w:t xml:space="preserve">. </w:t>
      </w:r>
    </w:p>
    <w:p w:rsidRPr="00511954" w:rsidR="006B3549" w:rsidP="00BE419A" w:rsidRDefault="00D068C2" w14:paraId="4B7D3EF8" w14:textId="4FB7B804">
      <w:pPr>
        <w:pStyle w:val="BodyText"/>
        <w:rPr>
          <w:rFonts w:ascii="Palatino Linotype" w:hAnsi="Palatino Linotype"/>
          <w:b w:val="0"/>
        </w:rPr>
      </w:pPr>
      <w:r w:rsidRPr="00511954">
        <w:rPr>
          <w:rFonts w:ascii="Palatino Linotype" w:hAnsi="Palatino Linotype"/>
          <w:b w:val="0"/>
          <w:u w:val="single"/>
        </w:rPr>
        <w:t>Customer Eligibility</w:t>
      </w:r>
    </w:p>
    <w:p w:rsidRPr="00511954" w:rsidR="009656E1" w:rsidP="001A7925" w:rsidRDefault="00456BC3" w14:paraId="1EE592A0" w14:textId="31EFE1AE">
      <w:pPr>
        <w:pStyle w:val="BodyText"/>
        <w:spacing w:after="120"/>
        <w:rPr>
          <w:rFonts w:ascii="Palatino Linotype" w:hAnsi="Palatino Linotype"/>
          <w:b w:val="0"/>
        </w:rPr>
      </w:pPr>
      <w:r w:rsidRPr="00511954">
        <w:rPr>
          <w:rFonts w:ascii="Palatino Linotype" w:hAnsi="Palatino Linotype"/>
          <w:b w:val="0"/>
        </w:rPr>
        <w:t>In its reply to IREC</w:t>
      </w:r>
      <w:r w:rsidRPr="00511954" w:rsidR="00B470BF">
        <w:rPr>
          <w:rFonts w:ascii="Palatino Linotype" w:hAnsi="Palatino Linotype"/>
          <w:b w:val="0"/>
        </w:rPr>
        <w:t>/</w:t>
      </w:r>
      <w:r w:rsidRPr="00511954">
        <w:rPr>
          <w:rFonts w:ascii="Palatino Linotype" w:hAnsi="Palatino Linotype"/>
          <w:b w:val="0"/>
        </w:rPr>
        <w:t>SELC, SCE clearly states that it intends to apply the 20</w:t>
      </w:r>
      <w:r w:rsidRPr="00511954" w:rsidR="00530D31">
        <w:rPr>
          <w:rFonts w:ascii="Palatino Linotype" w:hAnsi="Palatino Linotype"/>
          <w:b w:val="0"/>
        </w:rPr>
        <w:t xml:space="preserve"> percent</w:t>
      </w:r>
      <w:r w:rsidRPr="00511954">
        <w:rPr>
          <w:rFonts w:ascii="Palatino Linotype" w:hAnsi="Palatino Linotype"/>
          <w:b w:val="0"/>
        </w:rPr>
        <w:t xml:space="preserve"> bill discount </w:t>
      </w:r>
      <w:r w:rsidRPr="00511954" w:rsidR="001A7925">
        <w:rPr>
          <w:rFonts w:ascii="Palatino Linotype" w:hAnsi="Palatino Linotype"/>
          <w:b w:val="0"/>
        </w:rPr>
        <w:t xml:space="preserve">only </w:t>
      </w:r>
      <w:r w:rsidRPr="00511954">
        <w:rPr>
          <w:rFonts w:ascii="Palatino Linotype" w:hAnsi="Palatino Linotype"/>
          <w:b w:val="0"/>
        </w:rPr>
        <w:t>to CARE and FERA customers</w:t>
      </w:r>
      <w:r w:rsidRPr="00511954" w:rsidR="00501851">
        <w:rPr>
          <w:rFonts w:ascii="Palatino Linotype" w:hAnsi="Palatino Linotype"/>
          <w:b w:val="0"/>
        </w:rPr>
        <w:t xml:space="preserve"> as SCE views non-income</w:t>
      </w:r>
      <w:r w:rsidR="004E474B">
        <w:rPr>
          <w:rFonts w:ascii="Palatino Linotype" w:hAnsi="Palatino Linotype"/>
          <w:b w:val="0"/>
        </w:rPr>
        <w:t>-</w:t>
      </w:r>
      <w:r w:rsidRPr="00511954" w:rsidR="00501851">
        <w:rPr>
          <w:rFonts w:ascii="Palatino Linotype" w:hAnsi="Palatino Linotype"/>
          <w:b w:val="0"/>
        </w:rPr>
        <w:t>qualified customers as ineligible for the discount</w:t>
      </w:r>
      <w:r w:rsidRPr="00511954">
        <w:rPr>
          <w:rFonts w:ascii="Palatino Linotype" w:hAnsi="Palatino Linotype"/>
          <w:b w:val="0"/>
        </w:rPr>
        <w:t>. This</w:t>
      </w:r>
      <w:r w:rsidRPr="00511954" w:rsidR="00B470BF">
        <w:rPr>
          <w:rFonts w:ascii="Palatino Linotype" w:hAnsi="Palatino Linotype"/>
          <w:b w:val="0"/>
        </w:rPr>
        <w:t xml:space="preserve"> approach</w:t>
      </w:r>
      <w:r w:rsidRPr="00511954">
        <w:rPr>
          <w:rFonts w:ascii="Palatino Linotype" w:hAnsi="Palatino Linotype"/>
          <w:b w:val="0"/>
        </w:rPr>
        <w:t xml:space="preserve"> contradict</w:t>
      </w:r>
      <w:r w:rsidRPr="00511954" w:rsidR="001A7925">
        <w:rPr>
          <w:rFonts w:ascii="Palatino Linotype" w:hAnsi="Palatino Linotype"/>
          <w:b w:val="0"/>
        </w:rPr>
        <w:t>s</w:t>
      </w:r>
      <w:r w:rsidRPr="00511954">
        <w:rPr>
          <w:rFonts w:ascii="Palatino Linotype" w:hAnsi="Palatino Linotype"/>
          <w:b w:val="0"/>
        </w:rPr>
        <w:t xml:space="preserve"> the direction provided in the </w:t>
      </w:r>
      <w:r w:rsidRPr="00511954" w:rsidR="00B470BF">
        <w:rPr>
          <w:rFonts w:ascii="Palatino Linotype" w:hAnsi="Palatino Linotype"/>
          <w:b w:val="0"/>
        </w:rPr>
        <w:t xml:space="preserve">NEM DAC </w:t>
      </w:r>
      <w:r w:rsidRPr="00511954" w:rsidR="00A165B3">
        <w:rPr>
          <w:rFonts w:ascii="Palatino Linotype" w:hAnsi="Palatino Linotype"/>
          <w:b w:val="0"/>
        </w:rPr>
        <w:t>Decision</w:t>
      </w:r>
      <w:r w:rsidRPr="00511954" w:rsidR="00353BA0">
        <w:rPr>
          <w:rFonts w:ascii="Palatino Linotype" w:hAnsi="Palatino Linotype"/>
          <w:b w:val="0"/>
        </w:rPr>
        <w:t>. I</w:t>
      </w:r>
      <w:r w:rsidRPr="00511954" w:rsidR="007C46B8">
        <w:rPr>
          <w:rFonts w:ascii="Palatino Linotype" w:hAnsi="Palatino Linotype"/>
          <w:b w:val="0"/>
        </w:rPr>
        <w:t xml:space="preserve">n discussing the CSGT program, </w:t>
      </w:r>
      <w:r w:rsidRPr="00511954" w:rsidR="00353BA0">
        <w:rPr>
          <w:rFonts w:ascii="Palatino Linotype" w:hAnsi="Palatino Linotype"/>
          <w:b w:val="0"/>
        </w:rPr>
        <w:t xml:space="preserve">the </w:t>
      </w:r>
      <w:r w:rsidRPr="00511954" w:rsidR="00A165B3">
        <w:rPr>
          <w:rFonts w:ascii="Palatino Linotype" w:hAnsi="Palatino Linotype"/>
          <w:b w:val="0"/>
        </w:rPr>
        <w:t>Decision</w:t>
      </w:r>
      <w:r w:rsidRPr="00511954" w:rsidR="00353BA0">
        <w:rPr>
          <w:rFonts w:ascii="Palatino Linotype" w:hAnsi="Palatino Linotype"/>
          <w:b w:val="0"/>
        </w:rPr>
        <w:t xml:space="preserve"> </w:t>
      </w:r>
      <w:r w:rsidRPr="00511954" w:rsidR="007C46B8">
        <w:rPr>
          <w:rFonts w:ascii="Palatino Linotype" w:hAnsi="Palatino Linotype"/>
          <w:b w:val="0"/>
        </w:rPr>
        <w:t>states, “the statute does not limit participation to low-income customers”</w:t>
      </w:r>
      <w:r w:rsidRPr="00511954" w:rsidR="007C46B8">
        <w:rPr>
          <w:rStyle w:val="FootnoteReference"/>
          <w:rFonts w:ascii="Palatino Linotype" w:hAnsi="Palatino Linotype"/>
          <w:b w:val="0"/>
        </w:rPr>
        <w:footnoteReference w:id="38"/>
      </w:r>
      <w:r w:rsidRPr="00511954" w:rsidR="007C46B8">
        <w:rPr>
          <w:rFonts w:ascii="Palatino Linotype" w:hAnsi="Palatino Linotype"/>
          <w:b w:val="0"/>
        </w:rPr>
        <w:t xml:space="preserve"> and that</w:t>
      </w:r>
      <w:r w:rsidRPr="00511954" w:rsidR="00A85998">
        <w:rPr>
          <w:rFonts w:ascii="Palatino Linotype" w:hAnsi="Palatino Linotype"/>
          <w:b w:val="0"/>
        </w:rPr>
        <w:t xml:space="preserve"> it</w:t>
      </w:r>
      <w:r w:rsidRPr="00511954" w:rsidR="007C46B8">
        <w:rPr>
          <w:rFonts w:ascii="Palatino Linotype" w:hAnsi="Palatino Linotype"/>
          <w:b w:val="0"/>
        </w:rPr>
        <w:t xml:space="preserve"> </w:t>
      </w:r>
      <w:r w:rsidRPr="00511954" w:rsidR="00A85998">
        <w:rPr>
          <w:rFonts w:ascii="Palatino Linotype" w:hAnsi="Palatino Linotype"/>
          <w:b w:val="0"/>
        </w:rPr>
        <w:t>“</w:t>
      </w:r>
      <w:r w:rsidRPr="00511954" w:rsidR="007C46B8">
        <w:rPr>
          <w:rFonts w:ascii="Palatino Linotype" w:hAnsi="Palatino Linotype"/>
          <w:b w:val="0"/>
        </w:rPr>
        <w:t>is reasonable to adopt Green Tariffs (DAC-Green Tariff and Community Solar Green Tariff) that provide</w:t>
      </w:r>
      <w:r w:rsidRPr="00511954" w:rsidR="00EF295A">
        <w:rPr>
          <w:rFonts w:ascii="Palatino Linotype" w:hAnsi="Palatino Linotype"/>
          <w:b w:val="0"/>
        </w:rPr>
        <w:t>s [sic]</w:t>
      </w:r>
      <w:r w:rsidRPr="00511954" w:rsidR="007C46B8">
        <w:rPr>
          <w:rFonts w:ascii="Palatino Linotype" w:hAnsi="Palatino Linotype"/>
          <w:b w:val="0"/>
        </w:rPr>
        <w:t xml:space="preserve"> a 20 percent discount from a participant’s otherwise applicable rate.”</w:t>
      </w:r>
      <w:r w:rsidRPr="00511954" w:rsidR="007C46B8">
        <w:rPr>
          <w:rStyle w:val="FootnoteReference"/>
          <w:rFonts w:ascii="Palatino Linotype" w:hAnsi="Palatino Linotype"/>
          <w:b w:val="0"/>
        </w:rPr>
        <w:footnoteReference w:id="39"/>
      </w:r>
      <w:r w:rsidRPr="00511954" w:rsidR="007C46B8">
        <w:rPr>
          <w:rFonts w:ascii="Palatino Linotype" w:hAnsi="Palatino Linotype"/>
          <w:b w:val="0"/>
        </w:rPr>
        <w:t xml:space="preserve"> Since </w:t>
      </w:r>
      <w:r w:rsidRPr="00511954" w:rsidR="00353BA0">
        <w:rPr>
          <w:rFonts w:ascii="Palatino Linotype" w:hAnsi="Palatino Linotype"/>
          <w:b w:val="0"/>
        </w:rPr>
        <w:t xml:space="preserve">DAC </w:t>
      </w:r>
      <w:r w:rsidRPr="00511954" w:rsidR="007C46B8">
        <w:rPr>
          <w:rFonts w:ascii="Palatino Linotype" w:hAnsi="Palatino Linotype"/>
          <w:b w:val="0"/>
        </w:rPr>
        <w:t xml:space="preserve">residents who </w:t>
      </w:r>
      <w:r w:rsidRPr="00511954" w:rsidR="00DA5F88">
        <w:rPr>
          <w:rFonts w:ascii="Palatino Linotype" w:hAnsi="Palatino Linotype"/>
          <w:b w:val="0"/>
        </w:rPr>
        <w:t xml:space="preserve">are not eligible for CARE or FERA but who </w:t>
      </w:r>
      <w:r w:rsidRPr="00511954" w:rsidR="007C46B8">
        <w:rPr>
          <w:rFonts w:ascii="Palatino Linotype" w:hAnsi="Palatino Linotype"/>
          <w:b w:val="0"/>
        </w:rPr>
        <w:t xml:space="preserve">meet the geographic eligibility requirements for CSGT can participate in the program, the </w:t>
      </w:r>
      <w:r w:rsidRPr="00511954" w:rsidR="00A165B3">
        <w:rPr>
          <w:rFonts w:ascii="Palatino Linotype" w:hAnsi="Palatino Linotype"/>
          <w:b w:val="0"/>
        </w:rPr>
        <w:t>Decision</w:t>
      </w:r>
      <w:r w:rsidRPr="00511954" w:rsidR="007C46B8">
        <w:rPr>
          <w:rFonts w:ascii="Palatino Linotype" w:hAnsi="Palatino Linotype"/>
          <w:b w:val="0"/>
        </w:rPr>
        <w:t xml:space="preserve"> intends for these customers to also receive the 20</w:t>
      </w:r>
      <w:r w:rsidRPr="00511954" w:rsidR="00530D31">
        <w:rPr>
          <w:rFonts w:ascii="Palatino Linotype" w:hAnsi="Palatino Linotype"/>
          <w:b w:val="0"/>
        </w:rPr>
        <w:t xml:space="preserve"> percent</w:t>
      </w:r>
      <w:r w:rsidRPr="00511954" w:rsidR="007C46B8">
        <w:rPr>
          <w:rFonts w:ascii="Palatino Linotype" w:hAnsi="Palatino Linotype"/>
          <w:b w:val="0"/>
        </w:rPr>
        <w:t xml:space="preserve"> </w:t>
      </w:r>
      <w:r w:rsidRPr="00511954" w:rsidR="00CE03EE">
        <w:rPr>
          <w:rFonts w:ascii="Palatino Linotype" w:hAnsi="Palatino Linotype"/>
          <w:b w:val="0"/>
        </w:rPr>
        <w:t xml:space="preserve">bill </w:t>
      </w:r>
      <w:r w:rsidRPr="00511954" w:rsidR="007C46B8">
        <w:rPr>
          <w:rFonts w:ascii="Palatino Linotype" w:hAnsi="Palatino Linotype"/>
          <w:b w:val="0"/>
        </w:rPr>
        <w:t>discount.</w:t>
      </w:r>
      <w:r w:rsidRPr="00511954" w:rsidR="007C46B8">
        <w:rPr>
          <w:rStyle w:val="FootnoteReference"/>
          <w:rFonts w:ascii="Palatino Linotype" w:hAnsi="Palatino Linotype"/>
          <w:b w:val="0"/>
        </w:rPr>
        <w:footnoteReference w:id="40"/>
      </w:r>
      <w:r w:rsidRPr="00511954" w:rsidR="00353BA0">
        <w:rPr>
          <w:rFonts w:ascii="Palatino Linotype" w:hAnsi="Palatino Linotype"/>
          <w:b w:val="0"/>
        </w:rPr>
        <w:t xml:space="preserve"> </w:t>
      </w:r>
      <w:r w:rsidRPr="00511954" w:rsidR="00890EBD">
        <w:rPr>
          <w:rFonts w:ascii="Palatino Linotype" w:hAnsi="Palatino Linotype"/>
          <w:b w:val="0"/>
        </w:rPr>
        <w:t>The Commission</w:t>
      </w:r>
      <w:r w:rsidRPr="00511954" w:rsidR="001A7925">
        <w:rPr>
          <w:rFonts w:ascii="Palatino Linotype" w:hAnsi="Palatino Linotype"/>
          <w:b w:val="0"/>
        </w:rPr>
        <w:t xml:space="preserve"> find</w:t>
      </w:r>
      <w:r w:rsidRPr="00511954" w:rsidR="00890EBD">
        <w:rPr>
          <w:rFonts w:ascii="Palatino Linotype" w:hAnsi="Palatino Linotype"/>
          <w:b w:val="0"/>
        </w:rPr>
        <w:t>s</w:t>
      </w:r>
      <w:r w:rsidRPr="00511954" w:rsidR="001A7925">
        <w:rPr>
          <w:rFonts w:ascii="Palatino Linotype" w:hAnsi="Palatino Linotype"/>
          <w:b w:val="0"/>
        </w:rPr>
        <w:t xml:space="preserve"> that SCE must update its CSGT tariff to provide the 20</w:t>
      </w:r>
      <w:r w:rsidRPr="00511954" w:rsidR="00530D31">
        <w:rPr>
          <w:rFonts w:ascii="Palatino Linotype" w:hAnsi="Palatino Linotype"/>
          <w:b w:val="0"/>
        </w:rPr>
        <w:t xml:space="preserve"> percent</w:t>
      </w:r>
      <w:r w:rsidRPr="00511954" w:rsidR="001A7925">
        <w:rPr>
          <w:rFonts w:ascii="Palatino Linotype" w:hAnsi="Palatino Linotype"/>
          <w:b w:val="0"/>
        </w:rPr>
        <w:t xml:space="preserve"> bill discount to </w:t>
      </w:r>
      <w:r w:rsidRPr="00511954" w:rsidR="00DA5F88">
        <w:rPr>
          <w:rFonts w:ascii="Palatino Linotype" w:hAnsi="Palatino Linotype"/>
          <w:b w:val="0"/>
        </w:rPr>
        <w:t>residential DAC customers who are not eligible for</w:t>
      </w:r>
      <w:r w:rsidRPr="00511954" w:rsidR="00B419A3">
        <w:rPr>
          <w:rFonts w:ascii="Palatino Linotype" w:hAnsi="Palatino Linotype"/>
          <w:b w:val="0"/>
        </w:rPr>
        <w:t xml:space="preserve"> </w:t>
      </w:r>
      <w:r w:rsidRPr="00511954" w:rsidR="00DA5F88">
        <w:rPr>
          <w:rFonts w:ascii="Palatino Linotype" w:hAnsi="Palatino Linotype"/>
          <w:b w:val="0"/>
        </w:rPr>
        <w:t>CARE or FERA</w:t>
      </w:r>
      <w:r w:rsidRPr="00511954" w:rsidR="00BF210A">
        <w:rPr>
          <w:rFonts w:ascii="Palatino Linotype" w:hAnsi="Palatino Linotype"/>
          <w:b w:val="0"/>
        </w:rPr>
        <w:t xml:space="preserve"> but who are still eligible to participate in CSGT</w:t>
      </w:r>
      <w:r w:rsidRPr="00511954" w:rsidR="00B470BF">
        <w:rPr>
          <w:rFonts w:ascii="Palatino Linotype" w:hAnsi="Palatino Linotype"/>
          <w:b w:val="0"/>
        </w:rPr>
        <w:t>, as directed in the NEM DAC Decision</w:t>
      </w:r>
      <w:r w:rsidRPr="00511954" w:rsidR="001A7925">
        <w:rPr>
          <w:rFonts w:ascii="Palatino Linotype" w:hAnsi="Palatino Linotype"/>
          <w:b w:val="0"/>
        </w:rPr>
        <w:t xml:space="preserve">. </w:t>
      </w:r>
    </w:p>
    <w:p w:rsidRPr="00511954" w:rsidR="001A7925" w:rsidP="00194749" w:rsidRDefault="009656E1" w14:paraId="6836D87E" w14:textId="57BDCF1C">
      <w:pPr>
        <w:pStyle w:val="BodyText"/>
        <w:spacing w:after="120"/>
        <w:rPr>
          <w:rFonts w:ascii="Palatino Linotype" w:hAnsi="Palatino Linotype"/>
          <w:b w:val="0"/>
          <w:u w:val="single"/>
        </w:rPr>
      </w:pPr>
      <w:r w:rsidRPr="00511954">
        <w:rPr>
          <w:rFonts w:ascii="Palatino Linotype" w:hAnsi="Palatino Linotype"/>
          <w:b w:val="0"/>
        </w:rPr>
        <w:t>Although not raised in IREC</w:t>
      </w:r>
      <w:r w:rsidRPr="00511954" w:rsidR="00B470BF">
        <w:rPr>
          <w:rFonts w:ascii="Palatino Linotype" w:hAnsi="Palatino Linotype"/>
          <w:b w:val="0"/>
        </w:rPr>
        <w:t>/</w:t>
      </w:r>
      <w:r w:rsidRPr="00511954">
        <w:rPr>
          <w:rFonts w:ascii="Palatino Linotype" w:hAnsi="Palatino Linotype"/>
          <w:b w:val="0"/>
        </w:rPr>
        <w:t>SELC’s protest, t</w:t>
      </w:r>
      <w:r w:rsidRPr="00511954" w:rsidR="00C34F36">
        <w:rPr>
          <w:rFonts w:ascii="Palatino Linotype" w:hAnsi="Palatino Linotype"/>
          <w:b w:val="0"/>
        </w:rPr>
        <w:t xml:space="preserve">he </w:t>
      </w:r>
      <w:r w:rsidRPr="00511954" w:rsidR="00B470BF">
        <w:rPr>
          <w:rFonts w:ascii="Palatino Linotype" w:hAnsi="Palatino Linotype"/>
          <w:b w:val="0"/>
        </w:rPr>
        <w:t xml:space="preserve">NEM DAC </w:t>
      </w:r>
      <w:r w:rsidRPr="00511954" w:rsidR="00A165B3">
        <w:rPr>
          <w:rFonts w:ascii="Palatino Linotype" w:hAnsi="Palatino Linotype"/>
          <w:b w:val="0"/>
        </w:rPr>
        <w:t>Decision</w:t>
      </w:r>
      <w:r w:rsidRPr="00511954" w:rsidR="00C34F36">
        <w:rPr>
          <w:rFonts w:ascii="Palatino Linotype" w:hAnsi="Palatino Linotype"/>
          <w:b w:val="0"/>
        </w:rPr>
        <w:t xml:space="preserve"> also clearly states that low-income customers under DAC-GT and CSGT must be </w:t>
      </w:r>
      <w:r w:rsidRPr="00511954" w:rsidR="00C34F36">
        <w:rPr>
          <w:rFonts w:ascii="Palatino Linotype" w:hAnsi="Palatino Linotype"/>
          <w:b w:val="0"/>
          <w:i/>
        </w:rPr>
        <w:t>eligible</w:t>
      </w:r>
      <w:r w:rsidRPr="00511954" w:rsidR="00C34F36">
        <w:rPr>
          <w:rFonts w:ascii="Palatino Linotype" w:hAnsi="Palatino Linotype"/>
          <w:b w:val="0"/>
        </w:rPr>
        <w:t xml:space="preserve"> for CARE and FERA; the </w:t>
      </w:r>
      <w:r w:rsidRPr="00511954" w:rsidR="00A165B3">
        <w:rPr>
          <w:rFonts w:ascii="Palatino Linotype" w:hAnsi="Palatino Linotype"/>
          <w:b w:val="0"/>
        </w:rPr>
        <w:t>Decision</w:t>
      </w:r>
      <w:r w:rsidRPr="00511954" w:rsidR="00C34F36">
        <w:rPr>
          <w:rFonts w:ascii="Palatino Linotype" w:hAnsi="Palatino Linotype"/>
          <w:b w:val="0"/>
        </w:rPr>
        <w:t xml:space="preserve"> does not state that customers must </w:t>
      </w:r>
      <w:r w:rsidRPr="00511954" w:rsidR="00B470BF">
        <w:rPr>
          <w:rFonts w:ascii="Palatino Linotype" w:hAnsi="Palatino Linotype"/>
          <w:b w:val="0"/>
        </w:rPr>
        <w:t xml:space="preserve">have </w:t>
      </w:r>
      <w:r w:rsidRPr="00511954" w:rsidR="00C34F36">
        <w:rPr>
          <w:rFonts w:ascii="Palatino Linotype" w:hAnsi="Palatino Linotype"/>
          <w:b w:val="0"/>
        </w:rPr>
        <w:t>already been enrolled in these programs.</w:t>
      </w:r>
      <w:r w:rsidRPr="00511954" w:rsidR="00C34F36">
        <w:rPr>
          <w:rStyle w:val="FootnoteReference"/>
          <w:rFonts w:ascii="Palatino Linotype" w:hAnsi="Palatino Linotype"/>
          <w:b w:val="0"/>
        </w:rPr>
        <w:footnoteReference w:id="41"/>
      </w:r>
      <w:r w:rsidRPr="00511954" w:rsidR="00C34F36">
        <w:rPr>
          <w:rFonts w:ascii="Palatino Linotype" w:hAnsi="Palatino Linotype"/>
          <w:b w:val="0"/>
        </w:rPr>
        <w:t xml:space="preserve"> </w:t>
      </w:r>
      <w:r w:rsidRPr="00511954" w:rsidR="00B470BF">
        <w:rPr>
          <w:rFonts w:ascii="Palatino Linotype" w:hAnsi="Palatino Linotype"/>
          <w:b w:val="0"/>
        </w:rPr>
        <w:t>We</w:t>
      </w:r>
      <w:r w:rsidRPr="00511954" w:rsidR="00C34F36">
        <w:rPr>
          <w:rFonts w:ascii="Palatino Linotype" w:hAnsi="Palatino Linotype"/>
          <w:b w:val="0"/>
        </w:rPr>
        <w:t xml:space="preserve"> find that SCE must update its DAC-GT and CSGT tariff to </w:t>
      </w:r>
      <w:r w:rsidRPr="00511954" w:rsidR="00B470BF">
        <w:rPr>
          <w:rFonts w:ascii="Palatino Linotype" w:hAnsi="Palatino Linotype"/>
          <w:b w:val="0"/>
        </w:rPr>
        <w:t xml:space="preserve">remove the requirement that customers be enrolled in CARE or FERA and to </w:t>
      </w:r>
      <w:r w:rsidRPr="00511954" w:rsidR="00C34F36">
        <w:rPr>
          <w:rFonts w:ascii="Palatino Linotype" w:hAnsi="Palatino Linotype"/>
          <w:b w:val="0"/>
        </w:rPr>
        <w:t xml:space="preserve">allow customers who are </w:t>
      </w:r>
      <w:r w:rsidRPr="00511954" w:rsidR="00C34F36">
        <w:rPr>
          <w:rFonts w:ascii="Palatino Linotype" w:hAnsi="Palatino Linotype"/>
          <w:b w:val="0"/>
          <w:i/>
        </w:rPr>
        <w:t>eligible</w:t>
      </w:r>
      <w:r w:rsidRPr="00511954" w:rsidR="00C34F36">
        <w:rPr>
          <w:rFonts w:ascii="Palatino Linotype" w:hAnsi="Palatino Linotype"/>
          <w:b w:val="0"/>
        </w:rPr>
        <w:t xml:space="preserve"> for CARE and FERA to participate in both programs as income qualified customers.</w:t>
      </w:r>
      <w:r w:rsidRPr="00511954">
        <w:rPr>
          <w:rFonts w:ascii="Palatino Linotype" w:hAnsi="Palatino Linotype"/>
          <w:b w:val="0"/>
        </w:rPr>
        <w:t xml:space="preserve"> </w:t>
      </w:r>
      <w:r w:rsidRPr="00511954" w:rsidR="00EA13D3">
        <w:rPr>
          <w:rFonts w:ascii="Palatino Linotype" w:hAnsi="Palatino Linotype"/>
          <w:b w:val="0"/>
        </w:rPr>
        <w:t>Since</w:t>
      </w:r>
      <w:r w:rsidRPr="00511954">
        <w:rPr>
          <w:rFonts w:ascii="Palatino Linotype" w:hAnsi="Palatino Linotype"/>
          <w:b w:val="0"/>
        </w:rPr>
        <w:t xml:space="preserve"> the 20</w:t>
      </w:r>
      <w:r w:rsidRPr="00511954" w:rsidR="00530D31">
        <w:rPr>
          <w:rFonts w:ascii="Palatino Linotype" w:hAnsi="Palatino Linotype"/>
          <w:b w:val="0"/>
        </w:rPr>
        <w:t xml:space="preserve"> percent</w:t>
      </w:r>
      <w:r w:rsidRPr="00511954">
        <w:rPr>
          <w:rFonts w:ascii="Palatino Linotype" w:hAnsi="Palatino Linotype"/>
          <w:b w:val="0"/>
        </w:rPr>
        <w:t xml:space="preserve"> discount for DAC-GT and CSGT is to be applied to a customer’s otherwise applicable rate</w:t>
      </w:r>
      <w:r w:rsidRPr="00511954" w:rsidR="00EA13D3">
        <w:rPr>
          <w:rFonts w:ascii="Palatino Linotype" w:hAnsi="Palatino Linotype"/>
          <w:b w:val="0"/>
        </w:rPr>
        <w:t>,</w:t>
      </w:r>
      <w:r w:rsidRPr="00511954">
        <w:rPr>
          <w:rStyle w:val="FootnoteReference"/>
          <w:rFonts w:ascii="Palatino Linotype" w:hAnsi="Palatino Linotype"/>
          <w:b w:val="0"/>
        </w:rPr>
        <w:footnoteReference w:id="42"/>
      </w:r>
      <w:r w:rsidRPr="00511954">
        <w:rPr>
          <w:rFonts w:ascii="Palatino Linotype" w:hAnsi="Palatino Linotype"/>
          <w:b w:val="0"/>
        </w:rPr>
        <w:t xml:space="preserve"> </w:t>
      </w:r>
      <w:r w:rsidRPr="00511954" w:rsidR="00501851">
        <w:rPr>
          <w:rFonts w:ascii="Palatino Linotype" w:hAnsi="Palatino Linotype"/>
          <w:b w:val="0"/>
        </w:rPr>
        <w:t>we</w:t>
      </w:r>
      <w:r w:rsidRPr="00511954">
        <w:rPr>
          <w:rFonts w:ascii="Palatino Linotype" w:hAnsi="Palatino Linotype"/>
          <w:b w:val="0"/>
        </w:rPr>
        <w:t xml:space="preserve"> </w:t>
      </w:r>
      <w:r w:rsidRPr="00511954" w:rsidR="00EA13D3">
        <w:rPr>
          <w:rFonts w:ascii="Palatino Linotype" w:hAnsi="Palatino Linotype"/>
          <w:b w:val="0"/>
        </w:rPr>
        <w:t>clarif</w:t>
      </w:r>
      <w:r w:rsidRPr="00511954" w:rsidR="00501851">
        <w:rPr>
          <w:rFonts w:ascii="Palatino Linotype" w:hAnsi="Palatino Linotype"/>
          <w:b w:val="0"/>
        </w:rPr>
        <w:t>y</w:t>
      </w:r>
      <w:r w:rsidRPr="00511954">
        <w:rPr>
          <w:rFonts w:ascii="Palatino Linotype" w:hAnsi="Palatino Linotype"/>
          <w:b w:val="0"/>
        </w:rPr>
        <w:t xml:space="preserve"> that if a customer signs up for CARE or FERA in the process of enrolling in the DAC-GT or CSGT programs, </w:t>
      </w:r>
      <w:r w:rsidRPr="00511954" w:rsidR="00194749">
        <w:rPr>
          <w:rFonts w:ascii="Palatino Linotype" w:hAnsi="Palatino Linotype"/>
          <w:b w:val="0"/>
        </w:rPr>
        <w:t xml:space="preserve">it is appropriate for </w:t>
      </w:r>
      <w:r w:rsidRPr="00511954">
        <w:rPr>
          <w:rFonts w:ascii="Palatino Linotype" w:hAnsi="Palatino Linotype"/>
          <w:b w:val="0"/>
        </w:rPr>
        <w:t>the 20</w:t>
      </w:r>
      <w:r w:rsidRPr="00511954" w:rsidR="00530D31">
        <w:rPr>
          <w:rFonts w:ascii="Palatino Linotype" w:hAnsi="Palatino Linotype"/>
          <w:b w:val="0"/>
        </w:rPr>
        <w:t xml:space="preserve"> percent</w:t>
      </w:r>
      <w:r w:rsidRPr="00511954">
        <w:rPr>
          <w:rFonts w:ascii="Palatino Linotype" w:hAnsi="Palatino Linotype"/>
          <w:b w:val="0"/>
        </w:rPr>
        <w:t xml:space="preserve"> discount </w:t>
      </w:r>
      <w:r w:rsidRPr="00511954" w:rsidR="00EA13D3">
        <w:rPr>
          <w:rFonts w:ascii="Palatino Linotype" w:hAnsi="Palatino Linotype"/>
          <w:b w:val="0"/>
        </w:rPr>
        <w:t>to</w:t>
      </w:r>
      <w:r w:rsidRPr="00511954">
        <w:rPr>
          <w:rFonts w:ascii="Palatino Linotype" w:hAnsi="Palatino Linotype"/>
          <w:b w:val="0"/>
        </w:rPr>
        <w:t xml:space="preserve"> be applied to that new rate. </w:t>
      </w:r>
    </w:p>
    <w:p w:rsidRPr="00511954" w:rsidR="002E4060" w:rsidP="00194749" w:rsidRDefault="002E4060" w14:paraId="1B1C47D8" w14:textId="71265C0C">
      <w:pPr>
        <w:pStyle w:val="BodyText"/>
        <w:spacing w:after="120"/>
        <w:rPr>
          <w:rFonts w:ascii="Palatino Linotype" w:hAnsi="Palatino Linotype"/>
          <w:b w:val="0"/>
        </w:rPr>
      </w:pPr>
      <w:r w:rsidRPr="00511954">
        <w:rPr>
          <w:rFonts w:ascii="Palatino Linotype" w:hAnsi="Palatino Linotype"/>
          <w:b w:val="0"/>
        </w:rPr>
        <w:t>On IREC</w:t>
      </w:r>
      <w:r w:rsidRPr="00511954" w:rsidR="00B470BF">
        <w:rPr>
          <w:rFonts w:ascii="Palatino Linotype" w:hAnsi="Palatino Linotype"/>
          <w:b w:val="0"/>
        </w:rPr>
        <w:t>/</w:t>
      </w:r>
      <w:r w:rsidRPr="00511954">
        <w:rPr>
          <w:rFonts w:ascii="Palatino Linotype" w:hAnsi="Palatino Linotype"/>
          <w:b w:val="0"/>
        </w:rPr>
        <w:t xml:space="preserve">SELC’s </w:t>
      </w:r>
      <w:r w:rsidRPr="00511954" w:rsidR="00A86F68">
        <w:rPr>
          <w:rFonts w:ascii="Palatino Linotype" w:hAnsi="Palatino Linotype"/>
          <w:b w:val="0"/>
        </w:rPr>
        <w:t>assertion</w:t>
      </w:r>
      <w:r w:rsidRPr="00511954">
        <w:rPr>
          <w:rFonts w:ascii="Palatino Linotype" w:hAnsi="Palatino Linotype"/>
          <w:b w:val="0"/>
        </w:rPr>
        <w:t xml:space="preserve"> that master</w:t>
      </w:r>
      <w:r w:rsidRPr="00511954" w:rsidR="00A103C9">
        <w:rPr>
          <w:rFonts w:ascii="Palatino Linotype" w:hAnsi="Palatino Linotype"/>
          <w:b w:val="0"/>
        </w:rPr>
        <w:t>-</w:t>
      </w:r>
      <w:r w:rsidRPr="00511954">
        <w:rPr>
          <w:rFonts w:ascii="Palatino Linotype" w:hAnsi="Palatino Linotype"/>
          <w:b w:val="0"/>
        </w:rPr>
        <w:t>metered customers should be allowed to participate in the CSGT program, PG&amp;E agrees with the respondents</w:t>
      </w:r>
      <w:r w:rsidRPr="00511954" w:rsidR="00547F0B">
        <w:rPr>
          <w:rFonts w:ascii="Palatino Linotype" w:hAnsi="Palatino Linotype"/>
          <w:b w:val="0"/>
        </w:rPr>
        <w:t>,</w:t>
      </w:r>
      <w:r w:rsidRPr="00511954">
        <w:rPr>
          <w:rFonts w:ascii="Palatino Linotype" w:hAnsi="Palatino Linotype"/>
          <w:b w:val="0"/>
        </w:rPr>
        <w:t xml:space="preserve"> while SCE and SDG&amp;E assert that it is neither appropriate nor possible for them to serve master</w:t>
      </w:r>
      <w:r w:rsidRPr="00511954" w:rsidR="00547F0B">
        <w:rPr>
          <w:rFonts w:ascii="Palatino Linotype" w:hAnsi="Palatino Linotype"/>
          <w:b w:val="0"/>
        </w:rPr>
        <w:t>-</w:t>
      </w:r>
      <w:r w:rsidRPr="00511954">
        <w:rPr>
          <w:rFonts w:ascii="Palatino Linotype" w:hAnsi="Palatino Linotype"/>
          <w:b w:val="0"/>
        </w:rPr>
        <w:t>metered customers under CSGT. Part of this issue arises from how the term “customer” is interpreted. While SCE and SDG&amp;E are correct that the tenants of a master</w:t>
      </w:r>
      <w:r w:rsidRPr="00511954" w:rsidR="00547F0B">
        <w:rPr>
          <w:rFonts w:ascii="Palatino Linotype" w:hAnsi="Palatino Linotype"/>
          <w:b w:val="0"/>
        </w:rPr>
        <w:t>-</w:t>
      </w:r>
      <w:r w:rsidRPr="00511954">
        <w:rPr>
          <w:rFonts w:ascii="Palatino Linotype" w:hAnsi="Palatino Linotype"/>
          <w:b w:val="0"/>
        </w:rPr>
        <w:t>metered property are not their customers, the master</w:t>
      </w:r>
      <w:r w:rsidRPr="00511954" w:rsidR="00547F0B">
        <w:rPr>
          <w:rFonts w:ascii="Palatino Linotype" w:hAnsi="Palatino Linotype"/>
          <w:b w:val="0"/>
        </w:rPr>
        <w:t>-</w:t>
      </w:r>
      <w:r w:rsidRPr="00511954">
        <w:rPr>
          <w:rFonts w:ascii="Palatino Linotype" w:hAnsi="Palatino Linotype"/>
          <w:b w:val="0"/>
        </w:rPr>
        <w:t>meter</w:t>
      </w:r>
      <w:r w:rsidRPr="00511954" w:rsidR="00312689">
        <w:rPr>
          <w:rFonts w:ascii="Palatino Linotype" w:hAnsi="Palatino Linotype"/>
          <w:b w:val="0"/>
        </w:rPr>
        <w:t xml:space="preserve"> account</w:t>
      </w:r>
      <w:r w:rsidRPr="00511954">
        <w:rPr>
          <w:rFonts w:ascii="Palatino Linotype" w:hAnsi="Palatino Linotype"/>
          <w:b w:val="0"/>
        </w:rPr>
        <w:t xml:space="preserve"> is clearly an IOU customer. </w:t>
      </w:r>
      <w:r w:rsidRPr="00511954" w:rsidR="00312689">
        <w:rPr>
          <w:rFonts w:ascii="Palatino Linotype" w:hAnsi="Palatino Linotype"/>
          <w:b w:val="0"/>
        </w:rPr>
        <w:t>As such</w:t>
      </w:r>
      <w:r w:rsidRPr="00511954">
        <w:rPr>
          <w:rFonts w:ascii="Palatino Linotype" w:hAnsi="Palatino Linotype"/>
          <w:b w:val="0"/>
        </w:rPr>
        <w:t>, the IOUs do not need to know the demand of sub-metered tenants for a master</w:t>
      </w:r>
      <w:r w:rsidRPr="00511954" w:rsidR="00547F0B">
        <w:rPr>
          <w:rFonts w:ascii="Palatino Linotype" w:hAnsi="Palatino Linotype"/>
          <w:b w:val="0"/>
        </w:rPr>
        <w:t>-</w:t>
      </w:r>
      <w:r w:rsidRPr="00511954">
        <w:rPr>
          <w:rFonts w:ascii="Palatino Linotype" w:hAnsi="Palatino Linotype"/>
          <w:b w:val="0"/>
        </w:rPr>
        <w:t xml:space="preserve">metered </w:t>
      </w:r>
      <w:r w:rsidRPr="00511954" w:rsidR="00DA5F88">
        <w:rPr>
          <w:rFonts w:ascii="Palatino Linotype" w:hAnsi="Palatino Linotype"/>
          <w:b w:val="0"/>
        </w:rPr>
        <w:t xml:space="preserve">property </w:t>
      </w:r>
      <w:r w:rsidRPr="00511954" w:rsidR="00312689">
        <w:rPr>
          <w:rFonts w:ascii="Palatino Linotype" w:hAnsi="Palatino Linotype"/>
          <w:b w:val="0"/>
        </w:rPr>
        <w:t>to subscribe to a CSGT project; t</w:t>
      </w:r>
      <w:r w:rsidRPr="00511954">
        <w:rPr>
          <w:rFonts w:ascii="Palatino Linotype" w:hAnsi="Palatino Linotype"/>
          <w:b w:val="0"/>
        </w:rPr>
        <w:t>he IOUs already know the usa</w:t>
      </w:r>
      <w:r w:rsidRPr="00511954" w:rsidR="00312689">
        <w:rPr>
          <w:rFonts w:ascii="Palatino Linotype" w:hAnsi="Palatino Linotype"/>
          <w:b w:val="0"/>
        </w:rPr>
        <w:t xml:space="preserve">ge of the entire </w:t>
      </w:r>
      <w:r w:rsidRPr="00511954" w:rsidR="00DA5F88">
        <w:rPr>
          <w:rFonts w:ascii="Palatino Linotype" w:hAnsi="Palatino Linotype"/>
          <w:b w:val="0"/>
        </w:rPr>
        <w:t xml:space="preserve">property </w:t>
      </w:r>
      <w:r w:rsidRPr="00511954" w:rsidR="00312689">
        <w:rPr>
          <w:rFonts w:ascii="Palatino Linotype" w:hAnsi="Palatino Linotype"/>
          <w:b w:val="0"/>
        </w:rPr>
        <w:t>as the</w:t>
      </w:r>
      <w:r w:rsidRPr="00511954">
        <w:rPr>
          <w:rFonts w:ascii="Palatino Linotype" w:hAnsi="Palatino Linotype"/>
          <w:b w:val="0"/>
        </w:rPr>
        <w:t xml:space="preserve"> single </w:t>
      </w:r>
      <w:r w:rsidRPr="00511954" w:rsidR="00312689">
        <w:rPr>
          <w:rFonts w:ascii="Palatino Linotype" w:hAnsi="Palatino Linotype"/>
          <w:b w:val="0"/>
        </w:rPr>
        <w:t>master</w:t>
      </w:r>
      <w:r w:rsidRPr="00511954" w:rsidR="00547F0B">
        <w:rPr>
          <w:rFonts w:ascii="Palatino Linotype" w:hAnsi="Palatino Linotype"/>
          <w:b w:val="0"/>
        </w:rPr>
        <w:t>-</w:t>
      </w:r>
      <w:r w:rsidRPr="00511954">
        <w:rPr>
          <w:rFonts w:ascii="Palatino Linotype" w:hAnsi="Palatino Linotype"/>
          <w:b w:val="0"/>
        </w:rPr>
        <w:t xml:space="preserve">meter is their customer. </w:t>
      </w:r>
    </w:p>
    <w:p w:rsidRPr="00511954" w:rsidR="00470B74" w:rsidP="002E4060" w:rsidRDefault="002E4060" w14:paraId="26FCFCCA" w14:textId="7F323CCF">
      <w:pPr>
        <w:pStyle w:val="BodyText"/>
        <w:spacing w:after="120"/>
        <w:rPr>
          <w:rFonts w:ascii="Palatino Linotype" w:hAnsi="Palatino Linotype"/>
          <w:b w:val="0"/>
        </w:rPr>
      </w:pPr>
      <w:r w:rsidRPr="00511954">
        <w:rPr>
          <w:rFonts w:ascii="Palatino Linotype" w:hAnsi="Palatino Linotype"/>
          <w:b w:val="0"/>
        </w:rPr>
        <w:t xml:space="preserve">SCE is correct that it </w:t>
      </w:r>
      <w:r w:rsidRPr="00511954" w:rsidR="00470B74">
        <w:rPr>
          <w:rFonts w:ascii="Palatino Linotype" w:hAnsi="Palatino Linotype"/>
          <w:b w:val="0"/>
        </w:rPr>
        <w:t>will</w:t>
      </w:r>
      <w:r w:rsidRPr="00511954">
        <w:rPr>
          <w:rFonts w:ascii="Palatino Linotype" w:hAnsi="Palatino Linotype"/>
          <w:b w:val="0"/>
        </w:rPr>
        <w:t xml:space="preserve"> not be possible for the IOUs to ensure that </w:t>
      </w:r>
      <w:r w:rsidRPr="00511954" w:rsidR="00470B74">
        <w:rPr>
          <w:rFonts w:ascii="Palatino Linotype" w:hAnsi="Palatino Linotype"/>
          <w:b w:val="0"/>
        </w:rPr>
        <w:t>the 20</w:t>
      </w:r>
      <w:r w:rsidRPr="00511954" w:rsidR="00530D31">
        <w:rPr>
          <w:rFonts w:ascii="Palatino Linotype" w:hAnsi="Palatino Linotype"/>
          <w:b w:val="0"/>
        </w:rPr>
        <w:t xml:space="preserve"> percent</w:t>
      </w:r>
      <w:r w:rsidRPr="00511954" w:rsidR="00470B74">
        <w:rPr>
          <w:rFonts w:ascii="Palatino Linotype" w:hAnsi="Palatino Linotype"/>
          <w:b w:val="0"/>
        </w:rPr>
        <w:t xml:space="preserve"> bill savings flow to the tenants of master</w:t>
      </w:r>
      <w:r w:rsidRPr="00511954" w:rsidR="00547F0B">
        <w:rPr>
          <w:rFonts w:ascii="Palatino Linotype" w:hAnsi="Palatino Linotype"/>
          <w:b w:val="0"/>
        </w:rPr>
        <w:t>-</w:t>
      </w:r>
      <w:r w:rsidRPr="00511954" w:rsidR="00470B74">
        <w:rPr>
          <w:rFonts w:ascii="Palatino Linotype" w:hAnsi="Palatino Linotype"/>
          <w:b w:val="0"/>
        </w:rPr>
        <w:t>metered buildings th</w:t>
      </w:r>
      <w:r w:rsidRPr="00511954" w:rsidR="00312689">
        <w:rPr>
          <w:rFonts w:ascii="Palatino Linotype" w:hAnsi="Palatino Linotype"/>
          <w:b w:val="0"/>
        </w:rPr>
        <w:t>at</w:t>
      </w:r>
      <w:r w:rsidRPr="00511954" w:rsidR="00470B74">
        <w:rPr>
          <w:rFonts w:ascii="Palatino Linotype" w:hAnsi="Palatino Linotype"/>
          <w:b w:val="0"/>
        </w:rPr>
        <w:t xml:space="preserve"> participate in CSGT. As discussed above, however, </w:t>
      </w:r>
      <w:r w:rsidRPr="00511954">
        <w:rPr>
          <w:rFonts w:ascii="Palatino Linotype" w:hAnsi="Palatino Linotype"/>
          <w:b w:val="0"/>
        </w:rPr>
        <w:t xml:space="preserve">any residential customer meeting the locational eligibility requirements for CSGT is eligible to participate in the program; they need not be income qualified. </w:t>
      </w:r>
      <w:r w:rsidRPr="00511954" w:rsidR="00470B74">
        <w:rPr>
          <w:rFonts w:ascii="Palatino Linotype" w:hAnsi="Palatino Linotype"/>
          <w:b w:val="0"/>
        </w:rPr>
        <w:t xml:space="preserve">Therefore, </w:t>
      </w:r>
      <w:r w:rsidRPr="00511954" w:rsidR="00810545">
        <w:rPr>
          <w:rFonts w:ascii="Palatino Linotype" w:hAnsi="Palatino Linotype"/>
          <w:b w:val="0"/>
        </w:rPr>
        <w:t>the Commission</w:t>
      </w:r>
      <w:r w:rsidRPr="00511954">
        <w:rPr>
          <w:rFonts w:ascii="Palatino Linotype" w:hAnsi="Palatino Linotype"/>
          <w:b w:val="0"/>
        </w:rPr>
        <w:t xml:space="preserve"> find</w:t>
      </w:r>
      <w:r w:rsidRPr="00511954" w:rsidR="00810545">
        <w:rPr>
          <w:rFonts w:ascii="Palatino Linotype" w:hAnsi="Palatino Linotype"/>
          <w:b w:val="0"/>
        </w:rPr>
        <w:t>s</w:t>
      </w:r>
      <w:r w:rsidRPr="00511954">
        <w:rPr>
          <w:rFonts w:ascii="Palatino Linotype" w:hAnsi="Palatino Linotype"/>
          <w:b w:val="0"/>
        </w:rPr>
        <w:t xml:space="preserve"> that </w:t>
      </w:r>
      <w:proofErr w:type="gramStart"/>
      <w:r w:rsidRPr="00511954">
        <w:rPr>
          <w:rFonts w:ascii="Palatino Linotype" w:hAnsi="Palatino Linotype"/>
          <w:b w:val="0"/>
        </w:rPr>
        <w:t>as long as</w:t>
      </w:r>
      <w:proofErr w:type="gramEnd"/>
      <w:r w:rsidRPr="00511954">
        <w:rPr>
          <w:rFonts w:ascii="Palatino Linotype" w:hAnsi="Palatino Linotype"/>
          <w:b w:val="0"/>
        </w:rPr>
        <w:t xml:space="preserve"> a master</w:t>
      </w:r>
      <w:r w:rsidRPr="00511954" w:rsidR="00547F0B">
        <w:rPr>
          <w:rFonts w:ascii="Palatino Linotype" w:hAnsi="Palatino Linotype"/>
          <w:b w:val="0"/>
        </w:rPr>
        <w:t>-</w:t>
      </w:r>
      <w:r w:rsidRPr="00511954">
        <w:rPr>
          <w:rFonts w:ascii="Palatino Linotype" w:hAnsi="Palatino Linotype"/>
          <w:b w:val="0"/>
        </w:rPr>
        <w:t>meter</w:t>
      </w:r>
      <w:r w:rsidRPr="00511954" w:rsidR="00547F0B">
        <w:rPr>
          <w:rFonts w:ascii="Palatino Linotype" w:hAnsi="Palatino Linotype"/>
          <w:b w:val="0"/>
        </w:rPr>
        <w:t>ed</w:t>
      </w:r>
      <w:r w:rsidRPr="00511954">
        <w:rPr>
          <w:rFonts w:ascii="Palatino Linotype" w:hAnsi="Palatino Linotype"/>
          <w:b w:val="0"/>
        </w:rPr>
        <w:t xml:space="preserve"> building is on a residential rate and meets the locational eligibility requirements, it </w:t>
      </w:r>
      <w:r w:rsidRPr="00511954" w:rsidR="00312689">
        <w:rPr>
          <w:rFonts w:ascii="Palatino Linotype" w:hAnsi="Palatino Linotype"/>
          <w:b w:val="0"/>
        </w:rPr>
        <w:t>can</w:t>
      </w:r>
      <w:r w:rsidRPr="00511954">
        <w:rPr>
          <w:rFonts w:ascii="Palatino Linotype" w:hAnsi="Palatino Linotype"/>
          <w:b w:val="0"/>
        </w:rPr>
        <w:t xml:space="preserve"> </w:t>
      </w:r>
      <w:r w:rsidRPr="00511954" w:rsidR="00312689">
        <w:rPr>
          <w:rFonts w:ascii="Palatino Linotype" w:hAnsi="Palatino Linotype"/>
          <w:b w:val="0"/>
        </w:rPr>
        <w:t>subscribe to a CSGT project</w:t>
      </w:r>
      <w:r w:rsidRPr="00511954">
        <w:rPr>
          <w:rFonts w:ascii="Palatino Linotype" w:hAnsi="Palatino Linotype"/>
          <w:b w:val="0"/>
        </w:rPr>
        <w:t xml:space="preserve"> once the 50</w:t>
      </w:r>
      <w:r w:rsidRPr="00511954" w:rsidR="00530D31">
        <w:rPr>
          <w:rFonts w:ascii="Palatino Linotype" w:hAnsi="Palatino Linotype"/>
          <w:b w:val="0"/>
        </w:rPr>
        <w:t xml:space="preserve"> percent</w:t>
      </w:r>
      <w:r w:rsidRPr="00511954">
        <w:rPr>
          <w:rFonts w:ascii="Palatino Linotype" w:hAnsi="Palatino Linotype"/>
          <w:b w:val="0"/>
        </w:rPr>
        <w:t xml:space="preserve"> low</w:t>
      </w:r>
      <w:r w:rsidRPr="00511954" w:rsidR="00B470BF">
        <w:rPr>
          <w:rFonts w:ascii="Palatino Linotype" w:hAnsi="Palatino Linotype"/>
          <w:b w:val="0"/>
        </w:rPr>
        <w:t>-</w:t>
      </w:r>
      <w:r w:rsidRPr="00511954">
        <w:rPr>
          <w:rFonts w:ascii="Palatino Linotype" w:hAnsi="Palatino Linotype"/>
          <w:b w:val="0"/>
        </w:rPr>
        <w:t>income threshold is met.</w:t>
      </w:r>
      <w:r w:rsidRPr="00511954" w:rsidR="00470B74">
        <w:rPr>
          <w:rFonts w:ascii="Palatino Linotype" w:hAnsi="Palatino Linotype"/>
          <w:b w:val="0"/>
        </w:rPr>
        <w:t xml:space="preserve"> </w:t>
      </w:r>
      <w:r w:rsidRPr="00511954">
        <w:rPr>
          <w:rFonts w:ascii="Palatino Linotype" w:hAnsi="Palatino Linotype"/>
          <w:b w:val="0"/>
        </w:rPr>
        <w:t xml:space="preserve">SCE and SDG&amp;E </w:t>
      </w:r>
      <w:r w:rsidRPr="00511954" w:rsidR="00E16C05">
        <w:rPr>
          <w:rFonts w:ascii="Palatino Linotype" w:hAnsi="Palatino Linotype"/>
          <w:b w:val="0"/>
        </w:rPr>
        <w:t xml:space="preserve">must </w:t>
      </w:r>
      <w:r w:rsidRPr="00511954">
        <w:rPr>
          <w:rFonts w:ascii="Palatino Linotype" w:hAnsi="Palatino Linotype"/>
          <w:b w:val="0"/>
        </w:rPr>
        <w:t>revise their CSGT tariffs to enable master</w:t>
      </w:r>
      <w:r w:rsidRPr="00511954" w:rsidR="00547F0B">
        <w:rPr>
          <w:rFonts w:ascii="Palatino Linotype" w:hAnsi="Palatino Linotype"/>
          <w:b w:val="0"/>
        </w:rPr>
        <w:t>-</w:t>
      </w:r>
      <w:r w:rsidRPr="00511954">
        <w:rPr>
          <w:rFonts w:ascii="Palatino Linotype" w:hAnsi="Palatino Linotype"/>
          <w:b w:val="0"/>
        </w:rPr>
        <w:t xml:space="preserve">metered customers </w:t>
      </w:r>
      <w:r w:rsidRPr="00511954" w:rsidR="00312689">
        <w:rPr>
          <w:rFonts w:ascii="Palatino Linotype" w:hAnsi="Palatino Linotype"/>
          <w:b w:val="0"/>
        </w:rPr>
        <w:t xml:space="preserve">on residential rates </w:t>
      </w:r>
      <w:r w:rsidRPr="00511954">
        <w:rPr>
          <w:rFonts w:ascii="Palatino Linotype" w:hAnsi="Palatino Linotype"/>
          <w:b w:val="0"/>
        </w:rPr>
        <w:t xml:space="preserve">to participate.  </w:t>
      </w:r>
      <w:r w:rsidRPr="00511954" w:rsidR="00810545">
        <w:rPr>
          <w:rFonts w:ascii="Palatino Linotype" w:hAnsi="Palatino Linotype"/>
          <w:b w:val="0"/>
        </w:rPr>
        <w:t>The Commission</w:t>
      </w:r>
      <w:r w:rsidRPr="00511954" w:rsidR="00312689">
        <w:rPr>
          <w:rFonts w:ascii="Palatino Linotype" w:hAnsi="Palatino Linotype"/>
          <w:b w:val="0"/>
        </w:rPr>
        <w:t xml:space="preserve"> further</w:t>
      </w:r>
      <w:r w:rsidRPr="00511954" w:rsidR="00810545">
        <w:rPr>
          <w:rFonts w:ascii="Palatino Linotype" w:hAnsi="Palatino Linotype"/>
          <w:b w:val="0"/>
        </w:rPr>
        <w:t xml:space="preserve"> finds that the IOUs </w:t>
      </w:r>
      <w:r w:rsidRPr="00511954" w:rsidR="00E16C05">
        <w:rPr>
          <w:rFonts w:ascii="Palatino Linotype" w:hAnsi="Palatino Linotype"/>
          <w:b w:val="0"/>
        </w:rPr>
        <w:t xml:space="preserve">must </w:t>
      </w:r>
      <w:r w:rsidRPr="00511954" w:rsidR="00470B74">
        <w:rPr>
          <w:rFonts w:ascii="Palatino Linotype" w:hAnsi="Palatino Linotype"/>
          <w:b w:val="0"/>
        </w:rPr>
        <w:t xml:space="preserve">track and report </w:t>
      </w:r>
      <w:r w:rsidRPr="00511954" w:rsidR="004F59D8">
        <w:rPr>
          <w:rFonts w:ascii="Palatino Linotype" w:hAnsi="Palatino Linotype"/>
          <w:b w:val="0"/>
        </w:rPr>
        <w:t xml:space="preserve">to Energy Division </w:t>
      </w:r>
      <w:r w:rsidR="006A5D4F">
        <w:rPr>
          <w:rFonts w:ascii="Palatino Linotype" w:hAnsi="Palatino Linotype"/>
          <w:b w:val="0"/>
        </w:rPr>
        <w:t>Central Files</w:t>
      </w:r>
      <w:r w:rsidR="00EC5236">
        <w:rPr>
          <w:rStyle w:val="FootnoteReference"/>
          <w:rFonts w:ascii="Palatino Linotype" w:hAnsi="Palatino Linotype"/>
          <w:b w:val="0"/>
        </w:rPr>
        <w:footnoteReference w:id="43"/>
      </w:r>
      <w:r w:rsidRPr="00511954" w:rsidR="004F59D8">
        <w:rPr>
          <w:rFonts w:ascii="Palatino Linotype" w:hAnsi="Palatino Linotype"/>
          <w:b w:val="0"/>
        </w:rPr>
        <w:t xml:space="preserve"> </w:t>
      </w:r>
      <w:r w:rsidRPr="00511954" w:rsidR="00470B74">
        <w:rPr>
          <w:rFonts w:ascii="Palatino Linotype" w:hAnsi="Palatino Linotype"/>
          <w:b w:val="0"/>
        </w:rPr>
        <w:t>the number of master</w:t>
      </w:r>
      <w:r w:rsidRPr="00511954" w:rsidR="00547F0B">
        <w:rPr>
          <w:rFonts w:ascii="Palatino Linotype" w:hAnsi="Palatino Linotype"/>
          <w:b w:val="0"/>
        </w:rPr>
        <w:t>-</w:t>
      </w:r>
      <w:r w:rsidRPr="00511954" w:rsidR="00470B74">
        <w:rPr>
          <w:rFonts w:ascii="Palatino Linotype" w:hAnsi="Palatino Linotype"/>
          <w:b w:val="0"/>
        </w:rPr>
        <w:t xml:space="preserve">metered </w:t>
      </w:r>
      <w:r w:rsidRPr="00511954" w:rsidR="00DA5F88">
        <w:rPr>
          <w:rFonts w:ascii="Palatino Linotype" w:hAnsi="Palatino Linotype"/>
          <w:b w:val="0"/>
        </w:rPr>
        <w:t xml:space="preserve">properties </w:t>
      </w:r>
      <w:r w:rsidRPr="00511954" w:rsidR="00470B74">
        <w:rPr>
          <w:rFonts w:ascii="Palatino Linotype" w:hAnsi="Palatino Linotype"/>
          <w:b w:val="0"/>
        </w:rPr>
        <w:t>participating in the CSGT program so th</w:t>
      </w:r>
      <w:r w:rsidRPr="00511954" w:rsidR="00312689">
        <w:rPr>
          <w:rFonts w:ascii="Palatino Linotype" w:hAnsi="Palatino Linotype"/>
          <w:b w:val="0"/>
        </w:rPr>
        <w:t>at th</w:t>
      </w:r>
      <w:r w:rsidRPr="00511954" w:rsidR="00470B74">
        <w:rPr>
          <w:rFonts w:ascii="Palatino Linotype" w:hAnsi="Palatino Linotype"/>
          <w:b w:val="0"/>
        </w:rPr>
        <w:t xml:space="preserve">e independent evaluator </w:t>
      </w:r>
      <w:r w:rsidRPr="00511954" w:rsidR="00B470BF">
        <w:rPr>
          <w:rFonts w:ascii="Palatino Linotype" w:hAnsi="Palatino Linotype"/>
          <w:b w:val="0"/>
        </w:rPr>
        <w:t>w</w:t>
      </w:r>
      <w:r w:rsidR="00417E06">
        <w:rPr>
          <w:rFonts w:ascii="Palatino Linotype" w:hAnsi="Palatino Linotype"/>
          <w:b w:val="0"/>
        </w:rPr>
        <w:t>ill</w:t>
      </w:r>
      <w:r w:rsidRPr="00511954" w:rsidR="00B470BF">
        <w:rPr>
          <w:rFonts w:ascii="Palatino Linotype" w:hAnsi="Palatino Linotype"/>
          <w:b w:val="0"/>
        </w:rPr>
        <w:t xml:space="preserve"> have the ability to</w:t>
      </w:r>
      <w:r w:rsidRPr="00511954" w:rsidR="00470B74">
        <w:rPr>
          <w:rFonts w:ascii="Palatino Linotype" w:hAnsi="Palatino Linotype"/>
          <w:b w:val="0"/>
        </w:rPr>
        <w:t xml:space="preserve"> examine impacts on tenants in future reports. </w:t>
      </w:r>
    </w:p>
    <w:p w:rsidRPr="00511954" w:rsidR="00470B74" w:rsidP="00BE419A" w:rsidRDefault="00470B74" w14:paraId="527AAA9F" w14:textId="77777777">
      <w:pPr>
        <w:pStyle w:val="BodyText"/>
        <w:keepNext/>
        <w:rPr>
          <w:rFonts w:ascii="Palatino Linotype" w:hAnsi="Palatino Linotype"/>
          <w:b w:val="0"/>
          <w:u w:val="single"/>
        </w:rPr>
      </w:pPr>
      <w:r w:rsidRPr="00511954">
        <w:rPr>
          <w:rFonts w:ascii="Palatino Linotype" w:hAnsi="Palatino Linotype"/>
          <w:b w:val="0"/>
          <w:u w:val="single"/>
        </w:rPr>
        <w:t xml:space="preserve">RFO Timeline </w:t>
      </w:r>
    </w:p>
    <w:p w:rsidRPr="00511954" w:rsidR="00456BE3" w:rsidP="00470B74" w:rsidRDefault="00470B74" w14:paraId="46F07C6A" w14:textId="76D25EA1">
      <w:pPr>
        <w:pStyle w:val="BodyText"/>
        <w:spacing w:after="120"/>
        <w:rPr>
          <w:rFonts w:ascii="Palatino Linotype" w:hAnsi="Palatino Linotype"/>
          <w:szCs w:val="26"/>
        </w:rPr>
      </w:pPr>
      <w:r w:rsidRPr="00511954">
        <w:rPr>
          <w:rFonts w:ascii="Palatino Linotype" w:hAnsi="Palatino Linotype"/>
          <w:b w:val="0"/>
        </w:rPr>
        <w:t xml:space="preserve">While </w:t>
      </w:r>
      <w:r w:rsidRPr="00511954" w:rsidR="008E5E63">
        <w:rPr>
          <w:rFonts w:ascii="Palatino Linotype" w:hAnsi="Palatino Linotype"/>
          <w:b w:val="0"/>
        </w:rPr>
        <w:t>the Commission</w:t>
      </w:r>
      <w:r w:rsidRPr="00511954">
        <w:rPr>
          <w:rFonts w:ascii="Palatino Linotype" w:hAnsi="Palatino Linotype"/>
          <w:b w:val="0"/>
        </w:rPr>
        <w:t xml:space="preserve"> </w:t>
      </w:r>
      <w:r w:rsidRPr="00511954" w:rsidR="00456BE3">
        <w:rPr>
          <w:rFonts w:ascii="Palatino Linotype" w:hAnsi="Palatino Linotype"/>
          <w:b w:val="0"/>
        </w:rPr>
        <w:t>appreciate</w:t>
      </w:r>
      <w:r w:rsidRPr="00511954" w:rsidR="008E5E63">
        <w:rPr>
          <w:rFonts w:ascii="Palatino Linotype" w:hAnsi="Palatino Linotype"/>
          <w:b w:val="0"/>
        </w:rPr>
        <w:t>s</w:t>
      </w:r>
      <w:r w:rsidRPr="00511954">
        <w:rPr>
          <w:rFonts w:ascii="Palatino Linotype" w:hAnsi="Palatino Linotype"/>
          <w:b w:val="0"/>
        </w:rPr>
        <w:t xml:space="preserve"> IREC</w:t>
      </w:r>
      <w:r w:rsidRPr="00511954" w:rsidR="00B470BF">
        <w:rPr>
          <w:rFonts w:ascii="Palatino Linotype" w:hAnsi="Palatino Linotype"/>
          <w:b w:val="0"/>
        </w:rPr>
        <w:t>/</w:t>
      </w:r>
      <w:r w:rsidRPr="00511954">
        <w:rPr>
          <w:rFonts w:ascii="Palatino Linotype" w:hAnsi="Palatino Linotype"/>
          <w:b w:val="0"/>
        </w:rPr>
        <w:t>SELC’s</w:t>
      </w:r>
      <w:r w:rsidRPr="00511954" w:rsidR="00456BE3">
        <w:rPr>
          <w:rFonts w:ascii="Palatino Linotype" w:hAnsi="Palatino Linotype"/>
          <w:b w:val="0"/>
        </w:rPr>
        <w:t xml:space="preserve"> </w:t>
      </w:r>
      <w:r w:rsidRPr="00511954" w:rsidR="006456C7">
        <w:rPr>
          <w:rFonts w:ascii="Palatino Linotype" w:hAnsi="Palatino Linotype"/>
          <w:b w:val="0"/>
        </w:rPr>
        <w:t>desire</w:t>
      </w:r>
      <w:r w:rsidRPr="00511954" w:rsidR="00456BE3">
        <w:rPr>
          <w:rFonts w:ascii="Palatino Linotype" w:hAnsi="Palatino Linotype"/>
          <w:b w:val="0"/>
        </w:rPr>
        <w:t xml:space="preserve"> to ensure the DAC-GT and CSGT programs serve DAC customers as soon as possible,</w:t>
      </w:r>
      <w:r w:rsidRPr="00511954">
        <w:rPr>
          <w:rFonts w:ascii="Palatino Linotype" w:hAnsi="Palatino Linotype"/>
          <w:b w:val="0"/>
        </w:rPr>
        <w:t xml:space="preserve"> </w:t>
      </w:r>
      <w:r w:rsidRPr="00511954" w:rsidR="00B470BF">
        <w:rPr>
          <w:rFonts w:ascii="Palatino Linotype" w:hAnsi="Palatino Linotype"/>
          <w:b w:val="0"/>
        </w:rPr>
        <w:t xml:space="preserve">as this </w:t>
      </w:r>
      <w:r w:rsidRPr="00511954" w:rsidR="005C43E3">
        <w:rPr>
          <w:rFonts w:ascii="Palatino Linotype" w:hAnsi="Palatino Linotype"/>
          <w:b w:val="0"/>
        </w:rPr>
        <w:t>R</w:t>
      </w:r>
      <w:r w:rsidRPr="00511954" w:rsidR="00B470BF">
        <w:rPr>
          <w:rFonts w:ascii="Palatino Linotype" w:hAnsi="Palatino Linotype"/>
          <w:b w:val="0"/>
        </w:rPr>
        <w:t xml:space="preserve">esolution is up for consideration in </w:t>
      </w:r>
      <w:r w:rsidRPr="00511954" w:rsidR="00721438">
        <w:rPr>
          <w:rFonts w:ascii="Palatino Linotype" w:hAnsi="Palatino Linotype"/>
          <w:b w:val="0"/>
        </w:rPr>
        <w:t xml:space="preserve">the second quarter of 2019, </w:t>
      </w:r>
      <w:r w:rsidRPr="00511954" w:rsidR="006B3549">
        <w:rPr>
          <w:rFonts w:ascii="Palatino Linotype" w:hAnsi="Palatino Linotype"/>
          <w:b w:val="0"/>
        </w:rPr>
        <w:t xml:space="preserve">it </w:t>
      </w:r>
      <w:r w:rsidRPr="00511954" w:rsidR="00721438">
        <w:rPr>
          <w:rFonts w:ascii="Palatino Linotype" w:hAnsi="Palatino Linotype"/>
          <w:b w:val="0"/>
        </w:rPr>
        <w:t xml:space="preserve">would </w:t>
      </w:r>
      <w:r w:rsidRPr="00511954" w:rsidR="006B3549">
        <w:rPr>
          <w:rFonts w:ascii="Palatino Linotype" w:hAnsi="Palatino Linotype"/>
          <w:b w:val="0"/>
        </w:rPr>
        <w:t>not be</w:t>
      </w:r>
      <w:r w:rsidRPr="00511954" w:rsidR="00721438">
        <w:rPr>
          <w:rFonts w:ascii="Palatino Linotype" w:hAnsi="Palatino Linotype"/>
          <w:b w:val="0"/>
        </w:rPr>
        <w:t xml:space="preserve"> procedurally</w:t>
      </w:r>
      <w:r w:rsidRPr="00511954" w:rsidR="006B3549">
        <w:rPr>
          <w:rFonts w:ascii="Palatino Linotype" w:hAnsi="Palatino Linotype"/>
          <w:b w:val="0"/>
        </w:rPr>
        <w:t xml:space="preserve"> possible for the IOUs to </w:t>
      </w:r>
      <w:r w:rsidRPr="00511954" w:rsidR="00DA5F88">
        <w:rPr>
          <w:rFonts w:ascii="Palatino Linotype" w:hAnsi="Palatino Linotype"/>
          <w:b w:val="0"/>
        </w:rPr>
        <w:t xml:space="preserve">issue </w:t>
      </w:r>
      <w:r w:rsidRPr="00511954" w:rsidR="006B3549">
        <w:rPr>
          <w:rFonts w:ascii="Palatino Linotype" w:hAnsi="Palatino Linotype"/>
          <w:b w:val="0"/>
        </w:rPr>
        <w:t>RFOs by August 1, 2019</w:t>
      </w:r>
      <w:r w:rsidRPr="00511954" w:rsidR="00001A0E">
        <w:rPr>
          <w:rFonts w:ascii="Palatino Linotype" w:hAnsi="Palatino Linotype"/>
          <w:b w:val="0"/>
        </w:rPr>
        <w:t>.</w:t>
      </w:r>
      <w:r w:rsidRPr="00511954" w:rsidR="005C43E3">
        <w:rPr>
          <w:rFonts w:ascii="Palatino Linotype" w:hAnsi="Palatino Linotype"/>
          <w:b w:val="0"/>
        </w:rPr>
        <w:t xml:space="preserve"> </w:t>
      </w:r>
      <w:r w:rsidRPr="00511954" w:rsidR="00001A0E">
        <w:rPr>
          <w:rFonts w:ascii="Palatino Linotype" w:hAnsi="Palatino Linotype"/>
          <w:b w:val="0"/>
        </w:rPr>
        <w:t xml:space="preserve">This is because each utility’s RFO solicitation documents require review and approval by the Commission prior to an RFO being launched, and there would not be </w:t>
      </w:r>
      <w:proofErr w:type="gramStart"/>
      <w:r w:rsidRPr="00511954" w:rsidR="00001A0E">
        <w:rPr>
          <w:rFonts w:ascii="Palatino Linotype" w:hAnsi="Palatino Linotype"/>
          <w:b w:val="0"/>
        </w:rPr>
        <w:t>sufficient</w:t>
      </w:r>
      <w:proofErr w:type="gramEnd"/>
      <w:r w:rsidRPr="00511954" w:rsidR="00001A0E">
        <w:rPr>
          <w:rFonts w:ascii="Palatino Linotype" w:hAnsi="Palatino Linotype"/>
          <w:b w:val="0"/>
        </w:rPr>
        <w:t xml:space="preserve"> time for the IOUs to submit their RFO solicitation documents to the Commission and have them approved by August 1, 2019</w:t>
      </w:r>
      <w:r w:rsidRPr="00511954" w:rsidR="006B3549">
        <w:rPr>
          <w:rFonts w:ascii="Palatino Linotype" w:hAnsi="Palatino Linotype"/>
          <w:b w:val="0"/>
        </w:rPr>
        <w:t>. Other timing considerations are discussed further below.</w:t>
      </w:r>
      <w:r w:rsidRPr="00511954" w:rsidR="00456BE3">
        <w:rPr>
          <w:rFonts w:ascii="Palatino Linotype" w:hAnsi="Palatino Linotype"/>
          <w:b w:val="0"/>
        </w:rPr>
        <w:t xml:space="preserve"> </w:t>
      </w:r>
      <w:r w:rsidRPr="00511954" w:rsidR="00456BE3">
        <w:rPr>
          <w:rFonts w:ascii="Palatino Linotype" w:hAnsi="Palatino Linotype"/>
          <w:b w:val="0"/>
          <w:szCs w:val="26"/>
        </w:rPr>
        <w:t>As such, IREC</w:t>
      </w:r>
      <w:r w:rsidRPr="00511954" w:rsidR="00721438">
        <w:rPr>
          <w:rFonts w:ascii="Palatino Linotype" w:hAnsi="Palatino Linotype"/>
          <w:b w:val="0"/>
          <w:szCs w:val="26"/>
        </w:rPr>
        <w:t>/</w:t>
      </w:r>
      <w:r w:rsidRPr="00511954" w:rsidR="00456BE3">
        <w:rPr>
          <w:rFonts w:ascii="Palatino Linotype" w:hAnsi="Palatino Linotype"/>
          <w:b w:val="0"/>
          <w:szCs w:val="26"/>
        </w:rPr>
        <w:t>SELC’s protest on this matter is rejected.</w:t>
      </w:r>
      <w:r w:rsidRPr="00511954" w:rsidR="00456BE3">
        <w:rPr>
          <w:rFonts w:ascii="Palatino Linotype" w:hAnsi="Palatino Linotype"/>
          <w:szCs w:val="26"/>
        </w:rPr>
        <w:t xml:space="preserve"> </w:t>
      </w:r>
    </w:p>
    <w:p w:rsidRPr="00511954" w:rsidR="00456BE3" w:rsidP="00C4025F" w:rsidRDefault="00470B74" w14:paraId="12E1C281" w14:textId="77777777">
      <w:pPr>
        <w:pStyle w:val="BodyText"/>
        <w:keepNext/>
        <w:rPr>
          <w:rFonts w:ascii="Palatino Linotype" w:hAnsi="Palatino Linotype"/>
          <w:i/>
        </w:rPr>
      </w:pPr>
      <w:r w:rsidRPr="00511954">
        <w:rPr>
          <w:rFonts w:ascii="Palatino Linotype" w:hAnsi="Palatino Linotype"/>
          <w:b w:val="0"/>
          <w:u w:val="single"/>
        </w:rPr>
        <w:t>CSGT Minimum Project Size</w:t>
      </w:r>
    </w:p>
    <w:p w:rsidRPr="00511954" w:rsidR="006B3549" w:rsidP="00456BE3" w:rsidRDefault="00456BE3" w14:paraId="79EF9A17" w14:textId="7A9B5CE6">
      <w:pPr>
        <w:pStyle w:val="BodyText"/>
        <w:spacing w:after="120"/>
        <w:rPr>
          <w:rFonts w:ascii="Palatino Linotype" w:hAnsi="Palatino Linotype"/>
          <w:b w:val="0"/>
        </w:rPr>
      </w:pPr>
      <w:r w:rsidRPr="00511954">
        <w:rPr>
          <w:rFonts w:ascii="Palatino Linotype" w:hAnsi="Palatino Linotype" w:cs="TimesNewRoman"/>
          <w:b w:val="0"/>
          <w:szCs w:val="24"/>
        </w:rPr>
        <w:t>In its reply to IREC</w:t>
      </w:r>
      <w:r w:rsidRPr="00511954" w:rsidR="00BF4030">
        <w:rPr>
          <w:rFonts w:ascii="Palatino Linotype" w:hAnsi="Palatino Linotype" w:cs="TimesNewRoman"/>
          <w:b w:val="0"/>
          <w:szCs w:val="24"/>
        </w:rPr>
        <w:t>/</w:t>
      </w:r>
      <w:r w:rsidRPr="00511954">
        <w:rPr>
          <w:rFonts w:ascii="Palatino Linotype" w:hAnsi="Palatino Linotype" w:cs="TimesNewRoman"/>
          <w:b w:val="0"/>
          <w:szCs w:val="24"/>
        </w:rPr>
        <w:t>SELC’s protest, SCE states, “</w:t>
      </w:r>
      <w:r w:rsidRPr="00511954" w:rsidR="00547F0B">
        <w:rPr>
          <w:rFonts w:ascii="Palatino Linotype" w:hAnsi="Palatino Linotype" w:cs="TimesNewRoman"/>
          <w:b w:val="0"/>
          <w:szCs w:val="24"/>
        </w:rPr>
        <w:t>[t]</w:t>
      </w:r>
      <w:r w:rsidRPr="00511954">
        <w:rPr>
          <w:rFonts w:ascii="Palatino Linotype" w:hAnsi="Palatino Linotype" w:cs="TimesNewRoman"/>
          <w:b w:val="0"/>
          <w:szCs w:val="24"/>
        </w:rPr>
        <w:t xml:space="preserve">he </w:t>
      </w:r>
      <w:r w:rsidRPr="00511954" w:rsidR="00A165B3">
        <w:rPr>
          <w:rFonts w:ascii="Palatino Linotype" w:hAnsi="Palatino Linotype" w:cs="TimesNewRoman"/>
          <w:b w:val="0"/>
          <w:szCs w:val="24"/>
        </w:rPr>
        <w:t>Decision</w:t>
      </w:r>
      <w:r w:rsidRPr="00511954">
        <w:rPr>
          <w:rFonts w:ascii="Palatino Linotype" w:hAnsi="Palatino Linotype" w:cs="TimesNewRoman"/>
          <w:b w:val="0"/>
          <w:szCs w:val="24"/>
        </w:rPr>
        <w:t xml:space="preserve"> states that the RFO for the DAC CS program should adhere to the criteria of the GTSR program, including size, location, and sponsor requirements.”</w:t>
      </w:r>
      <w:r w:rsidRPr="00511954">
        <w:rPr>
          <w:rStyle w:val="FootnoteReference"/>
          <w:rFonts w:ascii="Palatino Linotype" w:hAnsi="Palatino Linotype" w:cs="TimesNewRoman"/>
          <w:b w:val="0"/>
          <w:szCs w:val="24"/>
        </w:rPr>
        <w:footnoteReference w:id="44"/>
      </w:r>
      <w:r w:rsidRPr="00511954">
        <w:rPr>
          <w:rFonts w:ascii="Palatino Linotype" w:hAnsi="Palatino Linotype" w:cs="TimesNewRoman"/>
          <w:b w:val="0"/>
          <w:szCs w:val="24"/>
        </w:rPr>
        <w:t xml:space="preserve"> SCE misinterprets the direction provided in the </w:t>
      </w:r>
      <w:r w:rsidRPr="00511954" w:rsidR="00A165B3">
        <w:rPr>
          <w:rFonts w:ascii="Palatino Linotype" w:hAnsi="Palatino Linotype" w:cs="TimesNewRoman"/>
          <w:b w:val="0"/>
          <w:szCs w:val="24"/>
        </w:rPr>
        <w:t>Decision</w:t>
      </w:r>
      <w:r w:rsidRPr="00511954">
        <w:rPr>
          <w:rFonts w:ascii="Palatino Linotype" w:hAnsi="Palatino Linotype" w:cs="TimesNewRoman"/>
          <w:b w:val="0"/>
          <w:szCs w:val="24"/>
        </w:rPr>
        <w:t xml:space="preserve"> on this point. </w:t>
      </w:r>
      <w:r w:rsidRPr="00511954" w:rsidR="00BF4030">
        <w:rPr>
          <w:rFonts w:ascii="Palatino Linotype" w:hAnsi="Palatino Linotype" w:cs="TimesNewRoman"/>
          <w:b w:val="0"/>
          <w:szCs w:val="24"/>
        </w:rPr>
        <w:t>The NEM DAC Decision</w:t>
      </w:r>
      <w:r w:rsidRPr="00511954">
        <w:rPr>
          <w:rFonts w:ascii="Palatino Linotype" w:hAnsi="Palatino Linotype" w:cs="TimesNewRoman"/>
          <w:b w:val="0"/>
          <w:szCs w:val="24"/>
        </w:rPr>
        <w:t xml:space="preserve"> states, “</w:t>
      </w:r>
      <w:r w:rsidRPr="00511954" w:rsidR="00547F0B">
        <w:rPr>
          <w:rFonts w:ascii="Palatino Linotype" w:hAnsi="Palatino Linotype" w:cs="TimesNewRoman"/>
          <w:b w:val="0"/>
          <w:szCs w:val="24"/>
        </w:rPr>
        <w:t>[t]</w:t>
      </w:r>
      <w:r w:rsidRPr="00511954">
        <w:rPr>
          <w:rFonts w:ascii="Palatino Linotype" w:hAnsi="Palatino Linotype" w:cs="TimesNewRoman"/>
          <w:b w:val="0"/>
          <w:szCs w:val="24"/>
        </w:rPr>
        <w:t xml:space="preserve">he Community Solar Green Tariff program RFO process will operate in conjunction with the DAC-Green Tariff program. The RFO should solicit projects for the Community Solar Green Tariff program </w:t>
      </w:r>
      <w:r w:rsidRPr="00511954">
        <w:rPr>
          <w:rFonts w:ascii="Palatino Linotype" w:hAnsi="Palatino Linotype" w:cs="TimesNewRoman"/>
          <w:b w:val="0"/>
          <w:szCs w:val="24"/>
          <w:u w:val="single"/>
        </w:rPr>
        <w:t>adhering to the criteria in this section</w:t>
      </w:r>
      <w:r w:rsidRPr="00511954" w:rsidR="006456C7">
        <w:rPr>
          <w:rFonts w:ascii="Palatino Linotype" w:hAnsi="Palatino Linotype" w:cs="TimesNewRoman"/>
          <w:b w:val="0"/>
          <w:szCs w:val="24"/>
        </w:rPr>
        <w:t>” (emphasis added).</w:t>
      </w:r>
      <w:r w:rsidRPr="00511954">
        <w:rPr>
          <w:rStyle w:val="FootnoteReference"/>
          <w:rFonts w:ascii="Palatino Linotype" w:hAnsi="Palatino Linotype" w:cs="TimesNewRoman"/>
          <w:b w:val="0"/>
          <w:szCs w:val="24"/>
        </w:rPr>
        <w:footnoteReference w:id="45"/>
      </w:r>
      <w:r w:rsidRPr="00511954">
        <w:rPr>
          <w:rFonts w:ascii="Palatino Linotype" w:hAnsi="Palatino Linotype" w:cs="TimesNewRoman"/>
          <w:b w:val="0"/>
          <w:szCs w:val="24"/>
        </w:rPr>
        <w:t xml:space="preserve"> The passage refers to the size, location, and requirement for a community sponsor described in </w:t>
      </w:r>
      <w:r w:rsidR="00BF6C83">
        <w:rPr>
          <w:rFonts w:ascii="Palatino Linotype" w:hAnsi="Palatino Linotype" w:cs="TimesNewRoman"/>
          <w:b w:val="0"/>
          <w:szCs w:val="24"/>
        </w:rPr>
        <w:t>S</w:t>
      </w:r>
      <w:r w:rsidRPr="00511954" w:rsidR="002A18E7">
        <w:rPr>
          <w:rFonts w:ascii="Palatino Linotype" w:hAnsi="Palatino Linotype" w:cs="TimesNewRoman"/>
          <w:b w:val="0"/>
          <w:szCs w:val="24"/>
        </w:rPr>
        <w:t xml:space="preserve">ection 6.5.3 “Elements of the Community Solar Green Tariff program” of the </w:t>
      </w:r>
      <w:r w:rsidRPr="00511954" w:rsidR="00A165B3">
        <w:rPr>
          <w:rFonts w:ascii="Palatino Linotype" w:hAnsi="Palatino Linotype" w:cs="TimesNewRoman"/>
          <w:b w:val="0"/>
          <w:szCs w:val="24"/>
        </w:rPr>
        <w:t>Decision</w:t>
      </w:r>
      <w:r w:rsidRPr="00511954">
        <w:rPr>
          <w:rFonts w:ascii="Palatino Linotype" w:hAnsi="Palatino Linotype" w:cs="TimesNewRoman"/>
          <w:b w:val="0"/>
          <w:szCs w:val="24"/>
        </w:rPr>
        <w:t xml:space="preserve">, not the requirements </w:t>
      </w:r>
      <w:r w:rsidRPr="00511954" w:rsidR="006456C7">
        <w:rPr>
          <w:rFonts w:ascii="Palatino Linotype" w:hAnsi="Palatino Linotype" w:cs="TimesNewRoman"/>
          <w:b w:val="0"/>
          <w:szCs w:val="24"/>
        </w:rPr>
        <w:t>for the</w:t>
      </w:r>
      <w:r w:rsidRPr="00511954">
        <w:rPr>
          <w:rFonts w:ascii="Palatino Linotype" w:hAnsi="Palatino Linotype" w:cs="TimesNewRoman"/>
          <w:b w:val="0"/>
          <w:szCs w:val="24"/>
        </w:rPr>
        <w:t xml:space="preserve"> GTSR</w:t>
      </w:r>
      <w:r w:rsidRPr="00511954" w:rsidR="006456C7">
        <w:rPr>
          <w:rFonts w:ascii="Palatino Linotype" w:hAnsi="Palatino Linotype" w:cs="TimesNewRoman"/>
          <w:b w:val="0"/>
          <w:szCs w:val="24"/>
        </w:rPr>
        <w:t xml:space="preserve"> program</w:t>
      </w:r>
      <w:r w:rsidRPr="00511954" w:rsidR="00501851">
        <w:rPr>
          <w:rFonts w:ascii="Palatino Linotype" w:hAnsi="Palatino Linotype" w:cs="TimesNewRoman"/>
          <w:b w:val="0"/>
          <w:szCs w:val="24"/>
        </w:rPr>
        <w:t>. This misinterpretation is further evidenced by the fact that GTSR projects</w:t>
      </w:r>
      <w:r w:rsidRPr="00511954" w:rsidR="002A18E7">
        <w:rPr>
          <w:rFonts w:ascii="Palatino Linotype" w:hAnsi="Palatino Linotype" w:cs="TimesNewRoman"/>
          <w:b w:val="0"/>
          <w:szCs w:val="24"/>
        </w:rPr>
        <w:t xml:space="preserve"> do not require a community sponsor</w:t>
      </w:r>
      <w:r w:rsidRPr="00511954">
        <w:rPr>
          <w:rFonts w:ascii="Palatino Linotype" w:hAnsi="Palatino Linotype" w:cs="TimesNewRoman"/>
          <w:b w:val="0"/>
          <w:szCs w:val="24"/>
        </w:rPr>
        <w:t xml:space="preserve">. </w:t>
      </w:r>
      <w:r w:rsidRPr="00511954" w:rsidR="006B3549">
        <w:rPr>
          <w:rFonts w:ascii="Palatino Linotype" w:hAnsi="Palatino Linotype"/>
          <w:b w:val="0"/>
        </w:rPr>
        <w:t xml:space="preserve">The </w:t>
      </w:r>
      <w:r w:rsidRPr="00511954" w:rsidR="00A165B3">
        <w:rPr>
          <w:rFonts w:ascii="Palatino Linotype" w:hAnsi="Palatino Linotype"/>
          <w:b w:val="0"/>
        </w:rPr>
        <w:t>Decision</w:t>
      </w:r>
      <w:r w:rsidRPr="00511954" w:rsidR="006B3549">
        <w:rPr>
          <w:rFonts w:ascii="Palatino Linotype" w:hAnsi="Palatino Linotype"/>
          <w:b w:val="0"/>
        </w:rPr>
        <w:t xml:space="preserve"> clearly states that there is no minimum project size for CSGT projects.</w:t>
      </w:r>
      <w:r w:rsidRPr="00511954" w:rsidR="006B3549">
        <w:rPr>
          <w:rStyle w:val="FootnoteReference"/>
          <w:rFonts w:ascii="Palatino Linotype" w:hAnsi="Palatino Linotype"/>
          <w:b w:val="0"/>
        </w:rPr>
        <w:footnoteReference w:id="46"/>
      </w:r>
      <w:r w:rsidRPr="00511954" w:rsidR="006B3549">
        <w:rPr>
          <w:rFonts w:ascii="Palatino Linotype" w:hAnsi="Palatino Linotype"/>
          <w:b w:val="0"/>
        </w:rPr>
        <w:t xml:space="preserve"> </w:t>
      </w:r>
      <w:r w:rsidRPr="00511954" w:rsidR="00BF4030">
        <w:rPr>
          <w:rFonts w:ascii="Palatino Linotype" w:hAnsi="Palatino Linotype"/>
          <w:b w:val="0"/>
        </w:rPr>
        <w:t>We therefore</w:t>
      </w:r>
      <w:r w:rsidRPr="00511954">
        <w:rPr>
          <w:rFonts w:ascii="Palatino Linotype" w:hAnsi="Palatino Linotype"/>
          <w:b w:val="0"/>
        </w:rPr>
        <w:t xml:space="preserve"> find that </w:t>
      </w:r>
      <w:r w:rsidRPr="00511954" w:rsidR="006B3549">
        <w:rPr>
          <w:rFonts w:ascii="Palatino Linotype" w:hAnsi="Palatino Linotype"/>
          <w:b w:val="0"/>
        </w:rPr>
        <w:t xml:space="preserve">SCE </w:t>
      </w:r>
      <w:r w:rsidRPr="00511954" w:rsidR="00E16C05">
        <w:rPr>
          <w:rFonts w:ascii="Palatino Linotype" w:hAnsi="Palatino Linotype"/>
          <w:b w:val="0"/>
        </w:rPr>
        <w:t xml:space="preserve">must </w:t>
      </w:r>
      <w:r w:rsidRPr="00511954" w:rsidR="006B3549">
        <w:rPr>
          <w:rFonts w:ascii="Palatino Linotype" w:hAnsi="Palatino Linotype"/>
          <w:b w:val="0"/>
        </w:rPr>
        <w:t xml:space="preserve">amend </w:t>
      </w:r>
      <w:r w:rsidRPr="00511954">
        <w:rPr>
          <w:rFonts w:ascii="Palatino Linotype" w:hAnsi="Palatino Linotype"/>
          <w:b w:val="0"/>
        </w:rPr>
        <w:t xml:space="preserve">its CSGT </w:t>
      </w:r>
      <w:r w:rsidRPr="00511954" w:rsidR="006B3549">
        <w:rPr>
          <w:rFonts w:ascii="Palatino Linotype" w:hAnsi="Palatino Linotype"/>
          <w:b w:val="0"/>
        </w:rPr>
        <w:t xml:space="preserve">tariff </w:t>
      </w:r>
      <w:proofErr w:type="gramStart"/>
      <w:r w:rsidRPr="00511954" w:rsidR="006B3549">
        <w:rPr>
          <w:rFonts w:ascii="Palatino Linotype" w:hAnsi="Palatino Linotype"/>
          <w:b w:val="0"/>
        </w:rPr>
        <w:t>so as to</w:t>
      </w:r>
      <w:proofErr w:type="gramEnd"/>
      <w:r w:rsidRPr="00511954" w:rsidR="006B3549">
        <w:rPr>
          <w:rFonts w:ascii="Palatino Linotype" w:hAnsi="Palatino Linotype"/>
          <w:b w:val="0"/>
        </w:rPr>
        <w:t xml:space="preserve"> not penalize CSGT projects that are smaller than 500 kW.</w:t>
      </w:r>
    </w:p>
    <w:p w:rsidRPr="00511954" w:rsidR="002F1A86" w:rsidP="002F1A86" w:rsidRDefault="00B5209D" w14:paraId="77F74C47" w14:textId="59220148">
      <w:pPr>
        <w:pStyle w:val="BodyText"/>
        <w:spacing w:after="120"/>
        <w:rPr>
          <w:rFonts w:ascii="Palatino Linotype" w:hAnsi="Palatino Linotype"/>
        </w:rPr>
      </w:pPr>
      <w:r w:rsidRPr="00511954">
        <w:rPr>
          <w:rFonts w:ascii="Palatino Linotype" w:hAnsi="Palatino Linotype"/>
        </w:rPr>
        <w:t>A</w:t>
      </w:r>
      <w:r w:rsidRPr="00511954" w:rsidR="002A18E7">
        <w:rPr>
          <w:rFonts w:ascii="Palatino Linotype" w:hAnsi="Palatino Linotype"/>
        </w:rPr>
        <w:t>dditional a</w:t>
      </w:r>
      <w:r w:rsidRPr="00511954">
        <w:rPr>
          <w:rFonts w:ascii="Palatino Linotype" w:hAnsi="Palatino Linotype"/>
        </w:rPr>
        <w:t xml:space="preserve">spects of program implementation </w:t>
      </w:r>
      <w:r w:rsidRPr="00511954" w:rsidR="00380ED6">
        <w:rPr>
          <w:rFonts w:ascii="Palatino Linotype" w:hAnsi="Palatino Linotype"/>
        </w:rPr>
        <w:t xml:space="preserve">that were </w:t>
      </w:r>
      <w:r w:rsidRPr="00511954">
        <w:rPr>
          <w:rFonts w:ascii="Palatino Linotype" w:hAnsi="Palatino Linotype"/>
        </w:rPr>
        <w:t xml:space="preserve">treated inconsistently </w:t>
      </w:r>
      <w:r w:rsidRPr="00511954" w:rsidR="002A18E7">
        <w:rPr>
          <w:rFonts w:ascii="Palatino Linotype" w:hAnsi="Palatino Linotype"/>
        </w:rPr>
        <w:t>by</w:t>
      </w:r>
      <w:r w:rsidRPr="00511954">
        <w:rPr>
          <w:rFonts w:ascii="Palatino Linotype" w:hAnsi="Palatino Linotype"/>
        </w:rPr>
        <w:t xml:space="preserve"> the IOUs</w:t>
      </w:r>
      <w:r w:rsidRPr="00511954" w:rsidR="00380ED6">
        <w:rPr>
          <w:rFonts w:ascii="Palatino Linotype" w:hAnsi="Palatino Linotype"/>
        </w:rPr>
        <w:t>,</w:t>
      </w:r>
      <w:r w:rsidRPr="00511954">
        <w:rPr>
          <w:rFonts w:ascii="Palatino Linotype" w:hAnsi="Palatino Linotype"/>
        </w:rPr>
        <w:t xml:space="preserve"> </w:t>
      </w:r>
      <w:r w:rsidRPr="00511954" w:rsidR="00FB4E7F">
        <w:rPr>
          <w:rFonts w:ascii="Palatino Linotype" w:hAnsi="Palatino Linotype"/>
        </w:rPr>
        <w:t xml:space="preserve">that contradict direction provided </w:t>
      </w:r>
      <w:r w:rsidRPr="00511954">
        <w:rPr>
          <w:rFonts w:ascii="Palatino Linotype" w:hAnsi="Palatino Linotype"/>
        </w:rPr>
        <w:t xml:space="preserve">in the </w:t>
      </w:r>
      <w:r w:rsidRPr="00511954" w:rsidR="00A165B3">
        <w:rPr>
          <w:rFonts w:ascii="Palatino Linotype" w:hAnsi="Palatino Linotype"/>
        </w:rPr>
        <w:t>Decision</w:t>
      </w:r>
      <w:r w:rsidRPr="00511954" w:rsidR="00380ED6">
        <w:rPr>
          <w:rFonts w:ascii="Palatino Linotype" w:hAnsi="Palatino Linotype"/>
        </w:rPr>
        <w:t>, or that warrant clarification</w:t>
      </w:r>
      <w:r w:rsidRPr="00511954">
        <w:rPr>
          <w:rFonts w:ascii="Palatino Linotype" w:hAnsi="Palatino Linotype"/>
        </w:rPr>
        <w:t>:</w:t>
      </w:r>
    </w:p>
    <w:p w:rsidRPr="00511954" w:rsidR="002903C9" w:rsidP="002F1A86" w:rsidRDefault="002903C9" w14:paraId="1DA87928" w14:textId="2866BC22">
      <w:pPr>
        <w:pStyle w:val="BodyText"/>
        <w:spacing w:after="120"/>
        <w:rPr>
          <w:rFonts w:ascii="Palatino Linotype" w:hAnsi="Palatino Linotype"/>
          <w:b w:val="0"/>
        </w:rPr>
      </w:pPr>
      <w:r w:rsidRPr="00511954">
        <w:rPr>
          <w:rFonts w:ascii="Palatino Linotype" w:hAnsi="Palatino Linotype"/>
          <w:b w:val="0"/>
        </w:rPr>
        <w:t xml:space="preserve">This section will address </w:t>
      </w:r>
      <w:r w:rsidRPr="00511954">
        <w:rPr>
          <w:rFonts w:ascii="Palatino Linotype" w:hAnsi="Palatino Linotype" w:cs="TimesNewRoman"/>
          <w:b w:val="0"/>
          <w:szCs w:val="24"/>
        </w:rPr>
        <w:t>aspects of program implementation that were treated inconsistently by the IOUs or that contradict direction provided in the Decision</w:t>
      </w:r>
      <w:r w:rsidRPr="00511954" w:rsidR="002F4B7D">
        <w:rPr>
          <w:rFonts w:ascii="Palatino Linotype" w:hAnsi="Palatino Linotype" w:cs="TimesNewRoman"/>
          <w:b w:val="0"/>
          <w:szCs w:val="24"/>
        </w:rPr>
        <w:t>, or that warrant clarification to ensure consistency in program implementation.</w:t>
      </w:r>
    </w:p>
    <w:p w:rsidRPr="00511954" w:rsidR="0041116B" w:rsidP="00BE419A" w:rsidRDefault="0041116B" w14:paraId="65363D98" w14:textId="77777777">
      <w:pPr>
        <w:pStyle w:val="BodyText"/>
        <w:keepNext/>
        <w:rPr>
          <w:rFonts w:ascii="Palatino Linotype" w:hAnsi="Palatino Linotype"/>
          <w:b w:val="0"/>
        </w:rPr>
      </w:pPr>
      <w:r w:rsidRPr="00511954">
        <w:rPr>
          <w:rFonts w:ascii="Palatino Linotype" w:hAnsi="Palatino Linotype"/>
          <w:b w:val="0"/>
          <w:u w:val="single"/>
        </w:rPr>
        <w:t xml:space="preserve">Use of </w:t>
      </w:r>
      <w:r w:rsidRPr="00511954" w:rsidR="00B5209D">
        <w:rPr>
          <w:rFonts w:ascii="Palatino Linotype" w:hAnsi="Palatino Linotype"/>
          <w:b w:val="0"/>
          <w:u w:val="single"/>
        </w:rPr>
        <w:t>Existing Resources</w:t>
      </w:r>
      <w:r w:rsidRPr="00511954" w:rsidR="00B5209D">
        <w:rPr>
          <w:rFonts w:ascii="Palatino Linotype" w:hAnsi="Palatino Linotype"/>
          <w:b w:val="0"/>
        </w:rPr>
        <w:t xml:space="preserve"> </w:t>
      </w:r>
    </w:p>
    <w:p w:rsidRPr="00511954" w:rsidR="004C3E65" w:rsidP="006940AB" w:rsidRDefault="0041116B" w14:paraId="6CE5EF85" w14:textId="20DDC9F8">
      <w:pPr>
        <w:pStyle w:val="BodyText"/>
        <w:spacing w:after="120"/>
        <w:rPr>
          <w:rFonts w:ascii="Palatino Linotype" w:hAnsi="Palatino Linotype"/>
          <w:b w:val="0"/>
          <w:u w:val="single"/>
        </w:rPr>
      </w:pPr>
      <w:r w:rsidRPr="00511954">
        <w:rPr>
          <w:rFonts w:ascii="Palatino Linotype" w:hAnsi="Palatino Linotype"/>
          <w:b w:val="0"/>
        </w:rPr>
        <w:t>In their</w:t>
      </w:r>
      <w:r w:rsidRPr="00511954" w:rsidR="00BF4030">
        <w:rPr>
          <w:rFonts w:ascii="Palatino Linotype" w:hAnsi="Palatino Linotype"/>
          <w:b w:val="0"/>
        </w:rPr>
        <w:t xml:space="preserve"> ALs</w:t>
      </w:r>
      <w:r w:rsidRPr="00511954">
        <w:rPr>
          <w:rFonts w:ascii="Palatino Linotype" w:hAnsi="Palatino Linotype"/>
          <w:b w:val="0"/>
        </w:rPr>
        <w:t>, b</w:t>
      </w:r>
      <w:r w:rsidRPr="00511954" w:rsidR="00B5209D">
        <w:rPr>
          <w:rFonts w:ascii="Palatino Linotype" w:hAnsi="Palatino Linotype"/>
          <w:b w:val="0"/>
        </w:rPr>
        <w:t>oth PG&amp;E and SCE propose to use previously procured resources to serve customers under the DAC-GT program.</w:t>
      </w:r>
      <w:r w:rsidRPr="00511954">
        <w:rPr>
          <w:rFonts w:ascii="Palatino Linotype" w:hAnsi="Palatino Linotype"/>
          <w:b w:val="0"/>
        </w:rPr>
        <w:t xml:space="preserve"> In </w:t>
      </w:r>
      <w:r w:rsidRPr="00511954" w:rsidR="00556D55">
        <w:rPr>
          <w:rFonts w:ascii="Palatino Linotype" w:hAnsi="Palatino Linotype"/>
          <w:b w:val="0"/>
        </w:rPr>
        <w:t>its AL</w:t>
      </w:r>
      <w:r w:rsidRPr="00511954">
        <w:rPr>
          <w:rFonts w:ascii="Palatino Linotype" w:hAnsi="Palatino Linotype"/>
          <w:b w:val="0"/>
        </w:rPr>
        <w:t>, P</w:t>
      </w:r>
      <w:r w:rsidRPr="00511954" w:rsidR="00B5209D">
        <w:rPr>
          <w:rFonts w:ascii="Palatino Linotype" w:hAnsi="Palatino Linotype"/>
          <w:b w:val="0"/>
        </w:rPr>
        <w:t xml:space="preserve">G&amp;E proposes </w:t>
      </w:r>
      <w:r w:rsidRPr="00511954" w:rsidR="000468EE">
        <w:rPr>
          <w:rFonts w:ascii="Palatino Linotype" w:hAnsi="Palatino Linotype"/>
          <w:b w:val="0"/>
        </w:rPr>
        <w:t xml:space="preserve">to serve </w:t>
      </w:r>
      <w:r w:rsidRPr="00511954" w:rsidR="0036365B">
        <w:rPr>
          <w:rFonts w:ascii="Palatino Linotype" w:hAnsi="Palatino Linotype"/>
          <w:b w:val="0"/>
        </w:rPr>
        <w:t xml:space="preserve">initial </w:t>
      </w:r>
      <w:r w:rsidRPr="00511954" w:rsidR="000468EE">
        <w:rPr>
          <w:rFonts w:ascii="Palatino Linotype" w:hAnsi="Palatino Linotype"/>
          <w:b w:val="0"/>
        </w:rPr>
        <w:t xml:space="preserve">DAC-GT customers </w:t>
      </w:r>
      <w:r w:rsidRPr="00511954" w:rsidR="00B5209D">
        <w:rPr>
          <w:rFonts w:ascii="Palatino Linotype" w:hAnsi="Palatino Linotype"/>
          <w:b w:val="0"/>
        </w:rPr>
        <w:t>us</w:t>
      </w:r>
      <w:r w:rsidRPr="00511954" w:rsidR="00DE2911">
        <w:rPr>
          <w:rFonts w:ascii="Palatino Linotype" w:hAnsi="Palatino Linotype"/>
          <w:b w:val="0"/>
        </w:rPr>
        <w:t>ing</w:t>
      </w:r>
      <w:r w:rsidRPr="00511954" w:rsidR="00B5209D">
        <w:rPr>
          <w:rFonts w:ascii="Palatino Linotype" w:hAnsi="Palatino Linotype"/>
          <w:b w:val="0"/>
        </w:rPr>
        <w:t xml:space="preserve"> resources procured under its green tariff (GT) program</w:t>
      </w:r>
      <w:r w:rsidRPr="00511954" w:rsidR="00556D55">
        <w:rPr>
          <w:rFonts w:ascii="Palatino Linotype" w:hAnsi="Palatino Linotype"/>
          <w:b w:val="0"/>
        </w:rPr>
        <w:t>,</w:t>
      </w:r>
      <w:r w:rsidRPr="00511954" w:rsidR="00B5209D">
        <w:rPr>
          <w:rFonts w:ascii="Palatino Linotype" w:hAnsi="Palatino Linotype"/>
          <w:b w:val="0"/>
        </w:rPr>
        <w:t xml:space="preserve"> which currently ha</w:t>
      </w:r>
      <w:r w:rsidRPr="00511954" w:rsidR="0021482A">
        <w:rPr>
          <w:rFonts w:ascii="Palatino Linotype" w:hAnsi="Palatino Linotype"/>
          <w:b w:val="0"/>
        </w:rPr>
        <w:t>s</w:t>
      </w:r>
      <w:r w:rsidRPr="00511954" w:rsidR="00B5209D">
        <w:rPr>
          <w:rFonts w:ascii="Palatino Linotype" w:hAnsi="Palatino Linotype"/>
          <w:b w:val="0"/>
        </w:rPr>
        <w:t xml:space="preserve"> unsubscribed</w:t>
      </w:r>
      <w:r w:rsidRPr="00511954" w:rsidR="005C2426">
        <w:rPr>
          <w:rFonts w:ascii="Palatino Linotype" w:hAnsi="Palatino Linotype"/>
          <w:b w:val="0"/>
        </w:rPr>
        <w:t>, excess</w:t>
      </w:r>
      <w:r w:rsidRPr="00511954" w:rsidR="00B5209D">
        <w:rPr>
          <w:rFonts w:ascii="Palatino Linotype" w:hAnsi="Palatino Linotype"/>
          <w:b w:val="0"/>
        </w:rPr>
        <w:t xml:space="preserve"> capacity.</w:t>
      </w:r>
      <w:r w:rsidRPr="00511954">
        <w:rPr>
          <w:rStyle w:val="FootnoteReference"/>
          <w:rFonts w:ascii="Palatino Linotype" w:hAnsi="Palatino Linotype"/>
          <w:b w:val="0"/>
        </w:rPr>
        <w:footnoteReference w:id="47"/>
      </w:r>
      <w:r w:rsidRPr="00511954" w:rsidR="00B5209D">
        <w:rPr>
          <w:rFonts w:ascii="Palatino Linotype" w:hAnsi="Palatino Linotype"/>
          <w:b w:val="0"/>
        </w:rPr>
        <w:t xml:space="preserve"> </w:t>
      </w:r>
      <w:r w:rsidRPr="00511954">
        <w:rPr>
          <w:rFonts w:ascii="Palatino Linotype" w:hAnsi="Palatino Linotype"/>
          <w:b w:val="0"/>
        </w:rPr>
        <w:t xml:space="preserve">PG&amp;E’s </w:t>
      </w:r>
      <w:r w:rsidRPr="00511954" w:rsidR="00556D55">
        <w:rPr>
          <w:rFonts w:ascii="Palatino Linotype" w:hAnsi="Palatino Linotype"/>
          <w:b w:val="0"/>
        </w:rPr>
        <w:t>AL</w:t>
      </w:r>
      <w:r w:rsidRPr="00511954">
        <w:rPr>
          <w:rFonts w:ascii="Palatino Linotype" w:hAnsi="Palatino Linotype"/>
          <w:b w:val="0"/>
        </w:rPr>
        <w:t xml:space="preserve"> indicate</w:t>
      </w:r>
      <w:r w:rsidRPr="00511954" w:rsidR="005C2426">
        <w:rPr>
          <w:rFonts w:ascii="Palatino Linotype" w:hAnsi="Palatino Linotype"/>
          <w:b w:val="0"/>
        </w:rPr>
        <w:t>d</w:t>
      </w:r>
      <w:r w:rsidRPr="00511954">
        <w:rPr>
          <w:rFonts w:ascii="Palatino Linotype" w:hAnsi="Palatino Linotype"/>
          <w:b w:val="0"/>
        </w:rPr>
        <w:t xml:space="preserve"> that</w:t>
      </w:r>
      <w:r w:rsidRPr="00511954" w:rsidR="005C2426">
        <w:rPr>
          <w:rFonts w:ascii="Palatino Linotype" w:hAnsi="Palatino Linotype"/>
          <w:b w:val="0"/>
        </w:rPr>
        <w:t xml:space="preserve"> </w:t>
      </w:r>
      <w:r w:rsidRPr="00511954" w:rsidR="001F5F9C">
        <w:rPr>
          <w:rFonts w:ascii="Palatino Linotype" w:hAnsi="Palatino Linotype"/>
          <w:b w:val="0"/>
        </w:rPr>
        <w:t xml:space="preserve">as of August 2018, </w:t>
      </w:r>
      <w:r w:rsidRPr="00511954" w:rsidR="005C2426">
        <w:rPr>
          <w:rFonts w:ascii="Palatino Linotype" w:hAnsi="Palatino Linotype"/>
          <w:b w:val="0"/>
        </w:rPr>
        <w:t>35 MW of GT project capacity was</w:t>
      </w:r>
      <w:r w:rsidRPr="00511954">
        <w:rPr>
          <w:rFonts w:ascii="Palatino Linotype" w:hAnsi="Palatino Linotype"/>
          <w:b w:val="0"/>
        </w:rPr>
        <w:t xml:space="preserve"> unsubscribed</w:t>
      </w:r>
      <w:r w:rsidRPr="00511954" w:rsidR="00547F0B">
        <w:rPr>
          <w:rFonts w:ascii="Palatino Linotype" w:hAnsi="Palatino Linotype"/>
          <w:b w:val="0"/>
        </w:rPr>
        <w:t>,</w:t>
      </w:r>
      <w:r w:rsidRPr="00511954">
        <w:rPr>
          <w:rFonts w:ascii="Palatino Linotype" w:hAnsi="Palatino Linotype"/>
          <w:b w:val="0"/>
        </w:rPr>
        <w:t xml:space="preserve"> but PG&amp;E’s more recent GTSR filings indicate that this number is now </w:t>
      </w:r>
      <w:r w:rsidRPr="00511954" w:rsidR="00A15D34">
        <w:rPr>
          <w:rFonts w:ascii="Palatino Linotype" w:hAnsi="Palatino Linotype"/>
          <w:b w:val="0"/>
        </w:rPr>
        <w:t>approximately</w:t>
      </w:r>
      <w:r w:rsidRPr="00511954">
        <w:rPr>
          <w:rFonts w:ascii="Palatino Linotype" w:hAnsi="Palatino Linotype"/>
          <w:b w:val="0"/>
        </w:rPr>
        <w:t xml:space="preserve"> 30 MW.</w:t>
      </w:r>
      <w:r w:rsidRPr="00511954" w:rsidR="00A15D34">
        <w:rPr>
          <w:rStyle w:val="FootnoteReference"/>
          <w:rFonts w:ascii="Palatino Linotype" w:hAnsi="Palatino Linotype"/>
          <w:b w:val="0"/>
        </w:rPr>
        <w:footnoteReference w:id="48"/>
      </w:r>
      <w:r w:rsidRPr="00511954">
        <w:rPr>
          <w:rFonts w:ascii="Palatino Linotype" w:hAnsi="Palatino Linotype"/>
          <w:b w:val="0"/>
        </w:rPr>
        <w:t xml:space="preserve">  According to PG&amp;E, all of it</w:t>
      </w:r>
      <w:r w:rsidRPr="00511954" w:rsidR="00B5209D">
        <w:rPr>
          <w:rFonts w:ascii="Palatino Linotype" w:hAnsi="Palatino Linotype"/>
          <w:b w:val="0"/>
        </w:rPr>
        <w:t>s GT projects are located in DACs</w:t>
      </w:r>
      <w:r w:rsidRPr="00511954">
        <w:rPr>
          <w:rFonts w:ascii="Palatino Linotype" w:hAnsi="Palatino Linotype"/>
          <w:b w:val="0"/>
        </w:rPr>
        <w:t xml:space="preserve"> as defined in </w:t>
      </w:r>
      <w:r w:rsidRPr="00511954" w:rsidR="00556D55">
        <w:rPr>
          <w:rFonts w:ascii="Palatino Linotype" w:hAnsi="Palatino Linotype"/>
          <w:b w:val="0"/>
        </w:rPr>
        <w:t>the NEM DAC Decision, and would therefore meet the locational eligibility criteria for the DAC GT program</w:t>
      </w:r>
      <w:r w:rsidRPr="00511954" w:rsidR="00B5209D">
        <w:rPr>
          <w:rFonts w:ascii="Palatino Linotype" w:hAnsi="Palatino Linotype"/>
          <w:b w:val="0"/>
        </w:rPr>
        <w:t>.</w:t>
      </w:r>
      <w:r w:rsidRPr="00511954" w:rsidR="00211CB2">
        <w:rPr>
          <w:rFonts w:ascii="Palatino Linotype" w:hAnsi="Palatino Linotype"/>
          <w:b w:val="0"/>
        </w:rPr>
        <w:t xml:space="preserve"> </w:t>
      </w:r>
      <w:r w:rsidRPr="00511954" w:rsidR="0021482A">
        <w:rPr>
          <w:rFonts w:ascii="Palatino Linotype" w:hAnsi="Palatino Linotype"/>
          <w:b w:val="0"/>
        </w:rPr>
        <w:t>Notably</w:t>
      </w:r>
      <w:r w:rsidRPr="00511954" w:rsidR="00556D55">
        <w:rPr>
          <w:rFonts w:ascii="Palatino Linotype" w:hAnsi="Palatino Linotype"/>
          <w:b w:val="0"/>
        </w:rPr>
        <w:t>,</w:t>
      </w:r>
      <w:r w:rsidRPr="00511954" w:rsidR="0021482A">
        <w:rPr>
          <w:rFonts w:ascii="Palatino Linotype" w:hAnsi="Palatino Linotype"/>
          <w:b w:val="0"/>
        </w:rPr>
        <w:t xml:space="preserve"> in its supplemental AL, PG&amp;E refers to serving DAC-GT customers </w:t>
      </w:r>
      <w:r w:rsidRPr="00511954" w:rsidR="001F5F9C">
        <w:rPr>
          <w:rFonts w:ascii="Palatino Linotype" w:hAnsi="Palatino Linotype"/>
          <w:b w:val="0"/>
        </w:rPr>
        <w:t>using</w:t>
      </w:r>
      <w:r w:rsidRPr="00511954" w:rsidR="0021482A">
        <w:rPr>
          <w:rFonts w:ascii="Palatino Linotype" w:hAnsi="Palatino Linotype"/>
          <w:b w:val="0"/>
        </w:rPr>
        <w:t xml:space="preserve"> an “interim pool of solar resources</w:t>
      </w:r>
      <w:r w:rsidRPr="00511954" w:rsidR="00547F0B">
        <w:rPr>
          <w:rFonts w:ascii="Palatino Linotype" w:hAnsi="Palatino Linotype"/>
          <w:b w:val="0"/>
        </w:rPr>
        <w:t>.”</w:t>
      </w:r>
      <w:r w:rsidRPr="00511954" w:rsidR="0021482A">
        <w:rPr>
          <w:rStyle w:val="FootnoteReference"/>
          <w:rFonts w:ascii="Palatino Linotype" w:hAnsi="Palatino Linotype"/>
          <w:b w:val="0"/>
        </w:rPr>
        <w:footnoteReference w:id="49"/>
      </w:r>
      <w:r w:rsidRPr="00511954" w:rsidR="001F5F9C">
        <w:rPr>
          <w:rFonts w:ascii="Palatino Linotype" w:hAnsi="Palatino Linotype"/>
          <w:b w:val="0"/>
        </w:rPr>
        <w:t xml:space="preserve"> While t</w:t>
      </w:r>
      <w:r w:rsidRPr="00511954" w:rsidR="0021482A">
        <w:rPr>
          <w:rFonts w:ascii="Palatino Linotype" w:hAnsi="Palatino Linotype"/>
          <w:b w:val="0"/>
        </w:rPr>
        <w:t xml:space="preserve">he </w:t>
      </w:r>
      <w:r w:rsidR="00BF6C83">
        <w:rPr>
          <w:rFonts w:ascii="Palatino Linotype" w:hAnsi="Palatino Linotype"/>
          <w:b w:val="0"/>
        </w:rPr>
        <w:t>AL</w:t>
      </w:r>
      <w:r w:rsidRPr="00511954" w:rsidR="00BF6C83">
        <w:rPr>
          <w:rFonts w:ascii="Palatino Linotype" w:hAnsi="Palatino Linotype"/>
          <w:b w:val="0"/>
        </w:rPr>
        <w:t xml:space="preserve"> </w:t>
      </w:r>
      <w:r w:rsidRPr="00511954" w:rsidR="0021482A">
        <w:rPr>
          <w:rFonts w:ascii="Palatino Linotype" w:hAnsi="Palatino Linotype"/>
          <w:b w:val="0"/>
        </w:rPr>
        <w:t xml:space="preserve">does not provide sufficient detail to determine whether PG&amp;E is modifying its </w:t>
      </w:r>
      <w:r w:rsidRPr="00511954" w:rsidR="000468EE">
        <w:rPr>
          <w:rFonts w:ascii="Palatino Linotype" w:hAnsi="Palatino Linotype"/>
          <w:b w:val="0"/>
        </w:rPr>
        <w:t xml:space="preserve">initially </w:t>
      </w:r>
      <w:r w:rsidRPr="00511954" w:rsidR="0021482A">
        <w:rPr>
          <w:rFonts w:ascii="Palatino Linotype" w:hAnsi="Palatino Linotype"/>
          <w:b w:val="0"/>
        </w:rPr>
        <w:t>proposed approach</w:t>
      </w:r>
      <w:r w:rsidRPr="00511954" w:rsidR="00FB4E7F">
        <w:rPr>
          <w:rFonts w:ascii="Palatino Linotype" w:hAnsi="Palatino Linotype"/>
          <w:b w:val="0"/>
        </w:rPr>
        <w:t xml:space="preserve"> in some way</w:t>
      </w:r>
      <w:r w:rsidRPr="00511954" w:rsidR="001F5F9C">
        <w:rPr>
          <w:rFonts w:ascii="Palatino Linotype" w:hAnsi="Palatino Linotype"/>
          <w:b w:val="0"/>
        </w:rPr>
        <w:t xml:space="preserve">, it appears that PG&amp;E still plans to utilize these existing resources </w:t>
      </w:r>
      <w:r w:rsidRPr="00511954" w:rsidR="0036365B">
        <w:rPr>
          <w:rFonts w:ascii="Palatino Linotype" w:hAnsi="Palatino Linotype"/>
          <w:b w:val="0"/>
        </w:rPr>
        <w:t>to serve initial</w:t>
      </w:r>
      <w:r w:rsidRPr="00511954" w:rsidR="001F5F9C">
        <w:rPr>
          <w:rFonts w:ascii="Palatino Linotype" w:hAnsi="Palatino Linotype"/>
          <w:b w:val="0"/>
        </w:rPr>
        <w:t xml:space="preserve"> DAC-GT </w:t>
      </w:r>
      <w:r w:rsidRPr="00511954" w:rsidR="000468EE">
        <w:rPr>
          <w:rFonts w:ascii="Palatino Linotype" w:hAnsi="Palatino Linotype"/>
          <w:b w:val="0"/>
        </w:rPr>
        <w:t xml:space="preserve">customers </w:t>
      </w:r>
      <w:r w:rsidRPr="00511954" w:rsidR="003F6E25">
        <w:rPr>
          <w:rFonts w:ascii="Palatino Linotype" w:hAnsi="Palatino Linotype"/>
          <w:b w:val="0"/>
        </w:rPr>
        <w:t>in perpetuity</w:t>
      </w:r>
      <w:r w:rsidRPr="00511954" w:rsidR="000468EE">
        <w:rPr>
          <w:rFonts w:ascii="Palatino Linotype" w:hAnsi="Palatino Linotype"/>
          <w:b w:val="0"/>
        </w:rPr>
        <w:t xml:space="preserve"> as</w:t>
      </w:r>
      <w:r w:rsidRPr="00511954" w:rsidR="003F6E25">
        <w:rPr>
          <w:rFonts w:ascii="Palatino Linotype" w:hAnsi="Palatino Linotype"/>
          <w:b w:val="0"/>
        </w:rPr>
        <w:t xml:space="preserve"> </w:t>
      </w:r>
      <w:r w:rsidRPr="00511954" w:rsidR="00FB4E7F">
        <w:rPr>
          <w:rFonts w:ascii="Palatino Linotype" w:hAnsi="Palatino Linotype"/>
          <w:b w:val="0"/>
        </w:rPr>
        <w:t xml:space="preserve">elsewhere </w:t>
      </w:r>
      <w:r w:rsidRPr="00511954" w:rsidR="003F6E25">
        <w:rPr>
          <w:rFonts w:ascii="Palatino Linotype" w:hAnsi="Palatino Linotype"/>
          <w:b w:val="0"/>
        </w:rPr>
        <w:t>the AL</w:t>
      </w:r>
      <w:r w:rsidRPr="00511954" w:rsidR="001F5F9C">
        <w:rPr>
          <w:rFonts w:ascii="Palatino Linotype" w:hAnsi="Palatino Linotype"/>
          <w:b w:val="0"/>
        </w:rPr>
        <w:t xml:space="preserve"> states </w:t>
      </w:r>
      <w:r w:rsidRPr="00511954" w:rsidR="000468EE">
        <w:rPr>
          <w:rFonts w:ascii="Palatino Linotype" w:hAnsi="Palatino Linotype"/>
          <w:b w:val="0"/>
        </w:rPr>
        <w:t>th</w:t>
      </w:r>
      <w:r w:rsidRPr="00511954" w:rsidR="001F5F9C">
        <w:rPr>
          <w:rFonts w:ascii="Palatino Linotype" w:hAnsi="Palatino Linotype"/>
          <w:b w:val="0"/>
        </w:rPr>
        <w:t>at it</w:t>
      </w:r>
      <w:r w:rsidRPr="00511954" w:rsidR="003F6E25">
        <w:rPr>
          <w:rFonts w:ascii="Palatino Linotype" w:hAnsi="Palatino Linotype"/>
          <w:b w:val="0"/>
        </w:rPr>
        <w:t xml:space="preserve"> relies</w:t>
      </w:r>
      <w:r w:rsidRPr="00511954" w:rsidR="001F5F9C">
        <w:rPr>
          <w:rFonts w:ascii="Palatino Linotype" w:hAnsi="Palatino Linotype"/>
          <w:b w:val="0"/>
        </w:rPr>
        <w:t xml:space="preserve"> on the “assumption that PG&amp;E must not procure new solar resources for this program”</w:t>
      </w:r>
      <w:r w:rsidRPr="00511954" w:rsidR="000468EE">
        <w:rPr>
          <w:rFonts w:ascii="Palatino Linotype" w:hAnsi="Palatino Linotype"/>
          <w:b w:val="0"/>
        </w:rPr>
        <w:t xml:space="preserve"> in 2019 and 2020</w:t>
      </w:r>
      <w:r w:rsidRPr="00511954" w:rsidR="001F5F9C">
        <w:rPr>
          <w:rFonts w:ascii="Palatino Linotype" w:hAnsi="Palatino Linotype"/>
          <w:b w:val="0"/>
        </w:rPr>
        <w:t>.</w:t>
      </w:r>
      <w:r w:rsidRPr="00511954" w:rsidR="001F5F9C">
        <w:rPr>
          <w:rStyle w:val="FootnoteReference"/>
          <w:rFonts w:ascii="Palatino Linotype" w:hAnsi="Palatino Linotype"/>
          <w:b w:val="0"/>
        </w:rPr>
        <w:footnoteReference w:id="50"/>
      </w:r>
      <w:r w:rsidRPr="00511954" w:rsidR="001F5F9C">
        <w:rPr>
          <w:rFonts w:ascii="Palatino Linotype" w:hAnsi="Palatino Linotype"/>
          <w:b w:val="0"/>
        </w:rPr>
        <w:t xml:space="preserve"> </w:t>
      </w:r>
      <w:r w:rsidRPr="00511954" w:rsidR="00CE7669">
        <w:rPr>
          <w:rFonts w:ascii="Palatino Linotype" w:hAnsi="Palatino Linotype"/>
          <w:b w:val="0"/>
        </w:rPr>
        <w:t xml:space="preserve">While the attributes of the existing resources SCE would </w:t>
      </w:r>
      <w:r w:rsidRPr="00511954" w:rsidR="00380ED6">
        <w:rPr>
          <w:rFonts w:ascii="Palatino Linotype" w:hAnsi="Palatino Linotype"/>
          <w:b w:val="0"/>
        </w:rPr>
        <w:t>rely on for DAC-GT</w:t>
      </w:r>
      <w:r w:rsidRPr="00511954" w:rsidR="00CE7669">
        <w:rPr>
          <w:rFonts w:ascii="Palatino Linotype" w:hAnsi="Palatino Linotype"/>
          <w:b w:val="0"/>
        </w:rPr>
        <w:t xml:space="preserve"> are somewhat different (as is discussed further below), </w:t>
      </w:r>
      <w:r w:rsidRPr="00511954" w:rsidR="00501851">
        <w:rPr>
          <w:rFonts w:ascii="Palatino Linotype" w:hAnsi="Palatino Linotype"/>
          <w:b w:val="0"/>
        </w:rPr>
        <w:t xml:space="preserve">SCE </w:t>
      </w:r>
      <w:r w:rsidRPr="00511954" w:rsidR="00CC7C59">
        <w:rPr>
          <w:rFonts w:ascii="Palatino Linotype" w:hAnsi="Palatino Linotype"/>
          <w:b w:val="0"/>
        </w:rPr>
        <w:t xml:space="preserve">similarly </w:t>
      </w:r>
      <w:r w:rsidRPr="00511954" w:rsidR="00501851">
        <w:rPr>
          <w:rFonts w:ascii="Palatino Linotype" w:hAnsi="Palatino Linotype"/>
          <w:b w:val="0"/>
        </w:rPr>
        <w:t xml:space="preserve">proposes to </w:t>
      </w:r>
      <w:r w:rsidR="006940AB">
        <w:rPr>
          <w:rFonts w:ascii="Palatino Linotype" w:hAnsi="Palatino Linotype"/>
          <w:b w:val="0"/>
        </w:rPr>
        <w:t>“</w:t>
      </w:r>
      <w:r w:rsidRPr="006940AB" w:rsidR="006940AB">
        <w:rPr>
          <w:rFonts w:ascii="Palatino Linotype" w:hAnsi="Palatino Linotype"/>
          <w:b w:val="0"/>
        </w:rPr>
        <w:t>rely upon an interim portfolio comprised of RPS-eligible solar facilities</w:t>
      </w:r>
      <w:r w:rsidR="006940AB">
        <w:rPr>
          <w:rFonts w:ascii="Palatino Linotype" w:hAnsi="Palatino Linotype"/>
          <w:b w:val="0"/>
        </w:rPr>
        <w:t xml:space="preserve"> </w:t>
      </w:r>
      <w:r w:rsidRPr="006940AB" w:rsidR="006940AB">
        <w:rPr>
          <w:rFonts w:ascii="Palatino Linotype" w:hAnsi="Palatino Linotype"/>
          <w:b w:val="0"/>
        </w:rPr>
        <w:t>located within SCE</w:t>
      </w:r>
      <w:r w:rsidR="006940AB">
        <w:rPr>
          <w:rFonts w:ascii="Palatino Linotype" w:hAnsi="Palatino Linotype"/>
          <w:b w:val="0"/>
        </w:rPr>
        <w:t>’s service territory”</w:t>
      </w:r>
      <w:r w:rsidRPr="00511954" w:rsidR="00501851">
        <w:rPr>
          <w:rStyle w:val="FootnoteReference"/>
          <w:rFonts w:ascii="Palatino Linotype" w:hAnsi="Palatino Linotype"/>
          <w:b w:val="0"/>
        </w:rPr>
        <w:footnoteReference w:id="51"/>
      </w:r>
      <w:r w:rsidR="006940AB">
        <w:rPr>
          <w:rFonts w:ascii="Palatino Linotype" w:hAnsi="Palatino Linotype"/>
          <w:b w:val="0"/>
        </w:rPr>
        <w:t xml:space="preserve"> to serve initial DAC-GT customers.</w:t>
      </w:r>
    </w:p>
    <w:p w:rsidRPr="00511954" w:rsidR="00B5209D" w:rsidP="004C3E65" w:rsidRDefault="00B5209D" w14:paraId="4C22B275" w14:textId="2E3E14AB">
      <w:pPr>
        <w:pStyle w:val="BodyText"/>
        <w:spacing w:after="120"/>
        <w:rPr>
          <w:rFonts w:ascii="Palatino Linotype" w:hAnsi="Palatino Linotype"/>
          <w:b w:val="0"/>
        </w:rPr>
      </w:pPr>
      <w:r w:rsidRPr="00511954">
        <w:rPr>
          <w:rFonts w:ascii="Palatino Linotype" w:hAnsi="Palatino Linotype"/>
          <w:b w:val="0"/>
        </w:rPr>
        <w:t>The purpose of creating the DAC-GT and CSGT programs i</w:t>
      </w:r>
      <w:r w:rsidRPr="00511954" w:rsidR="001B6D81">
        <w:rPr>
          <w:rFonts w:ascii="Palatino Linotype" w:hAnsi="Palatino Linotype"/>
          <w:b w:val="0"/>
        </w:rPr>
        <w:t xml:space="preserve">s to promote development of new </w:t>
      </w:r>
      <w:r w:rsidRPr="00511954">
        <w:rPr>
          <w:rFonts w:ascii="Palatino Linotype" w:hAnsi="Palatino Linotype"/>
          <w:b w:val="0"/>
        </w:rPr>
        <w:t>renewable energy projects in DACs</w:t>
      </w:r>
      <w:r w:rsidRPr="00511954" w:rsidR="003F6E25">
        <w:rPr>
          <w:rFonts w:ascii="Palatino Linotype" w:hAnsi="Palatino Linotype"/>
          <w:b w:val="0"/>
        </w:rPr>
        <w:t>.</w:t>
      </w:r>
      <w:r w:rsidR="00251F3E">
        <w:rPr>
          <w:rFonts w:ascii="Palatino Linotype" w:hAnsi="Palatino Linotype"/>
          <w:b w:val="0"/>
        </w:rPr>
        <w:t xml:space="preserve"> In fact, the very first sentence in the NEM DAC Decision states, “</w:t>
      </w:r>
      <w:r w:rsidRPr="00251F3E" w:rsidR="00251F3E">
        <w:rPr>
          <w:rFonts w:ascii="Palatino Linotype" w:hAnsi="Palatino Linotype"/>
          <w:b w:val="0"/>
        </w:rPr>
        <w:t xml:space="preserve">This decision adopts three new programs to promote the </w:t>
      </w:r>
      <w:r w:rsidRPr="006940AB" w:rsidR="00251F3E">
        <w:rPr>
          <w:rFonts w:ascii="Palatino Linotype" w:hAnsi="Palatino Linotype"/>
          <w:b w:val="0"/>
          <w:i/>
        </w:rPr>
        <w:t>installation</w:t>
      </w:r>
      <w:r w:rsidRPr="00251F3E" w:rsidR="00251F3E">
        <w:rPr>
          <w:rFonts w:ascii="Palatino Linotype" w:hAnsi="Palatino Linotype"/>
          <w:b w:val="0"/>
        </w:rPr>
        <w:t xml:space="preserve"> of renewable generation among residential customers in disadvantaged communities (DACs)</w:t>
      </w:r>
      <w:r w:rsidR="00251F3E">
        <w:rPr>
          <w:rFonts w:ascii="Palatino Linotype" w:hAnsi="Palatino Linotype"/>
          <w:b w:val="0"/>
        </w:rPr>
        <w:t>”.</w:t>
      </w:r>
      <w:r w:rsidRPr="00511954">
        <w:rPr>
          <w:rStyle w:val="FootnoteReference"/>
          <w:rFonts w:ascii="Palatino Linotype" w:hAnsi="Palatino Linotype"/>
          <w:b w:val="0"/>
        </w:rPr>
        <w:footnoteReference w:id="52"/>
      </w:r>
      <w:r w:rsidRPr="00511954">
        <w:rPr>
          <w:rFonts w:ascii="Palatino Linotype" w:hAnsi="Palatino Linotype"/>
          <w:b w:val="0"/>
        </w:rPr>
        <w:t xml:space="preserve"> </w:t>
      </w:r>
      <w:r w:rsidRPr="00511954" w:rsidR="003F6E25">
        <w:rPr>
          <w:rFonts w:ascii="Palatino Linotype" w:hAnsi="Palatino Linotype"/>
          <w:b w:val="0"/>
        </w:rPr>
        <w:t>PG&amp;E recently asserted that its green tariff, “</w:t>
      </w:r>
      <w:r w:rsidRPr="00511954" w:rsidR="005C2426">
        <w:rPr>
          <w:rFonts w:ascii="Palatino Linotype" w:hAnsi="Palatino Linotype"/>
          <w:b w:val="0"/>
        </w:rPr>
        <w:t xml:space="preserve">gives customers the choice of purchasing either 50% or 100% of their electric usage from a pool of </w:t>
      </w:r>
      <w:r w:rsidRPr="00511954" w:rsidR="00255A29">
        <w:rPr>
          <w:rFonts w:ascii="Palatino Linotype" w:hAnsi="Palatino Linotype"/>
          <w:b w:val="0"/>
        </w:rPr>
        <w:t>new ‘</w:t>
      </w:r>
      <w:r w:rsidRPr="00511954" w:rsidR="005C2426">
        <w:rPr>
          <w:rFonts w:ascii="Palatino Linotype" w:hAnsi="Palatino Linotype"/>
          <w:b w:val="0"/>
        </w:rPr>
        <w:t>s</w:t>
      </w:r>
      <w:r w:rsidRPr="00511954" w:rsidR="00255A29">
        <w:rPr>
          <w:rFonts w:ascii="Palatino Linotype" w:hAnsi="Palatino Linotype"/>
          <w:b w:val="0"/>
        </w:rPr>
        <w:t>teel in the ground’</w:t>
      </w:r>
      <w:r w:rsidRPr="00511954" w:rsidR="005C2426">
        <w:rPr>
          <w:rFonts w:ascii="Palatino Linotype" w:hAnsi="Palatino Linotype"/>
          <w:b w:val="0"/>
        </w:rPr>
        <w:t xml:space="preserve"> solar projects in PG&amp;E’s service territory.”</w:t>
      </w:r>
      <w:r w:rsidRPr="00511954" w:rsidR="00255A29">
        <w:rPr>
          <w:rStyle w:val="FootnoteReference"/>
          <w:rFonts w:ascii="Palatino Linotype" w:hAnsi="Palatino Linotype"/>
          <w:b w:val="0"/>
        </w:rPr>
        <w:footnoteReference w:id="53"/>
      </w:r>
      <w:r w:rsidRPr="00511954" w:rsidR="00255A29">
        <w:rPr>
          <w:rFonts w:ascii="Palatino Linotype" w:hAnsi="Palatino Linotype"/>
          <w:b w:val="0"/>
        </w:rPr>
        <w:t xml:space="preserve"> </w:t>
      </w:r>
      <w:r w:rsidRPr="00511954" w:rsidR="00556D55">
        <w:rPr>
          <w:rFonts w:ascii="Palatino Linotype" w:hAnsi="Palatino Linotype"/>
          <w:b w:val="0"/>
        </w:rPr>
        <w:t>The NEM DAC Decision</w:t>
      </w:r>
      <w:r w:rsidRPr="00511954" w:rsidR="00D675BC">
        <w:rPr>
          <w:rFonts w:ascii="Palatino Linotype" w:hAnsi="Palatino Linotype"/>
          <w:b w:val="0"/>
        </w:rPr>
        <w:t xml:space="preserve"> clearly states that the</w:t>
      </w:r>
      <w:r w:rsidRPr="00511954" w:rsidR="00255A29">
        <w:rPr>
          <w:rFonts w:ascii="Palatino Linotype" w:hAnsi="Palatino Linotype"/>
          <w:b w:val="0"/>
        </w:rPr>
        <w:t xml:space="preserve"> DAC-GT program </w:t>
      </w:r>
      <w:r w:rsidRPr="00511954" w:rsidR="00D675BC">
        <w:rPr>
          <w:rFonts w:ascii="Palatino Linotype" w:hAnsi="Palatino Linotype"/>
          <w:b w:val="0"/>
        </w:rPr>
        <w:t>is based on “the Green Tariff portion of the GTSR</w:t>
      </w:r>
      <w:r w:rsidRPr="00511954" w:rsidR="00547F0B">
        <w:rPr>
          <w:rFonts w:ascii="Palatino Linotype" w:hAnsi="Palatino Linotype"/>
          <w:b w:val="0"/>
        </w:rPr>
        <w:t>.</w:t>
      </w:r>
      <w:r w:rsidRPr="00511954" w:rsidR="00D675BC">
        <w:rPr>
          <w:rFonts w:ascii="Palatino Linotype" w:hAnsi="Palatino Linotype"/>
          <w:b w:val="0"/>
        </w:rPr>
        <w:t>”</w:t>
      </w:r>
      <w:r w:rsidRPr="00511954" w:rsidR="00D675BC">
        <w:rPr>
          <w:rStyle w:val="FootnoteReference"/>
          <w:rFonts w:ascii="Palatino Linotype" w:hAnsi="Palatino Linotype"/>
          <w:b w:val="0"/>
        </w:rPr>
        <w:footnoteReference w:id="54"/>
      </w:r>
      <w:r w:rsidRPr="00511954" w:rsidR="00D675BC">
        <w:rPr>
          <w:rFonts w:ascii="Palatino Linotype" w:hAnsi="Palatino Linotype"/>
          <w:b w:val="0"/>
        </w:rPr>
        <w:t xml:space="preserve"> Thus, the DAC-GT program </w:t>
      </w:r>
      <w:r w:rsidRPr="00511954" w:rsidR="00255A29">
        <w:rPr>
          <w:rFonts w:ascii="Palatino Linotype" w:hAnsi="Palatino Linotype"/>
          <w:b w:val="0"/>
        </w:rPr>
        <w:t xml:space="preserve">should </w:t>
      </w:r>
      <w:r w:rsidRPr="00511954" w:rsidR="00D675BC">
        <w:rPr>
          <w:rFonts w:ascii="Palatino Linotype" w:hAnsi="Palatino Linotype"/>
          <w:b w:val="0"/>
        </w:rPr>
        <w:t>afford</w:t>
      </w:r>
      <w:r w:rsidRPr="00511954" w:rsidR="00255A29">
        <w:rPr>
          <w:rFonts w:ascii="Palatino Linotype" w:hAnsi="Palatino Linotype"/>
          <w:b w:val="0"/>
        </w:rPr>
        <w:t xml:space="preserve"> income qualified customers in DACs the same opportunity</w:t>
      </w:r>
      <w:r w:rsidRPr="00511954" w:rsidR="0036365B">
        <w:rPr>
          <w:rFonts w:ascii="Palatino Linotype" w:hAnsi="Palatino Linotype"/>
          <w:b w:val="0"/>
        </w:rPr>
        <w:t xml:space="preserve"> </w:t>
      </w:r>
      <w:r w:rsidRPr="00511954" w:rsidR="00255A29">
        <w:rPr>
          <w:rFonts w:ascii="Palatino Linotype" w:hAnsi="Palatino Linotype"/>
          <w:b w:val="0"/>
        </w:rPr>
        <w:t xml:space="preserve">to purchase energy from </w:t>
      </w:r>
      <w:r w:rsidRPr="00511954" w:rsidR="00D675BC">
        <w:rPr>
          <w:rFonts w:ascii="Palatino Linotype" w:hAnsi="Palatino Linotype"/>
          <w:b w:val="0"/>
        </w:rPr>
        <w:t>“</w:t>
      </w:r>
      <w:r w:rsidRPr="00511954" w:rsidR="00255A29">
        <w:rPr>
          <w:rFonts w:ascii="Palatino Linotype" w:hAnsi="Palatino Linotype"/>
          <w:b w:val="0"/>
        </w:rPr>
        <w:t xml:space="preserve">new </w:t>
      </w:r>
      <w:r w:rsidRPr="00511954" w:rsidR="00D675BC">
        <w:rPr>
          <w:rFonts w:ascii="Palatino Linotype" w:hAnsi="Palatino Linotype"/>
          <w:b w:val="0"/>
        </w:rPr>
        <w:t xml:space="preserve">steel in the ground” </w:t>
      </w:r>
      <w:r w:rsidRPr="00511954" w:rsidR="00255A29">
        <w:rPr>
          <w:rFonts w:ascii="Palatino Linotype" w:hAnsi="Palatino Linotype"/>
          <w:b w:val="0"/>
        </w:rPr>
        <w:t xml:space="preserve">renewable energy </w:t>
      </w:r>
      <w:r w:rsidRPr="00511954" w:rsidR="001B6D81">
        <w:rPr>
          <w:rFonts w:ascii="Palatino Linotype" w:hAnsi="Palatino Linotype"/>
          <w:b w:val="0"/>
        </w:rPr>
        <w:t>projects, rather than having</w:t>
      </w:r>
      <w:r w:rsidRPr="00511954" w:rsidR="00D675BC">
        <w:rPr>
          <w:rFonts w:ascii="Palatino Linotype" w:hAnsi="Palatino Linotype"/>
          <w:b w:val="0"/>
        </w:rPr>
        <w:t xml:space="preserve"> DAC</w:t>
      </w:r>
      <w:r w:rsidRPr="00511954" w:rsidR="00255A29">
        <w:rPr>
          <w:rFonts w:ascii="Palatino Linotype" w:hAnsi="Palatino Linotype"/>
          <w:b w:val="0"/>
        </w:rPr>
        <w:t xml:space="preserve"> </w:t>
      </w:r>
      <w:r w:rsidRPr="00511954" w:rsidR="001B6D81">
        <w:rPr>
          <w:rFonts w:ascii="Palatino Linotype" w:hAnsi="Palatino Linotype"/>
          <w:b w:val="0"/>
        </w:rPr>
        <w:t>customers</w:t>
      </w:r>
      <w:r w:rsidRPr="00511954" w:rsidR="00255A29">
        <w:rPr>
          <w:rFonts w:ascii="Palatino Linotype" w:hAnsi="Palatino Linotype"/>
          <w:b w:val="0"/>
        </w:rPr>
        <w:t xml:space="preserve"> rely on existing projects.</w:t>
      </w:r>
      <w:r w:rsidRPr="00511954" w:rsidR="00CE7669">
        <w:rPr>
          <w:rFonts w:ascii="Palatino Linotype" w:hAnsi="Palatino Linotype"/>
          <w:b w:val="0"/>
        </w:rPr>
        <w:t xml:space="preserve"> </w:t>
      </w:r>
      <w:r w:rsidRPr="00511954" w:rsidR="002F4B7D">
        <w:rPr>
          <w:rFonts w:ascii="Palatino Linotype" w:hAnsi="Palatino Linotype"/>
          <w:b w:val="0"/>
        </w:rPr>
        <w:t>T</w:t>
      </w:r>
      <w:r w:rsidRPr="00511954" w:rsidR="00CC7C59">
        <w:rPr>
          <w:rFonts w:ascii="Palatino Linotype" w:hAnsi="Palatino Linotype"/>
          <w:b w:val="0"/>
        </w:rPr>
        <w:t>o</w:t>
      </w:r>
      <w:r w:rsidRPr="00511954" w:rsidR="00CE7669">
        <w:rPr>
          <w:rFonts w:ascii="Palatino Linotype" w:hAnsi="Palatino Linotype"/>
          <w:b w:val="0"/>
        </w:rPr>
        <w:t xml:space="preserve"> </w:t>
      </w:r>
      <w:r w:rsidRPr="00511954" w:rsidR="00556D55">
        <w:rPr>
          <w:rFonts w:ascii="Palatino Linotype" w:hAnsi="Palatino Linotype"/>
          <w:b w:val="0"/>
        </w:rPr>
        <w:t>expedit</w:t>
      </w:r>
      <w:r w:rsidRPr="00511954" w:rsidR="00CE7669">
        <w:rPr>
          <w:rFonts w:ascii="Palatino Linotype" w:hAnsi="Palatino Linotype"/>
          <w:b w:val="0"/>
        </w:rPr>
        <w:t>e</w:t>
      </w:r>
      <w:r w:rsidRPr="00511954" w:rsidR="00556D55">
        <w:rPr>
          <w:rFonts w:ascii="Palatino Linotype" w:hAnsi="Palatino Linotype"/>
          <w:b w:val="0"/>
        </w:rPr>
        <w:t xml:space="preserve"> the timeline under which DAC customers could actually receive the benefit of the DAC-GT program</w:t>
      </w:r>
      <w:r w:rsidRPr="00511954" w:rsidR="00CE7669">
        <w:rPr>
          <w:rFonts w:ascii="Palatino Linotype" w:hAnsi="Palatino Linotype"/>
          <w:b w:val="0"/>
        </w:rPr>
        <w:t>,</w:t>
      </w:r>
      <w:r w:rsidRPr="00511954" w:rsidR="00556D55">
        <w:rPr>
          <w:rFonts w:ascii="Palatino Linotype" w:hAnsi="Palatino Linotype"/>
          <w:b w:val="0"/>
        </w:rPr>
        <w:t xml:space="preserve"> we will</w:t>
      </w:r>
      <w:r w:rsidRPr="00511954" w:rsidR="00255A29">
        <w:rPr>
          <w:rFonts w:ascii="Palatino Linotype" w:hAnsi="Palatino Linotype"/>
          <w:b w:val="0"/>
        </w:rPr>
        <w:t xml:space="preserve"> permit </w:t>
      </w:r>
      <w:r w:rsidRPr="00511954" w:rsidR="00CC7C59">
        <w:rPr>
          <w:rFonts w:ascii="Palatino Linotype" w:hAnsi="Palatino Linotype"/>
          <w:b w:val="0"/>
        </w:rPr>
        <w:t>the IOUs</w:t>
      </w:r>
      <w:r w:rsidRPr="00511954" w:rsidR="00D675BC">
        <w:rPr>
          <w:rFonts w:ascii="Palatino Linotype" w:hAnsi="Palatino Linotype"/>
          <w:b w:val="0"/>
        </w:rPr>
        <w:t xml:space="preserve"> </w:t>
      </w:r>
      <w:r w:rsidRPr="00511954">
        <w:rPr>
          <w:rFonts w:ascii="Palatino Linotype" w:hAnsi="Palatino Linotype"/>
          <w:b w:val="0"/>
        </w:rPr>
        <w:t xml:space="preserve">to serve DAC-GT customers </w:t>
      </w:r>
      <w:r w:rsidRPr="00511954" w:rsidR="00D675BC">
        <w:rPr>
          <w:rFonts w:ascii="Palatino Linotype" w:hAnsi="Palatino Linotype"/>
          <w:b w:val="0"/>
        </w:rPr>
        <w:t>through</w:t>
      </w:r>
      <w:r w:rsidRPr="00511954">
        <w:rPr>
          <w:rFonts w:ascii="Palatino Linotype" w:hAnsi="Palatino Linotype"/>
          <w:b w:val="0"/>
        </w:rPr>
        <w:t xml:space="preserve"> </w:t>
      </w:r>
      <w:r w:rsidRPr="00511954" w:rsidR="00D675BC">
        <w:rPr>
          <w:rFonts w:ascii="Palatino Linotype" w:hAnsi="Palatino Linotype"/>
          <w:b w:val="0"/>
        </w:rPr>
        <w:t xml:space="preserve">existing </w:t>
      </w:r>
      <w:r w:rsidRPr="00511954">
        <w:rPr>
          <w:rFonts w:ascii="Palatino Linotype" w:hAnsi="Palatino Linotype"/>
          <w:b w:val="0"/>
        </w:rPr>
        <w:t xml:space="preserve">GT </w:t>
      </w:r>
      <w:r w:rsidRPr="00511954" w:rsidR="002F4B7D">
        <w:rPr>
          <w:rFonts w:ascii="Palatino Linotype" w:hAnsi="Palatino Linotype"/>
          <w:b w:val="0"/>
        </w:rPr>
        <w:t xml:space="preserve">or RPS </w:t>
      </w:r>
      <w:r w:rsidRPr="00511954">
        <w:rPr>
          <w:rFonts w:ascii="Palatino Linotype" w:hAnsi="Palatino Linotype"/>
          <w:b w:val="0"/>
        </w:rPr>
        <w:t xml:space="preserve">projects </w:t>
      </w:r>
      <w:r w:rsidRPr="00511954" w:rsidR="002F4B7D">
        <w:rPr>
          <w:rFonts w:ascii="Palatino Linotype" w:hAnsi="Palatino Linotype"/>
          <w:b w:val="0"/>
        </w:rPr>
        <w:t xml:space="preserve">that meet the eligibility requirements of the DAC-GT program </w:t>
      </w:r>
      <w:r w:rsidRPr="00511954">
        <w:rPr>
          <w:rFonts w:ascii="Palatino Linotype" w:hAnsi="Palatino Linotype"/>
          <w:b w:val="0"/>
        </w:rPr>
        <w:t xml:space="preserve">on an interim basis until new DAC-GT projects come online. Once new DAC-GT projects </w:t>
      </w:r>
      <w:r w:rsidRPr="00511954" w:rsidR="00CC7C59">
        <w:rPr>
          <w:rFonts w:ascii="Palatino Linotype" w:hAnsi="Palatino Linotype"/>
          <w:b w:val="0"/>
        </w:rPr>
        <w:t>come online</w:t>
      </w:r>
      <w:r w:rsidRPr="00511954">
        <w:rPr>
          <w:rFonts w:ascii="Palatino Linotype" w:hAnsi="Palatino Linotype"/>
          <w:b w:val="0"/>
        </w:rPr>
        <w:t xml:space="preserve">, DAC-GT customers </w:t>
      </w:r>
      <w:r w:rsidRPr="00511954" w:rsidR="00211CB2">
        <w:rPr>
          <w:rFonts w:ascii="Palatino Linotype" w:hAnsi="Palatino Linotype"/>
          <w:b w:val="0"/>
        </w:rPr>
        <w:t>are to</w:t>
      </w:r>
      <w:r w:rsidRPr="00511954">
        <w:rPr>
          <w:rFonts w:ascii="Palatino Linotype" w:hAnsi="Palatino Linotype"/>
          <w:b w:val="0"/>
        </w:rPr>
        <w:t xml:space="preserve"> be transferred to these projects</w:t>
      </w:r>
      <w:r w:rsidRPr="00511954" w:rsidR="00547F0B">
        <w:rPr>
          <w:rFonts w:ascii="Palatino Linotype" w:hAnsi="Palatino Linotype"/>
          <w:b w:val="0"/>
        </w:rPr>
        <w:t>,</w:t>
      </w:r>
      <w:r w:rsidRPr="00511954">
        <w:rPr>
          <w:rFonts w:ascii="Palatino Linotype" w:hAnsi="Palatino Linotype"/>
          <w:b w:val="0"/>
        </w:rPr>
        <w:t xml:space="preserve"> an</w:t>
      </w:r>
      <w:r w:rsidRPr="00511954" w:rsidR="00547F0B">
        <w:rPr>
          <w:rFonts w:ascii="Palatino Linotype" w:hAnsi="Palatino Linotype"/>
          <w:b w:val="0"/>
        </w:rPr>
        <w:t>d</w:t>
      </w:r>
      <w:r w:rsidRPr="00511954">
        <w:rPr>
          <w:rFonts w:ascii="Palatino Linotype" w:hAnsi="Palatino Linotype"/>
          <w:b w:val="0"/>
        </w:rPr>
        <w:t xml:space="preserve"> unsubscribed GT</w:t>
      </w:r>
      <w:r w:rsidRPr="00511954" w:rsidR="002F4B7D">
        <w:rPr>
          <w:rFonts w:ascii="Palatino Linotype" w:hAnsi="Palatino Linotype"/>
          <w:b w:val="0"/>
        </w:rPr>
        <w:t>/RPS</w:t>
      </w:r>
      <w:r w:rsidRPr="00511954">
        <w:rPr>
          <w:rFonts w:ascii="Palatino Linotype" w:hAnsi="Palatino Linotype"/>
          <w:b w:val="0"/>
        </w:rPr>
        <w:t xml:space="preserve"> capa</w:t>
      </w:r>
      <w:r w:rsidRPr="00511954" w:rsidR="00D675BC">
        <w:rPr>
          <w:rFonts w:ascii="Palatino Linotype" w:hAnsi="Palatino Linotype"/>
          <w:b w:val="0"/>
        </w:rPr>
        <w:t>city will be reallocated to the GT</w:t>
      </w:r>
      <w:r w:rsidRPr="00511954" w:rsidR="002F4B7D">
        <w:rPr>
          <w:rFonts w:ascii="Palatino Linotype" w:hAnsi="Palatino Linotype"/>
          <w:b w:val="0"/>
        </w:rPr>
        <w:t>/RPS</w:t>
      </w:r>
      <w:r w:rsidRPr="00511954">
        <w:rPr>
          <w:rFonts w:ascii="Palatino Linotype" w:hAnsi="Palatino Linotype"/>
          <w:b w:val="0"/>
        </w:rPr>
        <w:t xml:space="preserve"> program</w:t>
      </w:r>
      <w:r w:rsidRPr="00511954" w:rsidR="002F4B7D">
        <w:rPr>
          <w:rFonts w:ascii="Palatino Linotype" w:hAnsi="Palatino Linotype"/>
          <w:b w:val="0"/>
        </w:rPr>
        <w:t>s</w:t>
      </w:r>
      <w:r w:rsidRPr="00511954">
        <w:rPr>
          <w:rFonts w:ascii="Palatino Linotype" w:hAnsi="Palatino Linotype"/>
          <w:b w:val="0"/>
        </w:rPr>
        <w:t>.</w:t>
      </w:r>
      <w:r w:rsidRPr="00511954" w:rsidR="00CC7C59">
        <w:rPr>
          <w:rStyle w:val="FootnoteReference"/>
          <w:rFonts w:ascii="Palatino Linotype" w:hAnsi="Palatino Linotype"/>
          <w:b w:val="0"/>
        </w:rPr>
        <w:footnoteReference w:id="55"/>
      </w:r>
      <w:r w:rsidRPr="00511954" w:rsidR="00211CB2">
        <w:rPr>
          <w:rFonts w:ascii="Palatino Linotype" w:hAnsi="Palatino Linotype"/>
          <w:b w:val="0"/>
        </w:rPr>
        <w:t xml:space="preserve"> </w:t>
      </w:r>
    </w:p>
    <w:p w:rsidRPr="00511954" w:rsidR="00DC159B" w:rsidP="004C3E65" w:rsidRDefault="00CC7C59" w14:paraId="04B07987" w14:textId="2ED27340">
      <w:pPr>
        <w:pStyle w:val="BodyText"/>
        <w:spacing w:after="120"/>
        <w:rPr>
          <w:rFonts w:ascii="Palatino Linotype" w:hAnsi="Palatino Linotype"/>
          <w:b w:val="0"/>
          <w:u w:val="single"/>
        </w:rPr>
      </w:pPr>
      <w:r w:rsidRPr="00511954">
        <w:rPr>
          <w:rFonts w:ascii="Palatino Linotype" w:hAnsi="Palatino Linotype"/>
          <w:b w:val="0"/>
        </w:rPr>
        <w:t>In describ</w:t>
      </w:r>
      <w:r w:rsidRPr="00511954" w:rsidR="00BD3D55">
        <w:rPr>
          <w:rFonts w:ascii="Palatino Linotype" w:hAnsi="Palatino Linotype"/>
          <w:b w:val="0"/>
        </w:rPr>
        <w:t>ing</w:t>
      </w:r>
      <w:r w:rsidRPr="00511954">
        <w:rPr>
          <w:rFonts w:ascii="Palatino Linotype" w:hAnsi="Palatino Linotype"/>
          <w:b w:val="0"/>
        </w:rPr>
        <w:t xml:space="preserve"> its proposed use of existing resources, </w:t>
      </w:r>
      <w:r w:rsidRPr="00511954" w:rsidR="004C3E65">
        <w:rPr>
          <w:rFonts w:ascii="Palatino Linotype" w:hAnsi="Palatino Linotype"/>
          <w:b w:val="0"/>
        </w:rPr>
        <w:t>SCE further states, “SCE will not place any restrictions on the nameplate rated generation capacity or require the facility to have a Green-e certification.”</w:t>
      </w:r>
      <w:r w:rsidRPr="00511954" w:rsidR="004C3E65">
        <w:rPr>
          <w:rStyle w:val="FootnoteReference"/>
          <w:rFonts w:ascii="Palatino Linotype" w:hAnsi="Palatino Linotype"/>
          <w:b w:val="0"/>
        </w:rPr>
        <w:footnoteReference w:id="56"/>
      </w:r>
      <w:r w:rsidRPr="00511954" w:rsidR="004C3E65">
        <w:rPr>
          <w:rFonts w:ascii="Palatino Linotype" w:hAnsi="Palatino Linotype"/>
          <w:b w:val="0"/>
        </w:rPr>
        <w:t xml:space="preserve">  </w:t>
      </w:r>
      <w:r w:rsidRPr="00511954" w:rsidR="007018D4">
        <w:rPr>
          <w:rFonts w:ascii="Palatino Linotype" w:hAnsi="Palatino Linotype"/>
          <w:b w:val="0"/>
        </w:rPr>
        <w:t xml:space="preserve">The Commission finds </w:t>
      </w:r>
      <w:r w:rsidRPr="00511954" w:rsidR="005C43E3">
        <w:rPr>
          <w:rFonts w:ascii="Palatino Linotype" w:hAnsi="Palatino Linotype"/>
          <w:b w:val="0"/>
        </w:rPr>
        <w:t xml:space="preserve">that in order to comply with the program rules established in the NEM DAC Decision, </w:t>
      </w:r>
      <w:r w:rsidRPr="00511954" w:rsidR="00B5209D">
        <w:rPr>
          <w:rFonts w:ascii="Palatino Linotype" w:hAnsi="Palatino Linotype"/>
          <w:b w:val="0"/>
        </w:rPr>
        <w:t xml:space="preserve">SCE </w:t>
      </w:r>
      <w:r w:rsidRPr="00511954" w:rsidR="004C3E65">
        <w:rPr>
          <w:rFonts w:ascii="Palatino Linotype" w:hAnsi="Palatino Linotype"/>
          <w:b w:val="0"/>
        </w:rPr>
        <w:t>is only</w:t>
      </w:r>
      <w:r w:rsidRPr="00511954" w:rsidR="00B5209D">
        <w:rPr>
          <w:rFonts w:ascii="Palatino Linotype" w:hAnsi="Palatino Linotype"/>
          <w:b w:val="0"/>
        </w:rPr>
        <w:t xml:space="preserve"> </w:t>
      </w:r>
      <w:r w:rsidRPr="00511954" w:rsidR="00826DAB">
        <w:rPr>
          <w:rFonts w:ascii="Palatino Linotype" w:hAnsi="Palatino Linotype"/>
          <w:b w:val="0"/>
        </w:rPr>
        <w:t>permitted</w:t>
      </w:r>
      <w:r w:rsidRPr="00511954" w:rsidR="00B5209D">
        <w:rPr>
          <w:rFonts w:ascii="Palatino Linotype" w:hAnsi="Palatino Linotype"/>
          <w:b w:val="0"/>
        </w:rPr>
        <w:t xml:space="preserve"> to serve DAC-GT customers with RPS</w:t>
      </w:r>
      <w:r w:rsidRPr="00511954" w:rsidR="00DC159B">
        <w:rPr>
          <w:rFonts w:ascii="Palatino Linotype" w:hAnsi="Palatino Linotype"/>
          <w:b w:val="0"/>
        </w:rPr>
        <w:t>-</w:t>
      </w:r>
      <w:r w:rsidRPr="00511954" w:rsidR="00B5209D">
        <w:rPr>
          <w:rFonts w:ascii="Palatino Linotype" w:hAnsi="Palatino Linotype"/>
          <w:b w:val="0"/>
        </w:rPr>
        <w:t xml:space="preserve">eligible resources </w:t>
      </w:r>
      <w:r w:rsidRPr="00511954" w:rsidR="004C3E65">
        <w:rPr>
          <w:rFonts w:ascii="Palatino Linotype" w:hAnsi="Palatino Linotype"/>
          <w:b w:val="0"/>
        </w:rPr>
        <w:t xml:space="preserve">that meet all program rules for DAC-GT projects, including </w:t>
      </w:r>
      <w:r w:rsidRPr="00511954" w:rsidR="0036365B">
        <w:rPr>
          <w:rFonts w:ascii="Palatino Linotype" w:hAnsi="Palatino Linotype"/>
          <w:b w:val="0"/>
        </w:rPr>
        <w:t xml:space="preserve">that projects are between </w:t>
      </w:r>
      <w:r w:rsidRPr="00511954" w:rsidR="00DE2911">
        <w:rPr>
          <w:rFonts w:ascii="Palatino Linotype" w:hAnsi="Palatino Linotype"/>
          <w:b w:val="0"/>
        </w:rPr>
        <w:t xml:space="preserve">500 </w:t>
      </w:r>
      <w:r w:rsidRPr="00511954" w:rsidR="0036365B">
        <w:rPr>
          <w:rFonts w:ascii="Palatino Linotype" w:hAnsi="Palatino Linotype"/>
          <w:b w:val="0"/>
        </w:rPr>
        <w:t xml:space="preserve">kW and </w:t>
      </w:r>
      <w:r w:rsidRPr="00511954" w:rsidR="00826DAB">
        <w:rPr>
          <w:rFonts w:ascii="Palatino Linotype" w:hAnsi="Palatino Linotype"/>
          <w:b w:val="0"/>
        </w:rPr>
        <w:t xml:space="preserve">20 MW </w:t>
      </w:r>
      <w:r w:rsidRPr="00511954" w:rsidR="004C3E65">
        <w:rPr>
          <w:rFonts w:ascii="Palatino Linotype" w:hAnsi="Palatino Linotype"/>
          <w:b w:val="0"/>
        </w:rPr>
        <w:t xml:space="preserve">and that </w:t>
      </w:r>
      <w:r w:rsidRPr="00511954" w:rsidR="0036365B">
        <w:rPr>
          <w:rFonts w:ascii="Palatino Linotype" w:hAnsi="Palatino Linotype"/>
          <w:b w:val="0"/>
        </w:rPr>
        <w:t>they are loca</w:t>
      </w:r>
      <w:r w:rsidRPr="00511954" w:rsidR="00B5209D">
        <w:rPr>
          <w:rFonts w:ascii="Palatino Linotype" w:hAnsi="Palatino Linotype"/>
          <w:b w:val="0"/>
        </w:rPr>
        <w:t>ted in DACs</w:t>
      </w:r>
      <w:r w:rsidRPr="00511954" w:rsidR="004C3E65">
        <w:rPr>
          <w:rFonts w:ascii="Palatino Linotype" w:hAnsi="Palatino Linotype"/>
          <w:b w:val="0"/>
        </w:rPr>
        <w:t xml:space="preserve"> as defined in the </w:t>
      </w:r>
      <w:r w:rsidRPr="00511954" w:rsidR="00A165B3">
        <w:rPr>
          <w:rFonts w:ascii="Palatino Linotype" w:hAnsi="Palatino Linotype"/>
          <w:b w:val="0"/>
        </w:rPr>
        <w:t>Decision</w:t>
      </w:r>
      <w:r w:rsidRPr="00511954" w:rsidR="00B5209D">
        <w:rPr>
          <w:rFonts w:ascii="Palatino Linotype" w:hAnsi="Palatino Linotype"/>
          <w:b w:val="0"/>
        </w:rPr>
        <w:t>.</w:t>
      </w:r>
      <w:r w:rsidRPr="00511954" w:rsidR="00B5209D">
        <w:rPr>
          <w:rStyle w:val="FootnoteReference"/>
          <w:rFonts w:ascii="Palatino Linotype" w:hAnsi="Palatino Linotype"/>
          <w:b w:val="0"/>
        </w:rPr>
        <w:footnoteReference w:id="57"/>
      </w:r>
      <w:r w:rsidRPr="00511954" w:rsidR="00B5209D">
        <w:rPr>
          <w:rFonts w:ascii="Palatino Linotype" w:hAnsi="Palatino Linotype"/>
          <w:b w:val="0"/>
        </w:rPr>
        <w:t xml:space="preserve"> </w:t>
      </w:r>
      <w:r w:rsidRPr="00511954" w:rsidR="00826DAB">
        <w:rPr>
          <w:rFonts w:ascii="Palatino Linotype" w:hAnsi="Palatino Linotype"/>
          <w:b w:val="0"/>
        </w:rPr>
        <w:t xml:space="preserve">In addition, once new DAC-GT projects </w:t>
      </w:r>
      <w:r w:rsidRPr="00511954" w:rsidR="0052181B">
        <w:rPr>
          <w:rFonts w:ascii="Palatino Linotype" w:hAnsi="Palatino Linotype"/>
          <w:b w:val="0"/>
        </w:rPr>
        <w:t>come online</w:t>
      </w:r>
      <w:r w:rsidRPr="00511954" w:rsidR="00826DAB">
        <w:rPr>
          <w:rFonts w:ascii="Palatino Linotype" w:hAnsi="Palatino Linotype"/>
          <w:b w:val="0"/>
        </w:rPr>
        <w:t xml:space="preserve">, DAC-GT customers </w:t>
      </w:r>
      <w:r w:rsidRPr="00511954" w:rsidR="0036365B">
        <w:rPr>
          <w:rFonts w:ascii="Palatino Linotype" w:hAnsi="Palatino Linotype"/>
          <w:b w:val="0"/>
        </w:rPr>
        <w:t>must</w:t>
      </w:r>
      <w:r w:rsidRPr="00511954" w:rsidR="00826DAB">
        <w:rPr>
          <w:rFonts w:ascii="Palatino Linotype" w:hAnsi="Palatino Linotype"/>
          <w:b w:val="0"/>
        </w:rPr>
        <w:t xml:space="preserve"> be transferred to these projects.</w:t>
      </w:r>
      <w:r w:rsidRPr="00511954" w:rsidR="0022044D">
        <w:rPr>
          <w:rFonts w:ascii="Palatino Linotype" w:hAnsi="Palatino Linotype"/>
          <w:b w:val="0"/>
        </w:rPr>
        <w:t xml:space="preserve"> The Commission further finds that SCE </w:t>
      </w:r>
      <w:r w:rsidRPr="00511954" w:rsidR="00E16C05">
        <w:rPr>
          <w:rFonts w:ascii="Palatino Linotype" w:hAnsi="Palatino Linotype"/>
          <w:b w:val="0"/>
        </w:rPr>
        <w:t xml:space="preserve">must </w:t>
      </w:r>
      <w:r w:rsidRPr="00511954" w:rsidR="0022044D">
        <w:rPr>
          <w:rFonts w:ascii="Palatino Linotype" w:hAnsi="Palatino Linotype"/>
          <w:b w:val="0"/>
        </w:rPr>
        <w:t xml:space="preserve">amend its DAC-GT tariff to </w:t>
      </w:r>
      <w:r w:rsidRPr="00511954" w:rsidR="0052181B">
        <w:rPr>
          <w:rFonts w:ascii="Palatino Linotype" w:hAnsi="Palatino Linotype"/>
          <w:b w:val="0"/>
        </w:rPr>
        <w:t>clarify its definition of a “</w:t>
      </w:r>
      <w:r w:rsidRPr="00511954" w:rsidR="0022044D">
        <w:rPr>
          <w:rFonts w:ascii="Palatino Linotype" w:hAnsi="Palatino Linotype"/>
          <w:b w:val="0"/>
        </w:rPr>
        <w:t>DAC-Green Facility</w:t>
      </w:r>
      <w:r w:rsidRPr="00511954" w:rsidR="0052181B">
        <w:rPr>
          <w:rFonts w:ascii="Palatino Linotype" w:hAnsi="Palatino Linotype"/>
          <w:b w:val="0"/>
        </w:rPr>
        <w:t>”</w:t>
      </w:r>
      <w:r w:rsidRPr="00511954" w:rsidR="0022044D">
        <w:rPr>
          <w:rFonts w:ascii="Palatino Linotype" w:hAnsi="Palatino Linotype"/>
          <w:b w:val="0"/>
        </w:rPr>
        <w:t xml:space="preserve"> as a </w:t>
      </w:r>
      <w:r w:rsidRPr="00511954" w:rsidR="004D5655">
        <w:rPr>
          <w:rFonts w:ascii="Palatino Linotype" w:hAnsi="Palatino Linotype"/>
          <w:b w:val="0"/>
        </w:rPr>
        <w:t xml:space="preserve">renewable energy </w:t>
      </w:r>
      <w:r w:rsidRPr="00511954" w:rsidR="0022044D">
        <w:rPr>
          <w:rFonts w:ascii="Palatino Linotype" w:hAnsi="Palatino Linotype"/>
          <w:b w:val="0"/>
        </w:rPr>
        <w:t xml:space="preserve">project that </w:t>
      </w:r>
      <w:proofErr w:type="gramStart"/>
      <w:r w:rsidRPr="00511954" w:rsidR="0022044D">
        <w:rPr>
          <w:rFonts w:ascii="Palatino Linotype" w:hAnsi="Palatino Linotype"/>
          <w:b w:val="0"/>
        </w:rPr>
        <w:t>is located in</w:t>
      </w:r>
      <w:proofErr w:type="gramEnd"/>
      <w:r w:rsidRPr="00511954" w:rsidR="0022044D">
        <w:rPr>
          <w:rFonts w:ascii="Palatino Linotype" w:hAnsi="Palatino Linotype"/>
          <w:b w:val="0"/>
        </w:rPr>
        <w:t xml:space="preserve"> a DAC</w:t>
      </w:r>
      <w:r w:rsidRPr="00511954" w:rsidR="004D5655">
        <w:rPr>
          <w:rFonts w:ascii="Palatino Linotype" w:hAnsi="Palatino Linotype"/>
          <w:b w:val="0"/>
        </w:rPr>
        <w:t>,</w:t>
      </w:r>
      <w:r w:rsidRPr="00511954" w:rsidR="0022044D">
        <w:rPr>
          <w:rFonts w:ascii="Palatino Linotype" w:hAnsi="Palatino Linotype"/>
          <w:b w:val="0"/>
        </w:rPr>
        <w:t xml:space="preserve"> as defined by the </w:t>
      </w:r>
      <w:r w:rsidRPr="00511954" w:rsidR="00A165B3">
        <w:rPr>
          <w:rFonts w:ascii="Palatino Linotype" w:hAnsi="Palatino Linotype"/>
          <w:b w:val="0"/>
        </w:rPr>
        <w:t>Decision</w:t>
      </w:r>
      <w:r w:rsidRPr="00511954" w:rsidR="0022044D">
        <w:rPr>
          <w:rFonts w:ascii="Palatino Linotype" w:hAnsi="Palatino Linotype"/>
          <w:b w:val="0"/>
        </w:rPr>
        <w:t>.</w:t>
      </w:r>
    </w:p>
    <w:p w:rsidRPr="00511954" w:rsidR="004C3E65" w:rsidP="0036365B" w:rsidRDefault="00B5209D" w14:paraId="2BF54B05" w14:textId="77777777">
      <w:pPr>
        <w:pStyle w:val="BodyText"/>
        <w:rPr>
          <w:rFonts w:ascii="Palatino Linotype" w:hAnsi="Palatino Linotype"/>
          <w:b w:val="0"/>
        </w:rPr>
      </w:pPr>
      <w:r w:rsidRPr="00511954">
        <w:rPr>
          <w:rFonts w:ascii="Palatino Linotype" w:hAnsi="Palatino Linotype"/>
          <w:b w:val="0"/>
          <w:u w:val="single"/>
        </w:rPr>
        <w:t>IT Upgrades</w:t>
      </w:r>
      <w:r w:rsidRPr="00511954">
        <w:rPr>
          <w:rFonts w:ascii="Palatino Linotype" w:hAnsi="Palatino Linotype"/>
          <w:b w:val="0"/>
        </w:rPr>
        <w:t xml:space="preserve"> </w:t>
      </w:r>
    </w:p>
    <w:p w:rsidRPr="00511954" w:rsidR="00892BB3" w:rsidP="00892BB3" w:rsidRDefault="00B5209D" w14:paraId="7C4BC638" w14:textId="6FB44B83">
      <w:pPr>
        <w:pStyle w:val="BodyText"/>
        <w:spacing w:after="120"/>
        <w:rPr>
          <w:rFonts w:ascii="Palatino Linotype" w:hAnsi="Palatino Linotype"/>
          <w:b w:val="0"/>
          <w:u w:val="single"/>
        </w:rPr>
      </w:pPr>
      <w:r w:rsidRPr="00511954">
        <w:rPr>
          <w:rFonts w:ascii="Palatino Linotype" w:hAnsi="Palatino Linotype"/>
          <w:b w:val="0"/>
        </w:rPr>
        <w:t xml:space="preserve">Both </w:t>
      </w:r>
      <w:r w:rsidRPr="00511954" w:rsidR="0020436F">
        <w:rPr>
          <w:rFonts w:ascii="Palatino Linotype" w:hAnsi="Palatino Linotype"/>
          <w:b w:val="0"/>
        </w:rPr>
        <w:t xml:space="preserve">SCE and </w:t>
      </w:r>
      <w:r w:rsidRPr="00511954">
        <w:rPr>
          <w:rFonts w:ascii="Palatino Linotype" w:hAnsi="Palatino Linotype"/>
          <w:b w:val="0"/>
        </w:rPr>
        <w:t xml:space="preserve">SDG&amp;E emphasize in their ALs that they are commencing major billing system upgrades that will cause their billing systems to be frozen </w:t>
      </w:r>
      <w:r w:rsidRPr="00511954" w:rsidR="0052181B">
        <w:rPr>
          <w:rFonts w:ascii="Palatino Linotype" w:hAnsi="Palatino Linotype"/>
          <w:b w:val="0"/>
        </w:rPr>
        <w:t xml:space="preserve">for all of </w:t>
      </w:r>
      <w:r w:rsidRPr="00511954">
        <w:rPr>
          <w:rFonts w:ascii="Palatino Linotype" w:hAnsi="Palatino Linotype"/>
          <w:b w:val="0"/>
        </w:rPr>
        <w:t xml:space="preserve">2020. As a result, both </w:t>
      </w:r>
      <w:r w:rsidRPr="00511954" w:rsidR="0020436F">
        <w:rPr>
          <w:rFonts w:ascii="Palatino Linotype" w:hAnsi="Palatino Linotype"/>
          <w:b w:val="0"/>
        </w:rPr>
        <w:t xml:space="preserve">SCE and </w:t>
      </w:r>
      <w:r w:rsidRPr="00511954">
        <w:rPr>
          <w:rFonts w:ascii="Palatino Linotype" w:hAnsi="Palatino Linotype"/>
          <w:b w:val="0"/>
        </w:rPr>
        <w:t>SDG&amp;E assert that they will be unable to implement automated billing for DAC-GT and CSGT until 2021.</w:t>
      </w:r>
      <w:r w:rsidRPr="00511954" w:rsidR="0020436F">
        <w:rPr>
          <w:rStyle w:val="FootnoteReference"/>
          <w:rFonts w:ascii="Palatino Linotype" w:hAnsi="Palatino Linotype"/>
          <w:b w:val="0"/>
        </w:rPr>
        <w:footnoteReference w:id="58"/>
      </w:r>
      <w:r w:rsidRPr="00511954" w:rsidR="00751B8E">
        <w:rPr>
          <w:rFonts w:ascii="Palatino Linotype" w:hAnsi="Palatino Linotype"/>
          <w:b w:val="0"/>
        </w:rPr>
        <w:t xml:space="preserve"> </w:t>
      </w:r>
      <w:r w:rsidRPr="00511954" w:rsidR="0020436F">
        <w:rPr>
          <w:rFonts w:ascii="Palatino Linotype" w:hAnsi="Palatino Linotype"/>
          <w:b w:val="0"/>
        </w:rPr>
        <w:t xml:space="preserve">In </w:t>
      </w:r>
      <w:r w:rsidRPr="00511954" w:rsidR="00892BB3">
        <w:rPr>
          <w:rFonts w:ascii="Palatino Linotype" w:hAnsi="Palatino Linotype"/>
          <w:b w:val="0"/>
        </w:rPr>
        <w:t xml:space="preserve">contrast, PG&amp;E currently has no plans to </w:t>
      </w:r>
      <w:r w:rsidRPr="00511954">
        <w:rPr>
          <w:rFonts w:ascii="Palatino Linotype" w:hAnsi="Palatino Linotype"/>
          <w:b w:val="0"/>
        </w:rPr>
        <w:t>undertake any major system upgrades.</w:t>
      </w:r>
      <w:r w:rsidRPr="00511954" w:rsidR="0020436F">
        <w:rPr>
          <w:rFonts w:ascii="Palatino Linotype" w:hAnsi="Palatino Linotype"/>
          <w:b w:val="0"/>
        </w:rPr>
        <w:t xml:space="preserve"> </w:t>
      </w:r>
      <w:r w:rsidRPr="00511954">
        <w:rPr>
          <w:rFonts w:ascii="Palatino Linotype" w:hAnsi="Palatino Linotype"/>
          <w:b w:val="0"/>
        </w:rPr>
        <w:t xml:space="preserve">PG&amp;E estimates in its </w:t>
      </w:r>
      <w:r w:rsidRPr="00511954" w:rsidR="001B4E92">
        <w:rPr>
          <w:rFonts w:ascii="Palatino Linotype" w:hAnsi="Palatino Linotype"/>
          <w:b w:val="0"/>
        </w:rPr>
        <w:t xml:space="preserve">supplemental </w:t>
      </w:r>
      <w:r w:rsidRPr="00511954" w:rsidR="00751B8E">
        <w:rPr>
          <w:rFonts w:ascii="Palatino Linotype" w:hAnsi="Palatino Linotype"/>
          <w:b w:val="0"/>
        </w:rPr>
        <w:t>AL</w:t>
      </w:r>
      <w:r w:rsidRPr="00511954">
        <w:rPr>
          <w:rFonts w:ascii="Palatino Linotype" w:hAnsi="Palatino Linotype"/>
          <w:b w:val="0"/>
        </w:rPr>
        <w:t xml:space="preserve"> that internal system updates to </w:t>
      </w:r>
      <w:r w:rsidRPr="00511954" w:rsidR="0020436F">
        <w:rPr>
          <w:rFonts w:ascii="Palatino Linotype" w:hAnsi="Palatino Linotype"/>
          <w:b w:val="0"/>
        </w:rPr>
        <w:t xml:space="preserve">enable PG&amp;E </w:t>
      </w:r>
      <w:r w:rsidRPr="00511954" w:rsidR="0087242E">
        <w:rPr>
          <w:rFonts w:ascii="Palatino Linotype" w:hAnsi="Palatino Linotype"/>
          <w:b w:val="0"/>
        </w:rPr>
        <w:t xml:space="preserve">to </w:t>
      </w:r>
      <w:r w:rsidRPr="00511954" w:rsidR="0020436F">
        <w:rPr>
          <w:rFonts w:ascii="Palatino Linotype" w:hAnsi="Palatino Linotype"/>
          <w:b w:val="0"/>
        </w:rPr>
        <w:t xml:space="preserve">perform automated </w:t>
      </w:r>
      <w:r w:rsidRPr="00511954">
        <w:rPr>
          <w:rFonts w:ascii="Palatino Linotype" w:hAnsi="Palatino Linotype"/>
          <w:b w:val="0"/>
        </w:rPr>
        <w:t>bill</w:t>
      </w:r>
      <w:r w:rsidRPr="00511954" w:rsidR="0020436F">
        <w:rPr>
          <w:rFonts w:ascii="Palatino Linotype" w:hAnsi="Palatino Linotype"/>
          <w:b w:val="0"/>
        </w:rPr>
        <w:t>ing for</w:t>
      </w:r>
      <w:r w:rsidRPr="00511954">
        <w:rPr>
          <w:rFonts w:ascii="Palatino Linotype" w:hAnsi="Palatino Linotype"/>
          <w:b w:val="0"/>
        </w:rPr>
        <w:t xml:space="preserve"> customers who sign up for DAC-GT can be completed within 9-12 months after AL approval.</w:t>
      </w:r>
      <w:r w:rsidRPr="00511954" w:rsidR="0020436F">
        <w:rPr>
          <w:rStyle w:val="FootnoteReference"/>
          <w:rFonts w:ascii="Palatino Linotype" w:hAnsi="Palatino Linotype"/>
          <w:b w:val="0"/>
        </w:rPr>
        <w:footnoteReference w:id="59"/>
      </w:r>
      <w:r w:rsidRPr="00511954" w:rsidR="0020436F">
        <w:rPr>
          <w:rFonts w:ascii="Palatino Linotype" w:hAnsi="Palatino Linotype"/>
          <w:b w:val="0"/>
        </w:rPr>
        <w:t xml:space="preserve"> </w:t>
      </w:r>
      <w:r w:rsidRPr="00511954" w:rsidR="0087242E">
        <w:rPr>
          <w:rFonts w:ascii="Palatino Linotype" w:hAnsi="Palatino Linotype"/>
          <w:b w:val="0"/>
        </w:rPr>
        <w:t>The IOUs’ ALs on this matter raise</w:t>
      </w:r>
      <w:r w:rsidRPr="00511954" w:rsidR="0062166A">
        <w:rPr>
          <w:rFonts w:ascii="Palatino Linotype" w:hAnsi="Palatino Linotype"/>
          <w:b w:val="0"/>
        </w:rPr>
        <w:t xml:space="preserve"> concerns that </w:t>
      </w:r>
      <w:r w:rsidRPr="00511954" w:rsidR="00E62953">
        <w:rPr>
          <w:rFonts w:ascii="Palatino Linotype" w:hAnsi="Palatino Linotype"/>
          <w:b w:val="0"/>
        </w:rPr>
        <w:t>the</w:t>
      </w:r>
      <w:r w:rsidRPr="00511954" w:rsidR="0087242E">
        <w:rPr>
          <w:rFonts w:ascii="Palatino Linotype" w:hAnsi="Palatino Linotype"/>
          <w:b w:val="0"/>
        </w:rPr>
        <w:t>ir</w:t>
      </w:r>
      <w:r w:rsidRPr="00511954" w:rsidR="00892BB3">
        <w:rPr>
          <w:rFonts w:ascii="Palatino Linotype" w:hAnsi="Palatino Linotype"/>
          <w:b w:val="0"/>
        </w:rPr>
        <w:t xml:space="preserve"> different IT constraints could result in DAC customers being able to participate in</w:t>
      </w:r>
      <w:r w:rsidRPr="00511954" w:rsidR="0062166A">
        <w:rPr>
          <w:rFonts w:ascii="Palatino Linotype" w:hAnsi="Palatino Linotype"/>
          <w:b w:val="0"/>
        </w:rPr>
        <w:t>,</w:t>
      </w:r>
      <w:r w:rsidRPr="00511954" w:rsidR="00892BB3">
        <w:rPr>
          <w:rFonts w:ascii="Palatino Linotype" w:hAnsi="Palatino Linotype"/>
          <w:b w:val="0"/>
        </w:rPr>
        <w:t xml:space="preserve"> and benefit from</w:t>
      </w:r>
      <w:r w:rsidRPr="00511954" w:rsidR="0062166A">
        <w:rPr>
          <w:rFonts w:ascii="Palatino Linotype" w:hAnsi="Palatino Linotype"/>
          <w:b w:val="0"/>
        </w:rPr>
        <w:t>,</w:t>
      </w:r>
      <w:r w:rsidRPr="00511954" w:rsidR="00892BB3">
        <w:rPr>
          <w:rFonts w:ascii="Palatino Linotype" w:hAnsi="Palatino Linotype"/>
          <w:b w:val="0"/>
        </w:rPr>
        <w:t xml:space="preserve"> </w:t>
      </w:r>
      <w:r w:rsidRPr="00511954" w:rsidR="0062166A">
        <w:rPr>
          <w:rFonts w:ascii="Palatino Linotype" w:hAnsi="Palatino Linotype"/>
          <w:b w:val="0"/>
        </w:rPr>
        <w:t xml:space="preserve">the </w:t>
      </w:r>
      <w:r w:rsidRPr="00511954" w:rsidR="00892BB3">
        <w:rPr>
          <w:rFonts w:ascii="Palatino Linotype" w:hAnsi="Palatino Linotype"/>
          <w:b w:val="0"/>
        </w:rPr>
        <w:t xml:space="preserve">DAC-GT and CSGT </w:t>
      </w:r>
      <w:r w:rsidRPr="00511954" w:rsidR="0062166A">
        <w:rPr>
          <w:rFonts w:ascii="Palatino Linotype" w:hAnsi="Palatino Linotype"/>
          <w:b w:val="0"/>
        </w:rPr>
        <w:t xml:space="preserve">programs </w:t>
      </w:r>
      <w:r w:rsidRPr="00511954" w:rsidR="00892BB3">
        <w:rPr>
          <w:rFonts w:ascii="Palatino Linotype" w:hAnsi="Palatino Linotype"/>
          <w:b w:val="0"/>
        </w:rPr>
        <w:t>on</w:t>
      </w:r>
      <w:r w:rsidRPr="00511954" w:rsidR="0087242E">
        <w:rPr>
          <w:rFonts w:ascii="Palatino Linotype" w:hAnsi="Palatino Linotype"/>
          <w:b w:val="0"/>
        </w:rPr>
        <w:t xml:space="preserve"> significantly</w:t>
      </w:r>
      <w:r w:rsidRPr="00511954" w:rsidR="00892BB3">
        <w:rPr>
          <w:rFonts w:ascii="Palatino Linotype" w:hAnsi="Palatino Linotype"/>
          <w:b w:val="0"/>
        </w:rPr>
        <w:t xml:space="preserve"> different timelines</w:t>
      </w:r>
      <w:r w:rsidRPr="00511954" w:rsidR="0087242E">
        <w:rPr>
          <w:rFonts w:ascii="Palatino Linotype" w:hAnsi="Palatino Linotype"/>
          <w:b w:val="0"/>
        </w:rPr>
        <w:t>,</w:t>
      </w:r>
      <w:r w:rsidRPr="00511954" w:rsidR="00892BB3">
        <w:rPr>
          <w:rFonts w:ascii="Palatino Linotype" w:hAnsi="Palatino Linotype"/>
          <w:b w:val="0"/>
        </w:rPr>
        <w:t xml:space="preserve"> depending on which IOU service territory they live in. </w:t>
      </w:r>
    </w:p>
    <w:p w:rsidRPr="00511954" w:rsidR="00892BB3" w:rsidP="00892BB3" w:rsidRDefault="0062166A" w14:paraId="02005685" w14:textId="61DABF67">
      <w:pPr>
        <w:pStyle w:val="BodyText"/>
        <w:spacing w:after="120"/>
        <w:rPr>
          <w:rFonts w:ascii="Palatino Linotype" w:hAnsi="Palatino Linotype"/>
          <w:b w:val="0"/>
        </w:rPr>
      </w:pPr>
      <w:r w:rsidRPr="00511954">
        <w:rPr>
          <w:rFonts w:ascii="Palatino Linotype" w:hAnsi="Palatino Linotype"/>
          <w:b w:val="0"/>
        </w:rPr>
        <w:t>T</w:t>
      </w:r>
      <w:r w:rsidRPr="00511954" w:rsidR="00892BB3">
        <w:rPr>
          <w:rFonts w:ascii="Palatino Linotype" w:hAnsi="Palatino Linotype"/>
          <w:b w:val="0"/>
        </w:rPr>
        <w:t>o create some</w:t>
      </w:r>
      <w:r w:rsidRPr="00511954" w:rsidR="00A07E85">
        <w:rPr>
          <w:rFonts w:ascii="Palatino Linotype" w:hAnsi="Palatino Linotype"/>
          <w:b w:val="0"/>
        </w:rPr>
        <w:t xml:space="preserve"> degree of</w:t>
      </w:r>
      <w:r w:rsidRPr="00511954" w:rsidR="00892BB3">
        <w:rPr>
          <w:rFonts w:ascii="Palatino Linotype" w:hAnsi="Palatino Linotype"/>
          <w:b w:val="0"/>
        </w:rPr>
        <w:t xml:space="preserve"> consistency </w:t>
      </w:r>
      <w:r w:rsidRPr="00511954" w:rsidR="00A07E85">
        <w:rPr>
          <w:rFonts w:ascii="Palatino Linotype" w:hAnsi="Palatino Linotype"/>
          <w:b w:val="0"/>
        </w:rPr>
        <w:t xml:space="preserve">for DAC customers </w:t>
      </w:r>
      <w:r w:rsidRPr="00511954" w:rsidR="00892BB3">
        <w:rPr>
          <w:rFonts w:ascii="Palatino Linotype" w:hAnsi="Palatino Linotype"/>
          <w:b w:val="0"/>
        </w:rPr>
        <w:t>across the IOUs’ service territories</w:t>
      </w:r>
      <w:r w:rsidRPr="00511954" w:rsidR="00A07E85">
        <w:rPr>
          <w:rFonts w:ascii="Palatino Linotype" w:hAnsi="Palatino Linotype"/>
          <w:b w:val="0"/>
        </w:rPr>
        <w:t>,</w:t>
      </w:r>
      <w:r w:rsidRPr="00511954" w:rsidR="0087242E">
        <w:rPr>
          <w:rFonts w:ascii="Palatino Linotype" w:hAnsi="Palatino Linotype"/>
          <w:b w:val="0"/>
        </w:rPr>
        <w:t xml:space="preserve"> and to avoid delays in delivering the benefits of the program to customers, we </w:t>
      </w:r>
      <w:r w:rsidRPr="00511954" w:rsidR="00E62953">
        <w:rPr>
          <w:rFonts w:ascii="Palatino Linotype" w:hAnsi="Palatino Linotype"/>
          <w:b w:val="0"/>
        </w:rPr>
        <w:t>find that it is reasonable to</w:t>
      </w:r>
      <w:r w:rsidRPr="00511954" w:rsidR="00892BB3">
        <w:rPr>
          <w:rFonts w:ascii="Palatino Linotype" w:hAnsi="Palatino Linotype"/>
          <w:b w:val="0"/>
        </w:rPr>
        <w:t xml:space="preserve"> require </w:t>
      </w:r>
      <w:r w:rsidRPr="00511954" w:rsidR="00B5209D">
        <w:rPr>
          <w:rFonts w:ascii="Palatino Linotype" w:hAnsi="Palatino Linotype"/>
          <w:b w:val="0"/>
        </w:rPr>
        <w:t>S</w:t>
      </w:r>
      <w:r w:rsidRPr="00511954" w:rsidR="00A07E85">
        <w:rPr>
          <w:rFonts w:ascii="Palatino Linotype" w:hAnsi="Palatino Linotype"/>
          <w:b w:val="0"/>
        </w:rPr>
        <w:t xml:space="preserve">CE and SDG&amp;E </w:t>
      </w:r>
      <w:r w:rsidRPr="00511954" w:rsidR="00B5209D">
        <w:rPr>
          <w:rFonts w:ascii="Palatino Linotype" w:hAnsi="Palatino Linotype"/>
          <w:b w:val="0"/>
        </w:rPr>
        <w:t>to use manual billing to serve any customers who</w:t>
      </w:r>
      <w:r w:rsidRPr="00511954" w:rsidR="00892BB3">
        <w:rPr>
          <w:rFonts w:ascii="Palatino Linotype" w:hAnsi="Palatino Linotype"/>
          <w:b w:val="0"/>
        </w:rPr>
        <w:t xml:space="preserve"> are eligible to</w:t>
      </w:r>
      <w:r w:rsidRPr="00511954" w:rsidR="00B5209D">
        <w:rPr>
          <w:rFonts w:ascii="Palatino Linotype" w:hAnsi="Palatino Linotype"/>
          <w:b w:val="0"/>
        </w:rPr>
        <w:t xml:space="preserve"> sign up fo</w:t>
      </w:r>
      <w:r w:rsidRPr="00511954" w:rsidR="00892BB3">
        <w:rPr>
          <w:rFonts w:ascii="Palatino Linotype" w:hAnsi="Palatino Linotype"/>
          <w:b w:val="0"/>
        </w:rPr>
        <w:t>r DAC-GT or CSGT before SDG&amp;E’s and SCE’s</w:t>
      </w:r>
      <w:r w:rsidRPr="00511954" w:rsidR="00B5209D">
        <w:rPr>
          <w:rFonts w:ascii="Palatino Linotype" w:hAnsi="Palatino Linotype"/>
          <w:b w:val="0"/>
        </w:rPr>
        <w:t xml:space="preserve"> new billing systems are live. </w:t>
      </w:r>
      <w:r w:rsidRPr="00511954">
        <w:rPr>
          <w:rFonts w:ascii="Palatino Linotype" w:hAnsi="Palatino Linotype"/>
          <w:b w:val="0"/>
        </w:rPr>
        <w:t xml:space="preserve"> The</w:t>
      </w:r>
      <w:r w:rsidRPr="00511954" w:rsidR="00892BB3">
        <w:rPr>
          <w:rFonts w:ascii="Palatino Linotype" w:hAnsi="Palatino Linotype"/>
          <w:b w:val="0"/>
        </w:rPr>
        <w:t xml:space="preserve"> costs of manual billing</w:t>
      </w:r>
      <w:r w:rsidRPr="00511954" w:rsidR="00A07E85">
        <w:rPr>
          <w:rFonts w:ascii="Palatino Linotype" w:hAnsi="Palatino Linotype"/>
          <w:b w:val="0"/>
        </w:rPr>
        <w:t xml:space="preserve"> under this approach</w:t>
      </w:r>
      <w:r w:rsidRPr="00511954" w:rsidR="00892BB3">
        <w:rPr>
          <w:rFonts w:ascii="Palatino Linotype" w:hAnsi="Palatino Linotype"/>
          <w:b w:val="0"/>
        </w:rPr>
        <w:t xml:space="preserve"> </w:t>
      </w:r>
      <w:r w:rsidRPr="00511954" w:rsidR="0087242E">
        <w:rPr>
          <w:rFonts w:ascii="Palatino Linotype" w:hAnsi="Palatino Linotype"/>
          <w:b w:val="0"/>
        </w:rPr>
        <w:t>are anticipated to be relatively</w:t>
      </w:r>
      <w:r w:rsidRPr="00511954" w:rsidR="00892BB3">
        <w:rPr>
          <w:rFonts w:ascii="Palatino Linotype" w:hAnsi="Palatino Linotype"/>
          <w:b w:val="0"/>
        </w:rPr>
        <w:t xml:space="preserve"> </w:t>
      </w:r>
      <w:r w:rsidRPr="00511954" w:rsidR="0087242E">
        <w:rPr>
          <w:rFonts w:ascii="Palatino Linotype" w:hAnsi="Palatino Linotype"/>
          <w:b w:val="0"/>
        </w:rPr>
        <w:t>low</w:t>
      </w:r>
      <w:r w:rsidRPr="00511954" w:rsidR="00892BB3">
        <w:rPr>
          <w:rFonts w:ascii="Palatino Linotype" w:hAnsi="Palatino Linotype"/>
          <w:b w:val="0"/>
        </w:rPr>
        <w:t xml:space="preserve">, if any manual billing occurs at all.  This is because </w:t>
      </w:r>
      <w:r w:rsidRPr="00511954" w:rsidR="00A07E85">
        <w:rPr>
          <w:rFonts w:ascii="Palatino Linotype" w:hAnsi="Palatino Linotype"/>
          <w:b w:val="0"/>
        </w:rPr>
        <w:t xml:space="preserve">under </w:t>
      </w:r>
      <w:r w:rsidR="00A1278D">
        <w:rPr>
          <w:rFonts w:ascii="Palatino Linotype" w:hAnsi="Palatino Linotype"/>
          <w:b w:val="0"/>
        </w:rPr>
        <w:t>typical</w:t>
      </w:r>
      <w:r w:rsidRPr="00511954" w:rsidR="00A1278D">
        <w:rPr>
          <w:rFonts w:ascii="Palatino Linotype" w:hAnsi="Palatino Linotype"/>
          <w:b w:val="0"/>
        </w:rPr>
        <w:t xml:space="preserve"> </w:t>
      </w:r>
      <w:r w:rsidRPr="00511954" w:rsidR="00A07E85">
        <w:rPr>
          <w:rFonts w:ascii="Palatino Linotype" w:hAnsi="Palatino Linotype"/>
          <w:b w:val="0"/>
        </w:rPr>
        <w:t xml:space="preserve">project development timelines, </w:t>
      </w:r>
      <w:r w:rsidRPr="00511954" w:rsidR="00892BB3">
        <w:rPr>
          <w:rFonts w:ascii="Palatino Linotype" w:hAnsi="Palatino Linotype"/>
          <w:b w:val="0"/>
        </w:rPr>
        <w:t xml:space="preserve">it is </w:t>
      </w:r>
      <w:r w:rsidRPr="00511954" w:rsidR="00B5209D">
        <w:rPr>
          <w:rFonts w:ascii="Palatino Linotype" w:hAnsi="Palatino Linotype"/>
          <w:b w:val="0"/>
        </w:rPr>
        <w:t>unlikely that any</w:t>
      </w:r>
      <w:r w:rsidRPr="00511954" w:rsidR="00892BB3">
        <w:rPr>
          <w:rFonts w:ascii="Palatino Linotype" w:hAnsi="Palatino Linotype"/>
          <w:b w:val="0"/>
        </w:rPr>
        <w:t xml:space="preserve"> new</w:t>
      </w:r>
      <w:r w:rsidRPr="00511954" w:rsidR="00B5209D">
        <w:rPr>
          <w:rFonts w:ascii="Palatino Linotype" w:hAnsi="Palatino Linotype"/>
          <w:b w:val="0"/>
        </w:rPr>
        <w:t xml:space="preserve"> DAC-GT or CSGT projects in S</w:t>
      </w:r>
      <w:r w:rsidRPr="00511954" w:rsidR="00A07E85">
        <w:rPr>
          <w:rFonts w:ascii="Palatino Linotype" w:hAnsi="Palatino Linotype"/>
          <w:b w:val="0"/>
        </w:rPr>
        <w:t>CE’s or SDG&amp;E’</w:t>
      </w:r>
      <w:r w:rsidRPr="00511954" w:rsidR="00B5209D">
        <w:rPr>
          <w:rFonts w:ascii="Palatino Linotype" w:hAnsi="Palatino Linotype"/>
          <w:b w:val="0"/>
        </w:rPr>
        <w:t xml:space="preserve">s service territory will </w:t>
      </w:r>
      <w:r w:rsidRPr="00511954" w:rsidR="00892BB3">
        <w:rPr>
          <w:rFonts w:ascii="Palatino Linotype" w:hAnsi="Palatino Linotype"/>
          <w:b w:val="0"/>
        </w:rPr>
        <w:t>be</w:t>
      </w:r>
      <w:r w:rsidRPr="00511954" w:rsidR="0052181B">
        <w:rPr>
          <w:rFonts w:ascii="Palatino Linotype" w:hAnsi="Palatino Linotype"/>
          <w:b w:val="0"/>
        </w:rPr>
        <w:t xml:space="preserve"> online</w:t>
      </w:r>
      <w:r w:rsidRPr="00511954" w:rsidR="00892BB3">
        <w:rPr>
          <w:rFonts w:ascii="Palatino Linotype" w:hAnsi="Palatino Linotype"/>
          <w:b w:val="0"/>
        </w:rPr>
        <w:t xml:space="preserve"> prior to 2021. In addition, it </w:t>
      </w:r>
      <w:r w:rsidRPr="00511954" w:rsidR="00DF4976">
        <w:rPr>
          <w:rFonts w:ascii="Palatino Linotype" w:hAnsi="Palatino Linotype"/>
          <w:b w:val="0"/>
        </w:rPr>
        <w:t xml:space="preserve">is </w:t>
      </w:r>
      <w:r w:rsidRPr="00511954" w:rsidR="00892BB3">
        <w:rPr>
          <w:rFonts w:ascii="Palatino Linotype" w:hAnsi="Palatino Linotype"/>
          <w:b w:val="0"/>
        </w:rPr>
        <w:t xml:space="preserve">unclear whether SCE will have any existing </w:t>
      </w:r>
      <w:r w:rsidRPr="00511954" w:rsidR="0087242E">
        <w:rPr>
          <w:rFonts w:ascii="Palatino Linotype" w:hAnsi="Palatino Linotype"/>
          <w:b w:val="0"/>
        </w:rPr>
        <w:t xml:space="preserve">RPS-eligible </w:t>
      </w:r>
      <w:r w:rsidRPr="00511954" w:rsidR="00892BB3">
        <w:rPr>
          <w:rFonts w:ascii="Palatino Linotype" w:hAnsi="Palatino Linotype"/>
          <w:b w:val="0"/>
        </w:rPr>
        <w:t xml:space="preserve">projects that are eligible to serve DAC-GT customers given </w:t>
      </w:r>
      <w:r w:rsidRPr="00511954">
        <w:rPr>
          <w:rFonts w:ascii="Palatino Linotype" w:hAnsi="Palatino Linotype"/>
          <w:b w:val="0"/>
        </w:rPr>
        <w:t>the</w:t>
      </w:r>
      <w:r w:rsidRPr="00511954" w:rsidR="00892BB3">
        <w:rPr>
          <w:rFonts w:ascii="Palatino Linotype" w:hAnsi="Palatino Linotype"/>
          <w:b w:val="0"/>
        </w:rPr>
        <w:t xml:space="preserve"> guidance in </w:t>
      </w:r>
      <w:r w:rsidRPr="00511954" w:rsidR="007A5879">
        <w:rPr>
          <w:rFonts w:ascii="Palatino Linotype" w:hAnsi="Palatino Linotype"/>
          <w:b w:val="0"/>
        </w:rPr>
        <w:t>this R</w:t>
      </w:r>
      <w:r w:rsidRPr="00511954" w:rsidR="00892BB3">
        <w:rPr>
          <w:rFonts w:ascii="Palatino Linotype" w:hAnsi="Palatino Linotype"/>
          <w:b w:val="0"/>
        </w:rPr>
        <w:t xml:space="preserve">esolution that these projects must meet all DAC-GT program rules. </w:t>
      </w:r>
      <w:bookmarkStart w:name="_Hlk2850236" w:id="3"/>
    </w:p>
    <w:p w:rsidRPr="00511954" w:rsidR="0020436F" w:rsidP="0020436F" w:rsidRDefault="00892BB3" w14:paraId="6203EFAD" w14:textId="619B11DE">
      <w:pPr>
        <w:pStyle w:val="BodyText"/>
        <w:spacing w:after="120"/>
        <w:rPr>
          <w:rFonts w:ascii="Palatino Linotype" w:hAnsi="Palatino Linotype"/>
          <w:b w:val="0"/>
        </w:rPr>
      </w:pPr>
      <w:r w:rsidRPr="00511954">
        <w:rPr>
          <w:rFonts w:ascii="Palatino Linotype" w:hAnsi="Palatino Linotype"/>
          <w:b w:val="0"/>
        </w:rPr>
        <w:t xml:space="preserve">Under guidance </w:t>
      </w:r>
      <w:r w:rsidRPr="00511954" w:rsidR="00A07E85">
        <w:rPr>
          <w:rFonts w:ascii="Palatino Linotype" w:hAnsi="Palatino Linotype"/>
          <w:b w:val="0"/>
        </w:rPr>
        <w:t xml:space="preserve">provided </w:t>
      </w:r>
      <w:r w:rsidRPr="00511954">
        <w:rPr>
          <w:rFonts w:ascii="Palatino Linotype" w:hAnsi="Palatino Linotype"/>
          <w:b w:val="0"/>
        </w:rPr>
        <w:t xml:space="preserve">in this </w:t>
      </w:r>
      <w:r w:rsidRPr="00511954" w:rsidR="007A5879">
        <w:rPr>
          <w:rFonts w:ascii="Palatino Linotype" w:hAnsi="Palatino Linotype"/>
          <w:b w:val="0"/>
        </w:rPr>
        <w:t>R</w:t>
      </w:r>
      <w:r w:rsidRPr="00511954">
        <w:rPr>
          <w:rFonts w:ascii="Palatino Linotype" w:hAnsi="Palatino Linotype"/>
          <w:b w:val="0"/>
        </w:rPr>
        <w:t xml:space="preserve">esolution, PG&amp;E will be permitted </w:t>
      </w:r>
      <w:r w:rsidRPr="00511954" w:rsidR="00B5209D">
        <w:rPr>
          <w:rFonts w:ascii="Palatino Linotype" w:hAnsi="Palatino Linotype"/>
          <w:b w:val="0"/>
        </w:rPr>
        <w:t>to use unsubscribed GT resources</w:t>
      </w:r>
      <w:r w:rsidRPr="00511954" w:rsidR="0052181B">
        <w:rPr>
          <w:rFonts w:ascii="Palatino Linotype" w:hAnsi="Palatino Linotype"/>
          <w:b w:val="0"/>
        </w:rPr>
        <w:t xml:space="preserve"> that meet all DAC-GT program rules</w:t>
      </w:r>
      <w:r w:rsidRPr="00511954" w:rsidR="00B5209D">
        <w:rPr>
          <w:rFonts w:ascii="Palatino Linotype" w:hAnsi="Palatino Linotype"/>
          <w:b w:val="0"/>
        </w:rPr>
        <w:t xml:space="preserve"> on an interim basis </w:t>
      </w:r>
      <w:r w:rsidRPr="00511954">
        <w:rPr>
          <w:rFonts w:ascii="Palatino Linotype" w:hAnsi="Palatino Linotype"/>
          <w:b w:val="0"/>
        </w:rPr>
        <w:t>to serve</w:t>
      </w:r>
      <w:r w:rsidRPr="00511954" w:rsidR="00B5209D">
        <w:rPr>
          <w:rFonts w:ascii="Palatino Linotype" w:hAnsi="Palatino Linotype"/>
          <w:b w:val="0"/>
        </w:rPr>
        <w:t xml:space="preserve"> DAC-GT</w:t>
      </w:r>
      <w:r w:rsidRPr="00511954" w:rsidR="00A07E85">
        <w:rPr>
          <w:rFonts w:ascii="Palatino Linotype" w:hAnsi="Palatino Linotype"/>
          <w:b w:val="0"/>
        </w:rPr>
        <w:t xml:space="preserve"> customers</w:t>
      </w:r>
      <w:r w:rsidRPr="00511954">
        <w:rPr>
          <w:rFonts w:ascii="Palatino Linotype" w:hAnsi="Palatino Linotype"/>
          <w:b w:val="0"/>
        </w:rPr>
        <w:t xml:space="preserve">. Therefore, PG&amp;E could </w:t>
      </w:r>
      <w:r w:rsidRPr="00511954" w:rsidR="00B5209D">
        <w:rPr>
          <w:rFonts w:ascii="Palatino Linotype" w:hAnsi="Palatino Linotype"/>
          <w:b w:val="0"/>
        </w:rPr>
        <w:t xml:space="preserve">enroll customers in DAC-GT immediately. Since this would incur potentially significant manual billing costs, </w:t>
      </w:r>
      <w:r w:rsidRPr="00511954" w:rsidR="00E62953">
        <w:rPr>
          <w:rFonts w:ascii="Palatino Linotype" w:hAnsi="Palatino Linotype"/>
          <w:b w:val="0"/>
        </w:rPr>
        <w:t>the Commission finds that it is reasonable to</w:t>
      </w:r>
      <w:r w:rsidRPr="00511954">
        <w:rPr>
          <w:rFonts w:ascii="Palatino Linotype" w:hAnsi="Palatino Linotype"/>
          <w:b w:val="0"/>
        </w:rPr>
        <w:t xml:space="preserve"> </w:t>
      </w:r>
      <w:r w:rsidRPr="00511954" w:rsidR="00B5209D">
        <w:rPr>
          <w:rFonts w:ascii="Palatino Linotype" w:hAnsi="Palatino Linotype"/>
          <w:b w:val="0"/>
        </w:rPr>
        <w:t xml:space="preserve">allow PG&amp;E to </w:t>
      </w:r>
      <w:r w:rsidRPr="00511954" w:rsidR="00A07E85">
        <w:rPr>
          <w:rFonts w:ascii="Palatino Linotype" w:hAnsi="Palatino Linotype"/>
          <w:b w:val="0"/>
        </w:rPr>
        <w:t xml:space="preserve">wait to </w:t>
      </w:r>
      <w:r w:rsidRPr="00511954" w:rsidR="00B5209D">
        <w:rPr>
          <w:rFonts w:ascii="Palatino Linotype" w:hAnsi="Palatino Linotype"/>
          <w:b w:val="0"/>
        </w:rPr>
        <w:t xml:space="preserve">enroll customers in the DAC-GT program </w:t>
      </w:r>
      <w:r w:rsidRPr="00511954" w:rsidR="00A07E85">
        <w:rPr>
          <w:rFonts w:ascii="Palatino Linotype" w:hAnsi="Palatino Linotype"/>
          <w:b w:val="0"/>
        </w:rPr>
        <w:t xml:space="preserve">until </w:t>
      </w:r>
      <w:r w:rsidRPr="00511954" w:rsidR="00B5209D">
        <w:rPr>
          <w:rFonts w:ascii="Palatino Linotype" w:hAnsi="Palatino Linotype"/>
          <w:b w:val="0"/>
        </w:rPr>
        <w:t>after billing system updates are completed</w:t>
      </w:r>
      <w:r w:rsidRPr="00511954" w:rsidR="00305BFE">
        <w:rPr>
          <w:rFonts w:ascii="Palatino Linotype" w:hAnsi="Palatino Linotype"/>
          <w:b w:val="0"/>
        </w:rPr>
        <w:t>,</w:t>
      </w:r>
      <w:r w:rsidRPr="00511954" w:rsidR="00B5209D">
        <w:rPr>
          <w:rFonts w:ascii="Palatino Linotype" w:hAnsi="Palatino Linotype"/>
          <w:b w:val="0"/>
        </w:rPr>
        <w:t xml:space="preserve"> but</w:t>
      </w:r>
      <w:r w:rsidRPr="00511954" w:rsidR="00A07E85">
        <w:rPr>
          <w:rFonts w:ascii="Palatino Linotype" w:hAnsi="Palatino Linotype"/>
          <w:b w:val="0"/>
        </w:rPr>
        <w:t xml:space="preserve"> </w:t>
      </w:r>
      <w:r w:rsidRPr="00511954" w:rsidR="00B5209D">
        <w:rPr>
          <w:rFonts w:ascii="Palatino Linotype" w:hAnsi="Palatino Linotype"/>
          <w:b w:val="0"/>
        </w:rPr>
        <w:t xml:space="preserve">PG&amp;E </w:t>
      </w:r>
      <w:r w:rsidRPr="00511954" w:rsidR="00E16C05">
        <w:rPr>
          <w:rFonts w:ascii="Palatino Linotype" w:hAnsi="Palatino Linotype"/>
          <w:b w:val="0"/>
        </w:rPr>
        <w:t xml:space="preserve">must </w:t>
      </w:r>
      <w:r w:rsidRPr="00511954" w:rsidR="00B5209D">
        <w:rPr>
          <w:rFonts w:ascii="Palatino Linotype" w:hAnsi="Palatino Linotype"/>
          <w:b w:val="0"/>
        </w:rPr>
        <w:t>prioritize the DAC-GT IT project</w:t>
      </w:r>
      <w:r w:rsidRPr="00511954" w:rsidR="0020436F">
        <w:rPr>
          <w:rFonts w:ascii="Palatino Linotype" w:hAnsi="Palatino Linotype"/>
          <w:b w:val="0"/>
        </w:rPr>
        <w:t xml:space="preserve"> and enroll</w:t>
      </w:r>
      <w:r w:rsidRPr="00511954" w:rsidR="00A07E85">
        <w:rPr>
          <w:rFonts w:ascii="Palatino Linotype" w:hAnsi="Palatino Linotype"/>
          <w:b w:val="0"/>
        </w:rPr>
        <w:t xml:space="preserve"> eligible</w:t>
      </w:r>
      <w:r w:rsidRPr="00511954" w:rsidR="0020436F">
        <w:rPr>
          <w:rFonts w:ascii="Palatino Linotype" w:hAnsi="Palatino Linotype"/>
          <w:b w:val="0"/>
        </w:rPr>
        <w:t xml:space="preserve"> customers </w:t>
      </w:r>
      <w:r w:rsidRPr="00511954" w:rsidR="0062166A">
        <w:rPr>
          <w:rFonts w:ascii="Palatino Linotype" w:hAnsi="Palatino Linotype"/>
          <w:b w:val="0"/>
        </w:rPr>
        <w:t>under its</w:t>
      </w:r>
      <w:r w:rsidRPr="00511954" w:rsidR="00A07E85">
        <w:rPr>
          <w:rFonts w:ascii="Palatino Linotype" w:hAnsi="Palatino Linotype"/>
          <w:b w:val="0"/>
        </w:rPr>
        <w:t xml:space="preserve"> DAC-GT </w:t>
      </w:r>
      <w:r w:rsidRPr="00511954" w:rsidR="0062166A">
        <w:rPr>
          <w:rFonts w:ascii="Palatino Linotype" w:hAnsi="Palatino Linotype"/>
          <w:b w:val="0"/>
        </w:rPr>
        <w:t xml:space="preserve">tariff </w:t>
      </w:r>
      <w:r w:rsidRPr="00511954" w:rsidR="0020436F">
        <w:rPr>
          <w:rFonts w:ascii="Palatino Linotype" w:hAnsi="Palatino Linotype"/>
          <w:b w:val="0"/>
        </w:rPr>
        <w:t xml:space="preserve">within 9 months of </w:t>
      </w:r>
      <w:r w:rsidRPr="00511954" w:rsidR="007A5879">
        <w:rPr>
          <w:rFonts w:ascii="Palatino Linotype" w:hAnsi="Palatino Linotype"/>
          <w:b w:val="0"/>
        </w:rPr>
        <w:t>issuance of this R</w:t>
      </w:r>
      <w:r w:rsidRPr="00511954" w:rsidR="0020436F">
        <w:rPr>
          <w:rFonts w:ascii="Palatino Linotype" w:hAnsi="Palatino Linotype"/>
          <w:b w:val="0"/>
        </w:rPr>
        <w:t>esolution</w:t>
      </w:r>
      <w:r w:rsidRPr="00511954" w:rsidR="00B5209D">
        <w:rPr>
          <w:rFonts w:ascii="Palatino Linotype" w:hAnsi="Palatino Linotype"/>
          <w:b w:val="0"/>
        </w:rPr>
        <w:t xml:space="preserve">. </w:t>
      </w:r>
      <w:bookmarkEnd w:id="3"/>
    </w:p>
    <w:p w:rsidRPr="00511954" w:rsidR="00A07E85" w:rsidP="00A07E85" w:rsidRDefault="00B5209D" w14:paraId="4C0EA501" w14:textId="77777777">
      <w:pPr>
        <w:pStyle w:val="BodyText"/>
        <w:rPr>
          <w:rFonts w:ascii="Palatino Linotype" w:hAnsi="Palatino Linotype"/>
          <w:b w:val="0"/>
          <w:u w:val="single"/>
        </w:rPr>
      </w:pPr>
      <w:bookmarkStart w:name="_Hlk5955950" w:id="4"/>
      <w:r w:rsidRPr="00511954">
        <w:rPr>
          <w:rFonts w:ascii="Palatino Linotype" w:hAnsi="Palatino Linotype"/>
          <w:b w:val="0"/>
          <w:u w:val="single"/>
        </w:rPr>
        <w:t>Pro</w:t>
      </w:r>
      <w:r w:rsidRPr="00511954" w:rsidR="00547815">
        <w:rPr>
          <w:rFonts w:ascii="Palatino Linotype" w:hAnsi="Palatino Linotype"/>
          <w:b w:val="0"/>
          <w:u w:val="single"/>
        </w:rPr>
        <w:t>cess for Pro</w:t>
      </w:r>
      <w:r w:rsidRPr="00511954">
        <w:rPr>
          <w:rFonts w:ascii="Palatino Linotype" w:hAnsi="Palatino Linotype"/>
          <w:b w:val="0"/>
          <w:u w:val="single"/>
        </w:rPr>
        <w:t>gram Budget Submission</w:t>
      </w:r>
      <w:r w:rsidRPr="00511954" w:rsidR="00DE3CA1">
        <w:rPr>
          <w:rFonts w:ascii="Palatino Linotype" w:hAnsi="Palatino Linotype"/>
          <w:b w:val="0"/>
          <w:u w:val="single"/>
        </w:rPr>
        <w:t>s</w:t>
      </w:r>
      <w:r w:rsidRPr="00511954">
        <w:rPr>
          <w:rFonts w:ascii="Palatino Linotype" w:hAnsi="Palatino Linotype"/>
          <w:b w:val="0"/>
          <w:u w:val="single"/>
        </w:rPr>
        <w:t xml:space="preserve"> and Review</w:t>
      </w:r>
    </w:p>
    <w:p w:rsidRPr="00511954" w:rsidR="00702353" w:rsidP="00702353" w:rsidRDefault="00B5209D" w14:paraId="68DCEA15" w14:textId="655A0DE9">
      <w:pPr>
        <w:pStyle w:val="BodyText"/>
        <w:spacing w:after="120"/>
        <w:rPr>
          <w:rFonts w:ascii="Palatino Linotype" w:hAnsi="Palatino Linotype"/>
          <w:b w:val="0"/>
        </w:rPr>
      </w:pPr>
      <w:r w:rsidRPr="00511954">
        <w:rPr>
          <w:rFonts w:ascii="Palatino Linotype" w:hAnsi="Palatino Linotype"/>
          <w:b w:val="0"/>
        </w:rPr>
        <w:t xml:space="preserve">In its supplemental AL, PG&amp;E asserts that it can only hold GHG allowance revenue funding for the DAC-GT and CSGT programs in its </w:t>
      </w:r>
      <w:r w:rsidRPr="00511954" w:rsidR="00A42FD3">
        <w:rPr>
          <w:rFonts w:ascii="Palatino Linotype" w:hAnsi="Palatino Linotype"/>
          <w:b w:val="0"/>
        </w:rPr>
        <w:t>Energy Resource Recovery Account (</w:t>
      </w:r>
      <w:r w:rsidRPr="00511954">
        <w:rPr>
          <w:rFonts w:ascii="Palatino Linotype" w:hAnsi="Palatino Linotype"/>
          <w:b w:val="0"/>
        </w:rPr>
        <w:t>ERRA</w:t>
      </w:r>
      <w:r w:rsidRPr="00511954" w:rsidR="00A42FD3">
        <w:rPr>
          <w:rFonts w:ascii="Palatino Linotype" w:hAnsi="Palatino Linotype"/>
          <w:b w:val="0"/>
        </w:rPr>
        <w:t>)</w:t>
      </w:r>
      <w:r w:rsidRPr="00511954">
        <w:rPr>
          <w:rFonts w:ascii="Palatino Linotype" w:hAnsi="Palatino Linotype"/>
          <w:b w:val="0"/>
        </w:rPr>
        <w:t xml:space="preserve"> forecast if the Commission has previously approved program funding, citing </w:t>
      </w:r>
      <w:r w:rsidRPr="00511954" w:rsidR="00A165B3">
        <w:rPr>
          <w:rFonts w:ascii="Palatino Linotype" w:hAnsi="Palatino Linotype"/>
          <w:b w:val="0"/>
        </w:rPr>
        <w:t>D</w:t>
      </w:r>
      <w:r w:rsidRPr="00511954" w:rsidR="00DF0CDF">
        <w:rPr>
          <w:rFonts w:ascii="Palatino Linotype" w:hAnsi="Palatino Linotype"/>
          <w:b w:val="0"/>
        </w:rPr>
        <w:t>.</w:t>
      </w:r>
      <w:r w:rsidRPr="00511954">
        <w:rPr>
          <w:rFonts w:ascii="Palatino Linotype" w:hAnsi="Palatino Linotype"/>
          <w:b w:val="0"/>
        </w:rPr>
        <w:t xml:space="preserve">14-10-033 in proceeding </w:t>
      </w:r>
      <w:bookmarkStart w:name="_Hlk2786776" w:id="5"/>
      <w:r w:rsidRPr="00511954">
        <w:rPr>
          <w:rFonts w:ascii="Palatino Linotype" w:hAnsi="Palatino Linotype"/>
          <w:b w:val="0"/>
        </w:rPr>
        <w:t xml:space="preserve">A.13-08-002. </w:t>
      </w:r>
      <w:bookmarkEnd w:id="5"/>
      <w:r w:rsidRPr="00511954">
        <w:rPr>
          <w:rFonts w:ascii="Palatino Linotype" w:hAnsi="Palatino Linotype"/>
          <w:b w:val="0"/>
        </w:rPr>
        <w:t>Thus, PG&amp;E included program budgets for DAC-GT and CSGT for 2019 and 2020 in its supplemental AL.</w:t>
      </w:r>
      <w:r w:rsidRPr="00511954" w:rsidR="00DE3CA1">
        <w:rPr>
          <w:rStyle w:val="FootnoteReference"/>
          <w:rFonts w:ascii="Palatino Linotype" w:hAnsi="Palatino Linotype"/>
          <w:b w:val="0"/>
        </w:rPr>
        <w:footnoteReference w:id="60"/>
      </w:r>
      <w:r w:rsidRPr="00511954">
        <w:rPr>
          <w:rFonts w:ascii="Palatino Linotype" w:hAnsi="Palatino Linotype"/>
          <w:b w:val="0"/>
        </w:rPr>
        <w:t xml:space="preserve"> SDG&amp;E</w:t>
      </w:r>
      <w:r w:rsidRPr="00511954" w:rsidR="00702353">
        <w:rPr>
          <w:rFonts w:ascii="Palatino Linotype" w:hAnsi="Palatino Linotype"/>
          <w:b w:val="0"/>
        </w:rPr>
        <w:t xml:space="preserve"> </w:t>
      </w:r>
      <w:r w:rsidRPr="00511954" w:rsidR="00F52AAF">
        <w:rPr>
          <w:rFonts w:ascii="Palatino Linotype" w:hAnsi="Palatino Linotype"/>
          <w:b w:val="0"/>
        </w:rPr>
        <w:t>simil</w:t>
      </w:r>
      <w:r w:rsidRPr="00511954" w:rsidR="00547815">
        <w:rPr>
          <w:rFonts w:ascii="Palatino Linotype" w:hAnsi="Palatino Linotype"/>
          <w:b w:val="0"/>
        </w:rPr>
        <w:t>arly asserts that it</w:t>
      </w:r>
      <w:r w:rsidRPr="00511954">
        <w:rPr>
          <w:rFonts w:ascii="Palatino Linotype" w:hAnsi="Palatino Linotype"/>
          <w:b w:val="0"/>
        </w:rPr>
        <w:t xml:space="preserve"> is required to include an annualized estimate of program costs i</w:t>
      </w:r>
      <w:r w:rsidRPr="00511954" w:rsidR="00702353">
        <w:rPr>
          <w:rFonts w:ascii="Palatino Linotype" w:hAnsi="Palatino Linotype"/>
          <w:b w:val="0"/>
        </w:rPr>
        <w:t>n i</w:t>
      </w:r>
      <w:r w:rsidRPr="00511954">
        <w:rPr>
          <w:rFonts w:ascii="Palatino Linotype" w:hAnsi="Palatino Linotype"/>
          <w:b w:val="0"/>
        </w:rPr>
        <w:t>ts annual ERRA forecast filing in order to reserve GHG allowance proceeds. SDG&amp;E included budget estimates for both programs in its original AL and sought flexibility in allocating costs across an initial four</w:t>
      </w:r>
      <w:r w:rsidRPr="00511954" w:rsidR="00DF0CDF">
        <w:rPr>
          <w:rFonts w:ascii="Palatino Linotype" w:hAnsi="Palatino Linotype"/>
          <w:b w:val="0"/>
        </w:rPr>
        <w:t>-</w:t>
      </w:r>
      <w:r w:rsidRPr="00511954">
        <w:rPr>
          <w:rFonts w:ascii="Palatino Linotype" w:hAnsi="Palatino Linotype"/>
          <w:b w:val="0"/>
        </w:rPr>
        <w:t>year period.</w:t>
      </w:r>
      <w:r w:rsidRPr="00511954" w:rsidR="00702353">
        <w:rPr>
          <w:rStyle w:val="FootnoteReference"/>
          <w:rFonts w:ascii="Palatino Linotype" w:hAnsi="Palatino Linotype"/>
          <w:b w:val="0"/>
        </w:rPr>
        <w:footnoteReference w:id="61"/>
      </w:r>
      <w:r w:rsidRPr="00511954">
        <w:rPr>
          <w:rFonts w:ascii="Palatino Linotype" w:hAnsi="Palatino Linotype"/>
          <w:b w:val="0"/>
        </w:rPr>
        <w:t xml:space="preserve"> SCE’s AL did not discuss the ERRA forecast and only provided a Marketing, Education, and Outreach (ME&amp;O) budget.</w:t>
      </w:r>
    </w:p>
    <w:p w:rsidR="0070585E" w:rsidP="00034BC4" w:rsidRDefault="00954B8E" w14:paraId="364B050B" w14:textId="2CF4E0A3">
      <w:pPr>
        <w:pStyle w:val="BodyText"/>
        <w:spacing w:after="120"/>
        <w:rPr>
          <w:rFonts w:ascii="Palatino Linotype" w:hAnsi="Palatino Linotype"/>
          <w:b w:val="0"/>
        </w:rPr>
      </w:pPr>
      <w:r w:rsidRPr="00511954">
        <w:rPr>
          <w:rFonts w:ascii="Palatino Linotype" w:hAnsi="Palatino Linotype"/>
          <w:b w:val="0"/>
        </w:rPr>
        <w:t>To create a consistent and predictable process across the IOUs, w</w:t>
      </w:r>
      <w:r w:rsidRPr="00511954" w:rsidR="00CC3580">
        <w:rPr>
          <w:rFonts w:ascii="Palatino Linotype" w:hAnsi="Palatino Linotype"/>
          <w:b w:val="0"/>
        </w:rPr>
        <w:t>e</w:t>
      </w:r>
      <w:r w:rsidRPr="00511954" w:rsidR="00702353">
        <w:rPr>
          <w:rFonts w:ascii="Palatino Linotype" w:hAnsi="Palatino Linotype"/>
          <w:b w:val="0"/>
        </w:rPr>
        <w:t xml:space="preserve"> find that it is necessary to establish</w:t>
      </w:r>
      <w:r w:rsidRPr="00511954" w:rsidR="00B5209D">
        <w:rPr>
          <w:rFonts w:ascii="Palatino Linotype" w:hAnsi="Palatino Linotype"/>
          <w:b w:val="0"/>
        </w:rPr>
        <w:t xml:space="preserve"> </w:t>
      </w:r>
      <w:r w:rsidR="0070585E">
        <w:rPr>
          <w:rFonts w:ascii="Palatino Linotype" w:hAnsi="Palatino Linotype"/>
          <w:b w:val="0"/>
        </w:rPr>
        <w:t xml:space="preserve">both </w:t>
      </w:r>
      <w:r w:rsidRPr="00511954" w:rsidR="00B5209D">
        <w:rPr>
          <w:rFonts w:ascii="Palatino Linotype" w:hAnsi="Palatino Linotype"/>
          <w:b w:val="0"/>
        </w:rPr>
        <w:t>a</w:t>
      </w:r>
      <w:r w:rsidRPr="00511954" w:rsidR="00702353">
        <w:rPr>
          <w:rFonts w:ascii="Palatino Linotype" w:hAnsi="Palatino Linotype"/>
          <w:b w:val="0"/>
        </w:rPr>
        <w:t>n annual budget</w:t>
      </w:r>
      <w:r w:rsidRPr="00511954" w:rsidR="00B5209D">
        <w:rPr>
          <w:rFonts w:ascii="Palatino Linotype" w:hAnsi="Palatino Linotype"/>
          <w:b w:val="0"/>
        </w:rPr>
        <w:t xml:space="preserve"> process</w:t>
      </w:r>
      <w:r w:rsidRPr="00511954" w:rsidR="00702353">
        <w:rPr>
          <w:rFonts w:ascii="Palatino Linotype" w:hAnsi="Palatino Linotype"/>
          <w:b w:val="0"/>
        </w:rPr>
        <w:t xml:space="preserve"> for the DAC-GT and CSGT programs</w:t>
      </w:r>
      <w:r w:rsidR="0070585E">
        <w:rPr>
          <w:rFonts w:ascii="Palatino Linotype" w:hAnsi="Palatino Linotype"/>
          <w:b w:val="0"/>
        </w:rPr>
        <w:t xml:space="preserve"> and funding allocation caps</w:t>
      </w:r>
      <w:r w:rsidRPr="00511954" w:rsidR="00702353">
        <w:rPr>
          <w:rFonts w:ascii="Palatino Linotype" w:hAnsi="Palatino Linotype"/>
          <w:b w:val="0"/>
        </w:rPr>
        <w:t>.</w:t>
      </w:r>
      <w:r w:rsidR="0070585E">
        <w:rPr>
          <w:rFonts w:ascii="Palatino Linotype" w:hAnsi="Palatino Linotype"/>
          <w:b w:val="0"/>
        </w:rPr>
        <w:t xml:space="preserve"> </w:t>
      </w:r>
      <w:r w:rsidR="008A1AC1">
        <w:rPr>
          <w:rFonts w:ascii="Palatino Linotype" w:hAnsi="Palatino Linotype"/>
          <w:b w:val="0"/>
        </w:rPr>
        <w:t xml:space="preserve">We </w:t>
      </w:r>
      <w:r w:rsidRPr="00511954" w:rsidR="004001FF">
        <w:rPr>
          <w:rFonts w:ascii="Palatino Linotype" w:hAnsi="Palatino Linotype"/>
          <w:b w:val="0"/>
        </w:rPr>
        <w:t>find</w:t>
      </w:r>
      <w:r w:rsidR="008A1AC1">
        <w:rPr>
          <w:rFonts w:ascii="Palatino Linotype" w:hAnsi="Palatino Linotype"/>
          <w:b w:val="0"/>
        </w:rPr>
        <w:t xml:space="preserve"> that</w:t>
      </w:r>
      <w:r w:rsidRPr="00511954" w:rsidR="004001FF">
        <w:rPr>
          <w:rFonts w:ascii="Palatino Linotype" w:hAnsi="Palatino Linotype"/>
          <w:b w:val="0"/>
        </w:rPr>
        <w:t xml:space="preserve"> it is reasonable to</w:t>
      </w:r>
      <w:r w:rsidRPr="00511954" w:rsidR="00702353">
        <w:rPr>
          <w:rFonts w:ascii="Palatino Linotype" w:hAnsi="Palatino Linotype"/>
          <w:b w:val="0"/>
        </w:rPr>
        <w:t xml:space="preserve"> require</w:t>
      </w:r>
      <w:r w:rsidRPr="00511954" w:rsidR="00B5209D">
        <w:rPr>
          <w:rFonts w:ascii="Palatino Linotype" w:hAnsi="Palatino Linotype"/>
          <w:b w:val="0"/>
        </w:rPr>
        <w:t xml:space="preserve"> each IOU </w:t>
      </w:r>
      <w:r w:rsidRPr="00511954" w:rsidR="00034BC4">
        <w:rPr>
          <w:rFonts w:ascii="Palatino Linotype" w:hAnsi="Palatino Linotype"/>
          <w:b w:val="0"/>
        </w:rPr>
        <w:t xml:space="preserve">to </w:t>
      </w:r>
      <w:r w:rsidRPr="00511954" w:rsidR="00B5209D">
        <w:rPr>
          <w:rFonts w:ascii="Palatino Linotype" w:hAnsi="Palatino Linotype"/>
          <w:b w:val="0"/>
        </w:rPr>
        <w:t xml:space="preserve">submit annual program budget estimates via a Tier </w:t>
      </w:r>
      <w:r w:rsidR="0070585E">
        <w:rPr>
          <w:rFonts w:ascii="Palatino Linotype" w:hAnsi="Palatino Linotype"/>
          <w:b w:val="0"/>
        </w:rPr>
        <w:t>1</w:t>
      </w:r>
      <w:r w:rsidRPr="00511954" w:rsidR="00B5209D">
        <w:rPr>
          <w:rFonts w:ascii="Palatino Linotype" w:hAnsi="Palatino Linotype"/>
          <w:b w:val="0"/>
        </w:rPr>
        <w:t xml:space="preserve"> AL by </w:t>
      </w:r>
      <w:r w:rsidRPr="00511954" w:rsidR="00E80E26">
        <w:rPr>
          <w:rFonts w:ascii="Palatino Linotype" w:hAnsi="Palatino Linotype"/>
          <w:b w:val="0"/>
        </w:rPr>
        <w:t xml:space="preserve">February </w:t>
      </w:r>
      <w:r w:rsidRPr="00511954" w:rsidR="00B5209D">
        <w:rPr>
          <w:rFonts w:ascii="Palatino Linotype" w:hAnsi="Palatino Linotype"/>
          <w:b w:val="0"/>
        </w:rPr>
        <w:t>1</w:t>
      </w:r>
      <w:r w:rsidRPr="00511954" w:rsidR="00B5209D">
        <w:rPr>
          <w:rFonts w:ascii="Palatino Linotype" w:hAnsi="Palatino Linotype"/>
          <w:b w:val="0"/>
          <w:vertAlign w:val="superscript"/>
        </w:rPr>
        <w:t>st</w:t>
      </w:r>
      <w:r w:rsidRPr="00511954" w:rsidR="00B5209D">
        <w:rPr>
          <w:rFonts w:ascii="Palatino Linotype" w:hAnsi="Palatino Linotype"/>
          <w:b w:val="0"/>
        </w:rPr>
        <w:t xml:space="preserve"> of every year</w:t>
      </w:r>
      <w:r w:rsidR="008A1AC1">
        <w:rPr>
          <w:rFonts w:ascii="Palatino Linotype" w:hAnsi="Palatino Linotype"/>
          <w:b w:val="0"/>
        </w:rPr>
        <w:t xml:space="preserve"> starting in 2020</w:t>
      </w:r>
      <w:r w:rsidRPr="00511954" w:rsidR="00B5209D">
        <w:rPr>
          <w:rFonts w:ascii="Palatino Linotype" w:hAnsi="Palatino Linotype"/>
          <w:b w:val="0"/>
        </w:rPr>
        <w:t xml:space="preserve"> for the following program year</w:t>
      </w:r>
      <w:r w:rsidRPr="00511954" w:rsidR="00E80E26">
        <w:rPr>
          <w:rFonts w:ascii="Palatino Linotype" w:hAnsi="Palatino Linotype"/>
          <w:b w:val="0"/>
        </w:rPr>
        <w:t xml:space="preserve"> (for example, on February 1, 2020, the IOUs would provide their DAC-GT and CSGT budgets for 2021)</w:t>
      </w:r>
      <w:r w:rsidRPr="00511954" w:rsidR="00B5209D">
        <w:rPr>
          <w:rFonts w:ascii="Palatino Linotype" w:hAnsi="Palatino Linotype"/>
          <w:b w:val="0"/>
        </w:rPr>
        <w:t xml:space="preserve">. </w:t>
      </w:r>
      <w:r w:rsidRPr="00511954" w:rsidR="00034BC4">
        <w:rPr>
          <w:rFonts w:ascii="Palatino Linotype" w:hAnsi="Palatino Linotype"/>
          <w:b w:val="0"/>
        </w:rPr>
        <w:t xml:space="preserve">Each IOU’s Tier </w:t>
      </w:r>
      <w:r w:rsidR="006E56AA">
        <w:rPr>
          <w:rFonts w:ascii="Palatino Linotype" w:hAnsi="Palatino Linotype"/>
          <w:b w:val="0"/>
        </w:rPr>
        <w:t>1</w:t>
      </w:r>
      <w:r w:rsidRPr="00511954" w:rsidR="00034BC4">
        <w:rPr>
          <w:rFonts w:ascii="Palatino Linotype" w:hAnsi="Palatino Linotype"/>
          <w:b w:val="0"/>
        </w:rPr>
        <w:t xml:space="preserve"> AL </w:t>
      </w:r>
      <w:r w:rsidRPr="00511954" w:rsidR="00B5209D">
        <w:rPr>
          <w:rFonts w:ascii="Palatino Linotype" w:hAnsi="Palatino Linotype"/>
          <w:b w:val="0"/>
        </w:rPr>
        <w:t xml:space="preserve">filing </w:t>
      </w:r>
      <w:r w:rsidRPr="00511954" w:rsidR="00034BC4">
        <w:rPr>
          <w:rFonts w:ascii="Palatino Linotype" w:hAnsi="Palatino Linotype"/>
          <w:b w:val="0"/>
        </w:rPr>
        <w:t>must</w:t>
      </w:r>
      <w:r w:rsidRPr="00511954" w:rsidR="00B5209D">
        <w:rPr>
          <w:rFonts w:ascii="Palatino Linotype" w:hAnsi="Palatino Linotype"/>
          <w:b w:val="0"/>
        </w:rPr>
        <w:t xml:space="preserve"> include separate program budget estimates for DAC-GT and CSGT</w:t>
      </w:r>
      <w:r w:rsidRPr="00511954" w:rsidR="00034BC4">
        <w:rPr>
          <w:rFonts w:ascii="Palatino Linotype" w:hAnsi="Palatino Linotype"/>
          <w:b w:val="0"/>
        </w:rPr>
        <w:t xml:space="preserve"> and </w:t>
      </w:r>
      <w:r w:rsidR="006E56AA">
        <w:rPr>
          <w:rFonts w:ascii="Palatino Linotype" w:hAnsi="Palatino Linotype"/>
          <w:b w:val="0"/>
        </w:rPr>
        <w:t xml:space="preserve">must </w:t>
      </w:r>
      <w:r w:rsidRPr="00511954" w:rsidR="00547815">
        <w:rPr>
          <w:rFonts w:ascii="Palatino Linotype" w:hAnsi="Palatino Linotype"/>
          <w:b w:val="0"/>
        </w:rPr>
        <w:t>clearly identify</w:t>
      </w:r>
      <w:r w:rsidRPr="00511954" w:rsidR="00034BC4">
        <w:rPr>
          <w:rFonts w:ascii="Palatino Linotype" w:hAnsi="Palatino Linotype"/>
          <w:b w:val="0"/>
        </w:rPr>
        <w:t xml:space="preserve"> an</w:t>
      </w:r>
      <w:r w:rsidRPr="00511954" w:rsidR="00F83513">
        <w:rPr>
          <w:rFonts w:ascii="Palatino Linotype" w:hAnsi="Palatino Linotype"/>
          <w:b w:val="0"/>
        </w:rPr>
        <w:t>y costs that are shared between t</w:t>
      </w:r>
      <w:r w:rsidRPr="00511954" w:rsidR="00034BC4">
        <w:rPr>
          <w:rFonts w:ascii="Palatino Linotype" w:hAnsi="Palatino Linotype"/>
          <w:b w:val="0"/>
        </w:rPr>
        <w:t>he two programs</w:t>
      </w:r>
      <w:r w:rsidRPr="00511954" w:rsidR="00B5209D">
        <w:rPr>
          <w:rFonts w:ascii="Palatino Linotype" w:hAnsi="Palatino Linotype"/>
          <w:b w:val="0"/>
        </w:rPr>
        <w:t>.</w:t>
      </w:r>
      <w:r w:rsidR="00415BDF">
        <w:rPr>
          <w:rFonts w:ascii="Palatino Linotype" w:hAnsi="Palatino Linotype"/>
          <w:b w:val="0"/>
        </w:rPr>
        <w:t xml:space="preserve"> </w:t>
      </w:r>
      <w:r w:rsidRPr="00511954" w:rsidR="00034BC4">
        <w:rPr>
          <w:rFonts w:ascii="Palatino Linotype" w:hAnsi="Palatino Linotype"/>
          <w:b w:val="0"/>
        </w:rPr>
        <w:t xml:space="preserve">At a minimum, </w:t>
      </w:r>
      <w:r w:rsidR="00415BDF">
        <w:rPr>
          <w:rFonts w:ascii="Palatino Linotype" w:hAnsi="Palatino Linotype"/>
          <w:b w:val="0"/>
        </w:rPr>
        <w:t>each IOU’s</w:t>
      </w:r>
      <w:r w:rsidRPr="00511954" w:rsidR="00034BC4">
        <w:rPr>
          <w:rFonts w:ascii="Palatino Linotype" w:hAnsi="Palatino Linotype"/>
          <w:b w:val="0"/>
        </w:rPr>
        <w:t xml:space="preserve"> annual p</w:t>
      </w:r>
      <w:r w:rsidRPr="00511954" w:rsidR="00B5209D">
        <w:rPr>
          <w:rFonts w:ascii="Palatino Linotype" w:hAnsi="Palatino Linotype"/>
          <w:b w:val="0"/>
        </w:rPr>
        <w:t xml:space="preserve">rogram budgets </w:t>
      </w:r>
      <w:r w:rsidRPr="00511954" w:rsidR="00E449E4">
        <w:rPr>
          <w:rFonts w:ascii="Palatino Linotype" w:hAnsi="Palatino Linotype"/>
          <w:b w:val="0"/>
        </w:rPr>
        <w:t xml:space="preserve">must </w:t>
      </w:r>
      <w:r w:rsidRPr="00511954" w:rsidR="00B5209D">
        <w:rPr>
          <w:rFonts w:ascii="Palatino Linotype" w:hAnsi="Palatino Linotype"/>
          <w:b w:val="0"/>
        </w:rPr>
        <w:t>include line items for any above market generation costs</w:t>
      </w:r>
      <w:r w:rsidRPr="00511954" w:rsidR="00E80E26">
        <w:rPr>
          <w:rFonts w:ascii="Palatino Linotype" w:hAnsi="Palatino Linotype"/>
          <w:b w:val="0"/>
        </w:rPr>
        <w:t>,</w:t>
      </w:r>
      <w:r w:rsidRPr="00511954" w:rsidR="00E449E4">
        <w:rPr>
          <w:rStyle w:val="FootnoteReference"/>
          <w:rFonts w:ascii="Palatino Linotype" w:hAnsi="Palatino Linotype"/>
          <w:b w:val="0"/>
        </w:rPr>
        <w:footnoteReference w:id="62"/>
      </w:r>
      <w:r w:rsidRPr="00511954" w:rsidR="00B5209D">
        <w:rPr>
          <w:rFonts w:ascii="Palatino Linotype" w:hAnsi="Palatino Linotype"/>
          <w:b w:val="0"/>
        </w:rPr>
        <w:t xml:space="preserve"> the 20</w:t>
      </w:r>
      <w:r w:rsidRPr="00511954" w:rsidR="00530D31">
        <w:rPr>
          <w:rFonts w:ascii="Palatino Linotype" w:hAnsi="Palatino Linotype"/>
          <w:b w:val="0"/>
        </w:rPr>
        <w:t xml:space="preserve"> percent</w:t>
      </w:r>
      <w:r w:rsidRPr="00511954" w:rsidR="00B5209D">
        <w:rPr>
          <w:rFonts w:ascii="Palatino Linotype" w:hAnsi="Palatino Linotype"/>
          <w:b w:val="0"/>
        </w:rPr>
        <w:t xml:space="preserve"> </w:t>
      </w:r>
      <w:r w:rsidRPr="00511954" w:rsidR="00034BC4">
        <w:rPr>
          <w:rFonts w:ascii="Palatino Linotype" w:hAnsi="Palatino Linotype"/>
          <w:b w:val="0"/>
        </w:rPr>
        <w:t xml:space="preserve">bill </w:t>
      </w:r>
      <w:r w:rsidRPr="00511954" w:rsidR="00B5209D">
        <w:rPr>
          <w:rFonts w:ascii="Palatino Linotype" w:hAnsi="Palatino Linotype"/>
          <w:b w:val="0"/>
        </w:rPr>
        <w:t>discount</w:t>
      </w:r>
      <w:r w:rsidRPr="00511954" w:rsidR="00F83513">
        <w:rPr>
          <w:rFonts w:ascii="Palatino Linotype" w:hAnsi="Palatino Linotype"/>
          <w:b w:val="0"/>
        </w:rPr>
        <w:t xml:space="preserve"> for all participating customers</w:t>
      </w:r>
      <w:r w:rsidRPr="00511954" w:rsidR="00B5209D">
        <w:rPr>
          <w:rFonts w:ascii="Palatino Linotype" w:hAnsi="Palatino Linotype"/>
          <w:b w:val="0"/>
        </w:rPr>
        <w:t>, program administration</w:t>
      </w:r>
      <w:r w:rsidRPr="00511954" w:rsidR="00F83513">
        <w:rPr>
          <w:rFonts w:ascii="Palatino Linotype" w:hAnsi="Palatino Linotype"/>
          <w:b w:val="0"/>
        </w:rPr>
        <w:t xml:space="preserve"> costs</w:t>
      </w:r>
      <w:r w:rsidRPr="00511954" w:rsidR="00B5209D">
        <w:rPr>
          <w:rFonts w:ascii="Palatino Linotype" w:hAnsi="Palatino Linotype"/>
          <w:b w:val="0"/>
        </w:rPr>
        <w:t>, and ME&amp;O</w:t>
      </w:r>
      <w:r w:rsidRPr="00511954" w:rsidR="00F83513">
        <w:rPr>
          <w:rFonts w:ascii="Palatino Linotype" w:hAnsi="Palatino Linotype"/>
          <w:b w:val="0"/>
        </w:rPr>
        <w:t xml:space="preserve"> funding</w:t>
      </w:r>
      <w:r w:rsidRPr="00511954" w:rsidR="00B5209D">
        <w:rPr>
          <w:rFonts w:ascii="Palatino Linotype" w:hAnsi="Palatino Linotype"/>
          <w:b w:val="0"/>
        </w:rPr>
        <w:t>.</w:t>
      </w:r>
      <w:r w:rsidRPr="00511954" w:rsidR="00034BC4">
        <w:rPr>
          <w:rFonts w:ascii="Palatino Linotype" w:hAnsi="Palatino Linotype"/>
          <w:b w:val="0"/>
        </w:rPr>
        <w:t xml:space="preserve"> </w:t>
      </w:r>
      <w:r w:rsidR="008A1AC1">
        <w:rPr>
          <w:rFonts w:ascii="Palatino Linotype" w:hAnsi="Palatino Linotype"/>
          <w:b w:val="0"/>
        </w:rPr>
        <w:t xml:space="preserve">In order to ensure that the IOUs’ administrative and ME&amp;O budgets represent a reasonable proportion of their total annual program budgets, </w:t>
      </w:r>
      <w:r w:rsidR="0070585E">
        <w:rPr>
          <w:rFonts w:ascii="Palatino Linotype" w:hAnsi="Palatino Linotype"/>
          <w:b w:val="0"/>
        </w:rPr>
        <w:t xml:space="preserve"> we adopt </w:t>
      </w:r>
      <w:r w:rsidR="006B45D5">
        <w:rPr>
          <w:rFonts w:ascii="Palatino Linotype" w:hAnsi="Palatino Linotype"/>
          <w:b w:val="0"/>
        </w:rPr>
        <w:t xml:space="preserve">for the DAC-GT and CSGT programs </w:t>
      </w:r>
      <w:r w:rsidR="0070585E">
        <w:rPr>
          <w:rFonts w:ascii="Palatino Linotype" w:hAnsi="Palatino Linotype"/>
          <w:b w:val="0"/>
        </w:rPr>
        <w:t xml:space="preserve">the same </w:t>
      </w:r>
      <w:r w:rsidR="00D3131D">
        <w:rPr>
          <w:rFonts w:ascii="Palatino Linotype" w:hAnsi="Palatino Linotype"/>
          <w:b w:val="0"/>
        </w:rPr>
        <w:t>budget</w:t>
      </w:r>
      <w:r w:rsidR="0070585E">
        <w:rPr>
          <w:rFonts w:ascii="Palatino Linotype" w:hAnsi="Palatino Linotype"/>
          <w:b w:val="0"/>
        </w:rPr>
        <w:t xml:space="preserve"> allocations established in the NEM DAC Decision for the DAC-SASH program: 10 percent for program administration and 4 percent</w:t>
      </w:r>
      <w:r w:rsidR="008A1AC1">
        <w:rPr>
          <w:rFonts w:ascii="Palatino Linotype" w:hAnsi="Palatino Linotype"/>
          <w:b w:val="0"/>
        </w:rPr>
        <w:t xml:space="preserve"> for</w:t>
      </w:r>
      <w:r w:rsidR="0070585E">
        <w:rPr>
          <w:rFonts w:ascii="Palatino Linotype" w:hAnsi="Palatino Linotype"/>
          <w:b w:val="0"/>
        </w:rPr>
        <w:t xml:space="preserve"> </w:t>
      </w:r>
      <w:r w:rsidR="00B434E5">
        <w:rPr>
          <w:rFonts w:ascii="Palatino Linotype" w:hAnsi="Palatino Linotype"/>
          <w:b w:val="0"/>
        </w:rPr>
        <w:t>ME&amp;O</w:t>
      </w:r>
      <w:r w:rsidR="0070585E">
        <w:rPr>
          <w:rFonts w:ascii="Palatino Linotype" w:hAnsi="Palatino Linotype"/>
          <w:b w:val="0"/>
        </w:rPr>
        <w:t>.</w:t>
      </w:r>
      <w:r w:rsidR="008A1AC1">
        <w:rPr>
          <w:rFonts w:ascii="Palatino Linotype" w:hAnsi="Palatino Linotype"/>
          <w:b w:val="0"/>
        </w:rPr>
        <w:t xml:space="preserve"> </w:t>
      </w:r>
      <w:r w:rsidR="00D3131D">
        <w:rPr>
          <w:rFonts w:ascii="Palatino Linotype" w:hAnsi="Palatino Linotype"/>
          <w:b w:val="0"/>
        </w:rPr>
        <w:t>Specifically</w:t>
      </w:r>
      <w:r w:rsidR="008A1AC1">
        <w:rPr>
          <w:rFonts w:ascii="Palatino Linotype" w:hAnsi="Palatino Linotype"/>
          <w:b w:val="0"/>
        </w:rPr>
        <w:t xml:space="preserve"> for the DAC-GT and CSGT programs, no more than 10 percent of each program’s budget in a given year may be </w:t>
      </w:r>
      <w:r w:rsidR="009171D7">
        <w:rPr>
          <w:rFonts w:ascii="Palatino Linotype" w:hAnsi="Palatino Linotype"/>
          <w:b w:val="0"/>
        </w:rPr>
        <w:t xml:space="preserve">allocated to </w:t>
      </w:r>
      <w:r w:rsidR="008A1AC1">
        <w:rPr>
          <w:rFonts w:ascii="Palatino Linotype" w:hAnsi="Palatino Linotype"/>
          <w:b w:val="0"/>
        </w:rPr>
        <w:t>program administration and no more than 4 percent of each program’s budget</w:t>
      </w:r>
      <w:r w:rsidRPr="0070585E" w:rsidR="008A1AC1">
        <w:rPr>
          <w:rFonts w:ascii="Palatino Linotype" w:hAnsi="Palatino Linotype"/>
          <w:b w:val="0"/>
        </w:rPr>
        <w:t xml:space="preserve"> </w:t>
      </w:r>
      <w:r w:rsidR="008A1AC1">
        <w:rPr>
          <w:rFonts w:ascii="Palatino Linotype" w:hAnsi="Palatino Linotype"/>
          <w:b w:val="0"/>
        </w:rPr>
        <w:t>in a given year may be allocated to ME&amp;O.</w:t>
      </w:r>
    </w:p>
    <w:p w:rsidR="00D3131D" w:rsidP="00034BC4" w:rsidRDefault="00D3131D" w14:paraId="03754458" w14:textId="4E8BC1FC">
      <w:pPr>
        <w:pStyle w:val="BodyText"/>
        <w:spacing w:after="120"/>
        <w:rPr>
          <w:rFonts w:ascii="Palatino Linotype" w:hAnsi="Palatino Linotype"/>
          <w:b w:val="0"/>
        </w:rPr>
      </w:pPr>
      <w:r>
        <w:rPr>
          <w:rFonts w:ascii="Palatino Linotype" w:hAnsi="Palatino Linotype"/>
          <w:b w:val="0"/>
        </w:rPr>
        <w:t>Should the IOU</w:t>
      </w:r>
      <w:r w:rsidR="009171D7">
        <w:rPr>
          <w:rFonts w:ascii="Palatino Linotype" w:hAnsi="Palatino Linotype"/>
          <w:b w:val="0"/>
        </w:rPr>
        <w:t>s</w:t>
      </w:r>
      <w:r>
        <w:rPr>
          <w:rFonts w:ascii="Palatino Linotype" w:hAnsi="Palatino Linotype"/>
          <w:b w:val="0"/>
        </w:rPr>
        <w:t xml:space="preserve"> identify a need for these administrative and ME&amp;O budget allocations to be revisited in future program years, the IOUs are authorized to submit a Tier 3 AL requesting an adjustment to the budget allocations with an accompanying rationale for why the adjustment is warranted.</w:t>
      </w:r>
    </w:p>
    <w:p w:rsidRPr="00511954" w:rsidR="00B5209D" w:rsidP="00034BC4" w:rsidRDefault="00D3131D" w14:paraId="7E0D15D8" w14:textId="71D2C505">
      <w:pPr>
        <w:pStyle w:val="BodyText"/>
        <w:spacing w:after="120"/>
        <w:rPr>
          <w:rFonts w:ascii="Palatino Linotype" w:hAnsi="Palatino Linotype"/>
          <w:b w:val="0"/>
          <w:u w:val="single"/>
        </w:rPr>
      </w:pPr>
      <w:r>
        <w:rPr>
          <w:rFonts w:ascii="Palatino Linotype" w:hAnsi="Palatino Linotype"/>
          <w:b w:val="0"/>
        </w:rPr>
        <w:t>The annual</w:t>
      </w:r>
      <w:r w:rsidRPr="00511954" w:rsidR="00034BC4">
        <w:rPr>
          <w:rFonts w:ascii="Palatino Linotype" w:hAnsi="Palatino Linotype"/>
          <w:b w:val="0"/>
        </w:rPr>
        <w:t xml:space="preserve"> p</w:t>
      </w:r>
      <w:r w:rsidRPr="00511954" w:rsidR="00B5209D">
        <w:rPr>
          <w:rFonts w:ascii="Palatino Linotype" w:hAnsi="Palatino Linotype"/>
          <w:b w:val="0"/>
        </w:rPr>
        <w:t xml:space="preserve">rogram budget </w:t>
      </w:r>
      <w:r w:rsidR="0070585E">
        <w:rPr>
          <w:rFonts w:ascii="Palatino Linotype" w:hAnsi="Palatino Linotype"/>
          <w:b w:val="0"/>
        </w:rPr>
        <w:t xml:space="preserve">submissions </w:t>
      </w:r>
      <w:r w:rsidRPr="00511954" w:rsidR="00E449E4">
        <w:rPr>
          <w:rFonts w:ascii="Palatino Linotype" w:hAnsi="Palatino Linotype"/>
          <w:b w:val="0"/>
        </w:rPr>
        <w:t xml:space="preserve">must </w:t>
      </w:r>
      <w:r w:rsidRPr="00511954" w:rsidR="00B5209D">
        <w:rPr>
          <w:rFonts w:ascii="Palatino Linotype" w:hAnsi="Palatino Linotype"/>
          <w:b w:val="0"/>
        </w:rPr>
        <w:t xml:space="preserve">provide </w:t>
      </w:r>
      <w:proofErr w:type="gramStart"/>
      <w:r w:rsidRPr="00511954" w:rsidR="00B5209D">
        <w:rPr>
          <w:rFonts w:ascii="Palatino Linotype" w:hAnsi="Palatino Linotype"/>
          <w:b w:val="0"/>
        </w:rPr>
        <w:t>sufficient</w:t>
      </w:r>
      <w:proofErr w:type="gramEnd"/>
      <w:r w:rsidRPr="00511954" w:rsidR="00B5209D">
        <w:rPr>
          <w:rFonts w:ascii="Palatino Linotype" w:hAnsi="Palatino Linotype"/>
          <w:b w:val="0"/>
        </w:rPr>
        <w:t xml:space="preserve"> detail on how budget figures were estimated for all line items,</w:t>
      </w:r>
      <w:r w:rsidRPr="004C5B71" w:rsidR="004C5B71">
        <w:rPr>
          <w:rFonts w:ascii="Palatino Linotype" w:hAnsi="Palatino Linotype"/>
          <w:b w:val="0"/>
        </w:rPr>
        <w:t xml:space="preserve"> </w:t>
      </w:r>
      <w:r w:rsidR="004C5B71">
        <w:rPr>
          <w:rFonts w:ascii="Palatino Linotype" w:hAnsi="Palatino Linotype"/>
          <w:b w:val="0"/>
        </w:rPr>
        <w:t>this includes, but is not limited to the following details</w:t>
      </w:r>
      <w:r w:rsidRPr="00511954" w:rsidR="00B5209D">
        <w:rPr>
          <w:rFonts w:ascii="Palatino Linotype" w:hAnsi="Palatino Linotype"/>
          <w:b w:val="0"/>
        </w:rPr>
        <w:t>:</w:t>
      </w:r>
    </w:p>
    <w:p w:rsidRPr="00511954" w:rsidR="00034BC4" w:rsidP="00034BC4" w:rsidRDefault="00B5209D" w14:paraId="570C0716" w14:textId="247D59B3">
      <w:pPr>
        <w:pStyle w:val="BodyText"/>
        <w:numPr>
          <w:ilvl w:val="0"/>
          <w:numId w:val="34"/>
        </w:numPr>
        <w:spacing w:after="120"/>
        <w:rPr>
          <w:rFonts w:ascii="Palatino Linotype" w:hAnsi="Palatino Linotype"/>
          <w:b w:val="0"/>
        </w:rPr>
      </w:pPr>
      <w:r w:rsidRPr="00511954">
        <w:rPr>
          <w:rFonts w:ascii="Palatino Linotype" w:hAnsi="Palatino Linotype"/>
          <w:b w:val="0"/>
        </w:rPr>
        <w:t xml:space="preserve">For each program, the budget </w:t>
      </w:r>
      <w:r w:rsidR="00B434E5">
        <w:rPr>
          <w:rFonts w:ascii="Palatino Linotype" w:hAnsi="Palatino Linotype"/>
          <w:b w:val="0"/>
        </w:rPr>
        <w:t>submission</w:t>
      </w:r>
      <w:r w:rsidRPr="00511954" w:rsidR="00B434E5">
        <w:rPr>
          <w:rFonts w:ascii="Palatino Linotype" w:hAnsi="Palatino Linotype"/>
          <w:b w:val="0"/>
        </w:rPr>
        <w:t xml:space="preserve"> </w:t>
      </w:r>
      <w:r w:rsidRPr="00511954" w:rsidR="00E449E4">
        <w:rPr>
          <w:rFonts w:ascii="Palatino Linotype" w:hAnsi="Palatino Linotype"/>
          <w:b w:val="0"/>
        </w:rPr>
        <w:t xml:space="preserve">must </w:t>
      </w:r>
      <w:r w:rsidRPr="00511954">
        <w:rPr>
          <w:rFonts w:ascii="Palatino Linotype" w:hAnsi="Palatino Linotype"/>
          <w:b w:val="0"/>
        </w:rPr>
        <w:t>include details on the program’s existing capacity, the capacity targeted for procurement in that program year, the number of cu</w:t>
      </w:r>
      <w:r w:rsidRPr="00511954" w:rsidR="00034BC4">
        <w:rPr>
          <w:rFonts w:ascii="Palatino Linotype" w:hAnsi="Palatino Linotype"/>
          <w:b w:val="0"/>
        </w:rPr>
        <w:t xml:space="preserve">stomers </w:t>
      </w:r>
      <w:r w:rsidR="00B434E5">
        <w:rPr>
          <w:rFonts w:ascii="Palatino Linotype" w:hAnsi="Palatino Linotype"/>
          <w:b w:val="0"/>
        </w:rPr>
        <w:t xml:space="preserve">currently served, and the number of additional customers </w:t>
      </w:r>
      <w:r w:rsidRPr="00511954" w:rsidR="00034BC4">
        <w:rPr>
          <w:rFonts w:ascii="Palatino Linotype" w:hAnsi="Palatino Linotype"/>
          <w:b w:val="0"/>
        </w:rPr>
        <w:t>estimated to be served.</w:t>
      </w:r>
    </w:p>
    <w:p w:rsidR="00B434E5" w:rsidP="00034BC4" w:rsidRDefault="006E56AA" w14:paraId="2164A86B" w14:textId="5B192686">
      <w:pPr>
        <w:pStyle w:val="BodyText"/>
        <w:numPr>
          <w:ilvl w:val="0"/>
          <w:numId w:val="34"/>
        </w:numPr>
        <w:spacing w:after="120"/>
        <w:rPr>
          <w:rFonts w:ascii="Palatino Linotype" w:hAnsi="Palatino Linotype"/>
          <w:b w:val="0"/>
        </w:rPr>
      </w:pPr>
      <w:r>
        <w:rPr>
          <w:rFonts w:ascii="Palatino Linotype" w:hAnsi="Palatino Linotype"/>
          <w:b w:val="0"/>
        </w:rPr>
        <w:t>For each program, the budget submission should include</w:t>
      </w:r>
      <w:r w:rsidR="00CD7EA1">
        <w:rPr>
          <w:rFonts w:ascii="Palatino Linotype" w:hAnsi="Palatino Linotype"/>
          <w:b w:val="0"/>
        </w:rPr>
        <w:t xml:space="preserve"> work papers with </w:t>
      </w:r>
      <w:r>
        <w:rPr>
          <w:rFonts w:ascii="Palatino Linotype" w:hAnsi="Palatino Linotype"/>
          <w:b w:val="0"/>
        </w:rPr>
        <w:t xml:space="preserve">a detailed methodology on how </w:t>
      </w:r>
      <w:r w:rsidRPr="00511954">
        <w:rPr>
          <w:rFonts w:ascii="Palatino Linotype" w:hAnsi="Palatino Linotype"/>
          <w:b w:val="0"/>
        </w:rPr>
        <w:t>any above market generation costs</w:t>
      </w:r>
      <w:r w:rsidR="009171D7">
        <w:rPr>
          <w:rFonts w:ascii="Palatino Linotype" w:hAnsi="Palatino Linotype"/>
          <w:b w:val="0"/>
        </w:rPr>
        <w:t>,</w:t>
      </w:r>
      <w:r>
        <w:rPr>
          <w:rFonts w:ascii="Palatino Linotype" w:hAnsi="Palatino Linotype"/>
          <w:b w:val="0"/>
        </w:rPr>
        <w:t xml:space="preserve"> and</w:t>
      </w:r>
      <w:r w:rsidRPr="00511954">
        <w:rPr>
          <w:rFonts w:ascii="Palatino Linotype" w:hAnsi="Palatino Linotype"/>
          <w:b w:val="0"/>
        </w:rPr>
        <w:t xml:space="preserve"> the 20 percent bill discount for all participating </w:t>
      </w:r>
      <w:r w:rsidR="00B434E5">
        <w:rPr>
          <w:rFonts w:ascii="Palatino Linotype" w:hAnsi="Palatino Linotype"/>
          <w:b w:val="0"/>
        </w:rPr>
        <w:t xml:space="preserve">and projected </w:t>
      </w:r>
      <w:r w:rsidRPr="00511954">
        <w:rPr>
          <w:rFonts w:ascii="Palatino Linotype" w:hAnsi="Palatino Linotype"/>
          <w:b w:val="0"/>
        </w:rPr>
        <w:t>customers</w:t>
      </w:r>
      <w:r w:rsidR="009171D7">
        <w:rPr>
          <w:rFonts w:ascii="Palatino Linotype" w:hAnsi="Palatino Linotype"/>
          <w:b w:val="0"/>
        </w:rPr>
        <w:t>,</w:t>
      </w:r>
      <w:r>
        <w:rPr>
          <w:rFonts w:ascii="Palatino Linotype" w:hAnsi="Palatino Linotype"/>
          <w:b w:val="0"/>
        </w:rPr>
        <w:t xml:space="preserve"> were estimated. This shall include but not be limited to specifying </w:t>
      </w:r>
      <w:r w:rsidR="00B434E5">
        <w:rPr>
          <w:rFonts w:ascii="Palatino Linotype" w:hAnsi="Palatino Linotype"/>
          <w:b w:val="0"/>
        </w:rPr>
        <w:t xml:space="preserve">all </w:t>
      </w:r>
      <w:r>
        <w:rPr>
          <w:rFonts w:ascii="Palatino Linotype" w:hAnsi="Palatino Linotype"/>
          <w:b w:val="0"/>
        </w:rPr>
        <w:t>assumptions</w:t>
      </w:r>
      <w:r w:rsidR="00B434E5">
        <w:rPr>
          <w:rFonts w:ascii="Palatino Linotype" w:hAnsi="Palatino Linotype"/>
          <w:b w:val="0"/>
        </w:rPr>
        <w:t>, and basis for those assumptions,</w:t>
      </w:r>
      <w:r>
        <w:rPr>
          <w:rFonts w:ascii="Palatino Linotype" w:hAnsi="Palatino Linotype"/>
          <w:b w:val="0"/>
        </w:rPr>
        <w:t xml:space="preserve"> on</w:t>
      </w:r>
      <w:r w:rsidR="00AF5127">
        <w:rPr>
          <w:rFonts w:ascii="Palatino Linotype" w:hAnsi="Palatino Linotype"/>
          <w:b w:val="0"/>
        </w:rPr>
        <w:t xml:space="preserve"> the following items</w:t>
      </w:r>
      <w:r>
        <w:rPr>
          <w:rFonts w:ascii="Palatino Linotype" w:hAnsi="Palatino Linotype"/>
          <w:b w:val="0"/>
        </w:rPr>
        <w:t xml:space="preserve">: participating </w:t>
      </w:r>
      <w:r w:rsidR="00630420">
        <w:rPr>
          <w:rFonts w:ascii="Palatino Linotype" w:hAnsi="Palatino Linotype"/>
          <w:b w:val="0"/>
        </w:rPr>
        <w:t xml:space="preserve">and projected </w:t>
      </w:r>
      <w:r>
        <w:rPr>
          <w:rFonts w:ascii="Palatino Linotype" w:hAnsi="Palatino Linotype"/>
          <w:b w:val="0"/>
        </w:rPr>
        <w:t xml:space="preserve">customers’ generation rates, the </w:t>
      </w:r>
      <w:r w:rsidR="00CD7EA1">
        <w:rPr>
          <w:rFonts w:ascii="Palatino Linotype" w:hAnsi="Palatino Linotype"/>
          <w:b w:val="0"/>
        </w:rPr>
        <w:t>PPA</w:t>
      </w:r>
      <w:r>
        <w:rPr>
          <w:rFonts w:ascii="Palatino Linotype" w:hAnsi="Palatino Linotype"/>
          <w:b w:val="0"/>
        </w:rPr>
        <w:t xml:space="preserve"> price of</w:t>
      </w:r>
      <w:r w:rsidR="00CD7EA1">
        <w:rPr>
          <w:rFonts w:ascii="Palatino Linotype" w:hAnsi="Palatino Linotype"/>
          <w:b w:val="0"/>
        </w:rPr>
        <w:t xml:space="preserve"> existing projects, the projected PPA price of future projects, and the load of participating</w:t>
      </w:r>
      <w:r w:rsidR="00630420">
        <w:rPr>
          <w:rFonts w:ascii="Palatino Linotype" w:hAnsi="Palatino Linotype"/>
          <w:b w:val="0"/>
        </w:rPr>
        <w:t xml:space="preserve"> and projected</w:t>
      </w:r>
      <w:r w:rsidR="00CD7EA1">
        <w:rPr>
          <w:rFonts w:ascii="Palatino Linotype" w:hAnsi="Palatino Linotype"/>
          <w:b w:val="0"/>
        </w:rPr>
        <w:t xml:space="preserve"> customers. </w:t>
      </w:r>
      <w:r>
        <w:rPr>
          <w:rFonts w:ascii="Palatino Linotype" w:hAnsi="Palatino Linotype"/>
          <w:b w:val="0"/>
        </w:rPr>
        <w:t xml:space="preserve"> </w:t>
      </w:r>
    </w:p>
    <w:p w:rsidRPr="00511954" w:rsidR="00034BC4" w:rsidP="00034BC4" w:rsidRDefault="00B5209D" w14:paraId="0378CE82" w14:textId="1C67CF21">
      <w:pPr>
        <w:pStyle w:val="BodyText"/>
        <w:numPr>
          <w:ilvl w:val="0"/>
          <w:numId w:val="34"/>
        </w:numPr>
        <w:spacing w:after="120"/>
        <w:rPr>
          <w:rFonts w:ascii="Palatino Linotype" w:hAnsi="Palatino Linotype"/>
          <w:b w:val="0"/>
        </w:rPr>
      </w:pPr>
      <w:r w:rsidRPr="00511954">
        <w:rPr>
          <w:rFonts w:ascii="Palatino Linotype" w:hAnsi="Palatino Linotype"/>
          <w:b w:val="0"/>
        </w:rPr>
        <w:t xml:space="preserve">Administration funding </w:t>
      </w:r>
      <w:r w:rsidRPr="00511954" w:rsidR="00E449E4">
        <w:rPr>
          <w:rFonts w:ascii="Palatino Linotype" w:hAnsi="Palatino Linotype"/>
          <w:b w:val="0"/>
        </w:rPr>
        <w:t xml:space="preserve">must </w:t>
      </w:r>
      <w:r w:rsidRPr="00511954">
        <w:rPr>
          <w:rFonts w:ascii="Palatino Linotype" w:hAnsi="Palatino Linotype"/>
          <w:b w:val="0"/>
        </w:rPr>
        <w:t>be further broken into discrete tasks, including but not limited to, program m</w:t>
      </w:r>
      <w:r w:rsidRPr="00511954" w:rsidR="00034BC4">
        <w:rPr>
          <w:rFonts w:ascii="Palatino Linotype" w:hAnsi="Palatino Linotype"/>
          <w:b w:val="0"/>
        </w:rPr>
        <w:t xml:space="preserve">anagement, IT, </w:t>
      </w:r>
      <w:r w:rsidRPr="00511954" w:rsidR="00DA5F88">
        <w:rPr>
          <w:rFonts w:ascii="Palatino Linotype" w:hAnsi="Palatino Linotype"/>
          <w:b w:val="0"/>
        </w:rPr>
        <w:t xml:space="preserve">billing operations, regulatory compliance, </w:t>
      </w:r>
      <w:r w:rsidRPr="00511954" w:rsidR="00034BC4">
        <w:rPr>
          <w:rFonts w:ascii="Palatino Linotype" w:hAnsi="Palatino Linotype"/>
          <w:b w:val="0"/>
        </w:rPr>
        <w:t>and procurement.</w:t>
      </w:r>
      <w:r w:rsidRPr="00511954" w:rsidR="00F83513">
        <w:rPr>
          <w:rFonts w:ascii="Palatino Linotype" w:hAnsi="Palatino Linotype"/>
          <w:b w:val="0"/>
        </w:rPr>
        <w:t xml:space="preserve"> </w:t>
      </w:r>
    </w:p>
    <w:p w:rsidRPr="00511954" w:rsidR="00034BC4" w:rsidP="00034BC4" w:rsidRDefault="00B5209D" w14:paraId="4C96F9D6" w14:textId="4D022EDA">
      <w:pPr>
        <w:pStyle w:val="BodyText"/>
        <w:numPr>
          <w:ilvl w:val="0"/>
          <w:numId w:val="34"/>
        </w:numPr>
        <w:spacing w:after="120"/>
        <w:rPr>
          <w:rFonts w:ascii="Palatino Linotype" w:hAnsi="Palatino Linotype"/>
          <w:b w:val="0"/>
        </w:rPr>
      </w:pPr>
      <w:r w:rsidRPr="00511954">
        <w:rPr>
          <w:rFonts w:ascii="Palatino Linotype" w:hAnsi="Palatino Linotype"/>
          <w:b w:val="0"/>
        </w:rPr>
        <w:t xml:space="preserve">ME&amp;O budgets </w:t>
      </w:r>
      <w:r w:rsidRPr="00511954" w:rsidR="00E449E4">
        <w:rPr>
          <w:rFonts w:ascii="Palatino Linotype" w:hAnsi="Palatino Linotype"/>
          <w:b w:val="0"/>
        </w:rPr>
        <w:t xml:space="preserve">must </w:t>
      </w:r>
      <w:r w:rsidRPr="00511954" w:rsidR="00547815">
        <w:rPr>
          <w:rFonts w:ascii="Palatino Linotype" w:hAnsi="Palatino Linotype"/>
          <w:b w:val="0"/>
        </w:rPr>
        <w:t>detail</w:t>
      </w:r>
      <w:r w:rsidRPr="00511954">
        <w:rPr>
          <w:rFonts w:ascii="Palatino Linotype" w:hAnsi="Palatino Linotype"/>
          <w:b w:val="0"/>
        </w:rPr>
        <w:t xml:space="preserve"> costs for staff time a</w:t>
      </w:r>
      <w:r w:rsidRPr="00511954" w:rsidR="00547815">
        <w:rPr>
          <w:rFonts w:ascii="Palatino Linotype" w:hAnsi="Palatino Linotype"/>
          <w:b w:val="0"/>
        </w:rPr>
        <w:t>s well as the cost of</w:t>
      </w:r>
      <w:r w:rsidRPr="00511954">
        <w:rPr>
          <w:rFonts w:ascii="Palatino Linotype" w:hAnsi="Palatino Linotype"/>
          <w:b w:val="0"/>
        </w:rPr>
        <w:t xml:space="preserve"> each outreach delivery method. For CSGT, the ME&amp;O budget </w:t>
      </w:r>
      <w:r w:rsidRPr="00511954" w:rsidR="00E449E4">
        <w:rPr>
          <w:rFonts w:ascii="Palatino Linotype" w:hAnsi="Palatino Linotype"/>
          <w:b w:val="0"/>
        </w:rPr>
        <w:t xml:space="preserve">must </w:t>
      </w:r>
      <w:r w:rsidRPr="00511954">
        <w:rPr>
          <w:rFonts w:ascii="Palatino Linotype" w:hAnsi="Palatino Linotype"/>
          <w:b w:val="0"/>
        </w:rPr>
        <w:t>identify funding that will be allocated to local Community Based Organizations (CBOs)</w:t>
      </w:r>
      <w:r w:rsidRPr="00511954" w:rsidR="00A376A0">
        <w:rPr>
          <w:rFonts w:ascii="Palatino Linotype" w:hAnsi="Palatino Linotype"/>
          <w:b w:val="0"/>
        </w:rPr>
        <w:t xml:space="preserve"> and community sponsors</w:t>
      </w:r>
      <w:r w:rsidRPr="00511954">
        <w:rPr>
          <w:rFonts w:ascii="Palatino Linotype" w:hAnsi="Palatino Linotype"/>
          <w:b w:val="0"/>
        </w:rPr>
        <w:t>.</w:t>
      </w:r>
      <w:r w:rsidRPr="00511954" w:rsidR="00A376A0">
        <w:rPr>
          <w:rStyle w:val="FootnoteReference"/>
          <w:rFonts w:ascii="Palatino Linotype" w:hAnsi="Palatino Linotype"/>
          <w:b w:val="0"/>
        </w:rPr>
        <w:footnoteReference w:id="63"/>
      </w:r>
    </w:p>
    <w:p w:rsidRPr="00511954" w:rsidR="00402A72" w:rsidP="00CE55D2" w:rsidRDefault="00547815" w14:paraId="56FB71D0" w14:textId="1E6EA00F">
      <w:pPr>
        <w:pStyle w:val="BodyText"/>
        <w:spacing w:after="120"/>
        <w:rPr>
          <w:rFonts w:ascii="Palatino Linotype" w:hAnsi="Palatino Linotype"/>
          <w:b w:val="0"/>
        </w:rPr>
      </w:pPr>
      <w:r w:rsidRPr="00511954">
        <w:rPr>
          <w:rFonts w:ascii="Palatino Linotype" w:hAnsi="Palatino Linotype"/>
          <w:b w:val="0"/>
        </w:rPr>
        <w:t>T</w:t>
      </w:r>
      <w:r w:rsidRPr="00511954" w:rsidR="00034BC4">
        <w:rPr>
          <w:rFonts w:ascii="Palatino Linotype" w:hAnsi="Palatino Linotype"/>
          <w:b w:val="0"/>
        </w:rPr>
        <w:t xml:space="preserve">he IOUs </w:t>
      </w:r>
      <w:r w:rsidRPr="00511954" w:rsidR="00E449E4">
        <w:rPr>
          <w:rFonts w:ascii="Palatino Linotype" w:hAnsi="Palatino Linotype"/>
          <w:b w:val="0"/>
        </w:rPr>
        <w:t xml:space="preserve">must </w:t>
      </w:r>
      <w:r w:rsidRPr="00511954">
        <w:rPr>
          <w:rFonts w:ascii="Palatino Linotype" w:hAnsi="Palatino Linotype"/>
          <w:b w:val="0"/>
        </w:rPr>
        <w:t>also provide</w:t>
      </w:r>
      <w:r w:rsidRPr="00511954" w:rsidR="00600116">
        <w:rPr>
          <w:rFonts w:ascii="Palatino Linotype" w:hAnsi="Palatino Linotype"/>
          <w:b w:val="0"/>
        </w:rPr>
        <w:t xml:space="preserve"> E</w:t>
      </w:r>
      <w:r w:rsidRPr="00511954" w:rsidR="000F55E0">
        <w:rPr>
          <w:rFonts w:ascii="Palatino Linotype" w:hAnsi="Palatino Linotype"/>
          <w:b w:val="0"/>
        </w:rPr>
        <w:t xml:space="preserve">nergy </w:t>
      </w:r>
      <w:r w:rsidRPr="00511954" w:rsidR="00600116">
        <w:rPr>
          <w:rFonts w:ascii="Palatino Linotype" w:hAnsi="Palatino Linotype"/>
          <w:b w:val="0"/>
        </w:rPr>
        <w:t>D</w:t>
      </w:r>
      <w:r w:rsidRPr="00511954" w:rsidR="000F55E0">
        <w:rPr>
          <w:rFonts w:ascii="Palatino Linotype" w:hAnsi="Palatino Linotype"/>
          <w:b w:val="0"/>
        </w:rPr>
        <w:t>ivision (ED)</w:t>
      </w:r>
      <w:r w:rsidRPr="00511954" w:rsidR="00600116">
        <w:rPr>
          <w:rFonts w:ascii="Palatino Linotype" w:hAnsi="Palatino Linotype"/>
          <w:b w:val="0"/>
        </w:rPr>
        <w:t xml:space="preserve"> staff </w:t>
      </w:r>
      <w:r w:rsidRPr="00511954" w:rsidR="000F55E0">
        <w:rPr>
          <w:rFonts w:ascii="Palatino Linotype" w:hAnsi="Palatino Linotype"/>
          <w:b w:val="0"/>
        </w:rPr>
        <w:t xml:space="preserve">copies of </w:t>
      </w:r>
      <w:r w:rsidRPr="00511954" w:rsidR="00402A72">
        <w:rPr>
          <w:rFonts w:ascii="Palatino Linotype" w:hAnsi="Palatino Linotype"/>
          <w:b w:val="0"/>
        </w:rPr>
        <w:t>any supporting worksheets used in substantiating th</w:t>
      </w:r>
      <w:r w:rsidRPr="00511954" w:rsidR="00600116">
        <w:rPr>
          <w:rFonts w:ascii="Palatino Linotype" w:hAnsi="Palatino Linotype"/>
          <w:b w:val="0"/>
        </w:rPr>
        <w:t>e c</w:t>
      </w:r>
      <w:r w:rsidRPr="00511954" w:rsidR="00402A72">
        <w:rPr>
          <w:rFonts w:ascii="Palatino Linotype" w:hAnsi="Palatino Linotype"/>
          <w:b w:val="0"/>
        </w:rPr>
        <w:t xml:space="preserve">ost estimates </w:t>
      </w:r>
      <w:r w:rsidRPr="00511954" w:rsidR="00600116">
        <w:rPr>
          <w:rFonts w:ascii="Palatino Linotype" w:hAnsi="Palatino Linotype"/>
          <w:b w:val="0"/>
        </w:rPr>
        <w:t>for the above items. D</w:t>
      </w:r>
      <w:r w:rsidRPr="00511954" w:rsidR="00402A72">
        <w:rPr>
          <w:rFonts w:ascii="Palatino Linotype" w:hAnsi="Palatino Linotype"/>
          <w:b w:val="0"/>
        </w:rPr>
        <w:t>etails</w:t>
      </w:r>
      <w:r w:rsidRPr="00511954" w:rsidR="00600116">
        <w:rPr>
          <w:rFonts w:ascii="Palatino Linotype" w:hAnsi="Palatino Linotype"/>
          <w:b w:val="0"/>
        </w:rPr>
        <w:t xml:space="preserve"> </w:t>
      </w:r>
      <w:r w:rsidRPr="00511954" w:rsidR="00E449E4">
        <w:rPr>
          <w:rFonts w:ascii="Palatino Linotype" w:hAnsi="Palatino Linotype"/>
          <w:b w:val="0"/>
        </w:rPr>
        <w:t xml:space="preserve">must </w:t>
      </w:r>
      <w:r w:rsidRPr="00511954" w:rsidR="00402A72">
        <w:rPr>
          <w:rFonts w:ascii="Palatino Linotype" w:hAnsi="Palatino Linotype"/>
          <w:b w:val="0"/>
        </w:rPr>
        <w:t>include, but not</w:t>
      </w:r>
      <w:r w:rsidRPr="00511954" w:rsidR="00F83513">
        <w:rPr>
          <w:rFonts w:ascii="Palatino Linotype" w:hAnsi="Palatino Linotype"/>
          <w:b w:val="0"/>
        </w:rPr>
        <w:t xml:space="preserve"> be</w:t>
      </w:r>
      <w:r w:rsidRPr="00511954" w:rsidR="00402A72">
        <w:rPr>
          <w:rFonts w:ascii="Palatino Linotype" w:hAnsi="Palatino Linotype"/>
          <w:b w:val="0"/>
        </w:rPr>
        <w:t xml:space="preserve"> limited to, information on direct labor,</w:t>
      </w:r>
      <w:r w:rsidRPr="00511954" w:rsidR="00600116">
        <w:rPr>
          <w:rFonts w:ascii="Palatino Linotype" w:hAnsi="Palatino Linotype"/>
          <w:b w:val="0"/>
        </w:rPr>
        <w:t xml:space="preserve"> management and/or </w:t>
      </w:r>
      <w:r w:rsidRPr="00511954" w:rsidR="00402A72">
        <w:rPr>
          <w:rFonts w:ascii="Palatino Linotype" w:hAnsi="Palatino Linotype"/>
          <w:b w:val="0"/>
        </w:rPr>
        <w:t>supervisor costs, and any vendor costs.</w:t>
      </w:r>
      <w:r w:rsidRPr="00511954" w:rsidR="00600116">
        <w:rPr>
          <w:rFonts w:ascii="Palatino Linotype" w:hAnsi="Palatino Linotype"/>
          <w:b w:val="0"/>
        </w:rPr>
        <w:t xml:space="preserve"> </w:t>
      </w:r>
      <w:r w:rsidRPr="00511954" w:rsidR="00F83513">
        <w:rPr>
          <w:rFonts w:ascii="Palatino Linotype" w:hAnsi="Palatino Linotype"/>
          <w:b w:val="0"/>
        </w:rPr>
        <w:t xml:space="preserve">Any costs </w:t>
      </w:r>
      <w:r w:rsidRPr="00511954" w:rsidR="003A24FF">
        <w:rPr>
          <w:rFonts w:ascii="Palatino Linotype" w:hAnsi="Palatino Linotype"/>
          <w:b w:val="0"/>
        </w:rPr>
        <w:t>of</w:t>
      </w:r>
      <w:r w:rsidRPr="00511954" w:rsidR="00F83513">
        <w:rPr>
          <w:rFonts w:ascii="Palatino Linotype" w:hAnsi="Palatino Linotype"/>
          <w:b w:val="0"/>
        </w:rPr>
        <w:t xml:space="preserve"> staff</w:t>
      </w:r>
      <w:r w:rsidRPr="00511954" w:rsidR="003A24FF">
        <w:rPr>
          <w:rFonts w:ascii="Palatino Linotype" w:hAnsi="Palatino Linotype"/>
          <w:b w:val="0"/>
        </w:rPr>
        <w:t xml:space="preserve"> or contractor</w:t>
      </w:r>
      <w:r w:rsidRPr="00511954" w:rsidR="00F83513">
        <w:rPr>
          <w:rFonts w:ascii="Palatino Linotype" w:hAnsi="Palatino Linotype"/>
          <w:b w:val="0"/>
        </w:rPr>
        <w:t xml:space="preserve"> time </w:t>
      </w:r>
      <w:r w:rsidRPr="00511954" w:rsidR="00E449E4">
        <w:rPr>
          <w:rFonts w:ascii="Palatino Linotype" w:hAnsi="Palatino Linotype"/>
          <w:b w:val="0"/>
        </w:rPr>
        <w:t>must</w:t>
      </w:r>
      <w:r w:rsidRPr="00511954" w:rsidR="00F83513">
        <w:rPr>
          <w:rFonts w:ascii="Palatino Linotype" w:hAnsi="Palatino Linotype"/>
          <w:b w:val="0"/>
        </w:rPr>
        <w:t xml:space="preserve"> be broken down to s</w:t>
      </w:r>
      <w:r w:rsidRPr="00511954" w:rsidR="003A24FF">
        <w:rPr>
          <w:rFonts w:ascii="Palatino Linotype" w:hAnsi="Palatino Linotype"/>
          <w:b w:val="0"/>
        </w:rPr>
        <w:t>how position descriptions</w:t>
      </w:r>
      <w:r w:rsidRPr="00511954" w:rsidR="00F83513">
        <w:rPr>
          <w:rFonts w:ascii="Palatino Linotype" w:hAnsi="Palatino Linotype"/>
          <w:b w:val="0"/>
        </w:rPr>
        <w:t xml:space="preserve">, loaded hourly rates, and total hours anticipated for each task. </w:t>
      </w:r>
      <w:r w:rsidRPr="00511954" w:rsidR="00600116">
        <w:rPr>
          <w:rFonts w:ascii="Palatino Linotype" w:hAnsi="Palatino Linotype"/>
          <w:b w:val="0"/>
        </w:rPr>
        <w:t xml:space="preserve">Supporting worksheets </w:t>
      </w:r>
      <w:r w:rsidRPr="00511954" w:rsidR="00E449E4">
        <w:rPr>
          <w:rFonts w:ascii="Palatino Linotype" w:hAnsi="Palatino Linotype"/>
          <w:b w:val="0"/>
        </w:rPr>
        <w:t xml:space="preserve">must </w:t>
      </w:r>
      <w:r w:rsidRPr="00511954" w:rsidR="00600116">
        <w:rPr>
          <w:rFonts w:ascii="Palatino Linotype" w:hAnsi="Palatino Linotype"/>
          <w:b w:val="0"/>
        </w:rPr>
        <w:t>also detail all inputs and calculations used to derive the above market generation costs</w:t>
      </w:r>
      <w:r w:rsidRPr="00511954" w:rsidR="00241995">
        <w:rPr>
          <w:rFonts w:ascii="Palatino Linotype" w:hAnsi="Palatino Linotype"/>
          <w:b w:val="0"/>
        </w:rPr>
        <w:t xml:space="preserve"> for both DAC-GT and CSGT</w:t>
      </w:r>
      <w:r w:rsidRPr="00511954">
        <w:rPr>
          <w:rFonts w:ascii="Palatino Linotype" w:hAnsi="Palatino Linotype"/>
          <w:b w:val="0"/>
        </w:rPr>
        <w:t xml:space="preserve"> projects</w:t>
      </w:r>
      <w:r w:rsidRPr="00511954" w:rsidR="00F83513">
        <w:rPr>
          <w:rFonts w:ascii="Palatino Linotype" w:hAnsi="Palatino Linotype"/>
          <w:b w:val="0"/>
        </w:rPr>
        <w:t xml:space="preserve"> and the 20 percent bill discount for </w:t>
      </w:r>
      <w:r w:rsidRPr="00511954" w:rsidR="003A24FF">
        <w:rPr>
          <w:rFonts w:ascii="Palatino Linotype" w:hAnsi="Palatino Linotype"/>
          <w:b w:val="0"/>
        </w:rPr>
        <w:t>all customers participating under eac</w:t>
      </w:r>
      <w:r w:rsidRPr="00511954" w:rsidR="00F83513">
        <w:rPr>
          <w:rFonts w:ascii="Palatino Linotype" w:hAnsi="Palatino Linotype"/>
          <w:b w:val="0"/>
        </w:rPr>
        <w:t>h program</w:t>
      </w:r>
      <w:r w:rsidRPr="00511954" w:rsidR="00600116">
        <w:rPr>
          <w:rFonts w:ascii="Palatino Linotype" w:hAnsi="Palatino Linotype"/>
          <w:b w:val="0"/>
        </w:rPr>
        <w:t>.</w:t>
      </w:r>
      <w:r w:rsidRPr="00511954" w:rsidR="00F83513">
        <w:rPr>
          <w:rFonts w:ascii="Palatino Linotype" w:hAnsi="Palatino Linotype"/>
          <w:b w:val="0"/>
        </w:rPr>
        <w:t xml:space="preserve"> This same level of detail and backup documentation must be provided for all DAC-GT and CSGT </w:t>
      </w:r>
      <w:r w:rsidR="00B434E5">
        <w:rPr>
          <w:rFonts w:ascii="Palatino Linotype" w:hAnsi="Palatino Linotype"/>
          <w:b w:val="0"/>
        </w:rPr>
        <w:t xml:space="preserve">expenditures </w:t>
      </w:r>
      <w:r w:rsidR="00AF5127">
        <w:rPr>
          <w:rFonts w:ascii="Palatino Linotype" w:hAnsi="Palatino Linotype"/>
          <w:b w:val="0"/>
        </w:rPr>
        <w:t>which, per the NEM DAC Decision,</w:t>
      </w:r>
      <w:r w:rsidR="00B434E5">
        <w:rPr>
          <w:rFonts w:ascii="Palatino Linotype" w:hAnsi="Palatino Linotype"/>
          <w:b w:val="0"/>
        </w:rPr>
        <w:t xml:space="preserve"> will be</w:t>
      </w:r>
      <w:r w:rsidRPr="00511954" w:rsidR="00B434E5">
        <w:rPr>
          <w:rFonts w:ascii="Palatino Linotype" w:hAnsi="Palatino Linotype"/>
          <w:b w:val="0"/>
        </w:rPr>
        <w:t xml:space="preserve"> </w:t>
      </w:r>
      <w:r w:rsidRPr="00511954" w:rsidR="00F83513">
        <w:rPr>
          <w:rFonts w:ascii="Palatino Linotype" w:hAnsi="Palatino Linotype"/>
          <w:b w:val="0"/>
        </w:rPr>
        <w:t>reviewed in each IOU’s annual ERRA compliance filing.</w:t>
      </w:r>
      <w:r w:rsidR="00192F62">
        <w:rPr>
          <w:rStyle w:val="FootnoteReference"/>
          <w:rFonts w:ascii="Palatino Linotype" w:hAnsi="Palatino Linotype"/>
          <w:b w:val="0"/>
        </w:rPr>
        <w:footnoteReference w:id="64"/>
      </w:r>
    </w:p>
    <w:p w:rsidRPr="00511954" w:rsidR="009C75C7" w:rsidP="00E46764" w:rsidRDefault="00432D42" w14:paraId="074A280F" w14:textId="37E4CBB0">
      <w:pPr>
        <w:spacing w:after="120"/>
        <w:jc w:val="both"/>
        <w:rPr>
          <w:rFonts w:ascii="Palatino Linotype" w:hAnsi="Palatino Linotype"/>
        </w:rPr>
      </w:pPr>
      <w:r w:rsidRPr="00511954">
        <w:rPr>
          <w:rFonts w:ascii="Palatino Linotype" w:hAnsi="Palatino Linotype"/>
        </w:rPr>
        <w:t>The NEM DAC Decision</w:t>
      </w:r>
      <w:r w:rsidRPr="00511954" w:rsidR="009436E6">
        <w:rPr>
          <w:rFonts w:ascii="Palatino Linotype" w:hAnsi="Palatino Linotype"/>
        </w:rPr>
        <w:t xml:space="preserve"> allows funding for the DAC-SASH program to accrue year</w:t>
      </w:r>
      <w:r w:rsidRPr="00511954">
        <w:rPr>
          <w:rFonts w:ascii="Palatino Linotype" w:hAnsi="Palatino Linotype"/>
        </w:rPr>
        <w:t>-</w:t>
      </w:r>
      <w:r w:rsidRPr="00511954" w:rsidR="009436E6">
        <w:rPr>
          <w:rFonts w:ascii="Palatino Linotype" w:hAnsi="Palatino Linotype"/>
        </w:rPr>
        <w:t>over</w:t>
      </w:r>
      <w:r w:rsidRPr="00511954">
        <w:rPr>
          <w:rFonts w:ascii="Palatino Linotype" w:hAnsi="Palatino Linotype"/>
        </w:rPr>
        <w:t>-</w:t>
      </w:r>
      <w:r w:rsidRPr="00511954" w:rsidR="009436E6">
        <w:rPr>
          <w:rFonts w:ascii="Palatino Linotype" w:hAnsi="Palatino Linotype"/>
        </w:rPr>
        <w:t>year in the IOUs’ balancing accounts.</w:t>
      </w:r>
      <w:r w:rsidRPr="00511954" w:rsidR="009436E6">
        <w:rPr>
          <w:rStyle w:val="FootnoteReference"/>
          <w:rFonts w:ascii="Palatino Linotype" w:hAnsi="Palatino Linotype"/>
        </w:rPr>
        <w:footnoteReference w:id="65"/>
      </w:r>
      <w:r w:rsidRPr="00511954" w:rsidR="009436E6">
        <w:rPr>
          <w:rFonts w:ascii="Palatino Linotype" w:hAnsi="Palatino Linotype"/>
        </w:rPr>
        <w:t xml:space="preserve"> </w:t>
      </w:r>
      <w:r w:rsidRPr="00511954">
        <w:rPr>
          <w:rFonts w:ascii="Palatino Linotype" w:hAnsi="Palatino Linotype"/>
        </w:rPr>
        <w:t>G</w:t>
      </w:r>
      <w:r w:rsidRPr="00511954" w:rsidR="009B10DC">
        <w:rPr>
          <w:rFonts w:ascii="Palatino Linotype" w:hAnsi="Palatino Linotype"/>
        </w:rPr>
        <w:t xml:space="preserve">iven the uncertain timing of various processes required to implement these new programs, </w:t>
      </w:r>
      <w:r w:rsidRPr="00511954" w:rsidR="009436E6">
        <w:rPr>
          <w:rFonts w:ascii="Palatino Linotype" w:hAnsi="Palatino Linotype"/>
        </w:rPr>
        <w:t>it is appropriate to apply this same process to the DAC-GT and CSGT programs</w:t>
      </w:r>
      <w:r w:rsidRPr="00511954" w:rsidR="009B10DC">
        <w:rPr>
          <w:rFonts w:ascii="Palatino Linotype" w:hAnsi="Palatino Linotype"/>
        </w:rPr>
        <w:t xml:space="preserve"> to avoid</w:t>
      </w:r>
      <w:r w:rsidRPr="00511954" w:rsidR="00547815">
        <w:rPr>
          <w:rFonts w:ascii="Palatino Linotype" w:hAnsi="Palatino Linotype"/>
        </w:rPr>
        <w:t xml:space="preserve"> having u</w:t>
      </w:r>
      <w:r w:rsidRPr="00511954" w:rsidR="009436E6">
        <w:rPr>
          <w:rFonts w:ascii="Palatino Linotype" w:hAnsi="Palatino Linotype"/>
        </w:rPr>
        <w:t xml:space="preserve">nspent program funding be returned to ratepayers one year, only to be sought by the IOUs the next year. </w:t>
      </w:r>
      <w:r w:rsidRPr="00511954">
        <w:rPr>
          <w:rFonts w:ascii="Palatino Linotype" w:hAnsi="Palatino Linotype"/>
        </w:rPr>
        <w:t>We find</w:t>
      </w:r>
      <w:r w:rsidRPr="00511954" w:rsidR="00FB3E45">
        <w:rPr>
          <w:rFonts w:ascii="Palatino Linotype" w:hAnsi="Palatino Linotype"/>
        </w:rPr>
        <w:t xml:space="preserve"> that</w:t>
      </w:r>
      <w:r w:rsidRPr="00511954" w:rsidR="009B10DC">
        <w:rPr>
          <w:rFonts w:ascii="Palatino Linotype" w:hAnsi="Palatino Linotype"/>
        </w:rPr>
        <w:t xml:space="preserve"> </w:t>
      </w:r>
      <w:r w:rsidRPr="00511954" w:rsidR="006A3398">
        <w:rPr>
          <w:rFonts w:ascii="Palatino Linotype" w:hAnsi="Palatino Linotype"/>
        </w:rPr>
        <w:t xml:space="preserve">it is appropriate to allow the </w:t>
      </w:r>
      <w:r w:rsidRPr="00511954" w:rsidR="00B5209D">
        <w:rPr>
          <w:rFonts w:ascii="Palatino Linotype" w:hAnsi="Palatino Linotype"/>
        </w:rPr>
        <w:t xml:space="preserve">IOUs </w:t>
      </w:r>
      <w:r w:rsidRPr="00511954" w:rsidR="006A3398">
        <w:rPr>
          <w:rFonts w:ascii="Palatino Linotype" w:hAnsi="Palatino Linotype"/>
        </w:rPr>
        <w:t xml:space="preserve">to </w:t>
      </w:r>
      <w:r w:rsidRPr="00511954" w:rsidR="00B5209D">
        <w:rPr>
          <w:rFonts w:ascii="Palatino Linotype" w:hAnsi="Palatino Linotype"/>
        </w:rPr>
        <w:t>retain unspent GHG allowance proceeds</w:t>
      </w:r>
      <w:r w:rsidRPr="00511954" w:rsidR="009B10DC">
        <w:rPr>
          <w:rFonts w:ascii="Palatino Linotype" w:hAnsi="Palatino Linotype"/>
        </w:rPr>
        <w:t xml:space="preserve"> and public purpose program funds</w:t>
      </w:r>
      <w:r w:rsidRPr="00511954" w:rsidR="00B5209D">
        <w:rPr>
          <w:rFonts w:ascii="Palatino Linotype" w:hAnsi="Palatino Linotype"/>
        </w:rPr>
        <w:t xml:space="preserve"> in their balancing accounts from one year until the next</w:t>
      </w:r>
      <w:r w:rsidRPr="00511954" w:rsidR="001F0F05">
        <w:rPr>
          <w:rFonts w:ascii="Palatino Linotype" w:hAnsi="Palatino Linotype"/>
        </w:rPr>
        <w:t>, subject to review</w:t>
      </w:r>
      <w:r w:rsidR="005F61E4">
        <w:rPr>
          <w:rFonts w:ascii="Palatino Linotype" w:hAnsi="Palatino Linotype"/>
        </w:rPr>
        <w:t xml:space="preserve"> of the balancing accounts that will occur</w:t>
      </w:r>
      <w:r w:rsidRPr="00511954" w:rsidR="001F0F05">
        <w:rPr>
          <w:rFonts w:ascii="Palatino Linotype" w:hAnsi="Palatino Linotype"/>
        </w:rPr>
        <w:t xml:space="preserve"> in</w:t>
      </w:r>
      <w:r w:rsidRPr="00511954" w:rsidR="00B5209D">
        <w:rPr>
          <w:rFonts w:ascii="Palatino Linotype" w:hAnsi="Palatino Linotype"/>
        </w:rPr>
        <w:t xml:space="preserve"> each IOU’s </w:t>
      </w:r>
      <w:r w:rsidRPr="00511954" w:rsidR="009436E6">
        <w:rPr>
          <w:rFonts w:ascii="Palatino Linotype" w:hAnsi="Palatino Linotype"/>
        </w:rPr>
        <w:t xml:space="preserve">annual </w:t>
      </w:r>
      <w:r w:rsidRPr="00511954" w:rsidR="00B5209D">
        <w:rPr>
          <w:rFonts w:ascii="Palatino Linotype" w:hAnsi="Palatino Linotype"/>
        </w:rPr>
        <w:t>ERRA proceeding.</w:t>
      </w:r>
      <w:r w:rsidRPr="00511954" w:rsidR="009436E6">
        <w:rPr>
          <w:rStyle w:val="FootnoteReference"/>
          <w:rFonts w:ascii="Palatino Linotype" w:hAnsi="Palatino Linotype"/>
        </w:rPr>
        <w:footnoteReference w:id="66"/>
      </w:r>
      <w:r w:rsidRPr="00511954" w:rsidR="00B5209D">
        <w:rPr>
          <w:rFonts w:ascii="Palatino Linotype" w:hAnsi="Palatino Linotype"/>
        </w:rPr>
        <w:t xml:space="preserve"> </w:t>
      </w:r>
      <w:r w:rsidRPr="00511954" w:rsidR="00106152">
        <w:rPr>
          <w:rFonts w:ascii="Palatino Linotype" w:hAnsi="Palatino Linotype"/>
        </w:rPr>
        <w:t>Every year, t</w:t>
      </w:r>
      <w:r w:rsidRPr="00511954" w:rsidR="00B5209D">
        <w:rPr>
          <w:rFonts w:ascii="Palatino Linotype" w:hAnsi="Palatino Linotype"/>
        </w:rPr>
        <w:t xml:space="preserve">he IOUs </w:t>
      </w:r>
      <w:r w:rsidRPr="00511954" w:rsidR="00E449E4">
        <w:rPr>
          <w:rFonts w:ascii="Palatino Linotype" w:hAnsi="Palatino Linotype"/>
        </w:rPr>
        <w:t xml:space="preserve">must </w:t>
      </w:r>
      <w:r w:rsidRPr="00511954" w:rsidR="00B5209D">
        <w:rPr>
          <w:rFonts w:ascii="Palatino Linotype" w:hAnsi="Palatino Linotype"/>
        </w:rPr>
        <w:t xml:space="preserve">reconcile prior year budget estimates and expenditures </w:t>
      </w:r>
      <w:r w:rsidRPr="00511954" w:rsidR="00A0655F">
        <w:rPr>
          <w:rFonts w:ascii="Palatino Linotype" w:hAnsi="Palatino Linotype"/>
        </w:rPr>
        <w:t xml:space="preserve">in their </w:t>
      </w:r>
      <w:r w:rsidRPr="00511954" w:rsidR="00B5209D">
        <w:rPr>
          <w:rFonts w:ascii="Palatino Linotype" w:hAnsi="Palatino Linotype"/>
        </w:rPr>
        <w:t xml:space="preserve">annual budget filing for </w:t>
      </w:r>
      <w:r w:rsidRPr="00511954" w:rsidR="00A0655F">
        <w:rPr>
          <w:rFonts w:ascii="Palatino Linotype" w:hAnsi="Palatino Linotype"/>
        </w:rPr>
        <w:t xml:space="preserve">the next </w:t>
      </w:r>
      <w:r w:rsidRPr="00511954" w:rsidR="00B5209D">
        <w:rPr>
          <w:rFonts w:ascii="Palatino Linotype" w:hAnsi="Palatino Linotype"/>
        </w:rPr>
        <w:t>program year.</w:t>
      </w:r>
      <w:r w:rsidRPr="00511954" w:rsidR="00E80E26">
        <w:rPr>
          <w:rStyle w:val="FootnoteReference"/>
          <w:rFonts w:ascii="Palatino Linotype" w:hAnsi="Palatino Linotype"/>
        </w:rPr>
        <w:footnoteReference w:id="67"/>
      </w:r>
      <w:r w:rsidRPr="00511954" w:rsidR="000D22C0">
        <w:rPr>
          <w:rFonts w:ascii="Palatino Linotype" w:hAnsi="Palatino Linotype"/>
        </w:rPr>
        <w:t xml:space="preserve"> </w:t>
      </w:r>
      <w:r w:rsidR="005F61E4">
        <w:rPr>
          <w:rFonts w:ascii="Palatino Linotype" w:hAnsi="Palatino Linotype"/>
        </w:rPr>
        <w:t>For a given utility, a</w:t>
      </w:r>
      <w:r w:rsidR="00630420">
        <w:rPr>
          <w:rFonts w:ascii="Palatino Linotype" w:hAnsi="Palatino Linotype"/>
        </w:rPr>
        <w:t xml:space="preserve">ny unspent balance from </w:t>
      </w:r>
      <w:r w:rsidR="0051414B">
        <w:rPr>
          <w:rFonts w:ascii="Palatino Linotype" w:hAnsi="Palatino Linotype"/>
        </w:rPr>
        <w:t xml:space="preserve">the </w:t>
      </w:r>
      <w:r w:rsidR="00630420">
        <w:rPr>
          <w:rFonts w:ascii="Palatino Linotype" w:hAnsi="Palatino Linotype"/>
        </w:rPr>
        <w:t xml:space="preserve">prior year </w:t>
      </w:r>
      <w:r w:rsidR="0051414B">
        <w:rPr>
          <w:rFonts w:ascii="Palatino Linotype" w:hAnsi="Palatino Linotype"/>
        </w:rPr>
        <w:t>is</w:t>
      </w:r>
      <w:r w:rsidR="00630420">
        <w:rPr>
          <w:rFonts w:ascii="Palatino Linotype" w:hAnsi="Palatino Linotype"/>
        </w:rPr>
        <w:t xml:space="preserve"> to be indicated as available in th</w:t>
      </w:r>
      <w:r w:rsidR="005F61E4">
        <w:rPr>
          <w:rFonts w:ascii="Palatino Linotype" w:hAnsi="Palatino Linotype"/>
        </w:rPr>
        <w:t>at</w:t>
      </w:r>
      <w:r w:rsidR="00630420">
        <w:rPr>
          <w:rFonts w:ascii="Palatino Linotype" w:hAnsi="Palatino Linotype"/>
        </w:rPr>
        <w:t xml:space="preserve"> IOU’s </w:t>
      </w:r>
      <w:r w:rsidR="005F61E4">
        <w:rPr>
          <w:rFonts w:ascii="Palatino Linotype" w:hAnsi="Palatino Linotype"/>
        </w:rPr>
        <w:t>February 1</w:t>
      </w:r>
      <w:r w:rsidRPr="009171D7" w:rsidR="005F61E4">
        <w:rPr>
          <w:rFonts w:ascii="Palatino Linotype" w:hAnsi="Palatino Linotype"/>
          <w:vertAlign w:val="superscript"/>
        </w:rPr>
        <w:t>st</w:t>
      </w:r>
      <w:r w:rsidR="005F61E4">
        <w:rPr>
          <w:rFonts w:ascii="Palatino Linotype" w:hAnsi="Palatino Linotype"/>
        </w:rPr>
        <w:t xml:space="preserve"> </w:t>
      </w:r>
      <w:r w:rsidR="00630420">
        <w:rPr>
          <w:rFonts w:ascii="Palatino Linotype" w:hAnsi="Palatino Linotype"/>
        </w:rPr>
        <w:t>budget submission</w:t>
      </w:r>
      <w:r w:rsidR="002F2640">
        <w:rPr>
          <w:rFonts w:ascii="Palatino Linotype" w:hAnsi="Palatino Linotype"/>
        </w:rPr>
        <w:t xml:space="preserve"> for the following program year</w:t>
      </w:r>
      <w:r w:rsidR="005F61E4">
        <w:rPr>
          <w:rFonts w:ascii="Palatino Linotype" w:hAnsi="Palatino Linotype"/>
        </w:rPr>
        <w:t xml:space="preserve">. The balance is then to </w:t>
      </w:r>
      <w:r w:rsidR="00630420">
        <w:rPr>
          <w:rFonts w:ascii="Palatino Linotype" w:hAnsi="Palatino Linotype"/>
        </w:rPr>
        <w:t>be applied to the requested program funding, thereby reducing the amount of GHG allowance proceeds or public purpose program funds that m</w:t>
      </w:r>
      <w:r w:rsidR="00AF5127">
        <w:rPr>
          <w:rFonts w:ascii="Palatino Linotype" w:hAnsi="Palatino Linotype"/>
        </w:rPr>
        <w:t>ay</w:t>
      </w:r>
      <w:r w:rsidR="00630420">
        <w:rPr>
          <w:rFonts w:ascii="Palatino Linotype" w:hAnsi="Palatino Linotype"/>
        </w:rPr>
        <w:t xml:space="preserve"> be set aside by that IOU in </w:t>
      </w:r>
      <w:r w:rsidR="005F61E4">
        <w:rPr>
          <w:rFonts w:ascii="Palatino Linotype" w:hAnsi="Palatino Linotype"/>
        </w:rPr>
        <w:t>its</w:t>
      </w:r>
      <w:r w:rsidR="00630420">
        <w:rPr>
          <w:rFonts w:ascii="Palatino Linotype" w:hAnsi="Palatino Linotype"/>
        </w:rPr>
        <w:t xml:space="preserve"> </w:t>
      </w:r>
      <w:r w:rsidR="005F61E4">
        <w:rPr>
          <w:rFonts w:ascii="Palatino Linotype" w:hAnsi="Palatino Linotype"/>
        </w:rPr>
        <w:t xml:space="preserve">next </w:t>
      </w:r>
      <w:r w:rsidR="00630420">
        <w:rPr>
          <w:rFonts w:ascii="Palatino Linotype" w:hAnsi="Palatino Linotype"/>
        </w:rPr>
        <w:t xml:space="preserve">ERRA Forecast. </w:t>
      </w:r>
      <w:r w:rsidRPr="00511954" w:rsidR="00A0655F">
        <w:rPr>
          <w:rFonts w:ascii="Palatino Linotype" w:hAnsi="Palatino Linotype"/>
        </w:rPr>
        <w:t>If</w:t>
      </w:r>
      <w:r w:rsidRPr="00511954" w:rsidR="009C75C7">
        <w:rPr>
          <w:rFonts w:ascii="Palatino Linotype" w:hAnsi="Palatino Linotype"/>
        </w:rPr>
        <w:t xml:space="preserve"> an IOU’s preceding ERRA Compliance proceeding </w:t>
      </w:r>
      <w:r w:rsidRPr="00511954" w:rsidR="00A0655F">
        <w:rPr>
          <w:rFonts w:ascii="Palatino Linotype" w:hAnsi="Palatino Linotype"/>
        </w:rPr>
        <w:t xml:space="preserve">is not yet decided at the time </w:t>
      </w:r>
      <w:r w:rsidRPr="00511954" w:rsidR="009C75C7">
        <w:rPr>
          <w:rFonts w:ascii="Palatino Linotype" w:hAnsi="Palatino Linotype"/>
        </w:rPr>
        <w:t xml:space="preserve">that </w:t>
      </w:r>
      <w:r w:rsidRPr="00511954" w:rsidR="00A0655F">
        <w:rPr>
          <w:rFonts w:ascii="Palatino Linotype" w:hAnsi="Palatino Linotype"/>
        </w:rPr>
        <w:t>the IOU’s next ERRA Forecast application is filed, th</w:t>
      </w:r>
      <w:r w:rsidRPr="00511954" w:rsidR="009C75C7">
        <w:rPr>
          <w:rFonts w:ascii="Palatino Linotype" w:hAnsi="Palatino Linotype"/>
        </w:rPr>
        <w:t>at</w:t>
      </w:r>
      <w:r w:rsidRPr="00511954" w:rsidR="00A0655F">
        <w:rPr>
          <w:rFonts w:ascii="Palatino Linotype" w:hAnsi="Palatino Linotype"/>
        </w:rPr>
        <w:t xml:space="preserve"> IOU should use its </w:t>
      </w:r>
      <w:r w:rsidRPr="00511954" w:rsidR="00E46764">
        <w:rPr>
          <w:rFonts w:ascii="Palatino Linotype" w:hAnsi="Palatino Linotype"/>
        </w:rPr>
        <w:t xml:space="preserve">DAC-GT and CSGT program </w:t>
      </w:r>
      <w:r w:rsidRPr="00511954" w:rsidR="00A0655F">
        <w:rPr>
          <w:rFonts w:ascii="Palatino Linotype" w:hAnsi="Palatino Linotype"/>
        </w:rPr>
        <w:t>budget estimate</w:t>
      </w:r>
      <w:r w:rsidRPr="00511954" w:rsidR="00E46764">
        <w:rPr>
          <w:rFonts w:ascii="Palatino Linotype" w:hAnsi="Palatino Linotype"/>
        </w:rPr>
        <w:t>s</w:t>
      </w:r>
      <w:r w:rsidR="00AF5127">
        <w:rPr>
          <w:rFonts w:ascii="Palatino Linotype" w:hAnsi="Palatino Linotype"/>
        </w:rPr>
        <w:t>,</w:t>
      </w:r>
      <w:r w:rsidR="003B2392">
        <w:rPr>
          <w:rFonts w:ascii="Palatino Linotype" w:hAnsi="Palatino Linotype"/>
        </w:rPr>
        <w:t xml:space="preserve"> reduced by any balance remaining</w:t>
      </w:r>
      <w:r w:rsidR="000F062B">
        <w:rPr>
          <w:rFonts w:ascii="Palatino Linotype" w:hAnsi="Palatino Linotype"/>
        </w:rPr>
        <w:t xml:space="preserve"> in its balancing account</w:t>
      </w:r>
      <w:r w:rsidR="003B2392">
        <w:rPr>
          <w:rFonts w:ascii="Palatino Linotype" w:hAnsi="Palatino Linotype"/>
        </w:rPr>
        <w:t xml:space="preserve"> after accounting for </w:t>
      </w:r>
      <w:r w:rsidRPr="00511954" w:rsidR="00112943">
        <w:rPr>
          <w:rFonts w:ascii="Palatino Linotype" w:hAnsi="Palatino Linotype"/>
        </w:rPr>
        <w:t>estimated prior year expenditures</w:t>
      </w:r>
      <w:r w:rsidRPr="00511954" w:rsidR="00106152">
        <w:rPr>
          <w:rFonts w:ascii="Palatino Linotype" w:hAnsi="Palatino Linotype"/>
        </w:rPr>
        <w:t xml:space="preserve">, </w:t>
      </w:r>
      <w:r w:rsidRPr="00511954" w:rsidR="00A0655F">
        <w:rPr>
          <w:rFonts w:ascii="Palatino Linotype" w:hAnsi="Palatino Linotype"/>
        </w:rPr>
        <w:t xml:space="preserve">in </w:t>
      </w:r>
      <w:r w:rsidRPr="00511954" w:rsidR="009C75C7">
        <w:rPr>
          <w:rFonts w:ascii="Palatino Linotype" w:hAnsi="Palatino Linotype"/>
        </w:rPr>
        <w:t>its</w:t>
      </w:r>
      <w:r w:rsidRPr="00511954" w:rsidR="00A0655F">
        <w:rPr>
          <w:rFonts w:ascii="Palatino Linotype" w:hAnsi="Palatino Linotype"/>
        </w:rPr>
        <w:t xml:space="preserve"> ERRA Forecast</w:t>
      </w:r>
      <w:r w:rsidRPr="00511954" w:rsidR="00106152">
        <w:rPr>
          <w:rFonts w:ascii="Palatino Linotype" w:hAnsi="Palatino Linotype"/>
        </w:rPr>
        <w:t xml:space="preserve">. </w:t>
      </w:r>
      <w:r w:rsidRPr="00511954" w:rsidR="009C75C7">
        <w:rPr>
          <w:rFonts w:ascii="Palatino Linotype" w:hAnsi="Palatino Linotype"/>
        </w:rPr>
        <w:t xml:space="preserve">If an IOU proceeds in this manner, </w:t>
      </w:r>
      <w:r w:rsidRPr="00511954" w:rsidR="004E17D5">
        <w:rPr>
          <w:rFonts w:ascii="Palatino Linotype" w:hAnsi="Palatino Linotype"/>
        </w:rPr>
        <w:t xml:space="preserve">it must submit </w:t>
      </w:r>
      <w:r w:rsidR="005A6F70">
        <w:rPr>
          <w:rFonts w:ascii="Palatino Linotype" w:hAnsi="Palatino Linotype"/>
        </w:rPr>
        <w:t xml:space="preserve">a revision to the amount of </w:t>
      </w:r>
      <w:r w:rsidR="003B2392">
        <w:rPr>
          <w:rFonts w:ascii="Palatino Linotype" w:hAnsi="Palatino Linotype"/>
        </w:rPr>
        <w:t>GHG allowance proceed</w:t>
      </w:r>
      <w:r w:rsidR="005A6F70">
        <w:rPr>
          <w:rFonts w:ascii="Palatino Linotype" w:hAnsi="Palatino Linotype"/>
        </w:rPr>
        <w:t>s</w:t>
      </w:r>
      <w:r w:rsidR="003B2392">
        <w:rPr>
          <w:rFonts w:ascii="Palatino Linotype" w:hAnsi="Palatino Linotype"/>
        </w:rPr>
        <w:t xml:space="preserve"> and public purpose program fund</w:t>
      </w:r>
      <w:r w:rsidR="005A6F70">
        <w:rPr>
          <w:rFonts w:ascii="Palatino Linotype" w:hAnsi="Palatino Linotype"/>
        </w:rPr>
        <w:t>s</w:t>
      </w:r>
      <w:r w:rsidR="003B2392">
        <w:rPr>
          <w:rFonts w:ascii="Palatino Linotype" w:hAnsi="Palatino Linotype"/>
        </w:rPr>
        <w:t xml:space="preserve"> </w:t>
      </w:r>
      <w:r w:rsidR="00AF5127">
        <w:rPr>
          <w:rFonts w:ascii="Palatino Linotype" w:hAnsi="Palatino Linotype"/>
        </w:rPr>
        <w:t xml:space="preserve">to be </w:t>
      </w:r>
      <w:r w:rsidR="003B2392">
        <w:rPr>
          <w:rFonts w:ascii="Palatino Linotype" w:hAnsi="Palatino Linotype"/>
        </w:rPr>
        <w:t>set aside</w:t>
      </w:r>
      <w:r w:rsidR="00AF5127">
        <w:rPr>
          <w:rFonts w:ascii="Palatino Linotype" w:hAnsi="Palatino Linotype"/>
        </w:rPr>
        <w:t xml:space="preserve"> for DAC-GT and CSGT</w:t>
      </w:r>
      <w:r w:rsidR="003B2392">
        <w:rPr>
          <w:rFonts w:ascii="Palatino Linotype" w:hAnsi="Palatino Linotype"/>
        </w:rPr>
        <w:t xml:space="preserve"> </w:t>
      </w:r>
      <w:r w:rsidR="00890C32">
        <w:rPr>
          <w:rFonts w:ascii="Palatino Linotype" w:hAnsi="Palatino Linotype"/>
        </w:rPr>
        <w:t xml:space="preserve">in the next program year </w:t>
      </w:r>
      <w:r w:rsidRPr="00511954" w:rsidR="00A0655F">
        <w:rPr>
          <w:rFonts w:ascii="Palatino Linotype" w:hAnsi="Palatino Linotype"/>
        </w:rPr>
        <w:t xml:space="preserve">no later than the November </w:t>
      </w:r>
      <w:r w:rsidRPr="00511954" w:rsidR="004E17D5">
        <w:rPr>
          <w:rFonts w:ascii="Palatino Linotype" w:hAnsi="Palatino Linotype"/>
        </w:rPr>
        <w:t>ERRA Forecast U</w:t>
      </w:r>
      <w:r w:rsidRPr="00511954" w:rsidR="00A0655F">
        <w:rPr>
          <w:rFonts w:ascii="Palatino Linotype" w:hAnsi="Palatino Linotype"/>
        </w:rPr>
        <w:t xml:space="preserve">pdate based on the eventual </w:t>
      </w:r>
      <w:r w:rsidR="003911E7">
        <w:rPr>
          <w:rFonts w:ascii="Palatino Linotype" w:hAnsi="Palatino Linotype"/>
        </w:rPr>
        <w:t xml:space="preserve">ERRA </w:t>
      </w:r>
      <w:r w:rsidRPr="00511954" w:rsidR="00A0655F">
        <w:rPr>
          <w:rFonts w:ascii="Palatino Linotype" w:hAnsi="Palatino Linotype"/>
        </w:rPr>
        <w:t xml:space="preserve">Compliance </w:t>
      </w:r>
      <w:r w:rsidRPr="00511954" w:rsidR="00A165B3">
        <w:rPr>
          <w:rFonts w:ascii="Palatino Linotype" w:hAnsi="Palatino Linotype"/>
        </w:rPr>
        <w:t>Decision</w:t>
      </w:r>
      <w:r w:rsidRPr="00511954" w:rsidR="004E17D5">
        <w:rPr>
          <w:rFonts w:ascii="Palatino Linotype" w:hAnsi="Palatino Linotype"/>
        </w:rPr>
        <w:t xml:space="preserve"> on the prior year DAC-GT and CSGT expenditures</w:t>
      </w:r>
      <w:r w:rsidRPr="00511954" w:rsidR="009C75C7">
        <w:rPr>
          <w:rFonts w:ascii="Palatino Linotype" w:hAnsi="Palatino Linotype"/>
        </w:rPr>
        <w:t xml:space="preserve">. </w:t>
      </w:r>
    </w:p>
    <w:p w:rsidR="006E56AA" w:rsidP="00E46764" w:rsidRDefault="00CE55D2" w14:paraId="7CDA5BD0" w14:textId="60F39C24">
      <w:pPr>
        <w:pStyle w:val="BodyText"/>
        <w:spacing w:after="120"/>
        <w:rPr>
          <w:rFonts w:ascii="Palatino Linotype" w:hAnsi="Palatino Linotype"/>
          <w:b w:val="0"/>
        </w:rPr>
      </w:pPr>
      <w:bookmarkStart w:name="_Hlk5795412" w:id="6"/>
      <w:r w:rsidRPr="00511954">
        <w:rPr>
          <w:rFonts w:ascii="Palatino Linotype" w:hAnsi="Palatino Linotype"/>
          <w:b w:val="0"/>
        </w:rPr>
        <w:t xml:space="preserve">Given that the </w:t>
      </w:r>
      <w:r w:rsidRPr="00511954" w:rsidR="00E80E26">
        <w:rPr>
          <w:rFonts w:ascii="Palatino Linotype" w:hAnsi="Palatino Linotype"/>
          <w:b w:val="0"/>
        </w:rPr>
        <w:t xml:space="preserve">February </w:t>
      </w:r>
      <w:r w:rsidRPr="00511954" w:rsidR="00A0655F">
        <w:rPr>
          <w:rFonts w:ascii="Palatino Linotype" w:hAnsi="Palatino Linotype"/>
          <w:b w:val="0"/>
        </w:rPr>
        <w:t>1</w:t>
      </w:r>
      <w:r w:rsidRPr="00511954" w:rsidR="004E17D5">
        <w:rPr>
          <w:rFonts w:ascii="Palatino Linotype" w:hAnsi="Palatino Linotype"/>
          <w:b w:val="0"/>
          <w:vertAlign w:val="superscript"/>
        </w:rPr>
        <w:t>st</w:t>
      </w:r>
      <w:r w:rsidRPr="00511954" w:rsidR="004E17D5">
        <w:rPr>
          <w:rFonts w:ascii="Palatino Linotype" w:hAnsi="Palatino Linotype"/>
          <w:b w:val="0"/>
        </w:rPr>
        <w:t xml:space="preserve"> </w:t>
      </w:r>
      <w:r w:rsidRPr="00511954" w:rsidR="00A0655F">
        <w:rPr>
          <w:rFonts w:ascii="Palatino Linotype" w:hAnsi="Palatino Linotype"/>
          <w:b w:val="0"/>
        </w:rPr>
        <w:t>deadline</w:t>
      </w:r>
      <w:r w:rsidRPr="00511954">
        <w:rPr>
          <w:rFonts w:ascii="Palatino Linotype" w:hAnsi="Palatino Linotype"/>
          <w:b w:val="0"/>
        </w:rPr>
        <w:t xml:space="preserve"> ha</w:t>
      </w:r>
      <w:r w:rsidRPr="00511954" w:rsidR="00A0655F">
        <w:rPr>
          <w:rFonts w:ascii="Palatino Linotype" w:hAnsi="Palatino Linotype"/>
          <w:b w:val="0"/>
        </w:rPr>
        <w:t xml:space="preserve">s </w:t>
      </w:r>
      <w:r w:rsidRPr="00511954">
        <w:rPr>
          <w:rFonts w:ascii="Palatino Linotype" w:hAnsi="Palatino Linotype"/>
          <w:b w:val="0"/>
        </w:rPr>
        <w:t>already passed for the</w:t>
      </w:r>
      <w:r w:rsidRPr="00511954" w:rsidR="00B5209D">
        <w:rPr>
          <w:rFonts w:ascii="Palatino Linotype" w:hAnsi="Palatino Linotype"/>
          <w:b w:val="0"/>
        </w:rPr>
        <w:t xml:space="preserve"> </w:t>
      </w:r>
      <w:r w:rsidRPr="00511954">
        <w:rPr>
          <w:rFonts w:ascii="Palatino Linotype" w:hAnsi="Palatino Linotype"/>
          <w:b w:val="0"/>
        </w:rPr>
        <w:t xml:space="preserve">2019 and </w:t>
      </w:r>
      <w:r w:rsidRPr="00511954" w:rsidR="00B5209D">
        <w:rPr>
          <w:rFonts w:ascii="Palatino Linotype" w:hAnsi="Palatino Linotype"/>
          <w:b w:val="0"/>
        </w:rPr>
        <w:t xml:space="preserve">2020 </w:t>
      </w:r>
      <w:r w:rsidRPr="00511954">
        <w:rPr>
          <w:rFonts w:ascii="Palatino Linotype" w:hAnsi="Palatino Linotype"/>
          <w:b w:val="0"/>
        </w:rPr>
        <w:t xml:space="preserve">DAC-GT and CSGT </w:t>
      </w:r>
      <w:r w:rsidRPr="00511954" w:rsidR="00B5209D">
        <w:rPr>
          <w:rFonts w:ascii="Palatino Linotype" w:hAnsi="Palatino Linotype"/>
          <w:b w:val="0"/>
        </w:rPr>
        <w:t>program budget</w:t>
      </w:r>
      <w:r w:rsidRPr="00511954">
        <w:rPr>
          <w:rFonts w:ascii="Palatino Linotype" w:hAnsi="Palatino Linotype"/>
          <w:b w:val="0"/>
        </w:rPr>
        <w:t xml:space="preserve"> submissions, </w:t>
      </w:r>
      <w:r w:rsidRPr="00511954" w:rsidR="00432D42">
        <w:rPr>
          <w:rFonts w:ascii="Palatino Linotype" w:hAnsi="Palatino Linotype"/>
          <w:b w:val="0"/>
        </w:rPr>
        <w:t xml:space="preserve">we </w:t>
      </w:r>
      <w:r w:rsidRPr="00511954" w:rsidR="00303BF8">
        <w:rPr>
          <w:rFonts w:ascii="Palatino Linotype" w:hAnsi="Palatino Linotype"/>
          <w:b w:val="0"/>
        </w:rPr>
        <w:t xml:space="preserve">find </w:t>
      </w:r>
      <w:r w:rsidRPr="00511954" w:rsidR="004F01B9">
        <w:rPr>
          <w:rFonts w:ascii="Palatino Linotype" w:hAnsi="Palatino Linotype"/>
          <w:b w:val="0"/>
        </w:rPr>
        <w:t>that it is</w:t>
      </w:r>
      <w:r w:rsidRPr="00511954" w:rsidR="00303BF8">
        <w:rPr>
          <w:rFonts w:ascii="Palatino Linotype" w:hAnsi="Palatino Linotype"/>
          <w:b w:val="0"/>
        </w:rPr>
        <w:t xml:space="preserve"> appropriate for th</w:t>
      </w:r>
      <w:r w:rsidRPr="00511954" w:rsidR="00B5209D">
        <w:rPr>
          <w:rFonts w:ascii="Palatino Linotype" w:hAnsi="Palatino Linotype"/>
          <w:b w:val="0"/>
        </w:rPr>
        <w:t>e IOUs to submit updated budget estimates</w:t>
      </w:r>
      <w:r w:rsidRPr="00511954" w:rsidR="007905EE">
        <w:rPr>
          <w:rFonts w:ascii="Palatino Linotype" w:hAnsi="Palatino Linotype"/>
          <w:b w:val="0"/>
        </w:rPr>
        <w:t xml:space="preserve"> within </w:t>
      </w:r>
      <w:r w:rsidRPr="00511954" w:rsidR="005724F6">
        <w:rPr>
          <w:rFonts w:ascii="Palatino Linotype" w:hAnsi="Palatino Linotype"/>
          <w:b w:val="0"/>
        </w:rPr>
        <w:t>6</w:t>
      </w:r>
      <w:r w:rsidRPr="00511954" w:rsidR="007905EE">
        <w:rPr>
          <w:rFonts w:ascii="Palatino Linotype" w:hAnsi="Palatino Linotype"/>
          <w:b w:val="0"/>
        </w:rPr>
        <w:t xml:space="preserve">0 days </w:t>
      </w:r>
      <w:r w:rsidRPr="00511954" w:rsidR="007A5879">
        <w:rPr>
          <w:rFonts w:ascii="Palatino Linotype" w:hAnsi="Palatino Linotype"/>
          <w:b w:val="0"/>
        </w:rPr>
        <w:t>of issuance of</w:t>
      </w:r>
      <w:r w:rsidRPr="00511954" w:rsidR="007905EE">
        <w:rPr>
          <w:rFonts w:ascii="Palatino Linotype" w:hAnsi="Palatino Linotype"/>
          <w:b w:val="0"/>
        </w:rPr>
        <w:t xml:space="preserve"> this</w:t>
      </w:r>
      <w:r w:rsidRPr="00511954" w:rsidR="00B5209D">
        <w:rPr>
          <w:rFonts w:ascii="Palatino Linotype" w:hAnsi="Palatino Linotype"/>
          <w:b w:val="0"/>
        </w:rPr>
        <w:t xml:space="preserve"> </w:t>
      </w:r>
      <w:r w:rsidRPr="00511954" w:rsidR="007A5879">
        <w:rPr>
          <w:rFonts w:ascii="Palatino Linotype" w:hAnsi="Palatino Linotype"/>
          <w:b w:val="0"/>
        </w:rPr>
        <w:t>R</w:t>
      </w:r>
      <w:r w:rsidRPr="00511954" w:rsidR="00B5209D">
        <w:rPr>
          <w:rFonts w:ascii="Palatino Linotype" w:hAnsi="Palatino Linotype"/>
          <w:b w:val="0"/>
        </w:rPr>
        <w:t>esolution</w:t>
      </w:r>
      <w:r w:rsidR="000F062B">
        <w:rPr>
          <w:rFonts w:ascii="Palatino Linotype" w:hAnsi="Palatino Linotype"/>
          <w:b w:val="0"/>
        </w:rPr>
        <w:t xml:space="preserve">. Each IOU’s updated 2019 and 2020 budget estimates </w:t>
      </w:r>
      <w:r w:rsidR="009D69E6">
        <w:rPr>
          <w:rFonts w:ascii="Palatino Linotype" w:hAnsi="Palatino Linotype"/>
          <w:b w:val="0"/>
        </w:rPr>
        <w:t>must</w:t>
      </w:r>
      <w:r w:rsidR="000F062B">
        <w:rPr>
          <w:rFonts w:ascii="Palatino Linotype" w:hAnsi="Palatino Linotype"/>
          <w:b w:val="0"/>
        </w:rPr>
        <w:t xml:space="preserve"> be submitted as a Tier 2 AL</w:t>
      </w:r>
      <w:r w:rsidR="0070585E">
        <w:rPr>
          <w:rFonts w:ascii="Palatino Linotype" w:hAnsi="Palatino Linotype"/>
          <w:b w:val="0"/>
        </w:rPr>
        <w:t xml:space="preserve"> as these initial budget estimates warrant a more extensive review by Energy Division staff and will establish expectations </w:t>
      </w:r>
      <w:r w:rsidR="00630420">
        <w:rPr>
          <w:rFonts w:ascii="Palatino Linotype" w:hAnsi="Palatino Linotype"/>
          <w:b w:val="0"/>
        </w:rPr>
        <w:t xml:space="preserve">and templates </w:t>
      </w:r>
      <w:r w:rsidR="0070585E">
        <w:rPr>
          <w:rFonts w:ascii="Palatino Linotype" w:hAnsi="Palatino Linotype"/>
          <w:b w:val="0"/>
        </w:rPr>
        <w:t>for the IOU</w:t>
      </w:r>
      <w:r w:rsidR="006E56AA">
        <w:rPr>
          <w:rFonts w:ascii="Palatino Linotype" w:hAnsi="Palatino Linotype"/>
          <w:b w:val="0"/>
        </w:rPr>
        <w:t>s’ future budget submissions</w:t>
      </w:r>
      <w:r w:rsidRPr="00511954" w:rsidR="00B5209D">
        <w:rPr>
          <w:rFonts w:ascii="Palatino Linotype" w:hAnsi="Palatino Linotype"/>
          <w:b w:val="0"/>
        </w:rPr>
        <w:t>.</w:t>
      </w:r>
      <w:r w:rsidRPr="00511954" w:rsidR="007905EE">
        <w:rPr>
          <w:rFonts w:ascii="Palatino Linotype" w:hAnsi="Palatino Linotype"/>
          <w:b w:val="0"/>
        </w:rPr>
        <w:t xml:space="preserve"> These program</w:t>
      </w:r>
      <w:r w:rsidRPr="00511954" w:rsidR="00B5209D">
        <w:rPr>
          <w:rFonts w:ascii="Palatino Linotype" w:hAnsi="Palatino Linotype"/>
          <w:b w:val="0"/>
        </w:rPr>
        <w:t xml:space="preserve"> budgets</w:t>
      </w:r>
      <w:r w:rsidRPr="00511954" w:rsidR="007905EE">
        <w:rPr>
          <w:rFonts w:ascii="Palatino Linotype" w:hAnsi="Palatino Linotype"/>
          <w:b w:val="0"/>
        </w:rPr>
        <w:t xml:space="preserve"> </w:t>
      </w:r>
      <w:r w:rsidRPr="00511954" w:rsidR="00432D42">
        <w:rPr>
          <w:rFonts w:ascii="Palatino Linotype" w:hAnsi="Palatino Linotype"/>
          <w:b w:val="0"/>
        </w:rPr>
        <w:t>must</w:t>
      </w:r>
      <w:r w:rsidRPr="00511954" w:rsidR="007905EE">
        <w:rPr>
          <w:rFonts w:ascii="Palatino Linotype" w:hAnsi="Palatino Linotype"/>
          <w:b w:val="0"/>
        </w:rPr>
        <w:t xml:space="preserve"> </w:t>
      </w:r>
      <w:r w:rsidR="003B2392">
        <w:rPr>
          <w:rFonts w:ascii="Palatino Linotype" w:hAnsi="Palatino Linotype"/>
          <w:b w:val="0"/>
        </w:rPr>
        <w:t>specify</w:t>
      </w:r>
      <w:r w:rsidRPr="00511954" w:rsidR="003B2392">
        <w:rPr>
          <w:rFonts w:ascii="Palatino Linotype" w:hAnsi="Palatino Linotype"/>
          <w:b w:val="0"/>
        </w:rPr>
        <w:t xml:space="preserve"> </w:t>
      </w:r>
      <w:r w:rsidRPr="00511954" w:rsidR="007905EE">
        <w:rPr>
          <w:rFonts w:ascii="Palatino Linotype" w:hAnsi="Palatino Linotype"/>
          <w:b w:val="0"/>
        </w:rPr>
        <w:t xml:space="preserve">costs </w:t>
      </w:r>
      <w:r w:rsidRPr="00511954" w:rsidR="004F01B9">
        <w:rPr>
          <w:rFonts w:ascii="Palatino Linotype" w:hAnsi="Palatino Linotype"/>
          <w:b w:val="0"/>
        </w:rPr>
        <w:t>for both 2019 and 2020</w:t>
      </w:r>
      <w:r w:rsidRPr="00511954" w:rsidR="007905EE">
        <w:rPr>
          <w:rFonts w:ascii="Palatino Linotype" w:hAnsi="Palatino Linotype"/>
          <w:b w:val="0"/>
        </w:rPr>
        <w:t xml:space="preserve"> and</w:t>
      </w:r>
      <w:r w:rsidRPr="00511954" w:rsidR="00B5209D">
        <w:rPr>
          <w:rFonts w:ascii="Palatino Linotype" w:hAnsi="Palatino Linotype"/>
          <w:b w:val="0"/>
        </w:rPr>
        <w:t xml:space="preserve"> are to include the level of specificity and cost justification</w:t>
      </w:r>
      <w:r w:rsidR="003B2392">
        <w:rPr>
          <w:rFonts w:ascii="Palatino Linotype" w:hAnsi="Palatino Linotype"/>
          <w:b w:val="0"/>
        </w:rPr>
        <w:t>, including work papers,</w:t>
      </w:r>
      <w:r w:rsidRPr="00511954" w:rsidR="00B5209D">
        <w:rPr>
          <w:rFonts w:ascii="Palatino Linotype" w:hAnsi="Palatino Linotype"/>
          <w:b w:val="0"/>
        </w:rPr>
        <w:t xml:space="preserve"> described above.</w:t>
      </w:r>
      <w:r w:rsidRPr="00511954">
        <w:rPr>
          <w:rFonts w:ascii="Palatino Linotype" w:hAnsi="Palatino Linotype"/>
          <w:b w:val="0"/>
        </w:rPr>
        <w:t xml:space="preserve"> </w:t>
      </w:r>
      <w:r w:rsidR="006E56AA">
        <w:rPr>
          <w:rFonts w:ascii="Palatino Linotype" w:hAnsi="Palatino Linotype"/>
          <w:b w:val="0"/>
        </w:rPr>
        <w:t>Acknowledging that start-up costs may be higher within the first years of the program, the IOUs may propose administrative and ME&amp;O costs that are above the 10 percent and 4 percent caps established in this Resolution</w:t>
      </w:r>
      <w:r w:rsidR="00FB2E89">
        <w:rPr>
          <w:rFonts w:ascii="Palatino Linotype" w:hAnsi="Palatino Linotype"/>
          <w:b w:val="0"/>
        </w:rPr>
        <w:t xml:space="preserve"> for the </w:t>
      </w:r>
      <w:r w:rsidR="006E56AA">
        <w:rPr>
          <w:rFonts w:ascii="Palatino Linotype" w:hAnsi="Palatino Linotype"/>
          <w:b w:val="0"/>
        </w:rPr>
        <w:t>2019 and 2020</w:t>
      </w:r>
      <w:r w:rsidR="000F062B">
        <w:rPr>
          <w:rFonts w:ascii="Palatino Linotype" w:hAnsi="Palatino Linotype"/>
          <w:b w:val="0"/>
        </w:rPr>
        <w:t xml:space="preserve"> program </w:t>
      </w:r>
      <w:r w:rsidR="00FB2E89">
        <w:rPr>
          <w:rFonts w:ascii="Palatino Linotype" w:hAnsi="Palatino Linotype"/>
          <w:b w:val="0"/>
        </w:rPr>
        <w:t>budgets only</w:t>
      </w:r>
      <w:r w:rsidR="006E56AA">
        <w:rPr>
          <w:rFonts w:ascii="Palatino Linotype" w:hAnsi="Palatino Linotype"/>
          <w:b w:val="0"/>
        </w:rPr>
        <w:t xml:space="preserve">. </w:t>
      </w:r>
    </w:p>
    <w:p w:rsidRPr="00511954" w:rsidR="00E162C7" w:rsidP="00E46764" w:rsidRDefault="00CE55D2" w14:paraId="250A788C" w14:textId="166C0374">
      <w:pPr>
        <w:pStyle w:val="BodyText"/>
        <w:spacing w:after="120"/>
        <w:rPr>
          <w:rFonts w:ascii="Palatino Linotype" w:hAnsi="Palatino Linotype"/>
          <w:b w:val="0"/>
        </w:rPr>
      </w:pPr>
      <w:r w:rsidRPr="00511954">
        <w:rPr>
          <w:rFonts w:ascii="Palatino Linotype" w:hAnsi="Palatino Linotype"/>
          <w:b w:val="0"/>
        </w:rPr>
        <w:t xml:space="preserve">While </w:t>
      </w:r>
      <w:r w:rsidRPr="00511954" w:rsidR="002F1C66">
        <w:rPr>
          <w:rFonts w:ascii="Palatino Linotype" w:hAnsi="Palatino Linotype"/>
          <w:b w:val="0"/>
        </w:rPr>
        <w:t>PG&amp;E and SDG&amp;E</w:t>
      </w:r>
      <w:r w:rsidRPr="00511954">
        <w:rPr>
          <w:rFonts w:ascii="Palatino Linotype" w:hAnsi="Palatino Linotype"/>
          <w:b w:val="0"/>
        </w:rPr>
        <w:t xml:space="preserve"> have already submitted </w:t>
      </w:r>
      <w:r w:rsidRPr="00511954" w:rsidR="007905EE">
        <w:rPr>
          <w:rFonts w:ascii="Palatino Linotype" w:hAnsi="Palatino Linotype"/>
          <w:b w:val="0"/>
        </w:rPr>
        <w:t xml:space="preserve">initial </w:t>
      </w:r>
      <w:r w:rsidRPr="00511954">
        <w:rPr>
          <w:rFonts w:ascii="Palatino Linotype" w:hAnsi="Palatino Linotype"/>
          <w:b w:val="0"/>
        </w:rPr>
        <w:t xml:space="preserve">2019 and 2020 budget estimates in their ALs, the </w:t>
      </w:r>
      <w:r w:rsidRPr="00511954" w:rsidR="007905EE">
        <w:rPr>
          <w:rFonts w:ascii="Palatino Linotype" w:hAnsi="Palatino Linotype"/>
          <w:b w:val="0"/>
        </w:rPr>
        <w:t>revised</w:t>
      </w:r>
      <w:r w:rsidRPr="00511954">
        <w:rPr>
          <w:rFonts w:ascii="Palatino Linotype" w:hAnsi="Palatino Linotype"/>
          <w:b w:val="0"/>
        </w:rPr>
        <w:t xml:space="preserve"> budgets </w:t>
      </w:r>
      <w:r w:rsidRPr="00511954" w:rsidR="00432D42">
        <w:rPr>
          <w:rFonts w:ascii="Palatino Linotype" w:hAnsi="Palatino Linotype"/>
          <w:b w:val="0"/>
        </w:rPr>
        <w:t>must</w:t>
      </w:r>
      <w:r w:rsidRPr="00511954">
        <w:rPr>
          <w:rFonts w:ascii="Palatino Linotype" w:hAnsi="Palatino Linotype"/>
          <w:b w:val="0"/>
        </w:rPr>
        <w:t xml:space="preserve"> reflect all changes required to be made to the IOU</w:t>
      </w:r>
      <w:r w:rsidRPr="00511954" w:rsidR="007905EE">
        <w:rPr>
          <w:rFonts w:ascii="Palatino Linotype" w:hAnsi="Palatino Linotype"/>
          <w:b w:val="0"/>
        </w:rPr>
        <w:t>s’ progra</w:t>
      </w:r>
      <w:r w:rsidRPr="00511954" w:rsidR="007A5879">
        <w:rPr>
          <w:rFonts w:ascii="Palatino Linotype" w:hAnsi="Palatino Linotype"/>
          <w:b w:val="0"/>
        </w:rPr>
        <w:t>m implementation plans</w:t>
      </w:r>
      <w:r w:rsidRPr="00511954" w:rsidR="007C503D">
        <w:rPr>
          <w:rFonts w:ascii="Palatino Linotype" w:hAnsi="Palatino Linotype"/>
          <w:b w:val="0"/>
        </w:rPr>
        <w:t xml:space="preserve"> as directed</w:t>
      </w:r>
      <w:r w:rsidRPr="00511954" w:rsidR="007A5879">
        <w:rPr>
          <w:rFonts w:ascii="Palatino Linotype" w:hAnsi="Palatino Linotype"/>
          <w:b w:val="0"/>
        </w:rPr>
        <w:t xml:space="preserve"> in this R</w:t>
      </w:r>
      <w:r w:rsidRPr="00511954" w:rsidR="007905EE">
        <w:rPr>
          <w:rFonts w:ascii="Palatino Linotype" w:hAnsi="Palatino Linotype"/>
          <w:b w:val="0"/>
        </w:rPr>
        <w:t>esolution.</w:t>
      </w:r>
      <w:r w:rsidRPr="00511954" w:rsidR="007905EE">
        <w:rPr>
          <w:rStyle w:val="FootnoteReference"/>
          <w:rFonts w:ascii="Palatino Linotype" w:hAnsi="Palatino Linotype"/>
          <w:b w:val="0"/>
        </w:rPr>
        <w:footnoteReference w:id="68"/>
      </w:r>
      <w:r w:rsidRPr="00511954">
        <w:rPr>
          <w:rFonts w:ascii="Palatino Linotype" w:hAnsi="Palatino Linotype"/>
          <w:b w:val="0"/>
        </w:rPr>
        <w:t xml:space="preserve"> </w:t>
      </w:r>
      <w:r w:rsidRPr="00511954" w:rsidR="004E17D5">
        <w:rPr>
          <w:rFonts w:ascii="Palatino Linotype" w:hAnsi="Palatino Linotype"/>
          <w:b w:val="0"/>
        </w:rPr>
        <w:t>In addition, the revised budgets</w:t>
      </w:r>
      <w:r w:rsidRPr="00511954" w:rsidR="002F1C66">
        <w:rPr>
          <w:rFonts w:ascii="Palatino Linotype" w:hAnsi="Palatino Linotype"/>
          <w:b w:val="0"/>
        </w:rPr>
        <w:t>,</w:t>
      </w:r>
      <w:r w:rsidRPr="00511954" w:rsidR="004E17D5">
        <w:rPr>
          <w:rFonts w:ascii="Palatino Linotype" w:hAnsi="Palatino Linotype"/>
          <w:b w:val="0"/>
        </w:rPr>
        <w:t xml:space="preserve"> </w:t>
      </w:r>
      <w:r w:rsidRPr="00511954" w:rsidR="002F1C66">
        <w:rPr>
          <w:rFonts w:ascii="Palatino Linotype" w:hAnsi="Palatino Linotype"/>
          <w:b w:val="0"/>
        </w:rPr>
        <w:t>and SCE’s initial 2019-2020 DAC-GT and CSGT budgets</w:t>
      </w:r>
      <w:r w:rsidRPr="00511954" w:rsidR="00557DA2">
        <w:rPr>
          <w:rFonts w:ascii="Palatino Linotype" w:hAnsi="Palatino Linotype"/>
          <w:b w:val="0"/>
        </w:rPr>
        <w:t xml:space="preserve">, must reflect any 2019 GHG allowance revenue approved to </w:t>
      </w:r>
      <w:r w:rsidRPr="00511954" w:rsidR="007C503D">
        <w:rPr>
          <w:rFonts w:ascii="Palatino Linotype" w:hAnsi="Palatino Linotype"/>
          <w:b w:val="0"/>
        </w:rPr>
        <w:t xml:space="preserve">be </w:t>
      </w:r>
      <w:r w:rsidRPr="00511954" w:rsidR="00557DA2">
        <w:rPr>
          <w:rFonts w:ascii="Palatino Linotype" w:hAnsi="Palatino Linotype"/>
          <w:b w:val="0"/>
        </w:rPr>
        <w:t>set aside for DAC-GT and CSGT in the decisions adopting each IOU</w:t>
      </w:r>
      <w:r w:rsidR="00A1278D">
        <w:rPr>
          <w:rFonts w:ascii="Palatino Linotype" w:hAnsi="Palatino Linotype"/>
          <w:b w:val="0"/>
        </w:rPr>
        <w:t>’</w:t>
      </w:r>
      <w:r w:rsidRPr="00511954" w:rsidR="00557DA2">
        <w:rPr>
          <w:rFonts w:ascii="Palatino Linotype" w:hAnsi="Palatino Linotype"/>
          <w:b w:val="0"/>
        </w:rPr>
        <w:t xml:space="preserve">s 2019 ERRA forecast and 2019 GHG </w:t>
      </w:r>
      <w:r w:rsidRPr="00511954" w:rsidR="007C503D">
        <w:rPr>
          <w:rFonts w:ascii="Palatino Linotype" w:hAnsi="Palatino Linotype"/>
          <w:b w:val="0"/>
        </w:rPr>
        <w:t xml:space="preserve">Revenue </w:t>
      </w:r>
      <w:r w:rsidRPr="00511954" w:rsidR="00557DA2">
        <w:rPr>
          <w:rFonts w:ascii="Palatino Linotype" w:hAnsi="Palatino Linotype"/>
          <w:b w:val="0"/>
        </w:rPr>
        <w:t>forecast.</w:t>
      </w:r>
      <w:r w:rsidRPr="00511954" w:rsidR="00E162C7">
        <w:rPr>
          <w:rFonts w:ascii="Palatino Linotype" w:hAnsi="Palatino Linotype"/>
          <w:b w:val="0"/>
        </w:rPr>
        <w:t xml:space="preserve"> </w:t>
      </w:r>
    </w:p>
    <w:p w:rsidRPr="00511954" w:rsidR="00B5209D" w:rsidP="00E46764" w:rsidRDefault="0097118C" w14:paraId="42EF85B7" w14:textId="61CD09BC">
      <w:pPr>
        <w:pStyle w:val="BodyText"/>
        <w:spacing w:after="120"/>
        <w:rPr>
          <w:rFonts w:ascii="Palatino Linotype" w:hAnsi="Palatino Linotype"/>
          <w:b w:val="0"/>
        </w:rPr>
      </w:pPr>
      <w:r w:rsidRPr="00511954">
        <w:rPr>
          <w:rFonts w:ascii="Palatino Linotype" w:hAnsi="Palatino Linotype"/>
          <w:b w:val="0"/>
        </w:rPr>
        <w:t xml:space="preserve">Since the IOUs’ revised </w:t>
      </w:r>
      <w:r w:rsidRPr="00511954" w:rsidR="00B5209D">
        <w:rPr>
          <w:rFonts w:ascii="Palatino Linotype" w:hAnsi="Palatino Linotype"/>
          <w:b w:val="0"/>
        </w:rPr>
        <w:t xml:space="preserve">program budgets </w:t>
      </w:r>
      <w:r w:rsidRPr="00511954">
        <w:rPr>
          <w:rFonts w:ascii="Palatino Linotype" w:hAnsi="Palatino Linotype"/>
          <w:b w:val="0"/>
        </w:rPr>
        <w:t xml:space="preserve">will not have been submitted prior to when the IOUs must submit their </w:t>
      </w:r>
      <w:r w:rsidRPr="00511954" w:rsidR="002F1C66">
        <w:rPr>
          <w:rFonts w:ascii="Palatino Linotype" w:hAnsi="Palatino Linotype"/>
          <w:b w:val="0"/>
        </w:rPr>
        <w:t>2020 ERRA F</w:t>
      </w:r>
      <w:r w:rsidRPr="00511954" w:rsidR="007905EE">
        <w:rPr>
          <w:rFonts w:ascii="Palatino Linotype" w:hAnsi="Palatino Linotype"/>
          <w:b w:val="0"/>
        </w:rPr>
        <w:t>orecast filing,</w:t>
      </w:r>
      <w:r w:rsidRPr="00511954">
        <w:rPr>
          <w:rStyle w:val="FootnoteReference"/>
          <w:rFonts w:ascii="Palatino Linotype" w:hAnsi="Palatino Linotype"/>
          <w:b w:val="0"/>
        </w:rPr>
        <w:footnoteReference w:id="69"/>
      </w:r>
      <w:r w:rsidRPr="00511954" w:rsidR="007905EE">
        <w:rPr>
          <w:rFonts w:ascii="Palatino Linotype" w:hAnsi="Palatino Linotype"/>
          <w:b w:val="0"/>
        </w:rPr>
        <w:t xml:space="preserve"> the IOUs </w:t>
      </w:r>
      <w:r w:rsidRPr="00511954" w:rsidR="00432D42">
        <w:rPr>
          <w:rFonts w:ascii="Palatino Linotype" w:hAnsi="Palatino Linotype"/>
          <w:b w:val="0"/>
        </w:rPr>
        <w:t>should</w:t>
      </w:r>
      <w:r w:rsidRPr="00511954" w:rsidR="00B5209D">
        <w:rPr>
          <w:rFonts w:ascii="Palatino Linotype" w:hAnsi="Palatino Linotype"/>
          <w:b w:val="0"/>
        </w:rPr>
        <w:t xml:space="preserve"> set aside the </w:t>
      </w:r>
      <w:r w:rsidRPr="00511954" w:rsidR="007905EE">
        <w:rPr>
          <w:rFonts w:ascii="Palatino Linotype" w:hAnsi="Palatino Linotype"/>
          <w:b w:val="0"/>
        </w:rPr>
        <w:t>2019-2020 program</w:t>
      </w:r>
      <w:r w:rsidRPr="00511954" w:rsidR="00B5209D">
        <w:rPr>
          <w:rFonts w:ascii="Palatino Linotype" w:hAnsi="Palatino Linotype"/>
          <w:b w:val="0"/>
        </w:rPr>
        <w:t xml:space="preserve"> funding r</w:t>
      </w:r>
      <w:r w:rsidRPr="00511954" w:rsidR="007905EE">
        <w:rPr>
          <w:rFonts w:ascii="Palatino Linotype" w:hAnsi="Palatino Linotype"/>
          <w:b w:val="0"/>
        </w:rPr>
        <w:t>equested in each IOU’s</w:t>
      </w:r>
      <w:r w:rsidRPr="00511954">
        <w:rPr>
          <w:rFonts w:ascii="Palatino Linotype" w:hAnsi="Palatino Linotype"/>
          <w:b w:val="0"/>
        </w:rPr>
        <w:t xml:space="preserve"> implementation</w:t>
      </w:r>
      <w:r w:rsidRPr="00511954" w:rsidR="007905EE">
        <w:rPr>
          <w:rFonts w:ascii="Palatino Linotype" w:hAnsi="Palatino Linotype"/>
          <w:b w:val="0"/>
        </w:rPr>
        <w:t xml:space="preserve"> AL</w:t>
      </w:r>
      <w:r w:rsidRPr="00511954" w:rsidR="00432D42">
        <w:rPr>
          <w:rFonts w:ascii="Palatino Linotype" w:hAnsi="Palatino Linotype"/>
          <w:b w:val="0"/>
        </w:rPr>
        <w:t>,</w:t>
      </w:r>
      <w:r w:rsidRPr="00511954" w:rsidR="00112943">
        <w:rPr>
          <w:rFonts w:ascii="Palatino Linotype" w:hAnsi="Palatino Linotype"/>
          <w:b w:val="0"/>
        </w:rPr>
        <w:t xml:space="preserve"> adjusted by their approved 2019 GHG allowance revenue. T</w:t>
      </w:r>
      <w:r w:rsidRPr="00511954" w:rsidR="00B5209D">
        <w:rPr>
          <w:rFonts w:ascii="Palatino Linotype" w:hAnsi="Palatino Linotype"/>
          <w:b w:val="0"/>
        </w:rPr>
        <w:t>he IOUs</w:t>
      </w:r>
      <w:r w:rsidRPr="00511954" w:rsidR="00303BF8">
        <w:rPr>
          <w:rFonts w:ascii="Palatino Linotype" w:hAnsi="Palatino Linotype"/>
          <w:b w:val="0"/>
        </w:rPr>
        <w:t xml:space="preserve"> </w:t>
      </w:r>
      <w:r w:rsidRPr="00511954" w:rsidR="00E449E4">
        <w:rPr>
          <w:rFonts w:ascii="Palatino Linotype" w:hAnsi="Palatino Linotype"/>
          <w:b w:val="0"/>
        </w:rPr>
        <w:t xml:space="preserve">must </w:t>
      </w:r>
      <w:r w:rsidRPr="00511954" w:rsidR="00B5209D">
        <w:rPr>
          <w:rFonts w:ascii="Palatino Linotype" w:hAnsi="Palatino Linotype"/>
          <w:b w:val="0"/>
        </w:rPr>
        <w:t>submit a revision</w:t>
      </w:r>
      <w:r w:rsidRPr="00511954" w:rsidR="007905EE">
        <w:rPr>
          <w:rFonts w:ascii="Palatino Linotype" w:hAnsi="Palatino Linotype"/>
          <w:b w:val="0"/>
        </w:rPr>
        <w:t xml:space="preserve"> to their ERRA </w:t>
      </w:r>
      <w:r w:rsidR="00A1278D">
        <w:rPr>
          <w:rFonts w:ascii="Palatino Linotype" w:hAnsi="Palatino Linotype"/>
          <w:b w:val="0"/>
        </w:rPr>
        <w:t>F</w:t>
      </w:r>
      <w:r w:rsidRPr="00511954" w:rsidR="009C75C7">
        <w:rPr>
          <w:rFonts w:ascii="Palatino Linotype" w:hAnsi="Palatino Linotype"/>
          <w:b w:val="0"/>
        </w:rPr>
        <w:t xml:space="preserve">orecast </w:t>
      </w:r>
      <w:r w:rsidRPr="00511954" w:rsidR="007905EE">
        <w:rPr>
          <w:rFonts w:ascii="Palatino Linotype" w:hAnsi="Palatino Linotype"/>
          <w:b w:val="0"/>
        </w:rPr>
        <w:t>filing</w:t>
      </w:r>
      <w:r w:rsidRPr="00511954" w:rsidR="00B5209D">
        <w:rPr>
          <w:rFonts w:ascii="Palatino Linotype" w:hAnsi="Palatino Linotype"/>
          <w:b w:val="0"/>
        </w:rPr>
        <w:t xml:space="preserve"> </w:t>
      </w:r>
      <w:r w:rsidRPr="00511954" w:rsidR="002F1C66">
        <w:rPr>
          <w:rFonts w:ascii="Palatino Linotype" w:hAnsi="Palatino Linotype"/>
          <w:b w:val="0"/>
        </w:rPr>
        <w:t>no later than the November U</w:t>
      </w:r>
      <w:r w:rsidRPr="00511954" w:rsidR="00A0655F">
        <w:rPr>
          <w:rFonts w:ascii="Palatino Linotype" w:hAnsi="Palatino Linotype"/>
          <w:b w:val="0"/>
        </w:rPr>
        <w:t xml:space="preserve">pdate </w:t>
      </w:r>
      <w:r w:rsidRPr="00511954">
        <w:rPr>
          <w:rFonts w:ascii="Palatino Linotype" w:hAnsi="Palatino Linotype"/>
          <w:b w:val="0"/>
        </w:rPr>
        <w:t xml:space="preserve">once an updated 2019-2020 program </w:t>
      </w:r>
      <w:r w:rsidRPr="00511954" w:rsidR="00B5209D">
        <w:rPr>
          <w:rFonts w:ascii="Palatino Linotype" w:hAnsi="Palatino Linotype"/>
          <w:b w:val="0"/>
        </w:rPr>
        <w:t>budget amount is approved</w:t>
      </w:r>
      <w:r w:rsidRPr="00511954" w:rsidR="007905EE">
        <w:rPr>
          <w:rFonts w:ascii="Palatino Linotype" w:hAnsi="Palatino Linotype"/>
          <w:b w:val="0"/>
        </w:rPr>
        <w:t xml:space="preserve"> by </w:t>
      </w:r>
      <w:r w:rsidR="003911E7">
        <w:rPr>
          <w:rFonts w:ascii="Palatino Linotype" w:hAnsi="Palatino Linotype"/>
          <w:b w:val="0"/>
        </w:rPr>
        <w:t>AL disposition</w:t>
      </w:r>
      <w:r w:rsidRPr="00511954" w:rsidR="00B5209D">
        <w:rPr>
          <w:rFonts w:ascii="Palatino Linotype" w:hAnsi="Palatino Linotype"/>
          <w:b w:val="0"/>
        </w:rPr>
        <w:t>.</w:t>
      </w:r>
      <w:r w:rsidRPr="00511954" w:rsidR="00E162C7">
        <w:rPr>
          <w:rFonts w:ascii="Palatino Linotype" w:hAnsi="Palatino Linotype"/>
          <w:b w:val="0"/>
        </w:rPr>
        <w:t xml:space="preserve"> </w:t>
      </w:r>
    </w:p>
    <w:bookmarkEnd w:id="4"/>
    <w:bookmarkEnd w:id="6"/>
    <w:p w:rsidRPr="00511954" w:rsidR="00A376A0" w:rsidP="00A376A0" w:rsidRDefault="00A376A0" w14:paraId="79E99525" w14:textId="77777777">
      <w:pPr>
        <w:pStyle w:val="BodyText"/>
        <w:rPr>
          <w:rFonts w:ascii="Palatino Linotype" w:hAnsi="Palatino Linotype"/>
          <w:b w:val="0"/>
        </w:rPr>
      </w:pPr>
      <w:r w:rsidRPr="00511954">
        <w:rPr>
          <w:rFonts w:ascii="Palatino Linotype" w:hAnsi="Palatino Linotype"/>
          <w:b w:val="0"/>
          <w:u w:val="single"/>
        </w:rPr>
        <w:t>ME&amp;O Plan</w:t>
      </w:r>
      <w:r w:rsidRPr="00511954">
        <w:rPr>
          <w:rFonts w:ascii="Palatino Linotype" w:hAnsi="Palatino Linotype"/>
          <w:b w:val="0"/>
        </w:rPr>
        <w:t xml:space="preserve"> </w:t>
      </w:r>
    </w:p>
    <w:p w:rsidRPr="00511954" w:rsidR="007B5571" w:rsidP="007B5571" w:rsidRDefault="00FE1411" w14:paraId="110B9A37" w14:textId="7B3C848B">
      <w:pPr>
        <w:pStyle w:val="BodyText"/>
        <w:spacing w:after="120"/>
        <w:rPr>
          <w:rFonts w:ascii="Palatino Linotype" w:hAnsi="Palatino Linotype"/>
          <w:b w:val="0"/>
        </w:rPr>
      </w:pPr>
      <w:r w:rsidRPr="00511954">
        <w:rPr>
          <w:rFonts w:ascii="Palatino Linotype" w:hAnsi="Palatino Linotype"/>
          <w:b w:val="0"/>
        </w:rPr>
        <w:t>The NEM DAC Decision</w:t>
      </w:r>
      <w:r w:rsidRPr="00511954" w:rsidR="00A376A0">
        <w:rPr>
          <w:rFonts w:ascii="Palatino Linotype" w:hAnsi="Palatino Linotype"/>
          <w:b w:val="0"/>
        </w:rPr>
        <w:t xml:space="preserve"> originally assumed that ME&amp;O budgets for </w:t>
      </w:r>
      <w:r w:rsidRPr="00511954" w:rsidR="007B5571">
        <w:rPr>
          <w:rFonts w:ascii="Palatino Linotype" w:hAnsi="Palatino Linotype"/>
          <w:b w:val="0"/>
        </w:rPr>
        <w:t xml:space="preserve">the </w:t>
      </w:r>
      <w:r w:rsidRPr="00511954" w:rsidR="00A376A0">
        <w:rPr>
          <w:rFonts w:ascii="Palatino Linotype" w:hAnsi="Palatino Linotype"/>
          <w:b w:val="0"/>
        </w:rPr>
        <w:t xml:space="preserve">DAC-GT and CSGT </w:t>
      </w:r>
      <w:r w:rsidRPr="00511954" w:rsidR="007B5571">
        <w:rPr>
          <w:rFonts w:ascii="Palatino Linotype" w:hAnsi="Palatino Linotype"/>
          <w:b w:val="0"/>
        </w:rPr>
        <w:t xml:space="preserve">programs </w:t>
      </w:r>
      <w:r w:rsidRPr="00511954" w:rsidR="00A376A0">
        <w:rPr>
          <w:rFonts w:ascii="Palatino Linotype" w:hAnsi="Palatino Linotype"/>
          <w:b w:val="0"/>
        </w:rPr>
        <w:t xml:space="preserve">would be </w:t>
      </w:r>
      <w:r w:rsidRPr="00511954" w:rsidR="007B5571">
        <w:rPr>
          <w:rFonts w:ascii="Palatino Linotype" w:hAnsi="Palatino Linotype"/>
          <w:b w:val="0"/>
        </w:rPr>
        <w:t>set</w:t>
      </w:r>
      <w:r w:rsidRPr="00511954" w:rsidR="00A376A0">
        <w:rPr>
          <w:rFonts w:ascii="Palatino Linotype" w:hAnsi="Palatino Linotype"/>
          <w:b w:val="0"/>
        </w:rPr>
        <w:t xml:space="preserve"> in the consumer protection phase of </w:t>
      </w:r>
      <w:r w:rsidRPr="00511954" w:rsidR="00DF0CDF">
        <w:rPr>
          <w:rFonts w:ascii="Palatino Linotype" w:hAnsi="Palatino Linotype"/>
          <w:b w:val="0"/>
        </w:rPr>
        <w:t>R.</w:t>
      </w:r>
      <w:r w:rsidRPr="00511954" w:rsidR="00DC795D">
        <w:rPr>
          <w:rFonts w:ascii="Palatino Linotype" w:hAnsi="Palatino Linotype"/>
          <w:b w:val="0"/>
        </w:rPr>
        <w:t>14-07-002</w:t>
      </w:r>
      <w:r w:rsidRPr="00511954" w:rsidR="00A376A0">
        <w:rPr>
          <w:rFonts w:ascii="Palatino Linotype" w:hAnsi="Palatino Linotype"/>
          <w:b w:val="0"/>
        </w:rPr>
        <w:t xml:space="preserve"> and instructed the IOUs to file annual ME&amp;O plan</w:t>
      </w:r>
      <w:r w:rsidRPr="00511954" w:rsidR="00956BC4">
        <w:rPr>
          <w:rFonts w:ascii="Palatino Linotype" w:hAnsi="Palatino Linotype"/>
          <w:b w:val="0"/>
        </w:rPr>
        <w:t>s</w:t>
      </w:r>
      <w:r w:rsidRPr="00511954" w:rsidR="00A376A0">
        <w:rPr>
          <w:rFonts w:ascii="Palatino Linotype" w:hAnsi="Palatino Linotype"/>
          <w:b w:val="0"/>
        </w:rPr>
        <w:t xml:space="preserve"> via AL</w:t>
      </w:r>
      <w:r w:rsidRPr="00511954" w:rsidR="00DF0CDF">
        <w:rPr>
          <w:rFonts w:ascii="Palatino Linotype" w:hAnsi="Palatino Linotype"/>
          <w:b w:val="0"/>
        </w:rPr>
        <w:t>s</w:t>
      </w:r>
      <w:r w:rsidRPr="00511954" w:rsidR="00A376A0">
        <w:rPr>
          <w:rFonts w:ascii="Palatino Linotype" w:hAnsi="Palatino Linotype"/>
          <w:b w:val="0"/>
        </w:rPr>
        <w:t>.</w:t>
      </w:r>
      <w:r w:rsidRPr="00511954" w:rsidR="00A376A0">
        <w:rPr>
          <w:rStyle w:val="FootnoteReference"/>
          <w:rFonts w:ascii="Palatino Linotype" w:hAnsi="Palatino Linotype"/>
          <w:b w:val="0"/>
        </w:rPr>
        <w:footnoteReference w:id="70"/>
      </w:r>
      <w:r w:rsidRPr="00511954" w:rsidR="00A376A0">
        <w:rPr>
          <w:rFonts w:ascii="Palatino Linotype" w:hAnsi="Palatino Linotype"/>
          <w:b w:val="0"/>
        </w:rPr>
        <w:t xml:space="preserve"> The </w:t>
      </w:r>
      <w:r w:rsidRPr="00511954" w:rsidR="00A165B3">
        <w:rPr>
          <w:rFonts w:ascii="Palatino Linotype" w:hAnsi="Palatino Linotype"/>
          <w:b w:val="0"/>
        </w:rPr>
        <w:t>Decision</w:t>
      </w:r>
      <w:r w:rsidRPr="00511954" w:rsidR="00A376A0">
        <w:rPr>
          <w:rFonts w:ascii="Palatino Linotype" w:hAnsi="Palatino Linotype"/>
          <w:b w:val="0"/>
        </w:rPr>
        <w:t xml:space="preserve"> Correcting and Clarifying (D.18-10-007) confirmed that the IOUs had filed ME&amp;O budgets in their implementation AL</w:t>
      </w:r>
      <w:r w:rsidRPr="00511954" w:rsidR="00956BC4">
        <w:rPr>
          <w:rFonts w:ascii="Palatino Linotype" w:hAnsi="Palatino Linotype"/>
          <w:b w:val="0"/>
        </w:rPr>
        <w:t>s</w:t>
      </w:r>
      <w:r w:rsidRPr="00511954" w:rsidR="00DF0CDF">
        <w:rPr>
          <w:rFonts w:ascii="Palatino Linotype" w:hAnsi="Palatino Linotype"/>
          <w:b w:val="0"/>
        </w:rPr>
        <w:t>,</w:t>
      </w:r>
      <w:r w:rsidRPr="00511954" w:rsidR="00811CF3">
        <w:rPr>
          <w:rFonts w:ascii="Palatino Linotype" w:hAnsi="Palatino Linotype"/>
          <w:b w:val="0"/>
        </w:rPr>
        <w:t xml:space="preserve"> but it did not modify the annual ME&amp;O plan filing instructions</w:t>
      </w:r>
      <w:r w:rsidRPr="00511954" w:rsidR="00A376A0">
        <w:rPr>
          <w:rFonts w:ascii="Palatino Linotype" w:hAnsi="Palatino Linotype"/>
          <w:b w:val="0"/>
        </w:rPr>
        <w:t>.</w:t>
      </w:r>
      <w:r w:rsidRPr="00511954" w:rsidR="00956BC4">
        <w:rPr>
          <w:rStyle w:val="FootnoteReference"/>
          <w:rFonts w:ascii="Palatino Linotype" w:hAnsi="Palatino Linotype"/>
          <w:b w:val="0"/>
        </w:rPr>
        <w:footnoteReference w:id="71"/>
      </w:r>
      <w:r w:rsidRPr="00511954" w:rsidR="00956BC4">
        <w:rPr>
          <w:rFonts w:ascii="Palatino Linotype" w:hAnsi="Palatino Linotype"/>
          <w:b w:val="0"/>
        </w:rPr>
        <w:t xml:space="preserve"> While SCE included a </w:t>
      </w:r>
      <w:r w:rsidRPr="00511954" w:rsidR="00FC3F3D">
        <w:rPr>
          <w:rFonts w:ascii="Palatino Linotype" w:hAnsi="Palatino Linotype"/>
          <w:b w:val="0"/>
        </w:rPr>
        <w:t xml:space="preserve">fairly lengthy </w:t>
      </w:r>
      <w:r w:rsidRPr="00511954" w:rsidR="00956BC4">
        <w:rPr>
          <w:rFonts w:ascii="Palatino Linotype" w:hAnsi="Palatino Linotype"/>
          <w:b w:val="0"/>
        </w:rPr>
        <w:t>discussion of its planned ME&amp;O activities in AL 3851-E</w:t>
      </w:r>
      <w:r w:rsidRPr="00511954" w:rsidR="00FC3F3D">
        <w:rPr>
          <w:rFonts w:ascii="Palatino Linotype" w:hAnsi="Palatino Linotype"/>
          <w:b w:val="0"/>
        </w:rPr>
        <w:t xml:space="preserve">, </w:t>
      </w:r>
      <w:r w:rsidRPr="00511954" w:rsidR="00956BC4">
        <w:rPr>
          <w:rFonts w:ascii="Palatino Linotype" w:hAnsi="Palatino Linotype"/>
          <w:b w:val="0"/>
        </w:rPr>
        <w:t>none of the IOUs have filed ME&amp;O plan</w:t>
      </w:r>
      <w:r w:rsidRPr="00511954" w:rsidR="00FC3F3D">
        <w:rPr>
          <w:rFonts w:ascii="Palatino Linotype" w:hAnsi="Palatino Linotype"/>
          <w:b w:val="0"/>
        </w:rPr>
        <w:t>s</w:t>
      </w:r>
      <w:r w:rsidRPr="00511954" w:rsidR="00956BC4">
        <w:rPr>
          <w:rFonts w:ascii="Palatino Linotype" w:hAnsi="Palatino Linotype"/>
          <w:b w:val="0"/>
        </w:rPr>
        <w:t xml:space="preserve"> for approval. </w:t>
      </w:r>
      <w:r w:rsidRPr="00511954" w:rsidR="00E26EF4">
        <w:rPr>
          <w:rFonts w:ascii="Palatino Linotype" w:hAnsi="Palatino Linotype"/>
          <w:b w:val="0"/>
        </w:rPr>
        <w:t>We find</w:t>
      </w:r>
      <w:r w:rsidRPr="00511954" w:rsidR="00811CF3">
        <w:rPr>
          <w:rFonts w:ascii="Palatino Linotype" w:hAnsi="Palatino Linotype"/>
          <w:b w:val="0"/>
        </w:rPr>
        <w:t xml:space="preserve"> that it is appropriate for </w:t>
      </w:r>
      <w:r w:rsidRPr="00511954" w:rsidR="007A3D58">
        <w:rPr>
          <w:rFonts w:ascii="Palatino Linotype" w:hAnsi="Palatino Linotype"/>
          <w:b w:val="0"/>
        </w:rPr>
        <w:t>each IOU</w:t>
      </w:r>
      <w:r w:rsidRPr="00511954" w:rsidR="00A376A0">
        <w:rPr>
          <w:rFonts w:ascii="Palatino Linotype" w:hAnsi="Palatino Linotype"/>
          <w:b w:val="0"/>
        </w:rPr>
        <w:t xml:space="preserve"> to submit </w:t>
      </w:r>
      <w:r w:rsidRPr="00511954" w:rsidR="007A3D58">
        <w:rPr>
          <w:rFonts w:ascii="Palatino Linotype" w:hAnsi="Palatino Linotype"/>
          <w:b w:val="0"/>
        </w:rPr>
        <w:t xml:space="preserve">its </w:t>
      </w:r>
      <w:r w:rsidRPr="00511954" w:rsidR="00A376A0">
        <w:rPr>
          <w:rFonts w:ascii="Palatino Linotype" w:hAnsi="Palatino Linotype"/>
          <w:b w:val="0"/>
        </w:rPr>
        <w:t>annual ME&amp;O plan</w:t>
      </w:r>
      <w:r w:rsidRPr="00511954" w:rsidR="00FC3F3D">
        <w:rPr>
          <w:rFonts w:ascii="Palatino Linotype" w:hAnsi="Palatino Linotype"/>
          <w:b w:val="0"/>
        </w:rPr>
        <w:t xml:space="preserve"> by </w:t>
      </w:r>
      <w:r w:rsidRPr="00511954" w:rsidR="00833EF5">
        <w:rPr>
          <w:rFonts w:ascii="Palatino Linotype" w:hAnsi="Palatino Linotype"/>
          <w:b w:val="0"/>
        </w:rPr>
        <w:t xml:space="preserve">February </w:t>
      </w:r>
      <w:r w:rsidRPr="00511954" w:rsidR="00FC3F3D">
        <w:rPr>
          <w:rFonts w:ascii="Palatino Linotype" w:hAnsi="Palatino Linotype"/>
          <w:b w:val="0"/>
        </w:rPr>
        <w:t>1</w:t>
      </w:r>
      <w:r w:rsidRPr="00511954" w:rsidR="00FC3F3D">
        <w:rPr>
          <w:rFonts w:ascii="Palatino Linotype" w:hAnsi="Palatino Linotype"/>
          <w:b w:val="0"/>
          <w:vertAlign w:val="superscript"/>
        </w:rPr>
        <w:t>st</w:t>
      </w:r>
      <w:r w:rsidRPr="00511954" w:rsidR="00FC3F3D">
        <w:rPr>
          <w:rFonts w:ascii="Palatino Linotype" w:hAnsi="Palatino Linotype"/>
          <w:b w:val="0"/>
        </w:rPr>
        <w:t xml:space="preserve"> </w:t>
      </w:r>
      <w:r w:rsidRPr="00511954" w:rsidR="00811CF3">
        <w:rPr>
          <w:rFonts w:ascii="Palatino Linotype" w:hAnsi="Palatino Linotype"/>
          <w:b w:val="0"/>
        </w:rPr>
        <w:t xml:space="preserve">of </w:t>
      </w:r>
      <w:r w:rsidRPr="00511954" w:rsidR="00FC3F3D">
        <w:rPr>
          <w:rFonts w:ascii="Palatino Linotype" w:hAnsi="Palatino Linotype"/>
          <w:b w:val="0"/>
        </w:rPr>
        <w:t>every year</w:t>
      </w:r>
      <w:r w:rsidRPr="00511954" w:rsidR="00A376A0">
        <w:rPr>
          <w:rFonts w:ascii="Palatino Linotype" w:hAnsi="Palatino Linotype"/>
          <w:b w:val="0"/>
        </w:rPr>
        <w:t xml:space="preserve"> </w:t>
      </w:r>
      <w:r w:rsidRPr="00511954" w:rsidR="00811CF3">
        <w:rPr>
          <w:rFonts w:ascii="Palatino Linotype" w:hAnsi="Palatino Linotype"/>
          <w:b w:val="0"/>
        </w:rPr>
        <w:t xml:space="preserve">for the </w:t>
      </w:r>
      <w:r w:rsidRPr="00511954" w:rsidR="004F59D8">
        <w:rPr>
          <w:rFonts w:ascii="Palatino Linotype" w:hAnsi="Palatino Linotype"/>
          <w:b w:val="0"/>
        </w:rPr>
        <w:t>next</w:t>
      </w:r>
      <w:r w:rsidRPr="00511954" w:rsidR="00811CF3">
        <w:rPr>
          <w:rFonts w:ascii="Palatino Linotype" w:hAnsi="Palatino Linotype"/>
          <w:b w:val="0"/>
        </w:rPr>
        <w:t xml:space="preserve"> program year </w:t>
      </w:r>
      <w:r w:rsidRPr="00511954" w:rsidR="00A376A0">
        <w:rPr>
          <w:rFonts w:ascii="Palatino Linotype" w:hAnsi="Palatino Linotype"/>
          <w:b w:val="0"/>
        </w:rPr>
        <w:t xml:space="preserve">as part of </w:t>
      </w:r>
      <w:r w:rsidRPr="00511954" w:rsidR="007A3D58">
        <w:rPr>
          <w:rFonts w:ascii="Palatino Linotype" w:hAnsi="Palatino Linotype"/>
          <w:b w:val="0"/>
        </w:rPr>
        <w:t>its</w:t>
      </w:r>
      <w:r w:rsidRPr="00511954" w:rsidR="00A376A0">
        <w:rPr>
          <w:rFonts w:ascii="Palatino Linotype" w:hAnsi="Palatino Linotype"/>
          <w:b w:val="0"/>
        </w:rPr>
        <w:t xml:space="preserve"> </w:t>
      </w:r>
      <w:r w:rsidR="00466B23">
        <w:rPr>
          <w:rFonts w:ascii="Palatino Linotype" w:hAnsi="Palatino Linotype"/>
          <w:b w:val="0"/>
        </w:rPr>
        <w:t xml:space="preserve">Tier 1 AL </w:t>
      </w:r>
      <w:r w:rsidRPr="00511954" w:rsidR="00A376A0">
        <w:rPr>
          <w:rFonts w:ascii="Palatino Linotype" w:hAnsi="Palatino Linotype"/>
          <w:b w:val="0"/>
        </w:rPr>
        <w:t xml:space="preserve">annual program budget </w:t>
      </w:r>
      <w:r w:rsidRPr="00511954" w:rsidR="00811CF3">
        <w:rPr>
          <w:rFonts w:ascii="Palatino Linotype" w:hAnsi="Palatino Linotype"/>
          <w:b w:val="0"/>
        </w:rPr>
        <w:t>filing</w:t>
      </w:r>
      <w:r w:rsidRPr="00511954" w:rsidR="00A376A0">
        <w:rPr>
          <w:rFonts w:ascii="Palatino Linotype" w:hAnsi="Palatino Linotype"/>
          <w:b w:val="0"/>
        </w:rPr>
        <w:t xml:space="preserve"> which, as described above, </w:t>
      </w:r>
      <w:r w:rsidRPr="00511954" w:rsidR="007A3D58">
        <w:rPr>
          <w:rFonts w:ascii="Palatino Linotype" w:hAnsi="Palatino Linotype"/>
          <w:b w:val="0"/>
        </w:rPr>
        <w:t>is</w:t>
      </w:r>
      <w:r w:rsidRPr="00511954" w:rsidR="00A376A0">
        <w:rPr>
          <w:rFonts w:ascii="Palatino Linotype" w:hAnsi="Palatino Linotype"/>
          <w:b w:val="0"/>
        </w:rPr>
        <w:t xml:space="preserve"> to </w:t>
      </w:r>
      <w:r w:rsidRPr="00511954" w:rsidR="00CC011B">
        <w:rPr>
          <w:rFonts w:ascii="Palatino Linotype" w:hAnsi="Palatino Linotype"/>
          <w:b w:val="0"/>
        </w:rPr>
        <w:t xml:space="preserve">include </w:t>
      </w:r>
      <w:r w:rsidRPr="00511954" w:rsidR="00A376A0">
        <w:rPr>
          <w:rFonts w:ascii="Palatino Linotype" w:hAnsi="Palatino Linotype"/>
          <w:b w:val="0"/>
        </w:rPr>
        <w:t>anticipated ME&amp;O cost</w:t>
      </w:r>
      <w:r w:rsidRPr="00511954" w:rsidR="00FC3F3D">
        <w:rPr>
          <w:rFonts w:ascii="Palatino Linotype" w:hAnsi="Palatino Linotype"/>
          <w:b w:val="0"/>
        </w:rPr>
        <w:t>s</w:t>
      </w:r>
      <w:r w:rsidRPr="00511954" w:rsidR="00CC011B">
        <w:rPr>
          <w:rFonts w:ascii="Palatino Linotype" w:hAnsi="Palatino Linotype"/>
          <w:b w:val="0"/>
        </w:rPr>
        <w:t xml:space="preserve"> for the </w:t>
      </w:r>
      <w:r w:rsidRPr="00511954" w:rsidR="004F59D8">
        <w:rPr>
          <w:rFonts w:ascii="Palatino Linotype" w:hAnsi="Palatino Linotype"/>
          <w:b w:val="0"/>
        </w:rPr>
        <w:t>next</w:t>
      </w:r>
      <w:r w:rsidRPr="00511954" w:rsidR="00CC011B">
        <w:rPr>
          <w:rFonts w:ascii="Palatino Linotype" w:hAnsi="Palatino Linotype"/>
          <w:b w:val="0"/>
        </w:rPr>
        <w:t xml:space="preserve"> program year</w:t>
      </w:r>
      <w:r w:rsidRPr="00511954" w:rsidR="003356C9">
        <w:rPr>
          <w:rFonts w:ascii="Palatino Linotype" w:hAnsi="Palatino Linotype"/>
          <w:b w:val="0"/>
        </w:rPr>
        <w:t xml:space="preserve"> (for example</w:t>
      </w:r>
      <w:r w:rsidR="00466B23">
        <w:rPr>
          <w:rFonts w:ascii="Palatino Linotype" w:hAnsi="Palatino Linotype"/>
          <w:b w:val="0"/>
        </w:rPr>
        <w:t>,</w:t>
      </w:r>
      <w:r w:rsidRPr="00511954" w:rsidR="003356C9">
        <w:rPr>
          <w:rFonts w:ascii="Palatino Linotype" w:hAnsi="Palatino Linotype"/>
          <w:b w:val="0"/>
        </w:rPr>
        <w:t xml:space="preserve"> on February 1, 2020, the IOUs would submit their program budgets and ME&amp;O plan</w:t>
      </w:r>
      <w:r w:rsidR="00466B23">
        <w:rPr>
          <w:rFonts w:ascii="Palatino Linotype" w:hAnsi="Palatino Linotype"/>
          <w:b w:val="0"/>
        </w:rPr>
        <w:t>s</w:t>
      </w:r>
      <w:r w:rsidRPr="00511954" w:rsidR="003356C9">
        <w:rPr>
          <w:rFonts w:ascii="Palatino Linotype" w:hAnsi="Palatino Linotype"/>
          <w:b w:val="0"/>
        </w:rPr>
        <w:t xml:space="preserve"> for 2021)</w:t>
      </w:r>
      <w:r w:rsidRPr="00511954" w:rsidR="00FC3F3D">
        <w:rPr>
          <w:rFonts w:ascii="Palatino Linotype" w:hAnsi="Palatino Linotype"/>
          <w:b w:val="0"/>
        </w:rPr>
        <w:t xml:space="preserve">. </w:t>
      </w:r>
    </w:p>
    <w:p w:rsidRPr="00511954" w:rsidR="00FC3F3D" w:rsidP="000A63C3" w:rsidRDefault="007B5571" w14:paraId="0527E782" w14:textId="6612953D">
      <w:pPr>
        <w:pStyle w:val="BodyText"/>
        <w:spacing w:after="120"/>
        <w:rPr>
          <w:rFonts w:ascii="Palatino Linotype" w:hAnsi="Palatino Linotype"/>
          <w:b w:val="0"/>
        </w:rPr>
      </w:pPr>
      <w:r w:rsidRPr="00511954">
        <w:rPr>
          <w:rFonts w:ascii="Palatino Linotype" w:hAnsi="Palatino Linotype"/>
          <w:b w:val="0"/>
        </w:rPr>
        <w:t>Regarding</w:t>
      </w:r>
      <w:r w:rsidRPr="00511954" w:rsidR="00A376A0">
        <w:rPr>
          <w:rFonts w:ascii="Palatino Linotype" w:hAnsi="Palatino Linotype"/>
          <w:b w:val="0"/>
        </w:rPr>
        <w:t xml:space="preserve"> the </w:t>
      </w:r>
      <w:r w:rsidRPr="00511954">
        <w:rPr>
          <w:rFonts w:ascii="Palatino Linotype" w:hAnsi="Palatino Linotype"/>
          <w:b w:val="0"/>
        </w:rPr>
        <w:t>IOU</w:t>
      </w:r>
      <w:r w:rsidRPr="00511954" w:rsidR="00FC3F3D">
        <w:rPr>
          <w:rFonts w:ascii="Palatino Linotype" w:hAnsi="Palatino Linotype"/>
          <w:b w:val="0"/>
        </w:rPr>
        <w:t>s</w:t>
      </w:r>
      <w:r w:rsidRPr="00511954">
        <w:rPr>
          <w:rFonts w:ascii="Palatino Linotype" w:hAnsi="Palatino Linotype"/>
          <w:b w:val="0"/>
        </w:rPr>
        <w:t>’</w:t>
      </w:r>
      <w:r w:rsidRPr="00511954" w:rsidR="00FC3F3D">
        <w:rPr>
          <w:rFonts w:ascii="Palatino Linotype" w:hAnsi="Palatino Linotype"/>
          <w:b w:val="0"/>
        </w:rPr>
        <w:t xml:space="preserve"> </w:t>
      </w:r>
      <w:r w:rsidRPr="00511954">
        <w:rPr>
          <w:rFonts w:ascii="Palatino Linotype" w:hAnsi="Palatino Linotype"/>
          <w:b w:val="0"/>
        </w:rPr>
        <w:t>initial</w:t>
      </w:r>
      <w:r w:rsidRPr="00511954" w:rsidR="00A376A0">
        <w:rPr>
          <w:rFonts w:ascii="Palatino Linotype" w:hAnsi="Palatino Linotype"/>
          <w:b w:val="0"/>
        </w:rPr>
        <w:t xml:space="preserve"> ME&amp;O plan</w:t>
      </w:r>
      <w:r w:rsidRPr="00511954" w:rsidR="00FC3F3D">
        <w:rPr>
          <w:rFonts w:ascii="Palatino Linotype" w:hAnsi="Palatino Linotype"/>
          <w:b w:val="0"/>
        </w:rPr>
        <w:t>s</w:t>
      </w:r>
      <w:r w:rsidRPr="00511954">
        <w:rPr>
          <w:rFonts w:ascii="Palatino Linotype" w:hAnsi="Palatino Linotype"/>
          <w:b w:val="0"/>
        </w:rPr>
        <w:t xml:space="preserve">, </w:t>
      </w:r>
      <w:r w:rsidRPr="00511954" w:rsidR="00811CF3">
        <w:rPr>
          <w:rFonts w:ascii="Palatino Linotype" w:hAnsi="Palatino Linotype"/>
          <w:b w:val="0"/>
        </w:rPr>
        <w:t xml:space="preserve">the Commission finds it is appropriate for </w:t>
      </w:r>
      <w:r w:rsidRPr="00511954">
        <w:rPr>
          <w:rFonts w:ascii="Palatino Linotype" w:hAnsi="Palatino Linotype"/>
          <w:b w:val="0"/>
        </w:rPr>
        <w:t>each IOU to file its</w:t>
      </w:r>
      <w:r w:rsidRPr="00511954" w:rsidR="00A376A0">
        <w:rPr>
          <w:rFonts w:ascii="Palatino Linotype" w:hAnsi="Palatino Linotype"/>
          <w:b w:val="0"/>
        </w:rPr>
        <w:t xml:space="preserve"> </w:t>
      </w:r>
      <w:r w:rsidRPr="00511954">
        <w:rPr>
          <w:rFonts w:ascii="Palatino Linotype" w:hAnsi="Palatino Linotype"/>
          <w:b w:val="0"/>
        </w:rPr>
        <w:t xml:space="preserve">2019-2020 ME&amp;O </w:t>
      </w:r>
      <w:r w:rsidRPr="00511954" w:rsidR="00A376A0">
        <w:rPr>
          <w:rFonts w:ascii="Palatino Linotype" w:hAnsi="Palatino Linotype"/>
          <w:b w:val="0"/>
        </w:rPr>
        <w:t xml:space="preserve">plan within </w:t>
      </w:r>
      <w:r w:rsidRPr="00511954" w:rsidR="005724F6">
        <w:rPr>
          <w:rFonts w:ascii="Palatino Linotype" w:hAnsi="Palatino Linotype"/>
          <w:b w:val="0"/>
        </w:rPr>
        <w:t>6</w:t>
      </w:r>
      <w:r w:rsidRPr="00511954" w:rsidR="00A376A0">
        <w:rPr>
          <w:rFonts w:ascii="Palatino Linotype" w:hAnsi="Palatino Linotype"/>
          <w:b w:val="0"/>
        </w:rPr>
        <w:t xml:space="preserve">0 days </w:t>
      </w:r>
      <w:r w:rsidRPr="00511954" w:rsidR="007A5879">
        <w:rPr>
          <w:rFonts w:ascii="Palatino Linotype" w:hAnsi="Palatino Linotype"/>
          <w:b w:val="0"/>
        </w:rPr>
        <w:t>of issuance of this Resolution</w:t>
      </w:r>
      <w:r w:rsidRPr="00511954" w:rsidR="005724F6">
        <w:rPr>
          <w:rFonts w:ascii="Palatino Linotype" w:hAnsi="Palatino Linotype"/>
          <w:b w:val="0"/>
        </w:rPr>
        <w:t xml:space="preserve"> in the same Tier 2 A</w:t>
      </w:r>
      <w:r w:rsidR="00466B23">
        <w:rPr>
          <w:rFonts w:ascii="Palatino Linotype" w:hAnsi="Palatino Linotype"/>
          <w:b w:val="0"/>
        </w:rPr>
        <w:t>L</w:t>
      </w:r>
      <w:r w:rsidRPr="00511954" w:rsidR="005724F6">
        <w:rPr>
          <w:rFonts w:ascii="Palatino Linotype" w:hAnsi="Palatino Linotype"/>
          <w:b w:val="0"/>
        </w:rPr>
        <w:t xml:space="preserve"> filing as it</w:t>
      </w:r>
      <w:r w:rsidR="00466B23">
        <w:rPr>
          <w:rFonts w:ascii="Palatino Linotype" w:hAnsi="Palatino Linotype"/>
          <w:b w:val="0"/>
        </w:rPr>
        <w:t>s</w:t>
      </w:r>
      <w:r w:rsidRPr="00511954" w:rsidR="005724F6">
        <w:rPr>
          <w:rFonts w:ascii="Palatino Linotype" w:hAnsi="Palatino Linotype"/>
          <w:b w:val="0"/>
        </w:rPr>
        <w:t xml:space="preserve"> 2019-2020 program budget</w:t>
      </w:r>
      <w:r w:rsidRPr="00511954" w:rsidR="00A376A0">
        <w:rPr>
          <w:rFonts w:ascii="Palatino Linotype" w:hAnsi="Palatino Linotype"/>
          <w:b w:val="0"/>
        </w:rPr>
        <w:t>.</w:t>
      </w:r>
      <w:r w:rsidR="004C56CC">
        <w:rPr>
          <w:rFonts w:ascii="Palatino Linotype" w:hAnsi="Palatino Linotype"/>
          <w:b w:val="0"/>
        </w:rPr>
        <w:t xml:space="preserve"> </w:t>
      </w:r>
      <w:proofErr w:type="gramStart"/>
      <w:r w:rsidR="004C56CC">
        <w:rPr>
          <w:rFonts w:ascii="Palatino Linotype" w:hAnsi="Palatino Linotype"/>
          <w:b w:val="0"/>
        </w:rPr>
        <w:t>Similar to</w:t>
      </w:r>
      <w:proofErr w:type="gramEnd"/>
      <w:r w:rsidR="004C56CC">
        <w:rPr>
          <w:rFonts w:ascii="Palatino Linotype" w:hAnsi="Palatino Linotype"/>
          <w:b w:val="0"/>
        </w:rPr>
        <w:t xml:space="preserve"> the initial budget filings, the initial ME&amp;O filings warrant a more extensive review by Energy Division staff and will establish expectations and templates for the IOUs’ future ME&amp;O plan submissions.</w:t>
      </w:r>
      <w:r w:rsidRPr="00511954" w:rsidR="00A376A0">
        <w:rPr>
          <w:rFonts w:ascii="Palatino Linotype" w:hAnsi="Palatino Linotype"/>
          <w:b w:val="0"/>
        </w:rPr>
        <w:t xml:space="preserve"> Each IOU</w:t>
      </w:r>
      <w:r w:rsidRPr="00511954" w:rsidR="007A5879">
        <w:rPr>
          <w:rFonts w:ascii="Palatino Linotype" w:hAnsi="Palatino Linotype"/>
          <w:b w:val="0"/>
        </w:rPr>
        <w:t>’</w:t>
      </w:r>
      <w:r w:rsidRPr="00511954" w:rsidR="00A376A0">
        <w:rPr>
          <w:rFonts w:ascii="Palatino Linotype" w:hAnsi="Palatino Linotype"/>
          <w:b w:val="0"/>
        </w:rPr>
        <w:t xml:space="preserve">s ME&amp;O plan </w:t>
      </w:r>
      <w:r w:rsidRPr="00511954" w:rsidR="00E449E4">
        <w:rPr>
          <w:rFonts w:ascii="Palatino Linotype" w:hAnsi="Palatino Linotype"/>
          <w:b w:val="0"/>
        </w:rPr>
        <w:t xml:space="preserve">must </w:t>
      </w:r>
      <w:r w:rsidRPr="00511954" w:rsidR="00A376A0">
        <w:rPr>
          <w:rFonts w:ascii="Palatino Linotype" w:hAnsi="Palatino Linotype"/>
          <w:b w:val="0"/>
        </w:rPr>
        <w:t>include separate sections on the DAC-GT and CSGT programs and discuss specific timelines and methods for customer outreach, including coordination with CBOs</w:t>
      </w:r>
      <w:r w:rsidRPr="00511954" w:rsidR="00FC3F3D">
        <w:rPr>
          <w:rFonts w:ascii="Palatino Linotype" w:hAnsi="Palatino Linotype"/>
          <w:b w:val="0"/>
        </w:rPr>
        <w:t xml:space="preserve"> and community sponsors</w:t>
      </w:r>
      <w:r w:rsidRPr="00511954" w:rsidR="00A376A0">
        <w:rPr>
          <w:rFonts w:ascii="Palatino Linotype" w:hAnsi="Palatino Linotype"/>
          <w:b w:val="0"/>
        </w:rPr>
        <w:t>.</w:t>
      </w:r>
      <w:r w:rsidRPr="00511954" w:rsidR="00FC3F3D">
        <w:rPr>
          <w:rFonts w:ascii="Palatino Linotype" w:hAnsi="Palatino Linotype"/>
          <w:b w:val="0"/>
        </w:rPr>
        <w:t xml:space="preserve"> </w:t>
      </w:r>
      <w:bookmarkStart w:name="_Hlk6314380" w:id="7"/>
      <w:r w:rsidRPr="00511954" w:rsidR="007A5879">
        <w:rPr>
          <w:rFonts w:ascii="Palatino Linotype" w:hAnsi="Palatino Linotype"/>
          <w:b w:val="0"/>
        </w:rPr>
        <w:t xml:space="preserve">The IOUs’ ME&amp;O plans </w:t>
      </w:r>
      <w:r w:rsidRPr="00511954" w:rsidR="003356C9">
        <w:rPr>
          <w:rFonts w:ascii="Palatino Linotype" w:hAnsi="Palatino Linotype"/>
          <w:b w:val="0"/>
        </w:rPr>
        <w:t xml:space="preserve">must </w:t>
      </w:r>
      <w:r w:rsidRPr="00511954" w:rsidR="007A5879">
        <w:rPr>
          <w:rFonts w:ascii="Palatino Linotype" w:hAnsi="Palatino Linotype"/>
          <w:b w:val="0"/>
        </w:rPr>
        <w:t xml:space="preserve">address how </w:t>
      </w:r>
      <w:r w:rsidRPr="00511954" w:rsidR="0031518E">
        <w:rPr>
          <w:rFonts w:ascii="Palatino Linotype" w:hAnsi="Palatino Linotype"/>
          <w:b w:val="0"/>
        </w:rPr>
        <w:t>each IOU will work to</w:t>
      </w:r>
      <w:r w:rsidRPr="00511954" w:rsidR="007A5879">
        <w:rPr>
          <w:rFonts w:ascii="Palatino Linotype" w:hAnsi="Palatino Linotype"/>
          <w:b w:val="0"/>
        </w:rPr>
        <w:t xml:space="preserve"> identify residential cust</w:t>
      </w:r>
      <w:r w:rsidRPr="00511954" w:rsidR="007A3D58">
        <w:rPr>
          <w:rFonts w:ascii="Palatino Linotype" w:hAnsi="Palatino Linotype"/>
          <w:b w:val="0"/>
        </w:rPr>
        <w:t xml:space="preserve">omers in DACs who are likely </w:t>
      </w:r>
      <w:r w:rsidRPr="00511954" w:rsidR="007A5879">
        <w:rPr>
          <w:rFonts w:ascii="Palatino Linotype" w:hAnsi="Palatino Linotype"/>
          <w:b w:val="0"/>
        </w:rPr>
        <w:t xml:space="preserve">eligible for the CARE and FERA programs but </w:t>
      </w:r>
      <w:r w:rsidRPr="00511954" w:rsidR="007A3D58">
        <w:rPr>
          <w:rFonts w:ascii="Palatino Linotype" w:hAnsi="Palatino Linotype"/>
          <w:b w:val="0"/>
        </w:rPr>
        <w:t xml:space="preserve">who </w:t>
      </w:r>
      <w:r w:rsidRPr="00511954" w:rsidR="007A5879">
        <w:rPr>
          <w:rFonts w:ascii="Palatino Linotype" w:hAnsi="Palatino Linotype"/>
          <w:b w:val="0"/>
        </w:rPr>
        <w:t xml:space="preserve">are not yet enrolled. </w:t>
      </w:r>
      <w:bookmarkEnd w:id="7"/>
      <w:r w:rsidRPr="00511954" w:rsidR="007A5879">
        <w:rPr>
          <w:rFonts w:ascii="Palatino Linotype" w:hAnsi="Palatino Linotype"/>
          <w:b w:val="0"/>
        </w:rPr>
        <w:t xml:space="preserve">Finally, the IOUs’ ME&amp;O plans </w:t>
      </w:r>
      <w:r w:rsidRPr="00511954" w:rsidR="004F59D8">
        <w:rPr>
          <w:rFonts w:ascii="Palatino Linotype" w:hAnsi="Palatino Linotype"/>
          <w:b w:val="0"/>
        </w:rPr>
        <w:t>must</w:t>
      </w:r>
      <w:r w:rsidRPr="00511954" w:rsidR="00CB1BEA">
        <w:rPr>
          <w:rFonts w:ascii="Palatino Linotype" w:hAnsi="Palatino Linotype"/>
          <w:b w:val="0"/>
        </w:rPr>
        <w:t xml:space="preserve"> </w:t>
      </w:r>
      <w:r w:rsidRPr="00511954" w:rsidR="007A5879">
        <w:rPr>
          <w:rFonts w:ascii="Palatino Linotype" w:hAnsi="Palatino Linotype"/>
          <w:b w:val="0"/>
        </w:rPr>
        <w:t xml:space="preserve">discuss how </w:t>
      </w:r>
      <w:r w:rsidRPr="00511954" w:rsidR="00CB1BEA">
        <w:rPr>
          <w:rFonts w:ascii="Palatino Linotype" w:hAnsi="Palatino Linotype"/>
          <w:b w:val="0"/>
        </w:rPr>
        <w:t>to leverage customer engagement on DAC-GT and CSGT to market other</w:t>
      </w:r>
      <w:r w:rsidRPr="00511954" w:rsidR="007A5879">
        <w:rPr>
          <w:rFonts w:ascii="Palatino Linotype" w:hAnsi="Palatino Linotype"/>
          <w:b w:val="0"/>
        </w:rPr>
        <w:t xml:space="preserve"> </w:t>
      </w:r>
      <w:r w:rsidRPr="00511954" w:rsidR="007A3D58">
        <w:rPr>
          <w:rFonts w:ascii="Palatino Linotype" w:hAnsi="Palatino Linotype"/>
          <w:b w:val="0"/>
        </w:rPr>
        <w:t>programs</w:t>
      </w:r>
      <w:r w:rsidRPr="00511954" w:rsidR="007A5879">
        <w:rPr>
          <w:rFonts w:ascii="Palatino Linotype" w:hAnsi="Palatino Linotype"/>
          <w:b w:val="0"/>
        </w:rPr>
        <w:t xml:space="preserve"> (such as the Energy Assistance Savings </w:t>
      </w:r>
      <w:r w:rsidRPr="00511954" w:rsidR="00744D78">
        <w:rPr>
          <w:rFonts w:ascii="Palatino Linotype" w:hAnsi="Palatino Linotype"/>
          <w:b w:val="0"/>
        </w:rPr>
        <w:t xml:space="preserve">(ESA) </w:t>
      </w:r>
      <w:r w:rsidRPr="00511954" w:rsidR="007A5879">
        <w:rPr>
          <w:rFonts w:ascii="Palatino Linotype" w:hAnsi="Palatino Linotype"/>
          <w:b w:val="0"/>
        </w:rPr>
        <w:t xml:space="preserve">Program) </w:t>
      </w:r>
      <w:r w:rsidRPr="00511954" w:rsidR="00CB1BEA">
        <w:rPr>
          <w:rFonts w:ascii="Palatino Linotype" w:hAnsi="Palatino Linotype"/>
          <w:b w:val="0"/>
        </w:rPr>
        <w:t>that can benefit the same universe of customers</w:t>
      </w:r>
      <w:r w:rsidRPr="00511954" w:rsidR="007A5879">
        <w:rPr>
          <w:rFonts w:ascii="Palatino Linotype" w:hAnsi="Palatino Linotype"/>
          <w:b w:val="0"/>
        </w:rPr>
        <w:t>.</w:t>
      </w:r>
    </w:p>
    <w:p w:rsidRPr="00511954" w:rsidR="000A63C3" w:rsidP="000A63C3" w:rsidRDefault="00A376A0" w14:paraId="66E90A31" w14:textId="77777777">
      <w:pPr>
        <w:pStyle w:val="BodyText"/>
        <w:rPr>
          <w:rFonts w:ascii="Palatino Linotype" w:hAnsi="Palatino Linotype"/>
          <w:b w:val="0"/>
        </w:rPr>
      </w:pPr>
      <w:r w:rsidRPr="00511954">
        <w:rPr>
          <w:rFonts w:ascii="Palatino Linotype" w:hAnsi="Palatino Linotype"/>
          <w:b w:val="0"/>
          <w:u w:val="single"/>
        </w:rPr>
        <w:t>Independent Evaluator</w:t>
      </w:r>
      <w:r w:rsidRPr="00511954">
        <w:rPr>
          <w:rFonts w:ascii="Palatino Linotype" w:hAnsi="Palatino Linotype"/>
          <w:b w:val="0"/>
        </w:rPr>
        <w:t xml:space="preserve"> </w:t>
      </w:r>
    </w:p>
    <w:p w:rsidRPr="00511954" w:rsidR="000A63C3" w:rsidP="000A63C3" w:rsidRDefault="00E26EF4" w14:paraId="1538DAD6" w14:textId="57861D18">
      <w:pPr>
        <w:pStyle w:val="BodyText"/>
        <w:spacing w:after="120"/>
        <w:rPr>
          <w:rFonts w:ascii="Palatino Linotype" w:hAnsi="Palatino Linotype"/>
          <w:b w:val="0"/>
        </w:rPr>
      </w:pPr>
      <w:r w:rsidRPr="00511954">
        <w:rPr>
          <w:rFonts w:ascii="Palatino Linotype" w:hAnsi="Palatino Linotype"/>
          <w:b w:val="0"/>
        </w:rPr>
        <w:t xml:space="preserve">The NEM DAC Decision </w:t>
      </w:r>
      <w:r w:rsidRPr="00511954" w:rsidR="00A376A0">
        <w:rPr>
          <w:rFonts w:ascii="Palatino Linotype" w:hAnsi="Palatino Linotype"/>
          <w:b w:val="0"/>
        </w:rPr>
        <w:t>requires E</w:t>
      </w:r>
      <w:r w:rsidRPr="00511954" w:rsidR="00744D78">
        <w:rPr>
          <w:rFonts w:ascii="Palatino Linotype" w:hAnsi="Palatino Linotype"/>
          <w:b w:val="0"/>
        </w:rPr>
        <w:t xml:space="preserve">nergy </w:t>
      </w:r>
      <w:r w:rsidRPr="00511954" w:rsidR="00A376A0">
        <w:rPr>
          <w:rFonts w:ascii="Palatino Linotype" w:hAnsi="Palatino Linotype"/>
          <w:b w:val="0"/>
        </w:rPr>
        <w:t>D</w:t>
      </w:r>
      <w:r w:rsidRPr="00511954" w:rsidR="00744D78">
        <w:rPr>
          <w:rFonts w:ascii="Palatino Linotype" w:hAnsi="Palatino Linotype"/>
          <w:b w:val="0"/>
        </w:rPr>
        <w:t>ivision</w:t>
      </w:r>
      <w:r w:rsidRPr="00511954" w:rsidR="00A376A0">
        <w:rPr>
          <w:rFonts w:ascii="Palatino Linotype" w:hAnsi="Palatino Linotype"/>
          <w:b w:val="0"/>
        </w:rPr>
        <w:t xml:space="preserve"> </w:t>
      </w:r>
      <w:r w:rsidRPr="00511954" w:rsidR="004F59D8">
        <w:rPr>
          <w:rFonts w:ascii="Palatino Linotype" w:hAnsi="Palatino Linotype"/>
          <w:b w:val="0"/>
        </w:rPr>
        <w:t xml:space="preserve">Staff </w:t>
      </w:r>
      <w:r w:rsidRPr="00511954" w:rsidR="00A376A0">
        <w:rPr>
          <w:rFonts w:ascii="Palatino Linotype" w:hAnsi="Palatino Linotype"/>
          <w:b w:val="0"/>
        </w:rPr>
        <w:t xml:space="preserve">to select an independent evaluator to review </w:t>
      </w:r>
      <w:r w:rsidRPr="00511954" w:rsidR="000A63C3">
        <w:rPr>
          <w:rFonts w:ascii="Palatino Linotype" w:hAnsi="Palatino Linotype"/>
          <w:b w:val="0"/>
        </w:rPr>
        <w:t xml:space="preserve">the </w:t>
      </w:r>
      <w:r w:rsidRPr="00511954" w:rsidR="00A376A0">
        <w:rPr>
          <w:rFonts w:ascii="Palatino Linotype" w:hAnsi="Palatino Linotype"/>
          <w:b w:val="0"/>
        </w:rPr>
        <w:t xml:space="preserve">DAC-GT and CSGT </w:t>
      </w:r>
      <w:r w:rsidRPr="00511954" w:rsidR="000A63C3">
        <w:rPr>
          <w:rFonts w:ascii="Palatino Linotype" w:hAnsi="Palatino Linotype"/>
          <w:b w:val="0"/>
        </w:rPr>
        <w:t xml:space="preserve">programs </w:t>
      </w:r>
      <w:r w:rsidRPr="00511954" w:rsidR="00A376A0">
        <w:rPr>
          <w:rFonts w:ascii="Palatino Linotype" w:hAnsi="Palatino Linotype"/>
          <w:b w:val="0"/>
        </w:rPr>
        <w:t>every three years, beginning in 2021.</w:t>
      </w:r>
      <w:r w:rsidRPr="00511954" w:rsidR="00A376A0">
        <w:rPr>
          <w:rStyle w:val="FootnoteReference"/>
          <w:rFonts w:ascii="Palatino Linotype" w:hAnsi="Palatino Linotype"/>
          <w:b w:val="0"/>
        </w:rPr>
        <w:footnoteReference w:id="72"/>
      </w:r>
      <w:r w:rsidRPr="00511954" w:rsidR="00A376A0">
        <w:rPr>
          <w:rFonts w:ascii="Palatino Linotype" w:hAnsi="Palatino Linotype"/>
          <w:b w:val="0"/>
        </w:rPr>
        <w:t xml:space="preserve"> The </w:t>
      </w:r>
      <w:r w:rsidRPr="00511954" w:rsidR="00A165B3">
        <w:rPr>
          <w:rFonts w:ascii="Palatino Linotype" w:hAnsi="Palatino Linotype"/>
          <w:b w:val="0"/>
        </w:rPr>
        <w:t>Decision</w:t>
      </w:r>
      <w:r w:rsidRPr="00511954" w:rsidR="00A376A0">
        <w:rPr>
          <w:rFonts w:ascii="Palatino Linotype" w:hAnsi="Palatino Linotype"/>
          <w:b w:val="0"/>
        </w:rPr>
        <w:t xml:space="preserve"> also notes that </w:t>
      </w:r>
      <w:r w:rsidRPr="00511954" w:rsidR="000A63C3">
        <w:rPr>
          <w:rFonts w:ascii="Palatino Linotype" w:hAnsi="Palatino Linotype"/>
          <w:b w:val="0"/>
        </w:rPr>
        <w:t xml:space="preserve">the </w:t>
      </w:r>
      <w:r w:rsidRPr="00511954" w:rsidR="00A376A0">
        <w:rPr>
          <w:rFonts w:ascii="Palatino Linotype" w:hAnsi="Palatino Linotype"/>
          <w:b w:val="0"/>
        </w:rPr>
        <w:t xml:space="preserve">CSGT </w:t>
      </w:r>
      <w:r w:rsidRPr="00511954" w:rsidR="000A63C3">
        <w:rPr>
          <w:rFonts w:ascii="Palatino Linotype" w:hAnsi="Palatino Linotype"/>
          <w:b w:val="0"/>
        </w:rPr>
        <w:t xml:space="preserve">program </w:t>
      </w:r>
      <w:r w:rsidRPr="00511954" w:rsidR="00A376A0">
        <w:rPr>
          <w:rFonts w:ascii="Palatino Linotype" w:hAnsi="Palatino Linotype"/>
          <w:b w:val="0"/>
        </w:rPr>
        <w:t>should be evaluated after the first year.</w:t>
      </w:r>
      <w:r w:rsidRPr="00511954" w:rsidR="00A376A0">
        <w:rPr>
          <w:rStyle w:val="FootnoteReference"/>
          <w:rFonts w:ascii="Palatino Linotype" w:hAnsi="Palatino Linotype"/>
          <w:b w:val="0"/>
        </w:rPr>
        <w:footnoteReference w:id="73"/>
      </w:r>
      <w:r w:rsidRPr="00511954" w:rsidR="00A376A0">
        <w:rPr>
          <w:rFonts w:ascii="Palatino Linotype" w:hAnsi="Palatino Linotype"/>
          <w:b w:val="0"/>
        </w:rPr>
        <w:t xml:space="preserve"> </w:t>
      </w:r>
      <w:r w:rsidRPr="00511954" w:rsidR="00310EDF">
        <w:rPr>
          <w:rFonts w:ascii="Palatino Linotype" w:hAnsi="Palatino Linotype"/>
          <w:b w:val="0"/>
        </w:rPr>
        <w:t>The Commission finds it appropriate to interpret</w:t>
      </w:r>
      <w:r w:rsidRPr="00511954" w:rsidR="000A63C3">
        <w:rPr>
          <w:rFonts w:ascii="Palatino Linotype" w:hAnsi="Palatino Linotype"/>
          <w:b w:val="0"/>
        </w:rPr>
        <w:t xml:space="preserve"> t</w:t>
      </w:r>
      <w:r w:rsidRPr="00511954" w:rsidR="00A376A0">
        <w:rPr>
          <w:rFonts w:ascii="Palatino Linotype" w:hAnsi="Palatino Linotype"/>
          <w:b w:val="0"/>
        </w:rPr>
        <w:t xml:space="preserve">he first year of </w:t>
      </w:r>
      <w:r w:rsidRPr="00511954" w:rsidR="000A63C3">
        <w:rPr>
          <w:rFonts w:ascii="Palatino Linotype" w:hAnsi="Palatino Linotype"/>
          <w:b w:val="0"/>
        </w:rPr>
        <w:t xml:space="preserve">the </w:t>
      </w:r>
      <w:r w:rsidRPr="00511954" w:rsidR="00A376A0">
        <w:rPr>
          <w:rFonts w:ascii="Palatino Linotype" w:hAnsi="Palatino Linotype"/>
          <w:b w:val="0"/>
        </w:rPr>
        <w:t xml:space="preserve">CSGT </w:t>
      </w:r>
      <w:r w:rsidRPr="00511954" w:rsidR="000A63C3">
        <w:rPr>
          <w:rFonts w:ascii="Palatino Linotype" w:hAnsi="Palatino Linotype"/>
          <w:b w:val="0"/>
        </w:rPr>
        <w:t xml:space="preserve">program </w:t>
      </w:r>
      <w:r w:rsidRPr="00511954" w:rsidR="00972958">
        <w:rPr>
          <w:rFonts w:ascii="Palatino Linotype" w:hAnsi="Palatino Linotype"/>
          <w:b w:val="0"/>
        </w:rPr>
        <w:t>as</w:t>
      </w:r>
      <w:r w:rsidRPr="00511954" w:rsidR="000A63C3">
        <w:rPr>
          <w:rFonts w:ascii="Palatino Linotype" w:hAnsi="Palatino Linotype"/>
          <w:b w:val="0"/>
        </w:rPr>
        <w:t xml:space="preserve"> </w:t>
      </w:r>
      <w:r w:rsidRPr="00511954" w:rsidR="00A376A0">
        <w:rPr>
          <w:rFonts w:ascii="Palatino Linotype" w:hAnsi="Palatino Linotype"/>
          <w:b w:val="0"/>
        </w:rPr>
        <w:t>the first year customers are able to subscribe to projects</w:t>
      </w:r>
      <w:r w:rsidR="00383100">
        <w:rPr>
          <w:rFonts w:ascii="Palatino Linotype" w:hAnsi="Palatino Linotype"/>
          <w:b w:val="0"/>
        </w:rPr>
        <w:t xml:space="preserve">. Thus, if no customers have subscribed to CSGT projects by 2021, the initial independent evaluator’s review will replace the evaluation of </w:t>
      </w:r>
      <w:r w:rsidR="001E1EF2">
        <w:rPr>
          <w:rFonts w:ascii="Palatino Linotype" w:hAnsi="Palatino Linotype"/>
          <w:b w:val="0"/>
        </w:rPr>
        <w:t xml:space="preserve">the </w:t>
      </w:r>
      <w:r w:rsidR="00383100">
        <w:rPr>
          <w:rFonts w:ascii="Palatino Linotype" w:hAnsi="Palatino Linotype"/>
          <w:b w:val="0"/>
        </w:rPr>
        <w:t>CSGT</w:t>
      </w:r>
      <w:r w:rsidR="001E1EF2">
        <w:rPr>
          <w:rFonts w:ascii="Palatino Linotype" w:hAnsi="Palatino Linotype"/>
          <w:b w:val="0"/>
        </w:rPr>
        <w:t xml:space="preserve"> program</w:t>
      </w:r>
      <w:r w:rsidR="00383100">
        <w:rPr>
          <w:rFonts w:ascii="Palatino Linotype" w:hAnsi="Palatino Linotype"/>
          <w:b w:val="0"/>
        </w:rPr>
        <w:t xml:space="preserve"> after the first year. </w:t>
      </w:r>
    </w:p>
    <w:p w:rsidRPr="00511954" w:rsidR="00A376A0" w:rsidP="000A63C3" w:rsidRDefault="00A376A0" w14:paraId="412FFFD6" w14:textId="23E89928">
      <w:pPr>
        <w:pStyle w:val="BodyText"/>
        <w:spacing w:after="120"/>
        <w:rPr>
          <w:rFonts w:ascii="Palatino Linotype" w:hAnsi="Palatino Linotype"/>
          <w:b w:val="0"/>
        </w:rPr>
      </w:pPr>
      <w:r w:rsidRPr="00511954">
        <w:rPr>
          <w:rFonts w:ascii="Palatino Linotype" w:hAnsi="Palatino Linotype"/>
          <w:b w:val="0"/>
        </w:rPr>
        <w:t xml:space="preserve">The </w:t>
      </w:r>
      <w:r w:rsidRPr="00511954" w:rsidR="00A165B3">
        <w:rPr>
          <w:rFonts w:ascii="Palatino Linotype" w:hAnsi="Palatino Linotype"/>
          <w:b w:val="0"/>
        </w:rPr>
        <w:t>Decision</w:t>
      </w:r>
      <w:r w:rsidRPr="00511954">
        <w:rPr>
          <w:rFonts w:ascii="Palatino Linotype" w:hAnsi="Palatino Linotype"/>
          <w:b w:val="0"/>
        </w:rPr>
        <w:t xml:space="preserve"> does not specify a budget for the independent evaluation of the </w:t>
      </w:r>
      <w:r w:rsidRPr="00511954" w:rsidR="00E211BA">
        <w:rPr>
          <w:rFonts w:ascii="Palatino Linotype" w:hAnsi="Palatino Linotype"/>
          <w:b w:val="0"/>
        </w:rPr>
        <w:t xml:space="preserve">DAC-CT and CSGT </w:t>
      </w:r>
      <w:r w:rsidRPr="00511954">
        <w:rPr>
          <w:rFonts w:ascii="Palatino Linotype" w:hAnsi="Palatino Linotype"/>
          <w:b w:val="0"/>
        </w:rPr>
        <w:t>programs.</w:t>
      </w:r>
      <w:r w:rsidRPr="00511954" w:rsidR="00E211BA">
        <w:rPr>
          <w:rFonts w:ascii="Palatino Linotype" w:hAnsi="Palatino Linotype"/>
          <w:b w:val="0"/>
        </w:rPr>
        <w:t xml:space="preserve"> For the DAC-SASH program, however, the Decision directs that annually, one percent of DAC-SASH funding, or $100,000, is to be set aside for program evaluation.</w:t>
      </w:r>
      <w:r w:rsidRPr="00511954" w:rsidR="00E211BA">
        <w:rPr>
          <w:rStyle w:val="FootnoteReference"/>
          <w:rFonts w:ascii="Palatino Linotype" w:hAnsi="Palatino Linotype"/>
          <w:b w:val="0"/>
        </w:rPr>
        <w:footnoteReference w:id="74"/>
      </w:r>
      <w:r w:rsidRPr="00511954" w:rsidR="00E211BA">
        <w:rPr>
          <w:rFonts w:ascii="Palatino Linotype" w:hAnsi="Palatino Linotype"/>
          <w:b w:val="0"/>
        </w:rPr>
        <w:t xml:space="preserve"> Thus, $200,000 will be available for DAC-SASH program evaluation at the time of the first evaluation in 2021.</w:t>
      </w:r>
      <w:r w:rsidRPr="00FB2E89" w:rsidR="00FB2E89">
        <w:rPr>
          <w:rFonts w:ascii="Palatino Linotype" w:hAnsi="Palatino Linotype"/>
          <w:b w:val="0"/>
        </w:rPr>
        <w:t xml:space="preserve"> </w:t>
      </w:r>
      <w:r w:rsidR="00FB2E89">
        <w:rPr>
          <w:rFonts w:ascii="Palatino Linotype" w:hAnsi="Palatino Linotype"/>
          <w:b w:val="0"/>
        </w:rPr>
        <w:t>As there is no set budget for the DAC-GT and CSGT programs, we find that setting an evaluation budget based on a percent of annual funding would not provide a predictable budget for program evaluation activities.</w:t>
      </w:r>
      <w:r w:rsidRPr="00511954" w:rsidR="000A63C3">
        <w:rPr>
          <w:rFonts w:ascii="Palatino Linotype" w:hAnsi="Palatino Linotype"/>
          <w:b w:val="0"/>
        </w:rPr>
        <w:t xml:space="preserve"> </w:t>
      </w:r>
      <w:r w:rsidRPr="00511954" w:rsidR="00E211BA">
        <w:rPr>
          <w:rFonts w:ascii="Palatino Linotype" w:hAnsi="Palatino Linotype"/>
          <w:b w:val="0"/>
        </w:rPr>
        <w:t>Since DAC-GT and CSGT are two separate programs, we find it reasonable to adopt a combined program evaluation budget that is twice the DAC-SASH program evaluation budget. Thus, t</w:t>
      </w:r>
      <w:r w:rsidRPr="00511954" w:rsidR="00972958">
        <w:rPr>
          <w:rFonts w:ascii="Palatino Linotype" w:hAnsi="Palatino Linotype"/>
          <w:b w:val="0"/>
        </w:rPr>
        <w:t>he Commission</w:t>
      </w:r>
      <w:r w:rsidRPr="00511954" w:rsidR="000A63C3">
        <w:rPr>
          <w:rFonts w:ascii="Palatino Linotype" w:hAnsi="Palatino Linotype"/>
          <w:b w:val="0"/>
        </w:rPr>
        <w:t xml:space="preserve"> find</w:t>
      </w:r>
      <w:r w:rsidRPr="00511954" w:rsidR="00972958">
        <w:rPr>
          <w:rFonts w:ascii="Palatino Linotype" w:hAnsi="Palatino Linotype"/>
          <w:b w:val="0"/>
        </w:rPr>
        <w:t xml:space="preserve">s it appropriate to have </w:t>
      </w:r>
      <w:r w:rsidRPr="00511954" w:rsidR="000A63C3">
        <w:rPr>
          <w:rFonts w:ascii="Palatino Linotype" w:hAnsi="Palatino Linotype"/>
          <w:b w:val="0"/>
        </w:rPr>
        <w:t xml:space="preserve">a total of </w:t>
      </w:r>
      <w:r w:rsidRPr="00511954">
        <w:rPr>
          <w:rFonts w:ascii="Palatino Linotype" w:hAnsi="Palatino Linotype"/>
          <w:b w:val="0"/>
        </w:rPr>
        <w:t>$</w:t>
      </w:r>
      <w:r w:rsidRPr="00511954" w:rsidR="00E211BA">
        <w:rPr>
          <w:rFonts w:ascii="Palatino Linotype" w:hAnsi="Palatino Linotype"/>
          <w:b w:val="0"/>
        </w:rPr>
        <w:t>4</w:t>
      </w:r>
      <w:r w:rsidRPr="00511954">
        <w:rPr>
          <w:rFonts w:ascii="Palatino Linotype" w:hAnsi="Palatino Linotype"/>
          <w:b w:val="0"/>
        </w:rPr>
        <w:t>00,000</w:t>
      </w:r>
      <w:r w:rsidRPr="00511954" w:rsidR="00972958">
        <w:rPr>
          <w:rFonts w:ascii="Palatino Linotype" w:hAnsi="Palatino Linotype"/>
          <w:b w:val="0"/>
        </w:rPr>
        <w:t xml:space="preserve"> </w:t>
      </w:r>
      <w:r w:rsidRPr="00511954">
        <w:rPr>
          <w:rFonts w:ascii="Palatino Linotype" w:hAnsi="Palatino Linotype"/>
          <w:b w:val="0"/>
        </w:rPr>
        <w:t xml:space="preserve">set aside </w:t>
      </w:r>
      <w:r w:rsidRPr="00511954" w:rsidR="00972958">
        <w:rPr>
          <w:rFonts w:ascii="Palatino Linotype" w:hAnsi="Palatino Linotype"/>
          <w:b w:val="0"/>
        </w:rPr>
        <w:t xml:space="preserve">by the IOUs </w:t>
      </w:r>
      <w:r w:rsidRPr="00511954">
        <w:rPr>
          <w:rFonts w:ascii="Palatino Linotype" w:hAnsi="Palatino Linotype"/>
          <w:b w:val="0"/>
        </w:rPr>
        <w:t xml:space="preserve">in </w:t>
      </w:r>
      <w:r w:rsidRPr="00511954" w:rsidR="005231C3">
        <w:rPr>
          <w:rFonts w:ascii="Palatino Linotype" w:hAnsi="Palatino Linotype"/>
          <w:b w:val="0"/>
        </w:rPr>
        <w:t xml:space="preserve">their </w:t>
      </w:r>
      <w:r w:rsidRPr="00511954">
        <w:rPr>
          <w:rFonts w:ascii="Palatino Linotype" w:hAnsi="Palatino Linotype"/>
          <w:b w:val="0"/>
        </w:rPr>
        <w:t xml:space="preserve">2020 </w:t>
      </w:r>
      <w:r w:rsidRPr="00511954" w:rsidR="005231C3">
        <w:rPr>
          <w:rFonts w:ascii="Palatino Linotype" w:hAnsi="Palatino Linotype"/>
          <w:b w:val="0"/>
        </w:rPr>
        <w:t xml:space="preserve">ERRA Forecast filing </w:t>
      </w:r>
      <w:r w:rsidRPr="00511954">
        <w:rPr>
          <w:rFonts w:ascii="Palatino Linotype" w:hAnsi="Palatino Linotype"/>
          <w:b w:val="0"/>
        </w:rPr>
        <w:t xml:space="preserve">to </w:t>
      </w:r>
      <w:r w:rsidRPr="00511954" w:rsidR="000F55E0">
        <w:rPr>
          <w:rFonts w:ascii="Palatino Linotype" w:hAnsi="Palatino Linotype"/>
          <w:b w:val="0"/>
        </w:rPr>
        <w:t>cover the costs of</w:t>
      </w:r>
      <w:r w:rsidRPr="00511954">
        <w:rPr>
          <w:rFonts w:ascii="Palatino Linotype" w:hAnsi="Palatino Linotype"/>
          <w:b w:val="0"/>
        </w:rPr>
        <w:t xml:space="preserve"> the first </w:t>
      </w:r>
      <w:r w:rsidRPr="00511954" w:rsidR="000A63C3">
        <w:rPr>
          <w:rFonts w:ascii="Palatino Linotype" w:hAnsi="Palatino Linotype"/>
          <w:b w:val="0"/>
        </w:rPr>
        <w:t xml:space="preserve">program </w:t>
      </w:r>
      <w:r w:rsidRPr="00511954">
        <w:rPr>
          <w:rFonts w:ascii="Palatino Linotype" w:hAnsi="Palatino Linotype"/>
          <w:b w:val="0"/>
        </w:rPr>
        <w:t>evaluation in 2021, with $</w:t>
      </w:r>
      <w:r w:rsidRPr="00511954" w:rsidR="00E16DDD">
        <w:rPr>
          <w:rFonts w:ascii="Palatino Linotype" w:hAnsi="Palatino Linotype"/>
          <w:b w:val="0"/>
        </w:rPr>
        <w:t>2</w:t>
      </w:r>
      <w:r w:rsidRPr="00511954">
        <w:rPr>
          <w:rFonts w:ascii="Palatino Linotype" w:hAnsi="Palatino Linotype"/>
          <w:b w:val="0"/>
        </w:rPr>
        <w:t>00,000 to be set aside</w:t>
      </w:r>
      <w:r w:rsidRPr="00511954" w:rsidR="00972958">
        <w:rPr>
          <w:rFonts w:ascii="Palatino Linotype" w:hAnsi="Palatino Linotype"/>
          <w:b w:val="0"/>
        </w:rPr>
        <w:t xml:space="preserve"> by the IOUs</w:t>
      </w:r>
      <w:r w:rsidRPr="00511954">
        <w:rPr>
          <w:rFonts w:ascii="Palatino Linotype" w:hAnsi="Palatino Linotype"/>
          <w:b w:val="0"/>
        </w:rPr>
        <w:t xml:space="preserve"> for program evaluation annually thereafter.</w:t>
      </w:r>
      <w:r w:rsidRPr="00511954" w:rsidR="000A63C3">
        <w:rPr>
          <w:rFonts w:ascii="Palatino Linotype" w:hAnsi="Palatino Linotype"/>
          <w:b w:val="0"/>
        </w:rPr>
        <w:t xml:space="preserve"> </w:t>
      </w:r>
      <w:r w:rsidRPr="00511954" w:rsidR="00972958">
        <w:rPr>
          <w:rFonts w:ascii="Palatino Linotype" w:hAnsi="Palatino Linotype"/>
          <w:b w:val="0"/>
        </w:rPr>
        <w:t>T</w:t>
      </w:r>
      <w:r w:rsidRPr="00511954" w:rsidR="00F15E82">
        <w:rPr>
          <w:rFonts w:ascii="Palatino Linotype" w:hAnsi="Palatino Linotype"/>
          <w:b w:val="0"/>
        </w:rPr>
        <w:t>o match the NEM DAC Decision’s allocation among the IOUs,</w:t>
      </w:r>
      <w:r w:rsidRPr="00511954" w:rsidR="004F59D8">
        <w:rPr>
          <w:rFonts w:ascii="Palatino Linotype" w:hAnsi="Palatino Linotype"/>
          <w:b w:val="0"/>
        </w:rPr>
        <w:t xml:space="preserve"> we</w:t>
      </w:r>
      <w:r w:rsidRPr="00511954" w:rsidR="00972958">
        <w:rPr>
          <w:rFonts w:ascii="Palatino Linotype" w:hAnsi="Palatino Linotype"/>
          <w:b w:val="0"/>
        </w:rPr>
        <w:t xml:space="preserve"> find that it is appropriate for</w:t>
      </w:r>
      <w:r w:rsidRPr="00511954">
        <w:rPr>
          <w:rFonts w:ascii="Palatino Linotype" w:hAnsi="Palatino Linotype"/>
          <w:b w:val="0"/>
        </w:rPr>
        <w:t xml:space="preserve"> funding for </w:t>
      </w:r>
      <w:r w:rsidRPr="00511954" w:rsidR="0006509F">
        <w:rPr>
          <w:rFonts w:ascii="Palatino Linotype" w:hAnsi="Palatino Linotype"/>
          <w:b w:val="0"/>
        </w:rPr>
        <w:t xml:space="preserve">the </w:t>
      </w:r>
      <w:r w:rsidRPr="00511954">
        <w:rPr>
          <w:rFonts w:ascii="Palatino Linotype" w:hAnsi="Palatino Linotype"/>
          <w:b w:val="0"/>
        </w:rPr>
        <w:t>independent evaluat</w:t>
      </w:r>
      <w:r w:rsidRPr="00511954" w:rsidR="00E16DDD">
        <w:rPr>
          <w:rFonts w:ascii="Palatino Linotype" w:hAnsi="Palatino Linotype"/>
          <w:b w:val="0"/>
        </w:rPr>
        <w:t>or</w:t>
      </w:r>
      <w:r w:rsidRPr="00511954">
        <w:rPr>
          <w:rFonts w:ascii="Palatino Linotype" w:hAnsi="Palatino Linotype"/>
          <w:b w:val="0"/>
        </w:rPr>
        <w:t xml:space="preserve"> </w:t>
      </w:r>
      <w:r w:rsidRPr="00511954" w:rsidR="00972958">
        <w:rPr>
          <w:rFonts w:ascii="Palatino Linotype" w:hAnsi="Palatino Linotype"/>
          <w:b w:val="0"/>
        </w:rPr>
        <w:t>to</w:t>
      </w:r>
      <w:r w:rsidRPr="00511954">
        <w:rPr>
          <w:rFonts w:ascii="Palatino Linotype" w:hAnsi="Palatino Linotype"/>
          <w:b w:val="0"/>
        </w:rPr>
        <w:t xml:space="preserve"> be set aside by the IOUs according to their proportional share of capacity for the DAC-GT and CSGT programs: 44</w:t>
      </w:r>
      <w:r w:rsidRPr="00511954" w:rsidR="00530D31">
        <w:rPr>
          <w:rFonts w:ascii="Palatino Linotype" w:hAnsi="Palatino Linotype"/>
          <w:b w:val="0"/>
        </w:rPr>
        <w:t xml:space="preserve"> percent</w:t>
      </w:r>
      <w:r w:rsidRPr="00511954">
        <w:rPr>
          <w:rFonts w:ascii="Palatino Linotype" w:hAnsi="Palatino Linotype"/>
          <w:b w:val="0"/>
        </w:rPr>
        <w:t xml:space="preserve"> </w:t>
      </w:r>
      <w:r w:rsidRPr="00511954" w:rsidR="00DF0CDF">
        <w:rPr>
          <w:rFonts w:ascii="Palatino Linotype" w:hAnsi="Palatino Linotype"/>
          <w:b w:val="0"/>
        </w:rPr>
        <w:t xml:space="preserve">for </w:t>
      </w:r>
      <w:r w:rsidRPr="00511954">
        <w:rPr>
          <w:rFonts w:ascii="Palatino Linotype" w:hAnsi="Palatino Linotype"/>
          <w:b w:val="0"/>
        </w:rPr>
        <w:t>PG&amp;E, 44</w:t>
      </w:r>
      <w:r w:rsidRPr="00511954" w:rsidR="00530D31">
        <w:rPr>
          <w:rFonts w:ascii="Palatino Linotype" w:hAnsi="Palatino Linotype"/>
          <w:b w:val="0"/>
        </w:rPr>
        <w:t xml:space="preserve"> percent </w:t>
      </w:r>
      <w:r w:rsidRPr="00511954" w:rsidR="00DF0CDF">
        <w:rPr>
          <w:rFonts w:ascii="Palatino Linotype" w:hAnsi="Palatino Linotype"/>
          <w:b w:val="0"/>
        </w:rPr>
        <w:t xml:space="preserve">for </w:t>
      </w:r>
      <w:r w:rsidRPr="00511954">
        <w:rPr>
          <w:rFonts w:ascii="Palatino Linotype" w:hAnsi="Palatino Linotype"/>
          <w:b w:val="0"/>
        </w:rPr>
        <w:t>SCE, and 12</w:t>
      </w:r>
      <w:r w:rsidRPr="00511954" w:rsidR="00530D31">
        <w:rPr>
          <w:rFonts w:ascii="Palatino Linotype" w:hAnsi="Palatino Linotype"/>
          <w:b w:val="0"/>
        </w:rPr>
        <w:t xml:space="preserve"> percent</w:t>
      </w:r>
      <w:r w:rsidRPr="00511954">
        <w:rPr>
          <w:rFonts w:ascii="Palatino Linotype" w:hAnsi="Palatino Linotype"/>
          <w:b w:val="0"/>
        </w:rPr>
        <w:t xml:space="preserve"> </w:t>
      </w:r>
      <w:r w:rsidRPr="00511954" w:rsidR="00DF0CDF">
        <w:rPr>
          <w:rFonts w:ascii="Palatino Linotype" w:hAnsi="Palatino Linotype"/>
          <w:b w:val="0"/>
        </w:rPr>
        <w:t xml:space="preserve">for </w:t>
      </w:r>
      <w:r w:rsidRPr="00511954">
        <w:rPr>
          <w:rFonts w:ascii="Palatino Linotype" w:hAnsi="Palatino Linotype"/>
          <w:b w:val="0"/>
        </w:rPr>
        <w:t>SDG&amp;E.</w:t>
      </w:r>
      <w:r w:rsidRPr="00511954" w:rsidR="000A63C3">
        <w:rPr>
          <w:rFonts w:ascii="Palatino Linotype" w:hAnsi="Palatino Linotype"/>
          <w:b w:val="0"/>
        </w:rPr>
        <w:t xml:space="preserve"> Thus, we direct PG&amp;E and SCE to include $</w:t>
      </w:r>
      <w:r w:rsidRPr="00511954" w:rsidR="00E211BA">
        <w:rPr>
          <w:rFonts w:ascii="Palatino Linotype" w:hAnsi="Palatino Linotype"/>
          <w:b w:val="0"/>
        </w:rPr>
        <w:t>176</w:t>
      </w:r>
      <w:r w:rsidRPr="00511954" w:rsidR="000A63C3">
        <w:rPr>
          <w:rFonts w:ascii="Palatino Linotype" w:hAnsi="Palatino Linotype"/>
          <w:b w:val="0"/>
        </w:rPr>
        <w:t xml:space="preserve">,000 each and SDG&amp;E to include </w:t>
      </w:r>
      <w:r w:rsidRPr="00511954" w:rsidR="000F55E0">
        <w:rPr>
          <w:rFonts w:ascii="Palatino Linotype" w:hAnsi="Palatino Linotype"/>
          <w:b w:val="0"/>
        </w:rPr>
        <w:t>$</w:t>
      </w:r>
      <w:r w:rsidRPr="00511954" w:rsidR="00E211BA">
        <w:rPr>
          <w:rFonts w:ascii="Palatino Linotype" w:hAnsi="Palatino Linotype"/>
          <w:b w:val="0"/>
        </w:rPr>
        <w:t>48</w:t>
      </w:r>
      <w:r w:rsidRPr="00511954" w:rsidR="000F55E0">
        <w:rPr>
          <w:rFonts w:ascii="Palatino Linotype" w:hAnsi="Palatino Linotype"/>
          <w:b w:val="0"/>
        </w:rPr>
        <w:t xml:space="preserve">,000 for the independent evaluator in their revised </w:t>
      </w:r>
      <w:r w:rsidRPr="00511954" w:rsidR="00E16DDD">
        <w:rPr>
          <w:rFonts w:ascii="Palatino Linotype" w:hAnsi="Palatino Linotype"/>
          <w:b w:val="0"/>
        </w:rPr>
        <w:t>program budget filings for 2019-</w:t>
      </w:r>
      <w:r w:rsidRPr="00511954" w:rsidR="000F55E0">
        <w:rPr>
          <w:rFonts w:ascii="Palatino Linotype" w:hAnsi="Palatino Linotype"/>
          <w:b w:val="0"/>
        </w:rPr>
        <w:t>2020.</w:t>
      </w:r>
    </w:p>
    <w:p w:rsidRPr="00511954" w:rsidR="000F55E0" w:rsidP="00F15E82" w:rsidRDefault="000756A0" w14:paraId="69768224" w14:textId="77777777">
      <w:pPr>
        <w:pStyle w:val="BodyText"/>
        <w:keepNext/>
        <w:rPr>
          <w:rFonts w:ascii="Palatino Linotype" w:hAnsi="Palatino Linotype"/>
          <w:b w:val="0"/>
          <w:u w:val="single"/>
        </w:rPr>
      </w:pPr>
      <w:r w:rsidRPr="00511954">
        <w:rPr>
          <w:rFonts w:ascii="Palatino Linotype" w:hAnsi="Palatino Linotype"/>
          <w:b w:val="0"/>
          <w:u w:val="single"/>
        </w:rPr>
        <w:t xml:space="preserve">Project </w:t>
      </w:r>
      <w:r w:rsidRPr="00511954" w:rsidR="00A376A0">
        <w:rPr>
          <w:rFonts w:ascii="Palatino Linotype" w:hAnsi="Palatino Linotype"/>
          <w:b w:val="0"/>
          <w:u w:val="single"/>
        </w:rPr>
        <w:t>Solicitation</w:t>
      </w:r>
      <w:r w:rsidRPr="00511954">
        <w:rPr>
          <w:rFonts w:ascii="Palatino Linotype" w:hAnsi="Palatino Linotype"/>
          <w:b w:val="0"/>
          <w:u w:val="single"/>
        </w:rPr>
        <w:t>s</w:t>
      </w:r>
    </w:p>
    <w:p w:rsidRPr="00511954" w:rsidR="003222CE" w:rsidP="003222CE" w:rsidRDefault="000F55E0" w14:paraId="026B9146" w14:textId="7113DE63">
      <w:pPr>
        <w:pStyle w:val="BodyText"/>
        <w:spacing w:after="120"/>
        <w:rPr>
          <w:rFonts w:ascii="Palatino Linotype" w:hAnsi="Palatino Linotype"/>
          <w:b w:val="0"/>
        </w:rPr>
      </w:pPr>
      <w:r w:rsidRPr="00511954">
        <w:rPr>
          <w:rFonts w:ascii="Palatino Linotype" w:hAnsi="Palatino Linotype"/>
          <w:b w:val="0"/>
        </w:rPr>
        <w:t>In their respective ALs, a</w:t>
      </w:r>
      <w:r w:rsidRPr="00511954" w:rsidR="00A376A0">
        <w:rPr>
          <w:rFonts w:ascii="Palatino Linotype" w:hAnsi="Palatino Linotype"/>
          <w:b w:val="0"/>
        </w:rPr>
        <w:t>ll three IOUs discuss their process</w:t>
      </w:r>
      <w:r w:rsidRPr="00511954">
        <w:rPr>
          <w:rFonts w:ascii="Palatino Linotype" w:hAnsi="Palatino Linotype"/>
          <w:b w:val="0"/>
        </w:rPr>
        <w:t>es</w:t>
      </w:r>
      <w:r w:rsidRPr="00511954" w:rsidR="00A376A0">
        <w:rPr>
          <w:rFonts w:ascii="Palatino Linotype" w:hAnsi="Palatino Linotype"/>
          <w:b w:val="0"/>
        </w:rPr>
        <w:t xml:space="preserve"> for soliciting new DAC-GT and CSGT projects and note that the Commission will need to review their Request for Offers (RFO) documents.</w:t>
      </w:r>
      <w:r w:rsidRPr="00511954">
        <w:rPr>
          <w:rFonts w:ascii="Palatino Linotype" w:hAnsi="Palatino Linotype"/>
          <w:b w:val="0"/>
        </w:rPr>
        <w:t xml:space="preserve"> </w:t>
      </w:r>
      <w:r w:rsidRPr="00511954" w:rsidR="003222CE">
        <w:rPr>
          <w:rFonts w:ascii="Palatino Linotype" w:hAnsi="Palatino Linotype"/>
          <w:b w:val="0"/>
        </w:rPr>
        <w:t>The IOUs describe different processes and timelines for their RFOs</w:t>
      </w:r>
      <w:r w:rsidRPr="00511954" w:rsidR="00CF472B">
        <w:rPr>
          <w:rFonts w:ascii="Palatino Linotype" w:hAnsi="Palatino Linotype"/>
          <w:b w:val="0"/>
        </w:rPr>
        <w:t>.</w:t>
      </w:r>
    </w:p>
    <w:p w:rsidRPr="00511954" w:rsidR="00CF472B" w:rsidP="00F15E82" w:rsidRDefault="000756A0" w14:paraId="742926DA" w14:textId="2A623B95">
      <w:pPr>
        <w:pStyle w:val="BodyText"/>
        <w:spacing w:after="120"/>
        <w:rPr>
          <w:rFonts w:ascii="Palatino Linotype" w:hAnsi="Palatino Linotype"/>
          <w:b w:val="0"/>
        </w:rPr>
      </w:pPr>
      <w:r w:rsidRPr="00511954">
        <w:rPr>
          <w:rFonts w:ascii="Palatino Linotype" w:hAnsi="Palatino Linotype"/>
          <w:b w:val="0"/>
        </w:rPr>
        <w:t xml:space="preserve">SDG&amp;E </w:t>
      </w:r>
      <w:r w:rsidRPr="00511954" w:rsidR="00CF472B">
        <w:rPr>
          <w:rFonts w:ascii="Palatino Linotype" w:hAnsi="Palatino Linotype"/>
          <w:b w:val="0"/>
        </w:rPr>
        <w:t>states</w:t>
      </w:r>
      <w:r w:rsidRPr="00511954" w:rsidR="00A376A0">
        <w:rPr>
          <w:rFonts w:ascii="Palatino Linotype" w:hAnsi="Palatino Linotype"/>
          <w:b w:val="0"/>
        </w:rPr>
        <w:t xml:space="preserve"> in </w:t>
      </w:r>
      <w:r w:rsidRPr="00511954" w:rsidR="000F55E0">
        <w:rPr>
          <w:rFonts w:ascii="Palatino Linotype" w:hAnsi="Palatino Linotype"/>
          <w:b w:val="0"/>
        </w:rPr>
        <w:t>its</w:t>
      </w:r>
      <w:r w:rsidRPr="00511954" w:rsidR="00A376A0">
        <w:rPr>
          <w:rFonts w:ascii="Palatino Linotype" w:hAnsi="Palatino Linotype"/>
          <w:b w:val="0"/>
        </w:rPr>
        <w:t xml:space="preserve"> </w:t>
      </w:r>
      <w:r w:rsidRPr="00511954">
        <w:rPr>
          <w:rFonts w:ascii="Palatino Linotype" w:hAnsi="Palatino Linotype"/>
          <w:b w:val="0"/>
        </w:rPr>
        <w:t>initial and first supplemental</w:t>
      </w:r>
      <w:r w:rsidRPr="00511954" w:rsidR="000F55E0">
        <w:rPr>
          <w:rFonts w:ascii="Palatino Linotype" w:hAnsi="Palatino Linotype"/>
          <w:b w:val="0"/>
        </w:rPr>
        <w:t xml:space="preserve"> </w:t>
      </w:r>
      <w:r w:rsidRPr="00511954" w:rsidR="00A376A0">
        <w:rPr>
          <w:rFonts w:ascii="Palatino Linotype" w:hAnsi="Palatino Linotype"/>
          <w:b w:val="0"/>
        </w:rPr>
        <w:t>AL</w:t>
      </w:r>
      <w:r w:rsidRPr="00511954">
        <w:rPr>
          <w:rFonts w:ascii="Palatino Linotype" w:hAnsi="Palatino Linotype"/>
          <w:b w:val="0"/>
        </w:rPr>
        <w:t>s</w:t>
      </w:r>
      <w:r w:rsidRPr="00511954" w:rsidR="00A376A0">
        <w:rPr>
          <w:rFonts w:ascii="Palatino Linotype" w:hAnsi="Palatino Linotype"/>
          <w:b w:val="0"/>
        </w:rPr>
        <w:t xml:space="preserve"> that </w:t>
      </w:r>
      <w:r w:rsidRPr="00511954" w:rsidR="000F55E0">
        <w:rPr>
          <w:rFonts w:ascii="Palatino Linotype" w:hAnsi="Palatino Linotype"/>
          <w:b w:val="0"/>
        </w:rPr>
        <w:t xml:space="preserve">it </w:t>
      </w:r>
      <w:r w:rsidRPr="00511954" w:rsidR="00A376A0">
        <w:rPr>
          <w:rFonts w:ascii="Palatino Linotype" w:hAnsi="Palatino Linotype"/>
          <w:b w:val="0"/>
        </w:rPr>
        <w:t xml:space="preserve">would be filing an AL later in 2018 outlining </w:t>
      </w:r>
      <w:r w:rsidRPr="00511954" w:rsidR="003D4495">
        <w:rPr>
          <w:rFonts w:ascii="Palatino Linotype" w:hAnsi="Palatino Linotype"/>
          <w:b w:val="0"/>
        </w:rPr>
        <w:t>its</w:t>
      </w:r>
      <w:r w:rsidRPr="00511954" w:rsidR="00A376A0">
        <w:rPr>
          <w:rFonts w:ascii="Palatino Linotype" w:hAnsi="Palatino Linotype"/>
          <w:b w:val="0"/>
        </w:rPr>
        <w:t xml:space="preserve"> solicitation process and schedule for procuring resources for DAC-GT and CSGT.</w:t>
      </w:r>
      <w:r w:rsidRPr="00511954" w:rsidR="000F55E0">
        <w:rPr>
          <w:rStyle w:val="FootnoteReference"/>
          <w:rFonts w:ascii="Palatino Linotype" w:hAnsi="Palatino Linotype"/>
          <w:b w:val="0"/>
        </w:rPr>
        <w:footnoteReference w:id="75"/>
      </w:r>
      <w:r w:rsidRPr="00511954">
        <w:rPr>
          <w:rFonts w:ascii="Palatino Linotype" w:hAnsi="Palatino Linotype"/>
          <w:b w:val="0"/>
        </w:rPr>
        <w:t xml:space="preserve"> </w:t>
      </w:r>
      <w:r w:rsidRPr="00511954" w:rsidR="00397400">
        <w:rPr>
          <w:rFonts w:ascii="Palatino Linotype" w:hAnsi="Palatino Linotype"/>
          <w:b w:val="0"/>
        </w:rPr>
        <w:t>N</w:t>
      </w:r>
      <w:r w:rsidRPr="00511954" w:rsidR="00A376A0">
        <w:rPr>
          <w:rFonts w:ascii="Palatino Linotype" w:hAnsi="Palatino Linotype"/>
          <w:b w:val="0"/>
        </w:rPr>
        <w:t>o such AL has been filed to date.</w:t>
      </w:r>
      <w:r w:rsidRPr="00511954" w:rsidR="003D4495">
        <w:rPr>
          <w:rFonts w:ascii="Palatino Linotype" w:hAnsi="Palatino Linotype"/>
          <w:b w:val="0"/>
        </w:rPr>
        <w:t xml:space="preserve"> </w:t>
      </w:r>
    </w:p>
    <w:p w:rsidRPr="00511954" w:rsidR="00CF472B" w:rsidP="00F15E82" w:rsidRDefault="00A376A0" w14:paraId="23C4AC7B" w14:textId="2F3BD366">
      <w:pPr>
        <w:pStyle w:val="BodyText"/>
        <w:spacing w:after="120"/>
        <w:rPr>
          <w:rFonts w:ascii="Palatino Linotype" w:hAnsi="Palatino Linotype"/>
          <w:b w:val="0"/>
        </w:rPr>
      </w:pPr>
      <w:r w:rsidRPr="00511954">
        <w:rPr>
          <w:rFonts w:ascii="Palatino Linotype" w:hAnsi="Palatino Linotype"/>
          <w:b w:val="0"/>
        </w:rPr>
        <w:t xml:space="preserve">SCE states in </w:t>
      </w:r>
      <w:r w:rsidRPr="00511954" w:rsidR="003D4495">
        <w:rPr>
          <w:rFonts w:ascii="Palatino Linotype" w:hAnsi="Palatino Linotype"/>
          <w:b w:val="0"/>
        </w:rPr>
        <w:t>its</w:t>
      </w:r>
      <w:r w:rsidRPr="00511954">
        <w:rPr>
          <w:rFonts w:ascii="Palatino Linotype" w:hAnsi="Palatino Linotype"/>
          <w:b w:val="0"/>
        </w:rPr>
        <w:t xml:space="preserve"> original AL that 60 days prior to </w:t>
      </w:r>
      <w:r w:rsidRPr="00511954" w:rsidR="003D4495">
        <w:rPr>
          <w:rFonts w:ascii="Palatino Linotype" w:hAnsi="Palatino Linotype"/>
          <w:b w:val="0"/>
        </w:rPr>
        <w:t>its</w:t>
      </w:r>
      <w:r w:rsidRPr="00511954">
        <w:rPr>
          <w:rFonts w:ascii="Palatino Linotype" w:hAnsi="Palatino Linotype"/>
          <w:b w:val="0"/>
        </w:rPr>
        <w:t xml:space="preserve"> first RFO</w:t>
      </w:r>
      <w:r w:rsidRPr="00511954" w:rsidR="00CF472B">
        <w:rPr>
          <w:rFonts w:ascii="Palatino Linotype" w:hAnsi="Palatino Linotype"/>
          <w:b w:val="0"/>
        </w:rPr>
        <w:t>,</w:t>
      </w:r>
      <w:r w:rsidRPr="00511954">
        <w:rPr>
          <w:rFonts w:ascii="Palatino Linotype" w:hAnsi="Palatino Linotype"/>
          <w:b w:val="0"/>
        </w:rPr>
        <w:t xml:space="preserve"> </w:t>
      </w:r>
      <w:r w:rsidRPr="00511954" w:rsidR="003D4495">
        <w:rPr>
          <w:rFonts w:ascii="Palatino Linotype" w:hAnsi="Palatino Linotype"/>
          <w:b w:val="0"/>
        </w:rPr>
        <w:t>it</w:t>
      </w:r>
      <w:r w:rsidRPr="00511954">
        <w:rPr>
          <w:rFonts w:ascii="Palatino Linotype" w:hAnsi="Palatino Linotype"/>
          <w:b w:val="0"/>
        </w:rPr>
        <w:t xml:space="preserve"> will submit an AL with RFO instructions and a</w:t>
      </w:r>
      <w:r w:rsidR="00CD7765">
        <w:rPr>
          <w:rFonts w:ascii="Palatino Linotype" w:hAnsi="Palatino Linotype"/>
          <w:b w:val="0"/>
        </w:rPr>
        <w:t>ccompanying documents</w:t>
      </w:r>
      <w:r w:rsidRPr="00511954">
        <w:rPr>
          <w:rFonts w:ascii="Palatino Linotype" w:hAnsi="Palatino Linotype"/>
          <w:b w:val="0"/>
        </w:rPr>
        <w:t xml:space="preserve"> for CPUC approval.  SCE’s original AL also outlines SCE’s plan to conduct a</w:t>
      </w:r>
      <w:r w:rsidRPr="00511954" w:rsidR="00DF0CDF">
        <w:rPr>
          <w:rFonts w:ascii="Palatino Linotype" w:hAnsi="Palatino Linotype"/>
          <w:b w:val="0"/>
        </w:rPr>
        <w:t xml:space="preserve"> Request for Information</w:t>
      </w:r>
      <w:r w:rsidRPr="00511954">
        <w:rPr>
          <w:rFonts w:ascii="Palatino Linotype" w:hAnsi="Palatino Linotype"/>
          <w:b w:val="0"/>
        </w:rPr>
        <w:t xml:space="preserve"> </w:t>
      </w:r>
      <w:r w:rsidRPr="00511954" w:rsidR="00DF0CDF">
        <w:rPr>
          <w:rFonts w:ascii="Palatino Linotype" w:hAnsi="Palatino Linotype"/>
          <w:b w:val="0"/>
        </w:rPr>
        <w:t>(</w:t>
      </w:r>
      <w:r w:rsidRPr="00511954">
        <w:rPr>
          <w:rFonts w:ascii="Palatino Linotype" w:hAnsi="Palatino Linotype"/>
          <w:b w:val="0"/>
        </w:rPr>
        <w:t>RFI</w:t>
      </w:r>
      <w:r w:rsidRPr="00511954" w:rsidR="00DF0CDF">
        <w:rPr>
          <w:rFonts w:ascii="Palatino Linotype" w:hAnsi="Palatino Linotype"/>
          <w:b w:val="0"/>
        </w:rPr>
        <w:t>)</w:t>
      </w:r>
      <w:r w:rsidRPr="00511954">
        <w:rPr>
          <w:rFonts w:ascii="Palatino Linotype" w:hAnsi="Palatino Linotype"/>
          <w:b w:val="0"/>
        </w:rPr>
        <w:t xml:space="preserve"> for CSGT in </w:t>
      </w:r>
      <w:r w:rsidRPr="00511954" w:rsidR="003D4495">
        <w:rPr>
          <w:rFonts w:ascii="Palatino Linotype" w:hAnsi="Palatino Linotype"/>
          <w:b w:val="0"/>
        </w:rPr>
        <w:t>its</w:t>
      </w:r>
      <w:r w:rsidRPr="00511954">
        <w:rPr>
          <w:rFonts w:ascii="Palatino Linotype" w:hAnsi="Palatino Linotype"/>
          <w:b w:val="0"/>
        </w:rPr>
        <w:t xml:space="preserve"> first RFO, “which will result in the first RFO soliciting only for DAC-Green Tariff resources.”</w:t>
      </w:r>
      <w:r w:rsidRPr="00511954">
        <w:rPr>
          <w:rStyle w:val="FootnoteReference"/>
          <w:rFonts w:ascii="Palatino Linotype" w:hAnsi="Palatino Linotype"/>
          <w:b w:val="0"/>
        </w:rPr>
        <w:footnoteReference w:id="76"/>
      </w:r>
      <w:r w:rsidRPr="00511954" w:rsidR="003D4495">
        <w:rPr>
          <w:rFonts w:ascii="Palatino Linotype" w:hAnsi="Palatino Linotype"/>
          <w:b w:val="0"/>
        </w:rPr>
        <w:t xml:space="preserve"> </w:t>
      </w:r>
    </w:p>
    <w:p w:rsidRPr="00511954" w:rsidR="00A376A0" w:rsidP="00F15E82" w:rsidRDefault="00CF472B" w14:paraId="73B0D702" w14:textId="3CBB6E23">
      <w:pPr>
        <w:pStyle w:val="BodyText"/>
        <w:spacing w:after="120"/>
        <w:rPr>
          <w:rFonts w:ascii="Palatino Linotype" w:hAnsi="Palatino Linotype"/>
          <w:b w:val="0"/>
        </w:rPr>
      </w:pPr>
      <w:r w:rsidRPr="00511954">
        <w:rPr>
          <w:rFonts w:ascii="Palatino Linotype" w:hAnsi="Palatino Linotype"/>
          <w:b w:val="0"/>
        </w:rPr>
        <w:t>I</w:t>
      </w:r>
      <w:r w:rsidRPr="00511954" w:rsidR="00A376A0">
        <w:rPr>
          <w:rFonts w:ascii="Palatino Linotype" w:hAnsi="Palatino Linotype"/>
          <w:b w:val="0"/>
        </w:rPr>
        <w:t xml:space="preserve">n </w:t>
      </w:r>
      <w:r w:rsidRPr="00511954" w:rsidR="003D4495">
        <w:rPr>
          <w:rFonts w:ascii="Palatino Linotype" w:hAnsi="Palatino Linotype"/>
          <w:b w:val="0"/>
        </w:rPr>
        <w:t xml:space="preserve">its </w:t>
      </w:r>
      <w:r w:rsidRPr="00511954" w:rsidR="00A376A0">
        <w:rPr>
          <w:rFonts w:ascii="Palatino Linotype" w:hAnsi="Palatino Linotype"/>
          <w:b w:val="0"/>
        </w:rPr>
        <w:t xml:space="preserve">supplemental AL, PG&amp;E </w:t>
      </w:r>
      <w:r w:rsidRPr="00511954" w:rsidR="00370B79">
        <w:rPr>
          <w:rFonts w:ascii="Palatino Linotype" w:hAnsi="Palatino Linotype"/>
          <w:b w:val="0"/>
        </w:rPr>
        <w:t>seeks</w:t>
      </w:r>
      <w:r w:rsidRPr="00511954" w:rsidR="00A376A0">
        <w:rPr>
          <w:rFonts w:ascii="Palatino Linotype" w:hAnsi="Palatino Linotype"/>
          <w:b w:val="0"/>
        </w:rPr>
        <w:t xml:space="preserve"> clarification on </w:t>
      </w:r>
      <w:r w:rsidR="00F427C5">
        <w:rPr>
          <w:rFonts w:ascii="Palatino Linotype" w:hAnsi="Palatino Linotype"/>
          <w:b w:val="0"/>
        </w:rPr>
        <w:t>D</w:t>
      </w:r>
      <w:r w:rsidRPr="00511954" w:rsidR="00F427C5">
        <w:rPr>
          <w:rFonts w:ascii="Palatino Linotype" w:hAnsi="Palatino Linotype"/>
          <w:b w:val="0"/>
        </w:rPr>
        <w:t xml:space="preserve">.18-12-015 </w:t>
      </w:r>
      <w:r w:rsidR="00F427C5">
        <w:rPr>
          <w:rFonts w:ascii="Palatino Linotype" w:hAnsi="Palatino Linotype"/>
          <w:b w:val="0"/>
        </w:rPr>
        <w:t>(</w:t>
      </w:r>
      <w:r w:rsidRPr="00511954" w:rsidR="00A165B3">
        <w:rPr>
          <w:rFonts w:ascii="Palatino Linotype" w:hAnsi="Palatino Linotype"/>
          <w:b w:val="0"/>
        </w:rPr>
        <w:t>Decision</w:t>
      </w:r>
      <w:r w:rsidRPr="00511954" w:rsidR="003D4495">
        <w:rPr>
          <w:rFonts w:ascii="Palatino Linotype" w:hAnsi="Palatino Linotype"/>
          <w:b w:val="0"/>
        </w:rPr>
        <w:t xml:space="preserve"> </w:t>
      </w:r>
      <w:r w:rsidRPr="00511954" w:rsidR="00A42FD3">
        <w:rPr>
          <w:rFonts w:ascii="Palatino Linotype" w:hAnsi="Palatino Linotype"/>
          <w:b w:val="0"/>
        </w:rPr>
        <w:t>A</w:t>
      </w:r>
      <w:r w:rsidRPr="00511954" w:rsidR="003D4495">
        <w:rPr>
          <w:rFonts w:ascii="Palatino Linotype" w:hAnsi="Palatino Linotype"/>
          <w:b w:val="0"/>
        </w:rPr>
        <w:t xml:space="preserve">pproving San Joaquin Valley Disadvantaged Communities Pilot Projects </w:t>
      </w:r>
      <w:r w:rsidRPr="00511954" w:rsidR="00E26EF4">
        <w:rPr>
          <w:rFonts w:ascii="Palatino Linotype" w:hAnsi="Palatino Linotype"/>
          <w:b w:val="0"/>
        </w:rPr>
        <w:t>or SJV Pilots Decision</w:t>
      </w:r>
      <w:r w:rsidRPr="00511954" w:rsidR="003D4495">
        <w:rPr>
          <w:rFonts w:ascii="Palatino Linotype" w:hAnsi="Palatino Linotype"/>
          <w:b w:val="0"/>
        </w:rPr>
        <w:t>)</w:t>
      </w:r>
      <w:r w:rsidRPr="00511954" w:rsidR="00E26EF4">
        <w:rPr>
          <w:rFonts w:ascii="Palatino Linotype" w:hAnsi="Palatino Linotype"/>
          <w:b w:val="0"/>
        </w:rPr>
        <w:t>,</w:t>
      </w:r>
      <w:r w:rsidRPr="00511954" w:rsidR="003D4495">
        <w:rPr>
          <w:rFonts w:ascii="Palatino Linotype" w:hAnsi="Palatino Linotype"/>
          <w:b w:val="0"/>
        </w:rPr>
        <w:t xml:space="preserve"> </w:t>
      </w:r>
      <w:r w:rsidRPr="00511954" w:rsidR="00A376A0">
        <w:rPr>
          <w:rFonts w:ascii="Palatino Linotype" w:hAnsi="Palatino Linotype"/>
          <w:b w:val="0"/>
        </w:rPr>
        <w:t>which</w:t>
      </w:r>
      <w:r w:rsidRPr="00511954" w:rsidR="00370B79">
        <w:rPr>
          <w:rFonts w:ascii="Palatino Linotype" w:hAnsi="Palatino Linotype"/>
          <w:b w:val="0"/>
        </w:rPr>
        <w:t xml:space="preserve"> required the IOUs to release</w:t>
      </w:r>
      <w:r w:rsidRPr="00511954" w:rsidR="00A376A0">
        <w:rPr>
          <w:rFonts w:ascii="Palatino Linotype" w:hAnsi="Palatino Linotype"/>
          <w:b w:val="0"/>
        </w:rPr>
        <w:t xml:space="preserve"> RF</w:t>
      </w:r>
      <w:r w:rsidRPr="00511954" w:rsidR="00370B79">
        <w:rPr>
          <w:rFonts w:ascii="Palatino Linotype" w:hAnsi="Palatino Linotype"/>
          <w:b w:val="0"/>
        </w:rPr>
        <w:t>Os</w:t>
      </w:r>
      <w:r w:rsidRPr="00511954" w:rsidR="00A376A0">
        <w:rPr>
          <w:rFonts w:ascii="Palatino Linotype" w:hAnsi="Palatino Linotype"/>
          <w:b w:val="0"/>
        </w:rPr>
        <w:t xml:space="preserve"> for CSGT within 90 days of approval of their DAC-GT and CSGT implementation AL</w:t>
      </w:r>
      <w:r w:rsidRPr="00511954" w:rsidR="00370B79">
        <w:rPr>
          <w:rFonts w:ascii="Palatino Linotype" w:hAnsi="Palatino Linotype"/>
          <w:b w:val="0"/>
        </w:rPr>
        <w:t>s</w:t>
      </w:r>
      <w:r w:rsidRPr="00511954" w:rsidR="00A376A0">
        <w:rPr>
          <w:rFonts w:ascii="Palatino Linotype" w:hAnsi="Palatino Linotype"/>
          <w:b w:val="0"/>
        </w:rPr>
        <w:t>. PG&amp;E states that this timeline is not possible</w:t>
      </w:r>
      <w:r w:rsidRPr="00511954" w:rsidR="00F15E82">
        <w:rPr>
          <w:rFonts w:ascii="Palatino Linotype" w:hAnsi="Palatino Linotype"/>
          <w:b w:val="0"/>
        </w:rPr>
        <w:t xml:space="preserve"> because the IOUs cannot launch RFOs until their solicitation documents are approved by the Commission</w:t>
      </w:r>
      <w:r w:rsidRPr="00511954">
        <w:rPr>
          <w:rFonts w:ascii="Palatino Linotype" w:hAnsi="Palatino Linotype"/>
          <w:b w:val="0"/>
        </w:rPr>
        <w:t>,</w:t>
      </w:r>
      <w:r w:rsidRPr="00511954" w:rsidR="00F15E82">
        <w:rPr>
          <w:rFonts w:ascii="Palatino Linotype" w:hAnsi="Palatino Linotype"/>
          <w:b w:val="0"/>
        </w:rPr>
        <w:t xml:space="preserve"> and the IOUs cannot submit their CSGT solicitation documents to the Commission until their DAC-GT and CSGT program implementation ALs are approved. Thus, PG&amp;E</w:t>
      </w:r>
      <w:r w:rsidRPr="00511954" w:rsidR="00A376A0">
        <w:rPr>
          <w:rFonts w:ascii="Palatino Linotype" w:hAnsi="Palatino Linotype"/>
          <w:b w:val="0"/>
        </w:rPr>
        <w:t xml:space="preserve"> requests that the Commission clarify that the IOUs </w:t>
      </w:r>
      <w:r w:rsidR="00F427C5">
        <w:rPr>
          <w:rFonts w:ascii="Palatino Linotype" w:hAnsi="Palatino Linotype"/>
          <w:b w:val="0"/>
        </w:rPr>
        <w:t>are</w:t>
      </w:r>
      <w:r w:rsidRPr="00511954" w:rsidR="00A376A0">
        <w:rPr>
          <w:rFonts w:ascii="Palatino Linotype" w:hAnsi="Palatino Linotype"/>
          <w:b w:val="0"/>
        </w:rPr>
        <w:t xml:space="preserve"> required to submit solicitation documents within 90 days of approval</w:t>
      </w:r>
      <w:r w:rsidRPr="00511954" w:rsidR="00370B79">
        <w:rPr>
          <w:rFonts w:ascii="Palatino Linotype" w:hAnsi="Palatino Linotype"/>
          <w:b w:val="0"/>
        </w:rPr>
        <w:t xml:space="preserve"> of their DAC-GT and CSGT program implementation ALs</w:t>
      </w:r>
      <w:r w:rsidRPr="00511954" w:rsidR="00A376A0">
        <w:rPr>
          <w:rFonts w:ascii="Palatino Linotype" w:hAnsi="Palatino Linotype"/>
          <w:b w:val="0"/>
        </w:rPr>
        <w:t>.</w:t>
      </w:r>
      <w:r w:rsidRPr="00511954" w:rsidR="00376E5B">
        <w:rPr>
          <w:rStyle w:val="FootnoteReference"/>
          <w:rFonts w:ascii="Palatino Linotype" w:hAnsi="Palatino Linotype"/>
          <w:b w:val="0"/>
        </w:rPr>
        <w:footnoteReference w:id="77"/>
      </w:r>
      <w:r w:rsidRPr="00511954" w:rsidR="00A376A0">
        <w:rPr>
          <w:rFonts w:ascii="Palatino Linotype" w:hAnsi="Palatino Linotype"/>
          <w:b w:val="0"/>
        </w:rPr>
        <w:t xml:space="preserve"> </w:t>
      </w:r>
    </w:p>
    <w:p w:rsidRPr="00511954" w:rsidR="00DB4382" w:rsidP="002E708B" w:rsidRDefault="00E26EF4" w14:paraId="62356ADA" w14:textId="2DED6FCE">
      <w:pPr>
        <w:pStyle w:val="BodyText"/>
        <w:spacing w:after="120"/>
        <w:rPr>
          <w:rFonts w:ascii="Palatino Linotype" w:hAnsi="Palatino Linotype"/>
          <w:b w:val="0"/>
        </w:rPr>
      </w:pPr>
      <w:r w:rsidRPr="00511954">
        <w:rPr>
          <w:rFonts w:ascii="Palatino Linotype" w:hAnsi="Palatino Linotype"/>
          <w:b w:val="0"/>
        </w:rPr>
        <w:t>The SJV Pilots Decision</w:t>
      </w:r>
      <w:r w:rsidRPr="00511954" w:rsidR="00376E5B">
        <w:rPr>
          <w:rFonts w:ascii="Palatino Linotype" w:hAnsi="Palatino Linotype"/>
          <w:b w:val="0"/>
        </w:rPr>
        <w:t xml:space="preserve"> states, “Utility Advice Letters to implement CSGT and DAC-GT are currently pending; the program</w:t>
      </w:r>
      <w:r w:rsidRPr="00511954" w:rsidR="003D453F">
        <w:rPr>
          <w:rFonts w:ascii="Palatino Linotype" w:hAnsi="Palatino Linotype"/>
          <w:b w:val="0"/>
        </w:rPr>
        <w:t xml:space="preserve"> [Request for Proposal]</w:t>
      </w:r>
      <w:r w:rsidRPr="00511954" w:rsidR="00376E5B">
        <w:rPr>
          <w:rFonts w:ascii="Palatino Linotype" w:hAnsi="Palatino Linotype"/>
          <w:b w:val="0"/>
        </w:rPr>
        <w:t xml:space="preserve"> should be released no later than 90 days after approval of these Advice Letters, unless another timeline is specified in the Energy Division resolution.”</w:t>
      </w:r>
      <w:r w:rsidRPr="00511954" w:rsidR="00376E5B">
        <w:rPr>
          <w:rStyle w:val="FootnoteReference"/>
          <w:rFonts w:ascii="Palatino Linotype" w:hAnsi="Palatino Linotype"/>
          <w:b w:val="0"/>
        </w:rPr>
        <w:footnoteReference w:id="78"/>
      </w:r>
      <w:r w:rsidRPr="00511954" w:rsidR="00376E5B">
        <w:rPr>
          <w:rFonts w:ascii="Palatino Linotype" w:hAnsi="Palatino Linotype"/>
          <w:b w:val="0"/>
        </w:rPr>
        <w:t xml:space="preserve"> </w:t>
      </w:r>
      <w:r w:rsidRPr="00511954">
        <w:rPr>
          <w:rFonts w:ascii="Palatino Linotype" w:hAnsi="Palatino Linotype"/>
          <w:b w:val="0"/>
        </w:rPr>
        <w:t>We</w:t>
      </w:r>
      <w:r w:rsidRPr="00511954" w:rsidR="00376E5B">
        <w:rPr>
          <w:rFonts w:ascii="Palatino Linotype" w:hAnsi="Palatino Linotype"/>
          <w:b w:val="0"/>
        </w:rPr>
        <w:t xml:space="preserve"> agree </w:t>
      </w:r>
      <w:r w:rsidRPr="00511954" w:rsidR="00CF472B">
        <w:rPr>
          <w:rFonts w:ascii="Palatino Linotype" w:hAnsi="Palatino Linotype"/>
          <w:b w:val="0"/>
        </w:rPr>
        <w:t xml:space="preserve">with PG&amp;E’s point </w:t>
      </w:r>
      <w:r w:rsidRPr="00511954" w:rsidR="00376E5B">
        <w:rPr>
          <w:rFonts w:ascii="Palatino Linotype" w:hAnsi="Palatino Linotype"/>
          <w:b w:val="0"/>
        </w:rPr>
        <w:t xml:space="preserve">that it would be impractical for the IOUs to </w:t>
      </w:r>
      <w:r w:rsidRPr="00511954" w:rsidR="00744D78">
        <w:rPr>
          <w:rFonts w:ascii="Palatino Linotype" w:hAnsi="Palatino Linotype"/>
          <w:b w:val="0"/>
        </w:rPr>
        <w:t xml:space="preserve">issue </w:t>
      </w:r>
      <w:r w:rsidRPr="00511954" w:rsidR="00376E5B">
        <w:rPr>
          <w:rFonts w:ascii="Palatino Linotype" w:hAnsi="Palatino Linotype"/>
          <w:b w:val="0"/>
        </w:rPr>
        <w:t>RFOs within 90 days of issuance of this Resolution</w:t>
      </w:r>
      <w:r w:rsidR="00F427C5">
        <w:rPr>
          <w:rFonts w:ascii="Palatino Linotype" w:hAnsi="Palatino Linotype"/>
          <w:b w:val="0"/>
        </w:rPr>
        <w:t>,</w:t>
      </w:r>
      <w:r w:rsidRPr="00511954" w:rsidR="00CF472B">
        <w:rPr>
          <w:rFonts w:ascii="Palatino Linotype" w:hAnsi="Palatino Linotype"/>
          <w:b w:val="0"/>
        </w:rPr>
        <w:t xml:space="preserve"> due to the need to submit their solicitation documents for approval</w:t>
      </w:r>
      <w:r w:rsidRPr="00511954" w:rsidR="00376E5B">
        <w:rPr>
          <w:rFonts w:ascii="Palatino Linotype" w:hAnsi="Palatino Linotype"/>
          <w:b w:val="0"/>
        </w:rPr>
        <w:t xml:space="preserve">. </w:t>
      </w:r>
      <w:r w:rsidRPr="00511954">
        <w:rPr>
          <w:rFonts w:ascii="Palatino Linotype" w:hAnsi="Palatino Linotype"/>
          <w:b w:val="0"/>
        </w:rPr>
        <w:t>We find</w:t>
      </w:r>
      <w:r w:rsidRPr="00511954" w:rsidR="00397400">
        <w:rPr>
          <w:rFonts w:ascii="Palatino Linotype" w:hAnsi="Palatino Linotype"/>
          <w:b w:val="0"/>
        </w:rPr>
        <w:t xml:space="preserve"> it </w:t>
      </w:r>
      <w:r w:rsidRPr="00511954" w:rsidR="0006509F">
        <w:rPr>
          <w:rFonts w:ascii="Palatino Linotype" w:hAnsi="Palatino Linotype"/>
          <w:b w:val="0"/>
        </w:rPr>
        <w:t xml:space="preserve">reasonable for </w:t>
      </w:r>
      <w:r w:rsidRPr="00511954" w:rsidR="00376E5B">
        <w:rPr>
          <w:rFonts w:ascii="Palatino Linotype" w:hAnsi="Palatino Linotype"/>
          <w:b w:val="0"/>
        </w:rPr>
        <w:t>each IOU</w:t>
      </w:r>
      <w:r w:rsidRPr="00511954" w:rsidR="00A376A0">
        <w:rPr>
          <w:rFonts w:ascii="Palatino Linotype" w:hAnsi="Palatino Linotype"/>
          <w:b w:val="0"/>
        </w:rPr>
        <w:t xml:space="preserve"> to submit a </w:t>
      </w:r>
      <w:r w:rsidRPr="00511954" w:rsidR="00376E5B">
        <w:rPr>
          <w:rFonts w:ascii="Palatino Linotype" w:hAnsi="Palatino Linotype"/>
          <w:b w:val="0"/>
        </w:rPr>
        <w:t>T</w:t>
      </w:r>
      <w:r w:rsidRPr="00511954" w:rsidR="00A376A0">
        <w:rPr>
          <w:rFonts w:ascii="Palatino Linotype" w:hAnsi="Palatino Linotype"/>
          <w:b w:val="0"/>
        </w:rPr>
        <w:t xml:space="preserve">ier 2 AL with </w:t>
      </w:r>
      <w:r w:rsidRPr="00511954" w:rsidR="00376E5B">
        <w:rPr>
          <w:rFonts w:ascii="Palatino Linotype" w:hAnsi="Palatino Linotype"/>
          <w:b w:val="0"/>
        </w:rPr>
        <w:t>its</w:t>
      </w:r>
      <w:r w:rsidRPr="00511954" w:rsidR="00A376A0">
        <w:rPr>
          <w:rFonts w:ascii="Palatino Linotype" w:hAnsi="Palatino Linotype"/>
          <w:b w:val="0"/>
        </w:rPr>
        <w:t xml:space="preserve"> solicitation documents</w:t>
      </w:r>
      <w:r w:rsidRPr="00511954" w:rsidR="00614072">
        <w:rPr>
          <w:rFonts w:ascii="Palatino Linotype" w:hAnsi="Palatino Linotype"/>
          <w:b w:val="0"/>
        </w:rPr>
        <w:t xml:space="preserve"> for DAC-GT and CSGT</w:t>
      </w:r>
      <w:r w:rsidRPr="00511954" w:rsidR="00A376A0">
        <w:rPr>
          <w:rFonts w:ascii="Palatino Linotype" w:hAnsi="Palatino Linotype"/>
          <w:b w:val="0"/>
        </w:rPr>
        <w:t xml:space="preserve"> within </w:t>
      </w:r>
      <w:r w:rsidRPr="00511954" w:rsidR="00D05A7D">
        <w:rPr>
          <w:rFonts w:ascii="Palatino Linotype" w:hAnsi="Palatino Linotype"/>
          <w:b w:val="0"/>
        </w:rPr>
        <w:t>6</w:t>
      </w:r>
      <w:r w:rsidRPr="00511954" w:rsidR="00A376A0">
        <w:rPr>
          <w:rFonts w:ascii="Palatino Linotype" w:hAnsi="Palatino Linotype"/>
          <w:b w:val="0"/>
        </w:rPr>
        <w:t xml:space="preserve">0 days </w:t>
      </w:r>
      <w:r w:rsidRPr="00511954" w:rsidR="00376E5B">
        <w:rPr>
          <w:rFonts w:ascii="Palatino Linotype" w:hAnsi="Palatino Linotype"/>
          <w:b w:val="0"/>
        </w:rPr>
        <w:t>of issuance of this Resolution</w:t>
      </w:r>
      <w:r w:rsidRPr="00511954" w:rsidR="00D05A7D">
        <w:rPr>
          <w:rFonts w:ascii="Palatino Linotype" w:hAnsi="Palatino Linotype"/>
          <w:b w:val="0"/>
        </w:rPr>
        <w:t xml:space="preserve"> and to </w:t>
      </w:r>
      <w:r w:rsidRPr="00511954" w:rsidR="00744D78">
        <w:rPr>
          <w:rFonts w:ascii="Palatino Linotype" w:hAnsi="Palatino Linotype"/>
          <w:b w:val="0"/>
        </w:rPr>
        <w:t xml:space="preserve">issue </w:t>
      </w:r>
      <w:r w:rsidRPr="00511954" w:rsidR="00D05A7D">
        <w:rPr>
          <w:rFonts w:ascii="Palatino Linotype" w:hAnsi="Palatino Linotype"/>
          <w:b w:val="0"/>
        </w:rPr>
        <w:t>their first RFO within 60 days of the Commission’s approval of their solicitation documents</w:t>
      </w:r>
      <w:r w:rsidRPr="00511954" w:rsidR="002E708B">
        <w:rPr>
          <w:rFonts w:ascii="Palatino Linotype" w:hAnsi="Palatino Linotype"/>
          <w:b w:val="0"/>
        </w:rPr>
        <w:t xml:space="preserve">. </w:t>
      </w:r>
      <w:r w:rsidRPr="00511954" w:rsidR="002278D2">
        <w:rPr>
          <w:rFonts w:ascii="Palatino Linotype" w:hAnsi="Palatino Linotype"/>
          <w:b w:val="0"/>
        </w:rPr>
        <w:t>After the first solicitation, IOUs must align future DAC-GT and CSGT solicitations with the GTSR solicitation</w:t>
      </w:r>
      <w:r w:rsidRPr="00511954" w:rsidR="00CF472B">
        <w:rPr>
          <w:rFonts w:ascii="Palatino Linotype" w:hAnsi="Palatino Linotype"/>
          <w:b w:val="0"/>
        </w:rPr>
        <w:t xml:space="preserve"> dates</w:t>
      </w:r>
      <w:r w:rsidRPr="00511954" w:rsidR="002278D2">
        <w:rPr>
          <w:rFonts w:ascii="Palatino Linotype" w:hAnsi="Palatino Linotype"/>
          <w:b w:val="0"/>
        </w:rPr>
        <w:t xml:space="preserve"> and ensure that such solicitations occur biannually, as required in the NEM DAC Decision.</w:t>
      </w:r>
      <w:r w:rsidRPr="00511954" w:rsidR="002278D2">
        <w:rPr>
          <w:rStyle w:val="FootnoteReference"/>
          <w:rFonts w:ascii="Palatino Linotype" w:hAnsi="Palatino Linotype"/>
          <w:b w:val="0"/>
        </w:rPr>
        <w:footnoteReference w:id="79"/>
      </w:r>
      <w:r w:rsidRPr="00511954" w:rsidR="002278D2">
        <w:rPr>
          <w:rFonts w:ascii="Palatino Linotype" w:hAnsi="Palatino Linotype"/>
          <w:b w:val="0"/>
        </w:rPr>
        <w:t xml:space="preserve"> </w:t>
      </w:r>
      <w:r w:rsidRPr="00511954" w:rsidR="00397400">
        <w:rPr>
          <w:rFonts w:ascii="Palatino Linotype" w:hAnsi="Palatino Linotype"/>
          <w:b w:val="0"/>
        </w:rPr>
        <w:t>T</w:t>
      </w:r>
      <w:r w:rsidRPr="00511954" w:rsidR="002E708B">
        <w:rPr>
          <w:rFonts w:ascii="Palatino Linotype" w:hAnsi="Palatino Linotype"/>
          <w:b w:val="0"/>
        </w:rPr>
        <w:t xml:space="preserve">he IOUs </w:t>
      </w:r>
      <w:r w:rsidRPr="00511954" w:rsidR="00666045">
        <w:rPr>
          <w:rFonts w:ascii="Palatino Linotype" w:hAnsi="Palatino Linotype"/>
          <w:b w:val="0"/>
        </w:rPr>
        <w:t xml:space="preserve">must </w:t>
      </w:r>
      <w:r w:rsidRPr="00511954" w:rsidR="00111A00">
        <w:rPr>
          <w:rFonts w:ascii="Palatino Linotype" w:hAnsi="Palatino Linotype"/>
          <w:b w:val="0"/>
        </w:rPr>
        <w:t>ensure</w:t>
      </w:r>
      <w:r w:rsidRPr="00511954" w:rsidR="00A376A0">
        <w:rPr>
          <w:rFonts w:ascii="Palatino Linotype" w:hAnsi="Palatino Linotype"/>
          <w:b w:val="0"/>
        </w:rPr>
        <w:t xml:space="preserve"> their solicitation documents </w:t>
      </w:r>
      <w:r w:rsidRPr="00511954" w:rsidR="00111A00">
        <w:rPr>
          <w:rFonts w:ascii="Palatino Linotype" w:hAnsi="Palatino Linotype"/>
          <w:b w:val="0"/>
        </w:rPr>
        <w:t xml:space="preserve">describe </w:t>
      </w:r>
      <w:r w:rsidRPr="00511954" w:rsidR="00397400">
        <w:rPr>
          <w:rFonts w:ascii="Palatino Linotype" w:hAnsi="Palatino Linotype"/>
          <w:b w:val="0"/>
        </w:rPr>
        <w:t xml:space="preserve">the requirement that </w:t>
      </w:r>
      <w:r w:rsidRPr="00511954" w:rsidR="00A376A0">
        <w:rPr>
          <w:rFonts w:ascii="Palatino Linotype" w:hAnsi="Palatino Linotype"/>
          <w:b w:val="0"/>
        </w:rPr>
        <w:t>CSGT bids</w:t>
      </w:r>
      <w:r w:rsidRPr="00511954" w:rsidR="00397400">
        <w:rPr>
          <w:rFonts w:ascii="Palatino Linotype" w:hAnsi="Palatino Linotype"/>
          <w:b w:val="0"/>
        </w:rPr>
        <w:t xml:space="preserve"> </w:t>
      </w:r>
      <w:r w:rsidRPr="00511954" w:rsidR="00A376A0">
        <w:rPr>
          <w:rFonts w:ascii="Palatino Linotype" w:hAnsi="Palatino Linotype"/>
          <w:b w:val="0"/>
        </w:rPr>
        <w:t>discuss how workforce development and job training opportunities would be created by a proposed project.</w:t>
      </w:r>
      <w:r w:rsidRPr="00511954" w:rsidR="00A376A0">
        <w:rPr>
          <w:rStyle w:val="FootnoteReference"/>
          <w:rFonts w:ascii="Palatino Linotype" w:hAnsi="Palatino Linotype"/>
          <w:b w:val="0"/>
        </w:rPr>
        <w:footnoteReference w:id="80"/>
      </w:r>
      <w:r w:rsidRPr="00511954" w:rsidR="002E708B">
        <w:rPr>
          <w:rFonts w:ascii="Palatino Linotype" w:hAnsi="Palatino Linotype"/>
          <w:b w:val="0"/>
        </w:rPr>
        <w:t xml:space="preserve"> </w:t>
      </w:r>
      <w:r w:rsidRPr="00511954" w:rsidR="00E449E4">
        <w:rPr>
          <w:rFonts w:ascii="Palatino Linotype" w:hAnsi="Palatino Linotype"/>
          <w:b w:val="0"/>
        </w:rPr>
        <w:t xml:space="preserve">We direct the </w:t>
      </w:r>
      <w:r w:rsidRPr="00511954" w:rsidR="00A376A0">
        <w:rPr>
          <w:rFonts w:ascii="Palatino Linotype" w:hAnsi="Palatino Linotype"/>
          <w:b w:val="0"/>
        </w:rPr>
        <w:t xml:space="preserve">IOUs </w:t>
      </w:r>
      <w:r w:rsidRPr="00511954" w:rsidR="00E449E4">
        <w:rPr>
          <w:rFonts w:ascii="Palatino Linotype" w:hAnsi="Palatino Linotype"/>
          <w:b w:val="0"/>
        </w:rPr>
        <w:t xml:space="preserve">to </w:t>
      </w:r>
      <w:r w:rsidRPr="00511954" w:rsidR="00A376A0">
        <w:rPr>
          <w:rFonts w:ascii="Palatino Linotype" w:hAnsi="Palatino Linotype"/>
          <w:b w:val="0"/>
        </w:rPr>
        <w:t xml:space="preserve">also describe in their solicitation documents how RFO scoring will prioritize projects </w:t>
      </w:r>
      <w:r w:rsidRPr="00511954" w:rsidR="002E708B">
        <w:rPr>
          <w:rFonts w:ascii="Palatino Linotype" w:hAnsi="Palatino Linotype"/>
          <w:b w:val="0"/>
        </w:rPr>
        <w:t>that</w:t>
      </w:r>
      <w:r w:rsidRPr="00511954" w:rsidR="00DF0CDF">
        <w:rPr>
          <w:rFonts w:ascii="Palatino Linotype" w:hAnsi="Palatino Linotype"/>
          <w:b w:val="0"/>
        </w:rPr>
        <w:t>:</w:t>
      </w:r>
      <w:r w:rsidRPr="00511954" w:rsidR="002E708B">
        <w:rPr>
          <w:rFonts w:ascii="Palatino Linotype" w:hAnsi="Palatino Linotype"/>
          <w:b w:val="0"/>
        </w:rPr>
        <w:t xml:space="preserve"> 1) are </w:t>
      </w:r>
      <w:r w:rsidRPr="00511954" w:rsidR="00111A00">
        <w:rPr>
          <w:rFonts w:ascii="Palatino Linotype" w:hAnsi="Palatino Linotype"/>
          <w:b w:val="0"/>
        </w:rPr>
        <w:t>located in top 5 percent</w:t>
      </w:r>
      <w:r w:rsidRPr="00511954" w:rsidR="00A376A0">
        <w:rPr>
          <w:rFonts w:ascii="Palatino Linotype" w:hAnsi="Palatino Linotype"/>
          <w:b w:val="0"/>
        </w:rPr>
        <w:t xml:space="preserve"> DACs or SJV pilot communities</w:t>
      </w:r>
      <w:r w:rsidRPr="00511954" w:rsidR="00E63840">
        <w:rPr>
          <w:rFonts w:ascii="Palatino Linotype" w:hAnsi="Palatino Linotype"/>
          <w:b w:val="0"/>
        </w:rPr>
        <w:t>,</w:t>
      </w:r>
      <w:r w:rsidRPr="00511954" w:rsidR="00A376A0">
        <w:rPr>
          <w:rFonts w:ascii="Palatino Linotype" w:hAnsi="Palatino Linotype"/>
          <w:b w:val="0"/>
        </w:rPr>
        <w:t xml:space="preserve"> a</w:t>
      </w:r>
      <w:r w:rsidRPr="00511954" w:rsidR="002E708B">
        <w:rPr>
          <w:rFonts w:ascii="Palatino Linotype" w:hAnsi="Palatino Linotype"/>
          <w:b w:val="0"/>
        </w:rPr>
        <w:t xml:space="preserve">nd/or 2) </w:t>
      </w:r>
      <w:r w:rsidRPr="00511954" w:rsidR="00A376A0">
        <w:rPr>
          <w:rFonts w:ascii="Palatino Linotype" w:hAnsi="Palatino Linotype"/>
          <w:b w:val="0"/>
        </w:rPr>
        <w:t>leverage other government funding</w:t>
      </w:r>
      <w:r w:rsidRPr="00511954" w:rsidR="002E708B">
        <w:rPr>
          <w:rFonts w:ascii="Palatino Linotype" w:hAnsi="Palatino Linotype"/>
          <w:b w:val="0"/>
        </w:rPr>
        <w:t xml:space="preserve"> or demonstrate support from local climate initiatives</w:t>
      </w:r>
      <w:r w:rsidRPr="00511954" w:rsidR="00A376A0">
        <w:rPr>
          <w:rFonts w:ascii="Palatino Linotype" w:hAnsi="Palatino Linotype"/>
          <w:b w:val="0"/>
        </w:rPr>
        <w:t>.</w:t>
      </w:r>
      <w:r w:rsidRPr="00511954" w:rsidR="00A376A0">
        <w:rPr>
          <w:rStyle w:val="FootnoteReference"/>
          <w:rFonts w:ascii="Palatino Linotype" w:hAnsi="Palatino Linotype"/>
          <w:b w:val="0"/>
        </w:rPr>
        <w:footnoteReference w:id="81"/>
      </w:r>
      <w:r w:rsidRPr="00511954" w:rsidR="00A376A0">
        <w:rPr>
          <w:rFonts w:ascii="Palatino Linotype" w:hAnsi="Palatino Linotype"/>
          <w:b w:val="0"/>
        </w:rPr>
        <w:t xml:space="preserve"> </w:t>
      </w:r>
    </w:p>
    <w:p w:rsidRPr="00511954" w:rsidR="0025218B" w:rsidP="002E708B" w:rsidRDefault="0025218B" w14:paraId="3651192B" w14:textId="6735C8D7">
      <w:pPr>
        <w:pStyle w:val="BodyText"/>
        <w:spacing w:after="120"/>
        <w:rPr>
          <w:rFonts w:ascii="Palatino Linotype" w:hAnsi="Palatino Linotype"/>
          <w:b w:val="0"/>
        </w:rPr>
      </w:pPr>
      <w:r w:rsidRPr="00511954">
        <w:rPr>
          <w:rFonts w:ascii="Palatino Linotype" w:hAnsi="Palatino Linotype"/>
          <w:b w:val="0"/>
        </w:rPr>
        <w:t xml:space="preserve">In its original AL, SCE notes that its CSGT </w:t>
      </w:r>
      <w:r w:rsidRPr="00511954" w:rsidR="00DB4382">
        <w:rPr>
          <w:rFonts w:ascii="Palatino Linotype" w:hAnsi="Palatino Linotype"/>
          <w:b w:val="0"/>
        </w:rPr>
        <w:t xml:space="preserve">solicitation </w:t>
      </w:r>
      <w:r w:rsidRPr="00511954">
        <w:rPr>
          <w:rFonts w:ascii="Palatino Linotype" w:hAnsi="Palatino Linotype"/>
          <w:b w:val="0"/>
        </w:rPr>
        <w:t xml:space="preserve">will prioritize </w:t>
      </w:r>
      <w:r w:rsidRPr="00511954" w:rsidR="00DB4382">
        <w:rPr>
          <w:rFonts w:ascii="Palatino Linotype" w:hAnsi="Palatino Linotype"/>
          <w:b w:val="0"/>
        </w:rPr>
        <w:t xml:space="preserve">the </w:t>
      </w:r>
      <w:r w:rsidRPr="00511954" w:rsidR="00253459">
        <w:rPr>
          <w:rFonts w:ascii="Palatino Linotype" w:hAnsi="Palatino Linotype"/>
          <w:b w:val="0"/>
        </w:rPr>
        <w:t>project attributes</w:t>
      </w:r>
      <w:r w:rsidRPr="00511954" w:rsidR="00DB4382">
        <w:rPr>
          <w:rFonts w:ascii="Palatino Linotype" w:hAnsi="Palatino Linotype"/>
          <w:b w:val="0"/>
        </w:rPr>
        <w:t xml:space="preserve"> </w:t>
      </w:r>
      <w:r w:rsidRPr="00511954" w:rsidR="00253459">
        <w:rPr>
          <w:rFonts w:ascii="Palatino Linotype" w:hAnsi="Palatino Linotype"/>
          <w:b w:val="0"/>
        </w:rPr>
        <w:t>listed</w:t>
      </w:r>
      <w:r w:rsidRPr="00511954" w:rsidR="00DB4382">
        <w:rPr>
          <w:rFonts w:ascii="Palatino Linotype" w:hAnsi="Palatino Linotype"/>
          <w:b w:val="0"/>
        </w:rPr>
        <w:t xml:space="preserve"> above</w:t>
      </w:r>
      <w:r w:rsidRPr="00511954" w:rsidR="00CF472B">
        <w:rPr>
          <w:rFonts w:ascii="Palatino Linotype" w:hAnsi="Palatino Linotype"/>
          <w:b w:val="0"/>
        </w:rPr>
        <w:t>,</w:t>
      </w:r>
      <w:r w:rsidRPr="00511954" w:rsidR="00DB4382">
        <w:rPr>
          <w:rFonts w:ascii="Palatino Linotype" w:hAnsi="Palatino Linotype"/>
          <w:b w:val="0"/>
        </w:rPr>
        <w:t xml:space="preserve"> but </w:t>
      </w:r>
      <w:r w:rsidRPr="00511954" w:rsidR="00253459">
        <w:rPr>
          <w:rFonts w:ascii="Palatino Linotype" w:hAnsi="Palatino Linotype"/>
          <w:b w:val="0"/>
        </w:rPr>
        <w:t xml:space="preserve">that </w:t>
      </w:r>
      <w:r w:rsidRPr="00511954" w:rsidR="00DB4382">
        <w:rPr>
          <w:rFonts w:ascii="Palatino Linotype" w:hAnsi="Palatino Linotype"/>
          <w:b w:val="0"/>
        </w:rPr>
        <w:t>it also plans to provide “</w:t>
      </w:r>
      <w:r w:rsidRPr="00511954">
        <w:rPr>
          <w:rFonts w:ascii="Palatino Linotype" w:hAnsi="Palatino Linotype"/>
          <w:b w:val="0"/>
        </w:rPr>
        <w:t>a qualitative benefit to projects that are able to demonstrate that they</w:t>
      </w:r>
      <w:r w:rsidRPr="00511954" w:rsidR="00DB4382">
        <w:rPr>
          <w:rFonts w:ascii="Palatino Linotype" w:hAnsi="Palatino Linotype"/>
          <w:b w:val="0"/>
        </w:rPr>
        <w:t xml:space="preserve"> . . . have a local project sponsor within five miles of the project that can absorb up to 25 percent of the project’s capacity</w:t>
      </w:r>
      <w:r w:rsidRPr="00511954" w:rsidR="00E63840">
        <w:rPr>
          <w:rFonts w:ascii="Palatino Linotype" w:hAnsi="Palatino Linotype"/>
          <w:b w:val="0"/>
        </w:rPr>
        <w:t>.</w:t>
      </w:r>
      <w:r w:rsidRPr="00511954" w:rsidR="00DB4382">
        <w:rPr>
          <w:rFonts w:ascii="Palatino Linotype" w:hAnsi="Palatino Linotype"/>
          <w:b w:val="0"/>
        </w:rPr>
        <w:t>”</w:t>
      </w:r>
      <w:r w:rsidRPr="00511954" w:rsidR="00DB4382">
        <w:rPr>
          <w:rStyle w:val="FootnoteReference"/>
          <w:rFonts w:ascii="Palatino Linotype" w:hAnsi="Palatino Linotype"/>
          <w:b w:val="0"/>
        </w:rPr>
        <w:footnoteReference w:id="82"/>
      </w:r>
      <w:r w:rsidRPr="00511954" w:rsidR="00DB4382">
        <w:rPr>
          <w:rFonts w:ascii="Palatino Linotype" w:hAnsi="Palatino Linotype"/>
          <w:b w:val="0"/>
        </w:rPr>
        <w:t xml:space="preserve"> The </w:t>
      </w:r>
      <w:r w:rsidRPr="00511954" w:rsidR="00A165B3">
        <w:rPr>
          <w:rFonts w:ascii="Palatino Linotype" w:hAnsi="Palatino Linotype"/>
          <w:b w:val="0"/>
        </w:rPr>
        <w:t>Decision</w:t>
      </w:r>
      <w:r w:rsidRPr="00511954" w:rsidR="00DB4382">
        <w:rPr>
          <w:rFonts w:ascii="Palatino Linotype" w:hAnsi="Palatino Linotype"/>
          <w:b w:val="0"/>
        </w:rPr>
        <w:t xml:space="preserve"> does not state any preference for a community sponsor subscribing to </w:t>
      </w:r>
      <w:r w:rsidRPr="00511954" w:rsidR="00253459">
        <w:rPr>
          <w:rFonts w:ascii="Palatino Linotype" w:hAnsi="Palatino Linotype"/>
          <w:b w:val="0"/>
        </w:rPr>
        <w:t>a</w:t>
      </w:r>
      <w:r w:rsidRPr="00511954" w:rsidR="00DB4382">
        <w:rPr>
          <w:rFonts w:ascii="Palatino Linotype" w:hAnsi="Palatino Linotype"/>
          <w:b w:val="0"/>
        </w:rPr>
        <w:t xml:space="preserve"> project</w:t>
      </w:r>
      <w:r w:rsidRPr="00511954" w:rsidR="00253459">
        <w:rPr>
          <w:rFonts w:ascii="Palatino Linotype" w:hAnsi="Palatino Linotype"/>
          <w:b w:val="0"/>
        </w:rPr>
        <w:t>. T</w:t>
      </w:r>
      <w:r w:rsidRPr="00511954" w:rsidR="00DB4382">
        <w:rPr>
          <w:rFonts w:ascii="Palatino Linotype" w:hAnsi="Palatino Linotype"/>
          <w:b w:val="0"/>
        </w:rPr>
        <w:t>o encourage diverse community</w:t>
      </w:r>
      <w:r w:rsidRPr="00511954" w:rsidR="00E63840">
        <w:rPr>
          <w:rFonts w:ascii="Palatino Linotype" w:hAnsi="Palatino Linotype"/>
          <w:b w:val="0"/>
        </w:rPr>
        <w:t>-</w:t>
      </w:r>
      <w:r w:rsidRPr="00511954" w:rsidR="00DB4382">
        <w:rPr>
          <w:rFonts w:ascii="Palatino Linotype" w:hAnsi="Palatino Linotype"/>
          <w:b w:val="0"/>
        </w:rPr>
        <w:t xml:space="preserve">based organizations to serve as community sponsors, even those that may not be eligible to subscribe to a CSGT project, </w:t>
      </w:r>
      <w:r w:rsidRPr="00511954" w:rsidR="00E26EF4">
        <w:rPr>
          <w:rFonts w:ascii="Palatino Linotype" w:hAnsi="Palatino Linotype"/>
          <w:b w:val="0"/>
        </w:rPr>
        <w:t>we direct</w:t>
      </w:r>
      <w:r w:rsidRPr="00511954" w:rsidR="00DB4382">
        <w:rPr>
          <w:rFonts w:ascii="Palatino Linotype" w:hAnsi="Palatino Linotype"/>
          <w:b w:val="0"/>
        </w:rPr>
        <w:t xml:space="preserve"> SCE </w:t>
      </w:r>
      <w:r w:rsidRPr="00511954" w:rsidR="00E26EF4">
        <w:rPr>
          <w:rFonts w:ascii="Palatino Linotype" w:hAnsi="Palatino Linotype"/>
          <w:b w:val="0"/>
        </w:rPr>
        <w:t>to</w:t>
      </w:r>
      <w:r w:rsidRPr="00511954" w:rsidR="00DB4382">
        <w:rPr>
          <w:rFonts w:ascii="Palatino Linotype" w:hAnsi="Palatino Linotype"/>
          <w:b w:val="0"/>
        </w:rPr>
        <w:t xml:space="preserve"> remove this arbitrary scoring treatment from its CSGT implementation plan.</w:t>
      </w:r>
    </w:p>
    <w:p w:rsidRPr="00511954" w:rsidR="00B733FC" w:rsidP="00B733FC" w:rsidRDefault="00B733FC" w14:paraId="603F56A5" w14:textId="1CC861DC">
      <w:pPr>
        <w:pStyle w:val="BodyText"/>
        <w:spacing w:after="120"/>
        <w:rPr>
          <w:rFonts w:ascii="Palatino Linotype" w:hAnsi="Palatino Linotype" w:cs="TimesNewRoman"/>
          <w:szCs w:val="24"/>
        </w:rPr>
      </w:pPr>
      <w:r w:rsidRPr="00511954">
        <w:rPr>
          <w:rFonts w:ascii="Palatino Linotype" w:hAnsi="Palatino Linotype"/>
          <w:b w:val="0"/>
        </w:rPr>
        <w:t>In line with IREC</w:t>
      </w:r>
      <w:r w:rsidRPr="00511954" w:rsidR="00F42499">
        <w:rPr>
          <w:rFonts w:ascii="Palatino Linotype" w:hAnsi="Palatino Linotype"/>
          <w:b w:val="0"/>
        </w:rPr>
        <w:t>/</w:t>
      </w:r>
      <w:r w:rsidRPr="00511954">
        <w:rPr>
          <w:rFonts w:ascii="Palatino Linotype" w:hAnsi="Palatino Linotype"/>
          <w:b w:val="0"/>
        </w:rPr>
        <w:t>SELC’s statement that, “the Energy Division should ensure that the</w:t>
      </w:r>
      <w:r w:rsidRPr="00511954">
        <w:rPr>
          <w:rFonts w:ascii="Palatino Linotype" w:hAnsi="Palatino Linotype" w:cs="TimesNewRoman"/>
          <w:b w:val="0"/>
          <w:szCs w:val="24"/>
        </w:rPr>
        <w:t xml:space="preserve"> utilities do not place unnecessary impediments on smaller sized</w:t>
      </w:r>
      <w:r w:rsidRPr="00511954">
        <w:rPr>
          <w:rFonts w:ascii="Palatino Linotype" w:hAnsi="Palatino Linotype" w:cs="TimesNewRoman"/>
          <w:szCs w:val="24"/>
        </w:rPr>
        <w:t xml:space="preserve"> </w:t>
      </w:r>
      <w:r w:rsidRPr="00511954">
        <w:rPr>
          <w:rFonts w:ascii="Palatino Linotype" w:hAnsi="Palatino Linotype" w:cs="TimesNewRoman"/>
          <w:b w:val="0"/>
          <w:szCs w:val="24"/>
        </w:rPr>
        <w:t>projects,”</w:t>
      </w:r>
      <w:r w:rsidRPr="00511954">
        <w:rPr>
          <w:rStyle w:val="FootnoteReference"/>
          <w:rFonts w:ascii="Palatino Linotype" w:hAnsi="Palatino Linotype" w:cs="TimesNewRoman"/>
          <w:b w:val="0"/>
          <w:szCs w:val="24"/>
        </w:rPr>
        <w:footnoteReference w:id="83"/>
      </w:r>
      <w:r w:rsidRPr="00511954">
        <w:rPr>
          <w:rFonts w:ascii="Palatino Linotype" w:hAnsi="Palatino Linotype" w:cs="TimesNewRoman"/>
          <w:b w:val="0"/>
          <w:szCs w:val="24"/>
        </w:rPr>
        <w:t xml:space="preserve"> </w:t>
      </w:r>
      <w:r w:rsidRPr="00511954" w:rsidR="00CF472B">
        <w:rPr>
          <w:rFonts w:ascii="Palatino Linotype" w:hAnsi="Palatino Linotype" w:cs="TimesNewRoman"/>
          <w:b w:val="0"/>
          <w:szCs w:val="24"/>
        </w:rPr>
        <w:t>we clarify</w:t>
      </w:r>
      <w:r w:rsidRPr="00511954">
        <w:rPr>
          <w:rFonts w:ascii="Palatino Linotype" w:hAnsi="Palatino Linotype" w:cs="TimesNewRoman"/>
          <w:b w:val="0"/>
          <w:szCs w:val="24"/>
        </w:rPr>
        <w:t xml:space="preserve"> that the </w:t>
      </w:r>
      <w:r w:rsidRPr="00511954" w:rsidR="00B142E3">
        <w:rPr>
          <w:rFonts w:ascii="Palatino Linotype" w:hAnsi="Palatino Linotype" w:cs="TimesNewRoman"/>
          <w:b w:val="0"/>
          <w:szCs w:val="24"/>
        </w:rPr>
        <w:t xml:space="preserve">IOUs must consider both full deliverability and energy-only projects in their DAC-GT and CSGT projects. This </w:t>
      </w:r>
      <w:r w:rsidRPr="00511954" w:rsidR="00305A74">
        <w:rPr>
          <w:rFonts w:ascii="Palatino Linotype" w:hAnsi="Palatino Linotype" w:cs="TimesNewRoman"/>
          <w:b w:val="0"/>
          <w:szCs w:val="24"/>
        </w:rPr>
        <w:t>aligns with Commission guidance on RPS procurement</w:t>
      </w:r>
      <w:r w:rsidRPr="00511954" w:rsidR="00392652">
        <w:rPr>
          <w:rFonts w:ascii="Palatino Linotype" w:hAnsi="Palatino Linotype" w:cs="TimesNewRoman"/>
          <w:b w:val="0"/>
          <w:szCs w:val="24"/>
        </w:rPr>
        <w:t xml:space="preserve"> and enables more projects to participate in solicitations</w:t>
      </w:r>
      <w:r w:rsidRPr="00511954" w:rsidR="00305A74">
        <w:rPr>
          <w:rFonts w:ascii="Palatino Linotype" w:hAnsi="Palatino Linotype" w:cs="TimesNewRoman"/>
          <w:b w:val="0"/>
          <w:szCs w:val="24"/>
        </w:rPr>
        <w:t>.</w:t>
      </w:r>
      <w:r w:rsidRPr="00511954" w:rsidR="00305A74">
        <w:rPr>
          <w:rFonts w:ascii="Palatino Linotype" w:hAnsi="Palatino Linotype"/>
          <w:b w:val="0"/>
          <w:vertAlign w:val="superscript"/>
        </w:rPr>
        <w:footnoteReference w:id="84"/>
      </w:r>
      <w:r w:rsidRPr="00511954">
        <w:rPr>
          <w:rFonts w:ascii="Palatino Linotype" w:hAnsi="Palatino Linotype" w:cs="TimesNewRoman"/>
          <w:b w:val="0"/>
          <w:szCs w:val="24"/>
          <w:vertAlign w:val="superscript"/>
        </w:rPr>
        <w:t xml:space="preserve"> </w:t>
      </w:r>
      <w:r w:rsidRPr="00511954" w:rsidR="009B6155">
        <w:rPr>
          <w:rFonts w:ascii="Palatino Linotype" w:hAnsi="Palatino Linotype" w:cs="TimesNewRoman"/>
          <w:b w:val="0"/>
          <w:szCs w:val="24"/>
        </w:rPr>
        <w:t>While developers may</w:t>
      </w:r>
      <w:r w:rsidRPr="00511954">
        <w:rPr>
          <w:rFonts w:ascii="Palatino Linotype" w:hAnsi="Palatino Linotype" w:cs="TimesNewRoman"/>
          <w:b w:val="0"/>
          <w:szCs w:val="24"/>
        </w:rPr>
        <w:t xml:space="preserve"> elect to bid projects that count toward </w:t>
      </w:r>
      <w:r w:rsidRPr="00511954" w:rsidR="00FC43D5">
        <w:rPr>
          <w:rFonts w:ascii="Palatino Linotype" w:hAnsi="Palatino Linotype" w:cs="TimesNewRoman"/>
          <w:b w:val="0"/>
          <w:szCs w:val="24"/>
        </w:rPr>
        <w:t xml:space="preserve">the IOU’s </w:t>
      </w:r>
      <w:r w:rsidRPr="00511954">
        <w:rPr>
          <w:rFonts w:ascii="Palatino Linotype" w:hAnsi="Palatino Linotype" w:cs="TimesNewRoman"/>
          <w:b w:val="0"/>
          <w:szCs w:val="24"/>
        </w:rPr>
        <w:t>Resource Adequacy (RA)</w:t>
      </w:r>
      <w:r w:rsidRPr="00511954" w:rsidR="00FC43D5">
        <w:rPr>
          <w:rFonts w:ascii="Palatino Linotype" w:hAnsi="Palatino Linotype" w:cs="TimesNewRoman"/>
          <w:b w:val="0"/>
          <w:szCs w:val="24"/>
        </w:rPr>
        <w:t xml:space="preserve"> needs into an IOU’s DAC-GT and CSGT RFO</w:t>
      </w:r>
      <w:r w:rsidRPr="00511954">
        <w:rPr>
          <w:rFonts w:ascii="Palatino Linotype" w:hAnsi="Palatino Linotype" w:cs="TimesNewRoman"/>
          <w:b w:val="0"/>
          <w:szCs w:val="24"/>
        </w:rPr>
        <w:t xml:space="preserve">, </w:t>
      </w:r>
      <w:r w:rsidRPr="00511954" w:rsidR="00F42499">
        <w:rPr>
          <w:rFonts w:ascii="Palatino Linotype" w:hAnsi="Palatino Linotype" w:cs="TimesNewRoman"/>
          <w:b w:val="0"/>
          <w:szCs w:val="24"/>
        </w:rPr>
        <w:t xml:space="preserve">it would be inconsistent with Commission guidance on RPS procurement to </w:t>
      </w:r>
      <w:r w:rsidRPr="00511954" w:rsidR="00E16C05">
        <w:rPr>
          <w:rFonts w:ascii="Palatino Linotype" w:hAnsi="Palatino Linotype" w:cs="TimesNewRoman"/>
          <w:b w:val="0"/>
          <w:szCs w:val="24"/>
        </w:rPr>
        <w:t xml:space="preserve">only </w:t>
      </w:r>
      <w:r w:rsidRPr="00511954" w:rsidR="00F42499">
        <w:rPr>
          <w:rFonts w:ascii="Palatino Linotype" w:hAnsi="Palatino Linotype" w:cs="TimesNewRoman"/>
          <w:b w:val="0"/>
          <w:szCs w:val="24"/>
        </w:rPr>
        <w:t>allow projects offering RA to bid</w:t>
      </w:r>
      <w:r w:rsidRPr="00511954">
        <w:rPr>
          <w:rFonts w:ascii="Palatino Linotype" w:hAnsi="Palatino Linotype" w:cs="TimesNewRoman"/>
          <w:b w:val="0"/>
          <w:szCs w:val="24"/>
        </w:rPr>
        <w:t>. In addition, undertaking a CAISO Cluster Study</w:t>
      </w:r>
      <w:r w:rsidR="00546BD7">
        <w:rPr>
          <w:rFonts w:ascii="Palatino Linotype" w:hAnsi="Palatino Linotype" w:cs="TimesNewRoman"/>
          <w:b w:val="0"/>
          <w:szCs w:val="24"/>
        </w:rPr>
        <w:t>, which is required for resources that provide RA-eligible capacity,</w:t>
      </w:r>
      <w:r w:rsidRPr="00511954">
        <w:rPr>
          <w:rFonts w:ascii="Palatino Linotype" w:hAnsi="Palatino Linotype" w:cs="TimesNewRoman"/>
          <w:b w:val="0"/>
          <w:szCs w:val="24"/>
        </w:rPr>
        <w:t xml:space="preserve"> could prove prohibitively expensive for small</w:t>
      </w:r>
      <w:r w:rsidRPr="00511954" w:rsidR="00FC43D5">
        <w:rPr>
          <w:rFonts w:ascii="Palatino Linotype" w:hAnsi="Palatino Linotype" w:cs="TimesNewRoman"/>
          <w:b w:val="0"/>
          <w:szCs w:val="24"/>
        </w:rPr>
        <w:t>-</w:t>
      </w:r>
      <w:r w:rsidRPr="00511954">
        <w:rPr>
          <w:rFonts w:ascii="Palatino Linotype" w:hAnsi="Palatino Linotype" w:cs="TimesNewRoman"/>
          <w:b w:val="0"/>
          <w:szCs w:val="24"/>
        </w:rPr>
        <w:t xml:space="preserve">scale projects and could significantly delay these projects. </w:t>
      </w:r>
    </w:p>
    <w:p w:rsidRPr="00511954" w:rsidR="00A376A0" w:rsidP="002E708B" w:rsidRDefault="002E708B" w14:paraId="78EBD17A" w14:textId="3721F57E">
      <w:pPr>
        <w:pStyle w:val="BodyText"/>
        <w:spacing w:after="120"/>
        <w:rPr>
          <w:rFonts w:ascii="Palatino Linotype" w:hAnsi="Palatino Linotype"/>
          <w:b w:val="0"/>
        </w:rPr>
      </w:pPr>
      <w:r w:rsidRPr="00511954">
        <w:rPr>
          <w:rFonts w:ascii="Palatino Linotype" w:hAnsi="Palatino Linotype"/>
          <w:b w:val="0"/>
        </w:rPr>
        <w:t>Finally</w:t>
      </w:r>
      <w:r w:rsidRPr="00511954" w:rsidR="00DF0CBC">
        <w:rPr>
          <w:rFonts w:ascii="Palatino Linotype" w:hAnsi="Palatino Linotype"/>
          <w:b w:val="0"/>
        </w:rPr>
        <w:t>,</w:t>
      </w:r>
      <w:r w:rsidRPr="00511954">
        <w:rPr>
          <w:rFonts w:ascii="Palatino Linotype" w:hAnsi="Palatino Linotype"/>
          <w:b w:val="0"/>
        </w:rPr>
        <w:t xml:space="preserve"> </w:t>
      </w:r>
      <w:r w:rsidRPr="00511954" w:rsidR="00D53ED4">
        <w:rPr>
          <w:rFonts w:ascii="Palatino Linotype" w:hAnsi="Palatino Linotype"/>
          <w:b w:val="0"/>
        </w:rPr>
        <w:t>two points o</w:t>
      </w:r>
      <w:r w:rsidRPr="00511954">
        <w:rPr>
          <w:rFonts w:ascii="Palatino Linotype" w:hAnsi="Palatino Linotype"/>
          <w:b w:val="0"/>
        </w:rPr>
        <w:t>n the IOUs’ first RFOs</w:t>
      </w:r>
      <w:r w:rsidRPr="00511954" w:rsidR="00D53ED4">
        <w:rPr>
          <w:rFonts w:ascii="Palatino Linotype" w:hAnsi="Palatino Linotype"/>
          <w:b w:val="0"/>
        </w:rPr>
        <w:t xml:space="preserve"> need to be clarified</w:t>
      </w:r>
      <w:r w:rsidRPr="00511954">
        <w:rPr>
          <w:rFonts w:ascii="Palatino Linotype" w:hAnsi="Palatino Linotype"/>
          <w:b w:val="0"/>
        </w:rPr>
        <w:t xml:space="preserve">. First, while </w:t>
      </w:r>
      <w:r w:rsidRPr="00511954" w:rsidR="009A52F3">
        <w:rPr>
          <w:rFonts w:ascii="Palatino Linotype" w:hAnsi="Palatino Linotype"/>
          <w:b w:val="0"/>
        </w:rPr>
        <w:t xml:space="preserve">the NEM DAC Decision allows </w:t>
      </w:r>
      <w:r w:rsidRPr="00511954" w:rsidR="00A376A0">
        <w:rPr>
          <w:rFonts w:ascii="Palatino Linotype" w:hAnsi="Palatino Linotype"/>
          <w:b w:val="0"/>
        </w:rPr>
        <w:t xml:space="preserve">SCE to </w:t>
      </w:r>
      <w:r w:rsidRPr="00511954" w:rsidR="00744D78">
        <w:rPr>
          <w:rFonts w:ascii="Palatino Linotype" w:hAnsi="Palatino Linotype"/>
          <w:b w:val="0"/>
        </w:rPr>
        <w:t xml:space="preserve">issue </w:t>
      </w:r>
      <w:r w:rsidRPr="00511954" w:rsidR="00A376A0">
        <w:rPr>
          <w:rFonts w:ascii="Palatino Linotype" w:hAnsi="Palatino Linotype"/>
          <w:b w:val="0"/>
        </w:rPr>
        <w:t>a</w:t>
      </w:r>
      <w:r w:rsidRPr="00511954" w:rsidR="00FC43D5">
        <w:rPr>
          <w:rFonts w:ascii="Palatino Linotype" w:hAnsi="Palatino Linotype"/>
          <w:b w:val="0"/>
        </w:rPr>
        <w:t xml:space="preserve">n </w:t>
      </w:r>
      <w:r w:rsidRPr="00511954" w:rsidR="00A376A0">
        <w:rPr>
          <w:rFonts w:ascii="Palatino Linotype" w:hAnsi="Palatino Linotype"/>
          <w:b w:val="0"/>
        </w:rPr>
        <w:t>RFI for CSGT projects</w:t>
      </w:r>
      <w:r w:rsidRPr="00511954" w:rsidR="000825D8">
        <w:rPr>
          <w:rFonts w:ascii="Palatino Linotype" w:hAnsi="Palatino Linotype"/>
          <w:b w:val="0"/>
        </w:rPr>
        <w:t>,</w:t>
      </w:r>
      <w:r w:rsidRPr="00511954" w:rsidR="008137E5">
        <w:rPr>
          <w:rFonts w:ascii="Palatino Linotype" w:hAnsi="Palatino Linotype"/>
          <w:b w:val="0"/>
        </w:rPr>
        <w:t xml:space="preserve"> this should not be interpreted as allowing SCE to delay procurement of CSGT projects</w:t>
      </w:r>
      <w:r w:rsidRPr="00511954" w:rsidR="00192C14">
        <w:rPr>
          <w:rFonts w:ascii="Palatino Linotype" w:hAnsi="Palatino Linotype"/>
          <w:b w:val="0"/>
        </w:rPr>
        <w:t>; i</w:t>
      </w:r>
      <w:r w:rsidRPr="00511954" w:rsidR="0074379D">
        <w:rPr>
          <w:rFonts w:ascii="Palatino Linotype" w:hAnsi="Palatino Linotype"/>
          <w:b w:val="0"/>
        </w:rPr>
        <w:t>n fact</w:t>
      </w:r>
      <w:r w:rsidRPr="00511954" w:rsidR="008137E5">
        <w:rPr>
          <w:rFonts w:ascii="Palatino Linotype" w:hAnsi="Palatino Linotype"/>
          <w:b w:val="0"/>
        </w:rPr>
        <w:t>, the NEM DAC</w:t>
      </w:r>
      <w:r w:rsidRPr="00511954" w:rsidR="000825D8">
        <w:rPr>
          <w:rFonts w:ascii="Palatino Linotype" w:hAnsi="Palatino Linotype"/>
          <w:b w:val="0"/>
        </w:rPr>
        <w:t xml:space="preserve"> </w:t>
      </w:r>
      <w:r w:rsidRPr="00511954" w:rsidR="008137E5">
        <w:rPr>
          <w:rFonts w:ascii="Palatino Linotype" w:hAnsi="Palatino Linotype"/>
          <w:b w:val="0"/>
        </w:rPr>
        <w:t xml:space="preserve">Decision anticipated that SCE would </w:t>
      </w:r>
      <w:r w:rsidRPr="00511954" w:rsidR="00744D78">
        <w:rPr>
          <w:rFonts w:ascii="Palatino Linotype" w:hAnsi="Palatino Linotype"/>
          <w:b w:val="0"/>
        </w:rPr>
        <w:t xml:space="preserve">issue </w:t>
      </w:r>
      <w:r w:rsidRPr="00511954" w:rsidR="002278D2">
        <w:rPr>
          <w:rFonts w:ascii="Palatino Linotype" w:hAnsi="Palatino Linotype"/>
          <w:b w:val="0"/>
        </w:rPr>
        <w:t>an</w:t>
      </w:r>
      <w:r w:rsidRPr="00511954" w:rsidR="008137E5">
        <w:rPr>
          <w:rFonts w:ascii="Palatino Linotype" w:hAnsi="Palatino Linotype"/>
          <w:b w:val="0"/>
        </w:rPr>
        <w:t xml:space="preserve"> RFI </w:t>
      </w:r>
      <w:r w:rsidRPr="00511954" w:rsidR="008137E5">
        <w:rPr>
          <w:rFonts w:ascii="Palatino Linotype" w:hAnsi="Palatino Linotype"/>
          <w:b w:val="0"/>
          <w:i/>
        </w:rPr>
        <w:t>before</w:t>
      </w:r>
      <w:r w:rsidRPr="00511954" w:rsidR="008137E5">
        <w:rPr>
          <w:rFonts w:ascii="Palatino Linotype" w:hAnsi="Palatino Linotype"/>
          <w:b w:val="0"/>
        </w:rPr>
        <w:t xml:space="preserve"> the first RFO</w:t>
      </w:r>
      <w:r w:rsidRPr="00511954" w:rsidR="00A376A0">
        <w:rPr>
          <w:rFonts w:ascii="Palatino Linotype" w:hAnsi="Palatino Linotype"/>
          <w:b w:val="0"/>
        </w:rPr>
        <w:t>.</w:t>
      </w:r>
      <w:r w:rsidRPr="00511954" w:rsidR="00A376A0">
        <w:rPr>
          <w:rStyle w:val="FootnoteReference"/>
          <w:rFonts w:ascii="Palatino Linotype" w:hAnsi="Palatino Linotype"/>
          <w:b w:val="0"/>
        </w:rPr>
        <w:footnoteReference w:id="85"/>
      </w:r>
      <w:r w:rsidRPr="00511954" w:rsidR="000825D8">
        <w:rPr>
          <w:rFonts w:ascii="Palatino Linotype" w:hAnsi="Palatino Linotype"/>
          <w:b w:val="0"/>
        </w:rPr>
        <w:t xml:space="preserve"> </w:t>
      </w:r>
      <w:r w:rsidRPr="00511954" w:rsidR="00732430">
        <w:rPr>
          <w:rFonts w:ascii="Palatino Linotype" w:hAnsi="Palatino Linotype"/>
          <w:b w:val="0"/>
        </w:rPr>
        <w:t xml:space="preserve">In contrast, as discussed above, </w:t>
      </w:r>
      <w:r w:rsidRPr="00511954" w:rsidR="000825D8">
        <w:rPr>
          <w:rFonts w:ascii="Palatino Linotype" w:hAnsi="Palatino Linotype"/>
          <w:b w:val="0"/>
        </w:rPr>
        <w:t xml:space="preserve">SCE </w:t>
      </w:r>
      <w:r w:rsidRPr="00511954" w:rsidR="00732430">
        <w:rPr>
          <w:rFonts w:ascii="Palatino Linotype" w:hAnsi="Palatino Linotype"/>
          <w:b w:val="0"/>
        </w:rPr>
        <w:t xml:space="preserve">states in its AL that it plans </w:t>
      </w:r>
      <w:r w:rsidRPr="00511954" w:rsidR="000825D8">
        <w:rPr>
          <w:rFonts w:ascii="Palatino Linotype" w:hAnsi="Palatino Linotype"/>
          <w:b w:val="0"/>
        </w:rPr>
        <w:t xml:space="preserve">to </w:t>
      </w:r>
      <w:r w:rsidRPr="00511954" w:rsidR="00732430">
        <w:rPr>
          <w:rFonts w:ascii="Palatino Linotype" w:hAnsi="Palatino Linotype"/>
          <w:b w:val="0"/>
        </w:rPr>
        <w:t xml:space="preserve">only </w:t>
      </w:r>
      <w:r w:rsidRPr="00511954" w:rsidR="000825D8">
        <w:rPr>
          <w:rFonts w:ascii="Palatino Linotype" w:hAnsi="Palatino Linotype"/>
          <w:b w:val="0"/>
        </w:rPr>
        <w:t xml:space="preserve">include an RFI </w:t>
      </w:r>
      <w:r w:rsidRPr="00511954" w:rsidR="00732430">
        <w:rPr>
          <w:rFonts w:ascii="Palatino Linotype" w:hAnsi="Palatino Linotype"/>
          <w:b w:val="0"/>
        </w:rPr>
        <w:t xml:space="preserve">for CSGT projects </w:t>
      </w:r>
      <w:r w:rsidRPr="00511954" w:rsidR="000825D8">
        <w:rPr>
          <w:rFonts w:ascii="Palatino Linotype" w:hAnsi="Palatino Linotype"/>
          <w:b w:val="0"/>
        </w:rPr>
        <w:t>in its initial R</w:t>
      </w:r>
      <w:r w:rsidRPr="00511954" w:rsidR="00392652">
        <w:rPr>
          <w:rFonts w:ascii="Palatino Linotype" w:hAnsi="Palatino Linotype"/>
          <w:b w:val="0"/>
        </w:rPr>
        <w:t>F</w:t>
      </w:r>
      <w:r w:rsidRPr="00511954" w:rsidR="000825D8">
        <w:rPr>
          <w:rFonts w:ascii="Palatino Linotype" w:hAnsi="Palatino Linotype"/>
          <w:b w:val="0"/>
        </w:rPr>
        <w:t>O</w:t>
      </w:r>
      <w:r w:rsidRPr="00511954" w:rsidR="00732430">
        <w:rPr>
          <w:rFonts w:ascii="Palatino Linotype" w:hAnsi="Palatino Linotype"/>
          <w:b w:val="0"/>
        </w:rPr>
        <w:t>, “which will result in the first RFO soliciting only for DAC-Green Tariff resources.”</w:t>
      </w:r>
      <w:r w:rsidRPr="00511954" w:rsidR="00732430">
        <w:rPr>
          <w:rStyle w:val="FootnoteReference"/>
          <w:rFonts w:ascii="Palatino Linotype" w:hAnsi="Palatino Linotype"/>
          <w:b w:val="0"/>
        </w:rPr>
        <w:footnoteReference w:id="86"/>
      </w:r>
      <w:r w:rsidRPr="00511954" w:rsidR="00732430">
        <w:rPr>
          <w:rFonts w:ascii="Palatino Linotype" w:hAnsi="Palatino Linotype"/>
          <w:b w:val="0"/>
        </w:rPr>
        <w:t xml:space="preserve">  </w:t>
      </w:r>
      <w:r w:rsidRPr="00511954" w:rsidR="000825D8">
        <w:rPr>
          <w:rFonts w:ascii="Palatino Linotype" w:hAnsi="Palatino Linotype"/>
          <w:b w:val="0"/>
        </w:rPr>
        <w:t xml:space="preserve">While </w:t>
      </w:r>
      <w:r w:rsidRPr="00511954" w:rsidR="00732430">
        <w:rPr>
          <w:rFonts w:ascii="Palatino Linotype" w:hAnsi="Palatino Linotype"/>
          <w:b w:val="0"/>
        </w:rPr>
        <w:t>an</w:t>
      </w:r>
      <w:r w:rsidRPr="00511954" w:rsidR="000825D8">
        <w:rPr>
          <w:rFonts w:ascii="Palatino Linotype" w:hAnsi="Palatino Linotype"/>
          <w:b w:val="0"/>
        </w:rPr>
        <w:t xml:space="preserve"> RFI may help solicit additional</w:t>
      </w:r>
      <w:r w:rsidRPr="00511954" w:rsidR="00192C14">
        <w:rPr>
          <w:rFonts w:ascii="Palatino Linotype" w:hAnsi="Palatino Linotype"/>
          <w:b w:val="0"/>
        </w:rPr>
        <w:t>, future</w:t>
      </w:r>
      <w:r w:rsidRPr="00511954" w:rsidR="000825D8">
        <w:rPr>
          <w:rFonts w:ascii="Palatino Linotype" w:hAnsi="Palatino Linotype"/>
          <w:b w:val="0"/>
        </w:rPr>
        <w:t xml:space="preserve"> CSGT projects, we do not wish to preclude CSGT projects that may already be </w:t>
      </w:r>
      <w:r w:rsidRPr="00511954" w:rsidR="007E2567">
        <w:rPr>
          <w:rFonts w:ascii="Palatino Linotype" w:hAnsi="Palatino Linotype"/>
          <w:b w:val="0"/>
        </w:rPr>
        <w:t>prepared</w:t>
      </w:r>
      <w:r w:rsidRPr="00511954" w:rsidR="000825D8">
        <w:rPr>
          <w:rFonts w:ascii="Palatino Linotype" w:hAnsi="Palatino Linotype"/>
          <w:b w:val="0"/>
        </w:rPr>
        <w:t xml:space="preserve"> to bid into </w:t>
      </w:r>
      <w:r w:rsidRPr="00511954" w:rsidR="00732430">
        <w:rPr>
          <w:rFonts w:ascii="Palatino Linotype" w:hAnsi="Palatino Linotype"/>
          <w:b w:val="0"/>
        </w:rPr>
        <w:t>the initial</w:t>
      </w:r>
      <w:r w:rsidRPr="00511954" w:rsidR="000825D8">
        <w:rPr>
          <w:rFonts w:ascii="Palatino Linotype" w:hAnsi="Palatino Linotype"/>
          <w:b w:val="0"/>
        </w:rPr>
        <w:t xml:space="preserve"> R</w:t>
      </w:r>
      <w:r w:rsidRPr="00511954" w:rsidR="00192C14">
        <w:rPr>
          <w:rFonts w:ascii="Palatino Linotype" w:hAnsi="Palatino Linotype"/>
          <w:b w:val="0"/>
        </w:rPr>
        <w:t>FO</w:t>
      </w:r>
      <w:r w:rsidRPr="00511954" w:rsidR="000825D8">
        <w:rPr>
          <w:rFonts w:ascii="Palatino Linotype" w:hAnsi="Palatino Linotype"/>
          <w:b w:val="0"/>
        </w:rPr>
        <w:t>. As such</w:t>
      </w:r>
      <w:r w:rsidRPr="00511954" w:rsidR="00CA4F93">
        <w:rPr>
          <w:rFonts w:ascii="Palatino Linotype" w:hAnsi="Palatino Linotype"/>
          <w:b w:val="0"/>
        </w:rPr>
        <w:t>,</w:t>
      </w:r>
      <w:r w:rsidRPr="00511954" w:rsidR="009A52F3">
        <w:rPr>
          <w:rFonts w:ascii="Palatino Linotype" w:hAnsi="Palatino Linotype"/>
          <w:b w:val="0"/>
        </w:rPr>
        <w:t xml:space="preserve"> the Commission finds SCE’s initial RFO </w:t>
      </w:r>
      <w:r w:rsidRPr="00511954" w:rsidR="000825D8">
        <w:rPr>
          <w:rFonts w:ascii="Palatino Linotype" w:hAnsi="Palatino Linotype"/>
          <w:b w:val="0"/>
        </w:rPr>
        <w:t>must</w:t>
      </w:r>
      <w:r w:rsidRPr="00511954" w:rsidR="009A52F3">
        <w:rPr>
          <w:rFonts w:ascii="Palatino Linotype" w:hAnsi="Palatino Linotype"/>
          <w:b w:val="0"/>
        </w:rPr>
        <w:t xml:space="preserve"> seek to procure </w:t>
      </w:r>
      <w:r w:rsidRPr="00511954" w:rsidR="00CA4F93">
        <w:rPr>
          <w:rFonts w:ascii="Palatino Linotype" w:hAnsi="Palatino Linotype"/>
          <w:b w:val="0"/>
        </w:rPr>
        <w:t xml:space="preserve">both DAC-GT and </w:t>
      </w:r>
      <w:r w:rsidRPr="00511954" w:rsidR="009A52F3">
        <w:rPr>
          <w:rFonts w:ascii="Palatino Linotype" w:hAnsi="Palatino Linotype"/>
          <w:b w:val="0"/>
        </w:rPr>
        <w:t>CSGT resources</w:t>
      </w:r>
      <w:r w:rsidRPr="00511954" w:rsidR="007E2567">
        <w:rPr>
          <w:rFonts w:ascii="Palatino Linotype" w:hAnsi="Palatino Linotype"/>
          <w:b w:val="0"/>
        </w:rPr>
        <w:t>.</w:t>
      </w:r>
      <w:r w:rsidRPr="00511954" w:rsidR="009A52F3">
        <w:rPr>
          <w:rFonts w:ascii="Palatino Linotype" w:hAnsi="Palatino Linotype"/>
          <w:b w:val="0"/>
        </w:rPr>
        <w:t xml:space="preserve"> </w:t>
      </w:r>
      <w:r w:rsidRPr="00511954">
        <w:rPr>
          <w:rFonts w:ascii="Palatino Linotype" w:hAnsi="Palatino Linotype"/>
          <w:b w:val="0"/>
        </w:rPr>
        <w:t>Second, a</w:t>
      </w:r>
      <w:r w:rsidRPr="00511954" w:rsidR="00A376A0">
        <w:rPr>
          <w:rFonts w:ascii="Palatino Linotype" w:hAnsi="Palatino Linotype"/>
          <w:b w:val="0"/>
        </w:rPr>
        <w:t xml:space="preserve">s discussed above, PG&amp;E </w:t>
      </w:r>
      <w:r w:rsidRPr="00511954" w:rsidR="00A42CC6">
        <w:rPr>
          <w:rFonts w:ascii="Palatino Linotype" w:hAnsi="Palatino Linotype"/>
          <w:b w:val="0"/>
        </w:rPr>
        <w:t xml:space="preserve">will </w:t>
      </w:r>
      <w:r w:rsidRPr="00511954" w:rsidR="00ED193D">
        <w:rPr>
          <w:rFonts w:ascii="Palatino Linotype" w:hAnsi="Palatino Linotype"/>
          <w:b w:val="0"/>
        </w:rPr>
        <w:t xml:space="preserve">be allowed to serve DAC-GT customers with existing GT projects </w:t>
      </w:r>
      <w:r w:rsidRPr="00511954" w:rsidR="00A42CC6">
        <w:rPr>
          <w:rFonts w:ascii="Palatino Linotype" w:hAnsi="Palatino Linotype"/>
          <w:b w:val="0"/>
        </w:rPr>
        <w:t xml:space="preserve">but only </w:t>
      </w:r>
      <w:r w:rsidRPr="00511954" w:rsidR="00ED193D">
        <w:rPr>
          <w:rFonts w:ascii="Palatino Linotype" w:hAnsi="Palatino Linotype"/>
          <w:b w:val="0"/>
        </w:rPr>
        <w:t xml:space="preserve">on an interim basis. As such, PG&amp;E must </w:t>
      </w:r>
      <w:r w:rsidRPr="00511954" w:rsidR="00A376A0">
        <w:rPr>
          <w:rFonts w:ascii="Palatino Linotype" w:hAnsi="Palatino Linotype"/>
          <w:b w:val="0"/>
        </w:rPr>
        <w:t>solicit new DAC-GT projects, as well as CSGT projects</w:t>
      </w:r>
      <w:r w:rsidR="00546BD7">
        <w:rPr>
          <w:rFonts w:ascii="Palatino Linotype" w:hAnsi="Palatino Linotype"/>
          <w:b w:val="0"/>
        </w:rPr>
        <w:t>,</w:t>
      </w:r>
      <w:r w:rsidRPr="00511954" w:rsidR="00A376A0">
        <w:rPr>
          <w:rFonts w:ascii="Palatino Linotype" w:hAnsi="Palatino Linotype"/>
          <w:b w:val="0"/>
        </w:rPr>
        <w:t xml:space="preserve"> in </w:t>
      </w:r>
      <w:r w:rsidRPr="00511954">
        <w:rPr>
          <w:rFonts w:ascii="Palatino Linotype" w:hAnsi="Palatino Linotype"/>
          <w:b w:val="0"/>
        </w:rPr>
        <w:t>its</w:t>
      </w:r>
      <w:r w:rsidRPr="00511954" w:rsidR="00A376A0">
        <w:rPr>
          <w:rFonts w:ascii="Palatino Linotype" w:hAnsi="Palatino Linotype"/>
          <w:b w:val="0"/>
        </w:rPr>
        <w:t xml:space="preserve"> first RFO. </w:t>
      </w:r>
    </w:p>
    <w:p w:rsidRPr="00511954" w:rsidR="00162B4A" w:rsidP="003D3D00" w:rsidRDefault="00162B4A" w14:paraId="09D037D9" w14:textId="77777777">
      <w:pPr>
        <w:pStyle w:val="BodyText"/>
        <w:keepNext/>
        <w:rPr>
          <w:rFonts w:ascii="Palatino Linotype" w:hAnsi="Palatino Linotype"/>
          <w:b w:val="0"/>
          <w:u w:val="single"/>
        </w:rPr>
      </w:pPr>
      <w:r w:rsidRPr="00511954">
        <w:rPr>
          <w:rFonts w:ascii="Palatino Linotype" w:hAnsi="Palatino Linotype"/>
          <w:b w:val="0"/>
          <w:u w:val="single"/>
        </w:rPr>
        <w:t>DAC-GT Cost Containment</w:t>
      </w:r>
    </w:p>
    <w:p w:rsidRPr="00511954" w:rsidR="00831BE6" w:rsidP="00CA3783" w:rsidRDefault="00F42499" w14:paraId="13FB437F" w14:textId="40B50742">
      <w:pPr>
        <w:pStyle w:val="BodyText"/>
        <w:spacing w:after="120"/>
        <w:rPr>
          <w:rFonts w:ascii="Palatino Linotype" w:hAnsi="Palatino Linotype"/>
          <w:b w:val="0"/>
        </w:rPr>
      </w:pPr>
      <w:r w:rsidRPr="00511954">
        <w:rPr>
          <w:rFonts w:ascii="Palatino Linotype" w:hAnsi="Palatino Linotype"/>
          <w:b w:val="0"/>
        </w:rPr>
        <w:t>The NEM DAC Decision</w:t>
      </w:r>
      <w:r w:rsidRPr="00511954" w:rsidR="00004536">
        <w:rPr>
          <w:rFonts w:ascii="Palatino Linotype" w:hAnsi="Palatino Linotype"/>
          <w:b w:val="0"/>
        </w:rPr>
        <w:t xml:space="preserve"> established a clear cost containment </w:t>
      </w:r>
      <w:r w:rsidRPr="00511954" w:rsidR="00831BE6">
        <w:rPr>
          <w:rFonts w:ascii="Palatino Linotype" w:hAnsi="Palatino Linotype"/>
          <w:b w:val="0"/>
        </w:rPr>
        <w:t>me</w:t>
      </w:r>
      <w:r w:rsidRPr="00511954" w:rsidR="00DF0CBC">
        <w:rPr>
          <w:rFonts w:ascii="Palatino Linotype" w:hAnsi="Palatino Linotype"/>
          <w:b w:val="0"/>
        </w:rPr>
        <w:t>chanism</w:t>
      </w:r>
      <w:r w:rsidRPr="00511954" w:rsidR="00831BE6">
        <w:rPr>
          <w:rFonts w:ascii="Palatino Linotype" w:hAnsi="Palatino Linotype"/>
          <w:b w:val="0"/>
        </w:rPr>
        <w:t xml:space="preserve"> for CSGT projects;</w:t>
      </w:r>
      <w:r w:rsidRPr="00511954" w:rsidR="00CA3783">
        <w:rPr>
          <w:rFonts w:ascii="Palatino Linotype" w:hAnsi="Palatino Linotype"/>
          <w:b w:val="0"/>
        </w:rPr>
        <w:t xml:space="preserve"> the </w:t>
      </w:r>
      <w:r w:rsidRPr="00511954" w:rsidR="00A165B3">
        <w:rPr>
          <w:rFonts w:ascii="Palatino Linotype" w:hAnsi="Palatino Linotype"/>
          <w:b w:val="0"/>
        </w:rPr>
        <w:t>Decision</w:t>
      </w:r>
      <w:r w:rsidRPr="00511954" w:rsidR="00CA3783">
        <w:rPr>
          <w:rFonts w:ascii="Palatino Linotype" w:hAnsi="Palatino Linotype"/>
          <w:b w:val="0"/>
        </w:rPr>
        <w:t xml:space="preserve"> states</w:t>
      </w:r>
      <w:r w:rsidRPr="00511954" w:rsidR="00F735BA">
        <w:rPr>
          <w:rFonts w:ascii="Palatino Linotype" w:hAnsi="Palatino Linotype"/>
          <w:b w:val="0"/>
        </w:rPr>
        <w:t xml:space="preserve"> “</w:t>
      </w:r>
      <w:r w:rsidRPr="00511954" w:rsidR="00CA3783">
        <w:rPr>
          <w:rFonts w:ascii="Palatino Linotype" w:hAnsi="Palatino Linotype"/>
          <w:b w:val="0"/>
        </w:rPr>
        <w:t xml:space="preserve">we believe there should be an auction clearing price cap so that any potential market power would be mitigated . . . </w:t>
      </w:r>
      <w:r w:rsidRPr="00511954" w:rsidR="00F735BA">
        <w:rPr>
          <w:rFonts w:ascii="Palatino Linotype" w:hAnsi="Palatino Linotype"/>
          <w:b w:val="0"/>
        </w:rPr>
        <w:t>To limit non-participating ratepayer exposure, utilities should limit contract awards to Community Solar Green Tariff program projects whose bid price is at or below the higher of 200 percent of the maximum executed contract price in either the Renewable Auction Mechanism’s as-available peaking category or the Green Tariff program.”</w:t>
      </w:r>
      <w:r w:rsidRPr="00511954" w:rsidR="00F735BA">
        <w:rPr>
          <w:rStyle w:val="FootnoteReference"/>
          <w:rFonts w:ascii="Palatino Linotype" w:hAnsi="Palatino Linotype"/>
          <w:b w:val="0"/>
        </w:rPr>
        <w:footnoteReference w:id="87"/>
      </w:r>
      <w:r w:rsidRPr="00511954" w:rsidR="00162B4A">
        <w:rPr>
          <w:rFonts w:ascii="Palatino Linotype" w:hAnsi="Palatino Linotype"/>
          <w:b w:val="0"/>
        </w:rPr>
        <w:t xml:space="preserve"> The </w:t>
      </w:r>
      <w:r w:rsidRPr="00511954" w:rsidR="00A165B3">
        <w:rPr>
          <w:rFonts w:ascii="Palatino Linotype" w:hAnsi="Palatino Linotype"/>
          <w:b w:val="0"/>
        </w:rPr>
        <w:t>Decision</w:t>
      </w:r>
      <w:r w:rsidRPr="00511954" w:rsidR="00162B4A">
        <w:rPr>
          <w:rFonts w:ascii="Palatino Linotype" w:hAnsi="Palatino Linotype"/>
          <w:b w:val="0"/>
        </w:rPr>
        <w:t xml:space="preserve"> did not discuss a cost containment mechanism for DAC-GT</w:t>
      </w:r>
      <w:r w:rsidRPr="00511954" w:rsidR="00E0788D">
        <w:rPr>
          <w:rFonts w:ascii="Palatino Linotype" w:hAnsi="Palatino Linotype"/>
          <w:b w:val="0"/>
        </w:rPr>
        <w:t>,</w:t>
      </w:r>
      <w:r w:rsidRPr="00511954" w:rsidR="00162B4A">
        <w:rPr>
          <w:rFonts w:ascii="Palatino Linotype" w:hAnsi="Palatino Linotype"/>
          <w:b w:val="0"/>
        </w:rPr>
        <w:t xml:space="preserve"> but both PG&amp;E a</w:t>
      </w:r>
      <w:r w:rsidRPr="00511954" w:rsidR="00966993">
        <w:rPr>
          <w:rFonts w:ascii="Palatino Linotype" w:hAnsi="Palatino Linotype"/>
          <w:b w:val="0"/>
        </w:rPr>
        <w:t>nd SCE include one in their ALs.</w:t>
      </w:r>
      <w:r w:rsidRPr="00511954" w:rsidR="00162B4A">
        <w:rPr>
          <w:rFonts w:ascii="Palatino Linotype" w:hAnsi="Palatino Linotype"/>
          <w:b w:val="0"/>
        </w:rPr>
        <w:t xml:space="preserve"> PG&amp;E plans to </w:t>
      </w:r>
      <w:r w:rsidRPr="00511954" w:rsidR="00BA6DBF">
        <w:rPr>
          <w:rFonts w:ascii="Palatino Linotype" w:hAnsi="Palatino Linotype"/>
          <w:b w:val="0"/>
        </w:rPr>
        <w:t>apply</w:t>
      </w:r>
      <w:r w:rsidRPr="00511954" w:rsidR="00162B4A">
        <w:rPr>
          <w:rFonts w:ascii="Palatino Linotype" w:hAnsi="Palatino Linotype"/>
          <w:b w:val="0"/>
        </w:rPr>
        <w:t xml:space="preserve"> the </w:t>
      </w:r>
      <w:r w:rsidRPr="00511954" w:rsidR="00392652">
        <w:rPr>
          <w:rFonts w:ascii="Palatino Linotype" w:hAnsi="Palatino Linotype"/>
          <w:b w:val="0"/>
        </w:rPr>
        <w:t>200 percent cap the</w:t>
      </w:r>
      <w:r w:rsidRPr="00511954" w:rsidR="00831BE6">
        <w:rPr>
          <w:rFonts w:ascii="Palatino Linotype" w:hAnsi="Palatino Linotype"/>
          <w:b w:val="0"/>
        </w:rPr>
        <w:t xml:space="preserve"> </w:t>
      </w:r>
      <w:r w:rsidRPr="00511954" w:rsidR="00A165B3">
        <w:rPr>
          <w:rFonts w:ascii="Palatino Linotype" w:hAnsi="Palatino Linotype"/>
          <w:b w:val="0"/>
        </w:rPr>
        <w:t>Decision</w:t>
      </w:r>
      <w:r w:rsidRPr="00511954" w:rsidR="00831BE6">
        <w:rPr>
          <w:rFonts w:ascii="Palatino Linotype" w:hAnsi="Palatino Linotype"/>
          <w:b w:val="0"/>
        </w:rPr>
        <w:t xml:space="preserve"> </w:t>
      </w:r>
      <w:r w:rsidRPr="00511954" w:rsidR="00BA6DBF">
        <w:rPr>
          <w:rFonts w:ascii="Palatino Linotype" w:hAnsi="Palatino Linotype"/>
          <w:b w:val="0"/>
        </w:rPr>
        <w:t>adopted</w:t>
      </w:r>
      <w:r w:rsidRPr="00511954" w:rsidR="00831BE6">
        <w:rPr>
          <w:rFonts w:ascii="Palatino Linotype" w:hAnsi="Palatino Linotype"/>
          <w:b w:val="0"/>
        </w:rPr>
        <w:t xml:space="preserve"> for </w:t>
      </w:r>
      <w:r w:rsidRPr="00511954" w:rsidR="00162B4A">
        <w:rPr>
          <w:rFonts w:ascii="Palatino Linotype" w:hAnsi="Palatino Linotype"/>
          <w:b w:val="0"/>
        </w:rPr>
        <w:t xml:space="preserve">CSGT </w:t>
      </w:r>
      <w:r w:rsidRPr="00511954" w:rsidR="00BA6DBF">
        <w:rPr>
          <w:rFonts w:ascii="Palatino Linotype" w:hAnsi="Palatino Linotype"/>
          <w:b w:val="0"/>
        </w:rPr>
        <w:t>projects to</w:t>
      </w:r>
      <w:r w:rsidRPr="00511954" w:rsidR="00966993">
        <w:rPr>
          <w:rFonts w:ascii="Palatino Linotype" w:hAnsi="Palatino Linotype"/>
          <w:b w:val="0"/>
        </w:rPr>
        <w:t xml:space="preserve"> DAC-GT</w:t>
      </w:r>
      <w:r w:rsidRPr="00511954" w:rsidR="00BA6DBF">
        <w:rPr>
          <w:rFonts w:ascii="Palatino Linotype" w:hAnsi="Palatino Linotype"/>
          <w:b w:val="0"/>
        </w:rPr>
        <w:t xml:space="preserve"> projects</w:t>
      </w:r>
      <w:r w:rsidRPr="00511954" w:rsidR="00966993">
        <w:rPr>
          <w:rFonts w:ascii="Palatino Linotype" w:hAnsi="Palatino Linotype"/>
          <w:b w:val="0"/>
        </w:rPr>
        <w:t xml:space="preserve">. In contrast, </w:t>
      </w:r>
      <w:r w:rsidRPr="00511954" w:rsidR="00162B4A">
        <w:rPr>
          <w:rFonts w:ascii="Palatino Linotype" w:hAnsi="Palatino Linotype"/>
          <w:b w:val="0"/>
        </w:rPr>
        <w:t xml:space="preserve">SCE </w:t>
      </w:r>
      <w:r w:rsidRPr="00511954" w:rsidR="00831BE6">
        <w:rPr>
          <w:rFonts w:ascii="Palatino Linotype" w:hAnsi="Palatino Linotype"/>
          <w:b w:val="0"/>
        </w:rPr>
        <w:t xml:space="preserve">adopts </w:t>
      </w:r>
      <w:r w:rsidRPr="00511954" w:rsidR="00966993">
        <w:rPr>
          <w:rFonts w:ascii="Palatino Linotype" w:hAnsi="Palatino Linotype"/>
          <w:b w:val="0"/>
        </w:rPr>
        <w:t>a similar approach bu</w:t>
      </w:r>
      <w:r w:rsidRPr="00511954" w:rsidR="00831BE6">
        <w:rPr>
          <w:rFonts w:ascii="Palatino Linotype" w:hAnsi="Palatino Linotype"/>
          <w:b w:val="0"/>
        </w:rPr>
        <w:t>t exchanges the 200</w:t>
      </w:r>
      <w:r w:rsidRPr="00511954" w:rsidR="00530D31">
        <w:rPr>
          <w:rFonts w:ascii="Palatino Linotype" w:hAnsi="Palatino Linotype"/>
          <w:b w:val="0"/>
        </w:rPr>
        <w:t xml:space="preserve"> percent</w:t>
      </w:r>
      <w:r w:rsidRPr="00511954" w:rsidR="00831BE6">
        <w:rPr>
          <w:rFonts w:ascii="Palatino Linotype" w:hAnsi="Palatino Linotype"/>
          <w:b w:val="0"/>
        </w:rPr>
        <w:t xml:space="preserve"> cap f</w:t>
      </w:r>
      <w:r w:rsidRPr="00511954" w:rsidR="00162B4A">
        <w:rPr>
          <w:rFonts w:ascii="Palatino Linotype" w:hAnsi="Palatino Linotype"/>
          <w:b w:val="0"/>
        </w:rPr>
        <w:t>o</w:t>
      </w:r>
      <w:r w:rsidRPr="00511954" w:rsidR="00831BE6">
        <w:rPr>
          <w:rFonts w:ascii="Palatino Linotype" w:hAnsi="Palatino Linotype"/>
          <w:b w:val="0"/>
        </w:rPr>
        <w:t>r</w:t>
      </w:r>
      <w:r w:rsidRPr="00511954" w:rsidR="00162B4A">
        <w:rPr>
          <w:rFonts w:ascii="Palatino Linotype" w:hAnsi="Palatino Linotype"/>
          <w:b w:val="0"/>
        </w:rPr>
        <w:t xml:space="preserve"> </w:t>
      </w:r>
      <w:r w:rsidRPr="00511954" w:rsidR="00831BE6">
        <w:rPr>
          <w:rFonts w:ascii="Palatino Linotype" w:hAnsi="Palatino Linotype"/>
          <w:b w:val="0"/>
        </w:rPr>
        <w:t xml:space="preserve">a </w:t>
      </w:r>
      <w:r w:rsidRPr="00511954" w:rsidR="00162B4A">
        <w:rPr>
          <w:rFonts w:ascii="Palatino Linotype" w:hAnsi="Palatino Linotype"/>
          <w:b w:val="0"/>
        </w:rPr>
        <w:t>120</w:t>
      </w:r>
      <w:r w:rsidRPr="00511954" w:rsidR="00530D31">
        <w:rPr>
          <w:rFonts w:ascii="Palatino Linotype" w:hAnsi="Palatino Linotype"/>
          <w:b w:val="0"/>
        </w:rPr>
        <w:t xml:space="preserve"> percent</w:t>
      </w:r>
      <w:r w:rsidRPr="00511954" w:rsidR="00831BE6">
        <w:rPr>
          <w:rFonts w:ascii="Palatino Linotype" w:hAnsi="Palatino Linotype"/>
          <w:b w:val="0"/>
        </w:rPr>
        <w:t xml:space="preserve"> cap</w:t>
      </w:r>
      <w:r w:rsidRPr="00511954" w:rsidR="00BA6DBF">
        <w:rPr>
          <w:rFonts w:ascii="Palatino Linotype" w:hAnsi="Palatino Linotype"/>
          <w:b w:val="0"/>
        </w:rPr>
        <w:t xml:space="preserve"> and relies on the</w:t>
      </w:r>
      <w:r w:rsidRPr="00511954" w:rsidR="00966993">
        <w:rPr>
          <w:rFonts w:ascii="Palatino Linotype" w:hAnsi="Palatino Linotype"/>
          <w:b w:val="0"/>
        </w:rPr>
        <w:t xml:space="preserve"> contract price</w:t>
      </w:r>
      <w:r w:rsidRPr="00511954" w:rsidR="00BA6DBF">
        <w:rPr>
          <w:rFonts w:ascii="Palatino Linotype" w:hAnsi="Palatino Linotype"/>
          <w:b w:val="0"/>
        </w:rPr>
        <w:t xml:space="preserve"> that</w:t>
      </w:r>
      <w:r w:rsidRPr="00511954" w:rsidR="00966993">
        <w:rPr>
          <w:rFonts w:ascii="Palatino Linotype" w:hAnsi="Palatino Linotype"/>
          <w:b w:val="0"/>
        </w:rPr>
        <w:t xml:space="preserve"> “is most recent”</w:t>
      </w:r>
      <w:r w:rsidRPr="00511954" w:rsidR="00E0788D">
        <w:rPr>
          <w:rFonts w:ascii="Palatino Linotype" w:hAnsi="Palatino Linotype"/>
          <w:b w:val="0"/>
        </w:rPr>
        <w:t xml:space="preserve"> rather than whichever price is higher.</w:t>
      </w:r>
      <w:r w:rsidRPr="00511954" w:rsidR="00E0788D">
        <w:rPr>
          <w:rStyle w:val="FootnoteReference"/>
          <w:rFonts w:ascii="Palatino Linotype" w:hAnsi="Palatino Linotype"/>
          <w:b w:val="0"/>
        </w:rPr>
        <w:t xml:space="preserve"> </w:t>
      </w:r>
      <w:r w:rsidRPr="00511954" w:rsidR="00966993">
        <w:rPr>
          <w:rStyle w:val="FootnoteReference"/>
          <w:rFonts w:ascii="Palatino Linotype" w:hAnsi="Palatino Linotype"/>
          <w:b w:val="0"/>
        </w:rPr>
        <w:footnoteReference w:id="88"/>
      </w:r>
      <w:r w:rsidRPr="00511954" w:rsidR="00162B4A">
        <w:rPr>
          <w:rFonts w:ascii="Palatino Linotype" w:hAnsi="Palatino Linotype"/>
          <w:b w:val="0"/>
        </w:rPr>
        <w:t xml:space="preserve"> </w:t>
      </w:r>
    </w:p>
    <w:p w:rsidR="00CD7765" w:rsidP="00656C92" w:rsidRDefault="002512E9" w14:paraId="201E5689" w14:textId="3C5EE912">
      <w:pPr>
        <w:pStyle w:val="BodyText"/>
        <w:spacing w:after="120"/>
        <w:rPr>
          <w:rFonts w:ascii="Palatino Linotype" w:hAnsi="Palatino Linotype"/>
          <w:b w:val="0"/>
        </w:rPr>
      </w:pPr>
      <w:r w:rsidRPr="00511954">
        <w:rPr>
          <w:rFonts w:ascii="Palatino Linotype" w:hAnsi="Palatino Linotype"/>
          <w:b w:val="0"/>
        </w:rPr>
        <w:t xml:space="preserve">Under the GTSR program, </w:t>
      </w:r>
      <w:r w:rsidRPr="00511954" w:rsidR="00A165B3">
        <w:rPr>
          <w:rFonts w:ascii="Palatino Linotype" w:hAnsi="Palatino Linotype"/>
          <w:b w:val="0"/>
        </w:rPr>
        <w:t>D</w:t>
      </w:r>
      <w:r w:rsidRPr="00511954" w:rsidR="00E0788D">
        <w:rPr>
          <w:rFonts w:ascii="Palatino Linotype" w:hAnsi="Palatino Linotype"/>
          <w:b w:val="0"/>
        </w:rPr>
        <w:t>.</w:t>
      </w:r>
      <w:r w:rsidRPr="00511954">
        <w:rPr>
          <w:rFonts w:ascii="Palatino Linotype" w:hAnsi="Palatino Linotype"/>
          <w:b w:val="0"/>
        </w:rPr>
        <w:t>16-05-006 established a</w:t>
      </w:r>
      <w:r w:rsidRPr="00511954" w:rsidR="00162B4A">
        <w:rPr>
          <w:rFonts w:ascii="Palatino Linotype" w:hAnsi="Palatino Linotype"/>
          <w:b w:val="0"/>
        </w:rPr>
        <w:t xml:space="preserve"> 120</w:t>
      </w:r>
      <w:r w:rsidRPr="00511954" w:rsidR="00530D31">
        <w:rPr>
          <w:rFonts w:ascii="Palatino Linotype" w:hAnsi="Palatino Linotype"/>
          <w:b w:val="0"/>
        </w:rPr>
        <w:t xml:space="preserve"> percent</w:t>
      </w:r>
      <w:r w:rsidRPr="00511954" w:rsidR="00162B4A">
        <w:rPr>
          <w:rFonts w:ascii="Palatino Linotype" w:hAnsi="Palatino Linotype"/>
          <w:b w:val="0"/>
        </w:rPr>
        <w:t xml:space="preserve"> cap for Enhanced Community Renewable </w:t>
      </w:r>
      <w:r w:rsidRPr="00511954" w:rsidR="009A0772">
        <w:rPr>
          <w:rFonts w:ascii="Palatino Linotype" w:hAnsi="Palatino Linotype"/>
          <w:b w:val="0"/>
        </w:rPr>
        <w:t xml:space="preserve">(ECR) </w:t>
      </w:r>
      <w:r w:rsidRPr="00511954" w:rsidR="00162B4A">
        <w:rPr>
          <w:rFonts w:ascii="Palatino Linotype" w:hAnsi="Palatino Linotype"/>
          <w:b w:val="0"/>
        </w:rPr>
        <w:t>projects and a 200</w:t>
      </w:r>
      <w:r w:rsidRPr="00511954" w:rsidR="00530D31">
        <w:rPr>
          <w:rFonts w:ascii="Palatino Linotype" w:hAnsi="Palatino Linotype"/>
          <w:b w:val="0"/>
        </w:rPr>
        <w:t xml:space="preserve"> percent</w:t>
      </w:r>
      <w:r w:rsidRPr="00511954" w:rsidR="00162B4A">
        <w:rPr>
          <w:rFonts w:ascii="Palatino Linotype" w:hAnsi="Palatino Linotype"/>
          <w:b w:val="0"/>
        </w:rPr>
        <w:t xml:space="preserve"> cap for projects located in Environmental Justice </w:t>
      </w:r>
      <w:r w:rsidRPr="00511954" w:rsidR="009A0772">
        <w:rPr>
          <w:rFonts w:ascii="Palatino Linotype" w:hAnsi="Palatino Linotype"/>
          <w:b w:val="0"/>
        </w:rPr>
        <w:t xml:space="preserve">(EJ) </w:t>
      </w:r>
      <w:r w:rsidRPr="00511954" w:rsidR="00162B4A">
        <w:rPr>
          <w:rFonts w:ascii="Palatino Linotype" w:hAnsi="Palatino Linotype"/>
          <w:b w:val="0"/>
        </w:rPr>
        <w:t>communities</w:t>
      </w:r>
      <w:r w:rsidRPr="00511954">
        <w:rPr>
          <w:rFonts w:ascii="Palatino Linotype" w:hAnsi="Palatino Linotype"/>
          <w:b w:val="0"/>
        </w:rPr>
        <w:t>, with both caps based on “the maximum executed contract price in either the Renewable Auction Mechanism’s as-available peaking category or the Green Tariff program, whichever is most recent.”</w:t>
      </w:r>
      <w:r w:rsidRPr="00511954" w:rsidR="00162B4A">
        <w:rPr>
          <w:rStyle w:val="FootnoteReference"/>
          <w:rFonts w:ascii="Palatino Linotype" w:hAnsi="Palatino Linotype"/>
          <w:b w:val="0"/>
        </w:rPr>
        <w:footnoteReference w:id="89"/>
      </w:r>
      <w:r w:rsidRPr="00511954">
        <w:rPr>
          <w:rFonts w:ascii="Palatino Linotype" w:hAnsi="Palatino Linotype"/>
          <w:b w:val="0"/>
        </w:rPr>
        <w:t xml:space="preserve"> </w:t>
      </w:r>
      <w:r w:rsidRPr="00511954" w:rsidR="00392652">
        <w:rPr>
          <w:rFonts w:ascii="Palatino Linotype" w:hAnsi="Palatino Linotype"/>
          <w:b w:val="0"/>
        </w:rPr>
        <w:t xml:space="preserve">We find that it would be inappropriate to apply a 120 percent cap for DAC-GT projects, as this would be more restrictive than the cap </w:t>
      </w:r>
      <w:r w:rsidR="00546BD7">
        <w:rPr>
          <w:rFonts w:ascii="Palatino Linotype" w:hAnsi="Palatino Linotype"/>
          <w:b w:val="0"/>
        </w:rPr>
        <w:t>D.16-05-006</w:t>
      </w:r>
      <w:r w:rsidRPr="00511954" w:rsidR="00392652">
        <w:rPr>
          <w:rFonts w:ascii="Palatino Linotype" w:hAnsi="Palatino Linotype"/>
          <w:b w:val="0"/>
        </w:rPr>
        <w:t xml:space="preserve"> established for EJ community projects, and given the similarities in project requirements for both programs, </w:t>
      </w:r>
      <w:r w:rsidR="00546BD7">
        <w:rPr>
          <w:rFonts w:ascii="Palatino Linotype" w:hAnsi="Palatino Linotype"/>
          <w:b w:val="0"/>
        </w:rPr>
        <w:t>except for a small difference in how DACs are defined, we see little reason</w:t>
      </w:r>
      <w:r w:rsidRPr="00511954" w:rsidR="00546BD7">
        <w:rPr>
          <w:rFonts w:ascii="Palatino Linotype" w:hAnsi="Palatino Linotype"/>
          <w:b w:val="0"/>
        </w:rPr>
        <w:t xml:space="preserve"> </w:t>
      </w:r>
      <w:r w:rsidRPr="00511954" w:rsidR="00392652">
        <w:rPr>
          <w:rFonts w:ascii="Palatino Linotype" w:hAnsi="Palatino Linotype"/>
          <w:b w:val="0"/>
        </w:rPr>
        <w:t xml:space="preserve">to apply a more restrictive cost cap for DAC-GT projects than for EJ community projects. </w:t>
      </w:r>
      <w:r w:rsidRPr="00511954" w:rsidR="005D0B09">
        <w:rPr>
          <w:rFonts w:ascii="Palatino Linotype" w:hAnsi="Palatino Linotype"/>
          <w:b w:val="0"/>
        </w:rPr>
        <w:t xml:space="preserve"> </w:t>
      </w:r>
      <w:r w:rsidR="00546BD7">
        <w:rPr>
          <w:rFonts w:ascii="Palatino Linotype" w:hAnsi="Palatino Linotype"/>
          <w:b w:val="0"/>
        </w:rPr>
        <w:t>W</w:t>
      </w:r>
      <w:r w:rsidRPr="00511954" w:rsidR="000A7B17">
        <w:rPr>
          <w:rFonts w:ascii="Palatino Linotype" w:hAnsi="Palatino Linotype"/>
          <w:b w:val="0"/>
        </w:rPr>
        <w:t>e find that it is appropriate to establish the same</w:t>
      </w:r>
      <w:r w:rsidRPr="00511954" w:rsidR="00162B4A">
        <w:rPr>
          <w:rFonts w:ascii="Palatino Linotype" w:hAnsi="Palatino Linotype"/>
          <w:b w:val="0"/>
        </w:rPr>
        <w:t xml:space="preserve"> </w:t>
      </w:r>
      <w:r w:rsidRPr="00511954" w:rsidR="004C065D">
        <w:rPr>
          <w:rFonts w:ascii="Palatino Linotype" w:hAnsi="Palatino Linotype"/>
          <w:b w:val="0"/>
        </w:rPr>
        <w:t xml:space="preserve">numeric </w:t>
      </w:r>
      <w:r w:rsidRPr="00511954" w:rsidR="00FF10DA">
        <w:rPr>
          <w:rFonts w:ascii="Palatino Linotype" w:hAnsi="Palatino Linotype"/>
          <w:b w:val="0"/>
        </w:rPr>
        <w:t xml:space="preserve">auction clearing price cap </w:t>
      </w:r>
      <w:r w:rsidR="00C97435">
        <w:rPr>
          <w:rFonts w:ascii="Palatino Linotype" w:hAnsi="Palatino Linotype"/>
          <w:b w:val="0"/>
        </w:rPr>
        <w:t xml:space="preserve">of 200 percent </w:t>
      </w:r>
      <w:r w:rsidRPr="00511954" w:rsidR="00162B4A">
        <w:rPr>
          <w:rFonts w:ascii="Palatino Linotype" w:hAnsi="Palatino Linotype"/>
          <w:b w:val="0"/>
        </w:rPr>
        <w:t xml:space="preserve">for DAC-GT </w:t>
      </w:r>
      <w:r w:rsidRPr="00511954" w:rsidR="00FF10DA">
        <w:rPr>
          <w:rFonts w:ascii="Palatino Linotype" w:hAnsi="Palatino Linotype"/>
          <w:b w:val="0"/>
        </w:rPr>
        <w:t>projects</w:t>
      </w:r>
      <w:r w:rsidRPr="00511954" w:rsidR="000A7B17">
        <w:rPr>
          <w:rFonts w:ascii="Palatino Linotype" w:hAnsi="Palatino Linotype"/>
          <w:b w:val="0"/>
        </w:rPr>
        <w:t xml:space="preserve"> as E</w:t>
      </w:r>
      <w:r w:rsidRPr="00511954" w:rsidR="00392652">
        <w:rPr>
          <w:rFonts w:ascii="Palatino Linotype" w:hAnsi="Palatino Linotype"/>
          <w:b w:val="0"/>
        </w:rPr>
        <w:t>J</w:t>
      </w:r>
      <w:r w:rsidRPr="00511954" w:rsidR="000A7B17">
        <w:rPr>
          <w:rFonts w:ascii="Palatino Linotype" w:hAnsi="Palatino Linotype"/>
          <w:b w:val="0"/>
        </w:rPr>
        <w:t xml:space="preserve"> </w:t>
      </w:r>
      <w:r w:rsidRPr="00511954" w:rsidR="00392652">
        <w:rPr>
          <w:rFonts w:ascii="Palatino Linotype" w:hAnsi="Palatino Linotype"/>
          <w:b w:val="0"/>
        </w:rPr>
        <w:t>community p</w:t>
      </w:r>
      <w:r w:rsidRPr="00511954" w:rsidR="000A7B17">
        <w:rPr>
          <w:rFonts w:ascii="Palatino Linotype" w:hAnsi="Palatino Linotype"/>
          <w:b w:val="0"/>
        </w:rPr>
        <w:t>rojects</w:t>
      </w:r>
      <w:r w:rsidRPr="00511954" w:rsidR="00392652">
        <w:rPr>
          <w:rFonts w:ascii="Palatino Linotype" w:hAnsi="Palatino Linotype"/>
          <w:b w:val="0"/>
        </w:rPr>
        <w:t xml:space="preserve"> under GTSR</w:t>
      </w:r>
      <w:r w:rsidRPr="00511954" w:rsidR="00FF10DA">
        <w:rPr>
          <w:rFonts w:ascii="Palatino Linotype" w:hAnsi="Palatino Linotype"/>
          <w:b w:val="0"/>
        </w:rPr>
        <w:t xml:space="preserve"> in order </w:t>
      </w:r>
      <w:r w:rsidRPr="00511954" w:rsidR="005D0B09">
        <w:rPr>
          <w:rFonts w:ascii="Palatino Linotype" w:hAnsi="Palatino Linotype"/>
          <w:b w:val="0"/>
        </w:rPr>
        <w:t xml:space="preserve">to limit </w:t>
      </w:r>
      <w:r w:rsidRPr="00511954" w:rsidR="00E52D72">
        <w:rPr>
          <w:rFonts w:ascii="Palatino Linotype" w:hAnsi="Palatino Linotype"/>
          <w:b w:val="0"/>
        </w:rPr>
        <w:t>project costs</w:t>
      </w:r>
      <w:r w:rsidRPr="00511954" w:rsidR="00162B4A">
        <w:rPr>
          <w:rFonts w:ascii="Palatino Linotype" w:hAnsi="Palatino Linotype"/>
          <w:b w:val="0"/>
        </w:rPr>
        <w:t>.</w:t>
      </w:r>
      <w:r w:rsidR="00C97435">
        <w:rPr>
          <w:rFonts w:ascii="Palatino Linotype" w:hAnsi="Palatino Linotype"/>
          <w:b w:val="0"/>
        </w:rPr>
        <w:t xml:space="preserve"> </w:t>
      </w:r>
      <w:r w:rsidR="0044656E">
        <w:rPr>
          <w:rFonts w:ascii="Palatino Linotype" w:hAnsi="Palatino Linotype"/>
          <w:b w:val="0"/>
        </w:rPr>
        <w:t>Thus, t</w:t>
      </w:r>
      <w:r w:rsidRPr="00511954" w:rsidR="000A7B17">
        <w:rPr>
          <w:rFonts w:ascii="Palatino Linotype" w:hAnsi="Palatino Linotype"/>
          <w:b w:val="0"/>
        </w:rPr>
        <w:t>he Commission finds that it is reasonable to adopt PG&amp;E’s suggested cost containment cap for</w:t>
      </w:r>
      <w:r w:rsidRPr="00511954" w:rsidR="005D0B09">
        <w:rPr>
          <w:rFonts w:ascii="Palatino Linotype" w:hAnsi="Palatino Linotype"/>
          <w:b w:val="0"/>
        </w:rPr>
        <w:t xml:space="preserve"> DAC-GT </w:t>
      </w:r>
      <w:r w:rsidRPr="00511954" w:rsidR="000A7B17">
        <w:rPr>
          <w:rFonts w:ascii="Palatino Linotype" w:hAnsi="Palatino Linotype"/>
          <w:b w:val="0"/>
        </w:rPr>
        <w:t xml:space="preserve">projects </w:t>
      </w:r>
      <w:r w:rsidR="00656C92">
        <w:rPr>
          <w:rFonts w:ascii="Palatino Linotype" w:hAnsi="Palatino Linotype"/>
          <w:b w:val="0"/>
        </w:rPr>
        <w:t>that “</w:t>
      </w:r>
      <w:r w:rsidRPr="00656C92" w:rsidR="00656C92">
        <w:rPr>
          <w:rFonts w:ascii="Palatino Linotype" w:hAnsi="Palatino Linotype"/>
          <w:b w:val="0"/>
        </w:rPr>
        <w:t>bid pricing must</w:t>
      </w:r>
      <w:r w:rsidR="00656C92">
        <w:rPr>
          <w:rFonts w:ascii="Palatino Linotype" w:hAnsi="Palatino Linotype"/>
          <w:b w:val="0"/>
        </w:rPr>
        <w:t xml:space="preserve"> </w:t>
      </w:r>
      <w:r w:rsidRPr="00656C92" w:rsidR="00656C92">
        <w:rPr>
          <w:rFonts w:ascii="Palatino Linotype" w:hAnsi="Palatino Linotype"/>
          <w:b w:val="0"/>
        </w:rPr>
        <w:t>be at or below the higher of 200% of the maximum executed contract price in either the</w:t>
      </w:r>
      <w:r w:rsidR="00656C92">
        <w:rPr>
          <w:rFonts w:ascii="Palatino Linotype" w:hAnsi="Palatino Linotype"/>
          <w:b w:val="0"/>
        </w:rPr>
        <w:t xml:space="preserve"> </w:t>
      </w:r>
      <w:r w:rsidRPr="00656C92" w:rsidR="00656C92">
        <w:rPr>
          <w:rFonts w:ascii="Palatino Linotype" w:hAnsi="Palatino Linotype"/>
          <w:b w:val="0"/>
        </w:rPr>
        <w:t>previous PV/RAM as-available peaking category or the Green Tariff program</w:t>
      </w:r>
      <w:r w:rsidR="00656C92">
        <w:rPr>
          <w:rFonts w:ascii="Palatino Linotype" w:hAnsi="Palatino Linotype"/>
          <w:b w:val="0"/>
        </w:rPr>
        <w:t>.”</w:t>
      </w:r>
      <w:r w:rsidR="00656C92">
        <w:rPr>
          <w:rStyle w:val="FootnoteReference"/>
          <w:rFonts w:ascii="Palatino Linotype" w:hAnsi="Palatino Linotype"/>
          <w:b w:val="0"/>
        </w:rPr>
        <w:footnoteReference w:id="90"/>
      </w:r>
      <w:r w:rsidRPr="00511954" w:rsidR="000A7B17">
        <w:rPr>
          <w:rFonts w:ascii="Palatino Linotype" w:hAnsi="Palatino Linotype"/>
          <w:b w:val="0"/>
        </w:rPr>
        <w:t xml:space="preserve"> SCE and SDG&amp;E must revise their DAC-GT tariff</w:t>
      </w:r>
      <w:r w:rsidR="00546BD7">
        <w:rPr>
          <w:rFonts w:ascii="Palatino Linotype" w:hAnsi="Palatino Linotype"/>
          <w:b w:val="0"/>
        </w:rPr>
        <w:t>s</w:t>
      </w:r>
      <w:r w:rsidRPr="00511954" w:rsidR="000A7B17">
        <w:rPr>
          <w:rFonts w:ascii="Palatino Linotype" w:hAnsi="Palatino Linotype"/>
          <w:b w:val="0"/>
        </w:rPr>
        <w:t xml:space="preserve"> to reflect this price cap.</w:t>
      </w:r>
    </w:p>
    <w:p w:rsidRPr="00511954" w:rsidR="006A0E4D" w:rsidP="00D05AC2" w:rsidRDefault="00075289" w14:paraId="594B8148" w14:textId="582A2E4B">
      <w:pPr>
        <w:pStyle w:val="BodyText"/>
        <w:spacing w:after="120"/>
        <w:rPr>
          <w:rFonts w:ascii="Palatino Linotype" w:hAnsi="Palatino Linotype"/>
          <w:b w:val="0"/>
        </w:rPr>
      </w:pPr>
      <w:r w:rsidRPr="00511954">
        <w:rPr>
          <w:rFonts w:ascii="Palatino Linotype" w:hAnsi="Palatino Linotype"/>
          <w:b w:val="0"/>
        </w:rPr>
        <w:t>T</w:t>
      </w:r>
      <w:r w:rsidRPr="00511954" w:rsidR="009E6016">
        <w:rPr>
          <w:rFonts w:ascii="Palatino Linotype" w:hAnsi="Palatino Linotype"/>
          <w:b w:val="0"/>
        </w:rPr>
        <w:t xml:space="preserve">he Commission </w:t>
      </w:r>
      <w:r w:rsidRPr="00511954">
        <w:rPr>
          <w:rFonts w:ascii="Palatino Linotype" w:hAnsi="Palatino Linotype"/>
          <w:b w:val="0"/>
        </w:rPr>
        <w:t xml:space="preserve">further </w:t>
      </w:r>
      <w:r w:rsidRPr="00511954" w:rsidR="009E6016">
        <w:rPr>
          <w:rFonts w:ascii="Palatino Linotype" w:hAnsi="Palatino Linotype"/>
          <w:b w:val="0"/>
        </w:rPr>
        <w:t xml:space="preserve">finds that it is necessary for SCE to adjust its cost containment mechanism for CSGT </w:t>
      </w:r>
      <w:r w:rsidRPr="00511954">
        <w:rPr>
          <w:rFonts w:ascii="Palatino Linotype" w:hAnsi="Palatino Linotype"/>
          <w:b w:val="0"/>
        </w:rPr>
        <w:t>projects</w:t>
      </w:r>
      <w:r w:rsidRPr="00511954" w:rsidR="009E6016">
        <w:rPr>
          <w:rFonts w:ascii="Palatino Linotype" w:hAnsi="Palatino Linotype"/>
          <w:b w:val="0"/>
        </w:rPr>
        <w:t xml:space="preserve"> </w:t>
      </w:r>
      <w:r w:rsidRPr="00511954" w:rsidR="00F21B5D">
        <w:rPr>
          <w:rFonts w:ascii="Palatino Linotype" w:hAnsi="Palatino Linotype"/>
          <w:b w:val="0"/>
        </w:rPr>
        <w:t xml:space="preserve">to </w:t>
      </w:r>
      <w:r w:rsidRPr="00511954" w:rsidR="008661DE">
        <w:rPr>
          <w:rFonts w:ascii="Palatino Linotype" w:hAnsi="Palatino Linotype"/>
          <w:b w:val="0"/>
        </w:rPr>
        <w:t>set the cap based on the</w:t>
      </w:r>
      <w:r w:rsidR="00085FF8">
        <w:rPr>
          <w:rFonts w:ascii="Palatino Linotype" w:hAnsi="Palatino Linotype"/>
          <w:b w:val="0"/>
        </w:rPr>
        <w:t xml:space="preserve"> previous</w:t>
      </w:r>
      <w:r w:rsidRPr="00511954" w:rsidR="008661DE">
        <w:rPr>
          <w:rFonts w:ascii="Palatino Linotype" w:hAnsi="Palatino Linotype"/>
          <w:b w:val="0"/>
        </w:rPr>
        <w:t xml:space="preserve"> </w:t>
      </w:r>
      <w:r w:rsidRPr="00511954" w:rsidR="00F21B5D">
        <w:rPr>
          <w:rFonts w:ascii="Palatino Linotype" w:hAnsi="Palatino Linotype"/>
          <w:b w:val="0"/>
        </w:rPr>
        <w:t xml:space="preserve">contract price </w:t>
      </w:r>
      <w:r w:rsidRPr="00511954" w:rsidR="008661DE">
        <w:rPr>
          <w:rFonts w:ascii="Palatino Linotype" w:hAnsi="Palatino Linotype"/>
          <w:b w:val="0"/>
        </w:rPr>
        <w:t xml:space="preserve">that </w:t>
      </w:r>
      <w:r w:rsidRPr="00511954" w:rsidR="00F21B5D">
        <w:rPr>
          <w:rFonts w:ascii="Palatino Linotype" w:hAnsi="Palatino Linotype"/>
          <w:b w:val="0"/>
        </w:rPr>
        <w:t>is higher rather than whichever is most recent</w:t>
      </w:r>
      <w:r w:rsidRPr="00511954" w:rsidR="009E6016">
        <w:rPr>
          <w:rFonts w:ascii="Palatino Linotype" w:hAnsi="Palatino Linotype"/>
          <w:b w:val="0"/>
        </w:rPr>
        <w:t>.</w:t>
      </w:r>
      <w:r w:rsidR="00E13BEA">
        <w:rPr>
          <w:rFonts w:ascii="Palatino Linotype" w:hAnsi="Palatino Linotype"/>
          <w:b w:val="0"/>
        </w:rPr>
        <w:t xml:space="preserve"> </w:t>
      </w:r>
      <w:r w:rsidR="006D2752">
        <w:rPr>
          <w:rFonts w:ascii="Palatino Linotype" w:hAnsi="Palatino Linotype"/>
          <w:b w:val="0"/>
        </w:rPr>
        <w:t xml:space="preserve">The Commission may choose to review this threshold in </w:t>
      </w:r>
      <w:r w:rsidRPr="00263349" w:rsidR="00A700F0">
        <w:rPr>
          <w:rFonts w:ascii="Palatino Linotype" w:hAnsi="Palatino Linotype"/>
          <w:b w:val="0"/>
        </w:rPr>
        <w:t>each IOU’s application for review of the DAC-GT and CSGT programs that must be filed no later than January 1, 2021</w:t>
      </w:r>
      <w:r w:rsidR="00A700F0">
        <w:rPr>
          <w:rFonts w:ascii="Palatino Linotype" w:hAnsi="Palatino Linotype"/>
          <w:b w:val="0"/>
        </w:rPr>
        <w:t xml:space="preserve">, as at that time relevant cost data should be available for </w:t>
      </w:r>
      <w:r w:rsidR="006F1E39">
        <w:rPr>
          <w:rFonts w:ascii="Palatino Linotype" w:hAnsi="Palatino Linotype"/>
          <w:b w:val="0"/>
        </w:rPr>
        <w:t>initial</w:t>
      </w:r>
      <w:r w:rsidR="00A700F0">
        <w:rPr>
          <w:rFonts w:ascii="Palatino Linotype" w:hAnsi="Palatino Linotype"/>
          <w:b w:val="0"/>
        </w:rPr>
        <w:t xml:space="preserve"> DAC-GT and CSGT project</w:t>
      </w:r>
      <w:r w:rsidR="009C60A5">
        <w:rPr>
          <w:rFonts w:ascii="Palatino Linotype" w:hAnsi="Palatino Linotype"/>
          <w:b w:val="0"/>
        </w:rPr>
        <w:t xml:space="preserve"> bids</w:t>
      </w:r>
      <w:r w:rsidRPr="00263349" w:rsidR="00A700F0">
        <w:rPr>
          <w:rFonts w:ascii="Palatino Linotype" w:hAnsi="Palatino Linotype"/>
          <w:b w:val="0"/>
        </w:rPr>
        <w:t>.</w:t>
      </w:r>
      <w:r w:rsidRPr="00511954" w:rsidR="00A700F0">
        <w:rPr>
          <w:rStyle w:val="FootnoteReference"/>
          <w:rFonts w:ascii="Palatino Linotype" w:hAnsi="Palatino Linotype"/>
          <w:b w:val="0"/>
        </w:rPr>
        <w:footnoteReference w:id="91"/>
      </w:r>
    </w:p>
    <w:p w:rsidRPr="00511954" w:rsidR="006B2253" w:rsidP="00F546B9" w:rsidRDefault="006B2253" w14:paraId="40AB9FF1" w14:textId="77777777">
      <w:pPr>
        <w:pStyle w:val="BodyText"/>
        <w:keepNext/>
        <w:rPr>
          <w:rFonts w:ascii="Palatino Linotype" w:hAnsi="Palatino Linotype"/>
          <w:b w:val="0"/>
        </w:rPr>
      </w:pPr>
      <w:r w:rsidRPr="00511954">
        <w:rPr>
          <w:rFonts w:ascii="Palatino Linotype" w:hAnsi="Palatino Linotype"/>
          <w:b w:val="0"/>
          <w:u w:val="single"/>
        </w:rPr>
        <w:t>CSGT Maximum Project Size</w:t>
      </w:r>
      <w:r w:rsidRPr="00511954">
        <w:rPr>
          <w:rFonts w:ascii="Palatino Linotype" w:hAnsi="Palatino Linotype"/>
          <w:b w:val="0"/>
        </w:rPr>
        <w:t xml:space="preserve"> </w:t>
      </w:r>
    </w:p>
    <w:p w:rsidRPr="00511954" w:rsidR="00A24A02" w:rsidP="00C345D8" w:rsidRDefault="006B2253" w14:paraId="5B92ECEE" w14:textId="221FA698">
      <w:pPr>
        <w:pStyle w:val="BodyText"/>
        <w:spacing w:after="120"/>
        <w:rPr>
          <w:rFonts w:ascii="Palatino Linotype" w:hAnsi="Palatino Linotype"/>
          <w:b w:val="0"/>
        </w:rPr>
      </w:pPr>
      <w:r w:rsidRPr="00511954">
        <w:rPr>
          <w:rFonts w:ascii="Palatino Linotype" w:hAnsi="Palatino Linotype"/>
          <w:b w:val="0"/>
        </w:rPr>
        <w:t xml:space="preserve">As discussed previously, the maximum project size for the CSGT program is </w:t>
      </w:r>
      <w:r w:rsidRPr="00511954" w:rsidR="007E2567">
        <w:rPr>
          <w:rFonts w:ascii="Palatino Linotype" w:hAnsi="Palatino Linotype"/>
          <w:b w:val="0"/>
        </w:rPr>
        <w:t xml:space="preserve">established in the </w:t>
      </w:r>
      <w:r w:rsidRPr="00511954" w:rsidR="00267FFE">
        <w:rPr>
          <w:rFonts w:ascii="Palatino Linotype" w:hAnsi="Palatino Linotype"/>
          <w:b w:val="0"/>
        </w:rPr>
        <w:t>NEM DAC Decision</w:t>
      </w:r>
      <w:r w:rsidRPr="00511954" w:rsidR="007E2567">
        <w:rPr>
          <w:rFonts w:ascii="Palatino Linotype" w:hAnsi="Palatino Linotype"/>
          <w:b w:val="0"/>
        </w:rPr>
        <w:t xml:space="preserve"> which</w:t>
      </w:r>
      <w:r w:rsidRPr="00511954" w:rsidR="002147F1">
        <w:rPr>
          <w:rFonts w:ascii="Palatino Linotype" w:hAnsi="Palatino Linotype"/>
          <w:b w:val="0"/>
        </w:rPr>
        <w:t xml:space="preserve"> </w:t>
      </w:r>
      <w:r w:rsidRPr="00511954" w:rsidR="00BD232D">
        <w:rPr>
          <w:rFonts w:ascii="Palatino Linotype" w:hAnsi="Palatino Linotype"/>
          <w:b w:val="0"/>
        </w:rPr>
        <w:t>states:</w:t>
      </w:r>
      <w:r w:rsidRPr="00511954" w:rsidR="007E2567">
        <w:rPr>
          <w:rFonts w:ascii="Palatino Linotype" w:hAnsi="Palatino Linotype"/>
          <w:b w:val="0"/>
        </w:rPr>
        <w:t xml:space="preserve"> “[t]</w:t>
      </w:r>
      <w:proofErr w:type="spellStart"/>
      <w:r w:rsidRPr="00511954" w:rsidR="007E2567">
        <w:rPr>
          <w:rFonts w:ascii="Palatino Linotype" w:hAnsi="Palatino Linotype"/>
          <w:b w:val="0"/>
        </w:rPr>
        <w:t>herefore</w:t>
      </w:r>
      <w:proofErr w:type="spellEnd"/>
      <w:r w:rsidRPr="00511954" w:rsidR="007E2567">
        <w:rPr>
          <w:rFonts w:ascii="Palatino Linotype" w:hAnsi="Palatino Linotype"/>
          <w:b w:val="0"/>
        </w:rPr>
        <w:t>, we will set the upper limit of the size of any one project to 30% of the total capacity in that IOU’s Community Solar Green Tariff program or 3 MW, whichever is larger.”</w:t>
      </w:r>
      <w:r w:rsidRPr="00511954" w:rsidR="007E2567">
        <w:rPr>
          <w:rStyle w:val="FootnoteReference"/>
          <w:rFonts w:ascii="Palatino Linotype" w:hAnsi="Palatino Linotype"/>
          <w:b w:val="0"/>
        </w:rPr>
        <w:footnoteReference w:id="92"/>
      </w:r>
      <w:r w:rsidRPr="00511954" w:rsidR="00BD232D">
        <w:rPr>
          <w:rFonts w:ascii="Palatino Linotype" w:hAnsi="Palatino Linotype"/>
          <w:b w:val="0"/>
        </w:rPr>
        <w:t xml:space="preserve"> </w:t>
      </w:r>
      <w:r w:rsidRPr="00511954">
        <w:rPr>
          <w:rFonts w:ascii="Palatino Linotype" w:hAnsi="Palatino Linotype"/>
          <w:b w:val="0"/>
        </w:rPr>
        <w:t xml:space="preserve"> </w:t>
      </w:r>
      <w:r w:rsidRPr="00511954" w:rsidR="00BD232D">
        <w:rPr>
          <w:rFonts w:ascii="Palatino Linotype" w:hAnsi="Palatino Linotype"/>
          <w:b w:val="0"/>
        </w:rPr>
        <w:t xml:space="preserve">We take the opportunity in this </w:t>
      </w:r>
      <w:r w:rsidRPr="00511954" w:rsidR="008D5D01">
        <w:rPr>
          <w:rFonts w:ascii="Palatino Linotype" w:hAnsi="Palatino Linotype"/>
          <w:b w:val="0"/>
        </w:rPr>
        <w:t>R</w:t>
      </w:r>
      <w:r w:rsidRPr="00511954" w:rsidR="00BD232D">
        <w:rPr>
          <w:rFonts w:ascii="Palatino Linotype" w:hAnsi="Palatino Linotype"/>
          <w:b w:val="0"/>
        </w:rPr>
        <w:t>esolution to clarify that this direction is intended to establish a static, non-declining number</w:t>
      </w:r>
      <w:r w:rsidRPr="00511954">
        <w:rPr>
          <w:rStyle w:val="FootnoteReference"/>
          <w:rFonts w:ascii="Palatino Linotype" w:hAnsi="Palatino Linotype"/>
          <w:b w:val="0"/>
        </w:rPr>
        <w:footnoteReference w:id="93"/>
      </w:r>
      <w:r w:rsidRPr="00511954" w:rsidR="002147F1">
        <w:rPr>
          <w:rFonts w:ascii="Palatino Linotype" w:hAnsi="Palatino Linotype"/>
          <w:b w:val="0"/>
        </w:rPr>
        <w:t xml:space="preserve"> up until each IOU has less than that </w:t>
      </w:r>
      <w:r w:rsidR="00710921">
        <w:rPr>
          <w:rFonts w:ascii="Palatino Linotype" w:hAnsi="Palatino Linotype"/>
          <w:b w:val="0"/>
        </w:rPr>
        <w:t xml:space="preserve">amount of </w:t>
      </w:r>
      <w:r w:rsidRPr="00511954" w:rsidR="002147F1">
        <w:rPr>
          <w:rFonts w:ascii="Palatino Linotype" w:hAnsi="Palatino Linotype"/>
          <w:b w:val="0"/>
        </w:rPr>
        <w:t xml:space="preserve">capacity remaining to be procured under </w:t>
      </w:r>
      <w:r w:rsidRPr="00511954" w:rsidR="00267FFE">
        <w:rPr>
          <w:rFonts w:ascii="Palatino Linotype" w:hAnsi="Palatino Linotype"/>
          <w:b w:val="0"/>
        </w:rPr>
        <w:t>its</w:t>
      </w:r>
      <w:r w:rsidRPr="00511954" w:rsidR="002147F1">
        <w:rPr>
          <w:rFonts w:ascii="Palatino Linotype" w:hAnsi="Palatino Linotype"/>
          <w:b w:val="0"/>
        </w:rPr>
        <w:t xml:space="preserve"> CSGT program cap.</w:t>
      </w:r>
      <w:r w:rsidRPr="00511954">
        <w:rPr>
          <w:rFonts w:ascii="Palatino Linotype" w:hAnsi="Palatino Linotype"/>
          <w:b w:val="0"/>
        </w:rPr>
        <w:t xml:space="preserve"> </w:t>
      </w:r>
      <w:r w:rsidRPr="00511954" w:rsidR="00BD232D">
        <w:rPr>
          <w:rFonts w:ascii="Palatino Linotype" w:hAnsi="Palatino Linotype"/>
          <w:b w:val="0"/>
        </w:rPr>
        <w:t xml:space="preserve">This clarification will ensure there is market certainty regarding the maximum project size for all auctions, and that this cap will not be a variable number, which would make it difficult to plan for participation in solicitations. </w:t>
      </w:r>
      <w:r w:rsidRPr="00511954" w:rsidR="00215845">
        <w:rPr>
          <w:rFonts w:ascii="Palatino Linotype" w:hAnsi="Palatino Linotype"/>
          <w:b w:val="0"/>
        </w:rPr>
        <w:t xml:space="preserve">The IOUs </w:t>
      </w:r>
      <w:r w:rsidRPr="00511954" w:rsidR="00D4280A">
        <w:rPr>
          <w:rFonts w:ascii="Palatino Linotype" w:hAnsi="Palatino Linotype"/>
          <w:b w:val="0"/>
        </w:rPr>
        <w:t>must</w:t>
      </w:r>
      <w:r w:rsidRPr="00511954" w:rsidR="00215845">
        <w:rPr>
          <w:rFonts w:ascii="Palatino Linotype" w:hAnsi="Palatino Linotype"/>
          <w:b w:val="0"/>
        </w:rPr>
        <w:t xml:space="preserve"> adjust their CSGT tariffs as necessary to match this new maximum project size.</w:t>
      </w:r>
    </w:p>
    <w:p w:rsidRPr="00511954" w:rsidR="00664523" w:rsidP="0010120C" w:rsidRDefault="00215845" w14:paraId="2E985C53" w14:textId="77777777">
      <w:pPr>
        <w:pStyle w:val="BodyText"/>
        <w:keepNext/>
        <w:rPr>
          <w:rFonts w:ascii="Palatino Linotype" w:hAnsi="Palatino Linotype"/>
          <w:b w:val="0"/>
        </w:rPr>
      </w:pPr>
      <w:r w:rsidRPr="00511954">
        <w:rPr>
          <w:rFonts w:ascii="Palatino Linotype" w:hAnsi="Palatino Linotype"/>
          <w:b w:val="0"/>
          <w:u w:val="single"/>
        </w:rPr>
        <w:t>Customer Enrollment C</w:t>
      </w:r>
      <w:r w:rsidRPr="00511954" w:rsidR="006B2253">
        <w:rPr>
          <w:rFonts w:ascii="Palatino Linotype" w:hAnsi="Palatino Linotype"/>
          <w:b w:val="0"/>
          <w:u w:val="single"/>
        </w:rPr>
        <w:t>ap</w:t>
      </w:r>
      <w:r w:rsidRPr="00511954" w:rsidR="006B2253">
        <w:rPr>
          <w:rFonts w:ascii="Palatino Linotype" w:hAnsi="Palatino Linotype"/>
          <w:b w:val="0"/>
        </w:rPr>
        <w:t xml:space="preserve"> </w:t>
      </w:r>
    </w:p>
    <w:p w:rsidRPr="00511954" w:rsidR="00664523" w:rsidP="000345CB" w:rsidRDefault="006B2253" w14:paraId="261AAB47" w14:textId="4A26F94D">
      <w:pPr>
        <w:pStyle w:val="BodyText"/>
        <w:spacing w:after="120"/>
        <w:rPr>
          <w:rFonts w:ascii="Palatino Linotype" w:hAnsi="Palatino Linotype"/>
          <w:b w:val="0"/>
        </w:rPr>
      </w:pPr>
      <w:r w:rsidRPr="00511954">
        <w:rPr>
          <w:rFonts w:ascii="Palatino Linotype" w:hAnsi="Palatino Linotype"/>
          <w:b w:val="0"/>
        </w:rPr>
        <w:t>In its DAC-GT and CSGT tariffs, PG&amp;E caps a residentia</w:t>
      </w:r>
      <w:r w:rsidRPr="00511954" w:rsidR="00215845">
        <w:rPr>
          <w:rFonts w:ascii="Palatino Linotype" w:hAnsi="Palatino Linotype"/>
          <w:b w:val="0"/>
        </w:rPr>
        <w:t xml:space="preserve">l customer’s enrollment </w:t>
      </w:r>
      <w:r w:rsidRPr="00511954">
        <w:rPr>
          <w:rFonts w:ascii="Palatino Linotype" w:hAnsi="Palatino Linotype"/>
          <w:b w:val="0"/>
        </w:rPr>
        <w:t xml:space="preserve">at 2 MW, </w:t>
      </w:r>
      <w:r w:rsidRPr="00511954" w:rsidR="00666045">
        <w:rPr>
          <w:rFonts w:ascii="Palatino Linotype" w:hAnsi="Palatino Linotype"/>
          <w:b w:val="0"/>
        </w:rPr>
        <w:t>a</w:t>
      </w:r>
      <w:r w:rsidRPr="00511954" w:rsidR="00A94030">
        <w:rPr>
          <w:rFonts w:ascii="Palatino Linotype" w:hAnsi="Palatino Linotype"/>
          <w:b w:val="0"/>
        </w:rPr>
        <w:t>s this a</w:t>
      </w:r>
      <w:r w:rsidRPr="00511954" w:rsidR="00666045">
        <w:rPr>
          <w:rFonts w:ascii="Palatino Linotype" w:hAnsi="Palatino Linotype"/>
          <w:b w:val="0"/>
        </w:rPr>
        <w:t xml:space="preserve">ligns with </w:t>
      </w:r>
      <w:r w:rsidRPr="00511954" w:rsidR="00A94030">
        <w:rPr>
          <w:rFonts w:ascii="Palatino Linotype" w:hAnsi="Palatino Linotype"/>
          <w:b w:val="0"/>
        </w:rPr>
        <w:t xml:space="preserve">the </w:t>
      </w:r>
      <w:r w:rsidRPr="00511954">
        <w:rPr>
          <w:rFonts w:ascii="Palatino Linotype" w:hAnsi="Palatino Linotype"/>
          <w:b w:val="0"/>
        </w:rPr>
        <w:t xml:space="preserve">requirements </w:t>
      </w:r>
      <w:r w:rsidRPr="00511954" w:rsidR="00A94030">
        <w:rPr>
          <w:rFonts w:ascii="Palatino Linotype" w:hAnsi="Palatino Linotype"/>
          <w:b w:val="0"/>
        </w:rPr>
        <w:t>of</w:t>
      </w:r>
      <w:r w:rsidRPr="00511954">
        <w:rPr>
          <w:rFonts w:ascii="Palatino Linotype" w:hAnsi="Palatino Linotype"/>
          <w:b w:val="0"/>
        </w:rPr>
        <w:t xml:space="preserve"> </w:t>
      </w:r>
      <w:r w:rsidRPr="00511954" w:rsidR="00A94030">
        <w:rPr>
          <w:rFonts w:ascii="Palatino Linotype" w:hAnsi="Palatino Linotype"/>
          <w:b w:val="0"/>
        </w:rPr>
        <w:t xml:space="preserve">the </w:t>
      </w:r>
      <w:r w:rsidRPr="00511954">
        <w:rPr>
          <w:rFonts w:ascii="Palatino Linotype" w:hAnsi="Palatino Linotype"/>
          <w:b w:val="0"/>
        </w:rPr>
        <w:t>GTSR</w:t>
      </w:r>
      <w:r w:rsidRPr="00511954" w:rsidR="00A94030">
        <w:rPr>
          <w:rFonts w:ascii="Palatino Linotype" w:hAnsi="Palatino Linotype"/>
          <w:b w:val="0"/>
        </w:rPr>
        <w:t xml:space="preserve"> program</w:t>
      </w:r>
      <w:r w:rsidRPr="00511954">
        <w:rPr>
          <w:rFonts w:ascii="Palatino Linotype" w:hAnsi="Palatino Linotype"/>
          <w:b w:val="0"/>
        </w:rPr>
        <w:t>.</w:t>
      </w:r>
      <w:r w:rsidRPr="00511954" w:rsidR="00A94030">
        <w:rPr>
          <w:rStyle w:val="FootnoteReference"/>
          <w:rFonts w:ascii="Palatino Linotype" w:hAnsi="Palatino Linotype"/>
          <w:b w:val="0"/>
        </w:rPr>
        <w:footnoteReference w:id="94"/>
      </w:r>
      <w:r w:rsidRPr="00511954">
        <w:rPr>
          <w:rFonts w:ascii="Palatino Linotype" w:hAnsi="Palatino Linotype"/>
          <w:b w:val="0"/>
        </w:rPr>
        <w:t xml:space="preserve"> </w:t>
      </w:r>
      <w:r w:rsidRPr="00511954" w:rsidR="000B1281">
        <w:rPr>
          <w:rFonts w:ascii="Palatino Linotype" w:hAnsi="Palatino Linotype"/>
          <w:b w:val="0"/>
        </w:rPr>
        <w:t xml:space="preserve">SCE and SD&amp;E, however, do not impose this restriction on their programs. </w:t>
      </w:r>
      <w:r w:rsidRPr="00511954">
        <w:rPr>
          <w:rFonts w:ascii="Palatino Linotype" w:hAnsi="Palatino Linotype"/>
          <w:b w:val="0"/>
        </w:rPr>
        <w:t>Since DAC-GT and CSGT are based on the GTSR program,</w:t>
      </w:r>
      <w:r w:rsidRPr="00511954" w:rsidR="00DF16BB">
        <w:rPr>
          <w:rStyle w:val="FootnoteReference"/>
          <w:rFonts w:ascii="Palatino Linotype" w:hAnsi="Palatino Linotype"/>
          <w:b w:val="0"/>
        </w:rPr>
        <w:footnoteReference w:id="95"/>
      </w:r>
      <w:r w:rsidRPr="00511954">
        <w:rPr>
          <w:rFonts w:ascii="Palatino Linotype" w:hAnsi="Palatino Linotype"/>
          <w:b w:val="0"/>
        </w:rPr>
        <w:t xml:space="preserve"> </w:t>
      </w:r>
      <w:r w:rsidRPr="00511954" w:rsidR="00664523">
        <w:rPr>
          <w:rFonts w:ascii="Palatino Linotype" w:hAnsi="Palatino Linotype"/>
          <w:b w:val="0"/>
        </w:rPr>
        <w:t>the Commission find</w:t>
      </w:r>
      <w:r w:rsidRPr="00511954" w:rsidR="00215845">
        <w:rPr>
          <w:rFonts w:ascii="Palatino Linotype" w:hAnsi="Palatino Linotype"/>
          <w:b w:val="0"/>
        </w:rPr>
        <w:t xml:space="preserve">s it is reasonable to apply </w:t>
      </w:r>
      <w:r w:rsidRPr="00511954" w:rsidR="00D4280A">
        <w:rPr>
          <w:rFonts w:ascii="Palatino Linotype" w:hAnsi="Palatino Linotype"/>
          <w:b w:val="0"/>
        </w:rPr>
        <w:t xml:space="preserve">the same GTSR </w:t>
      </w:r>
      <w:r w:rsidRPr="00511954" w:rsidR="00215845">
        <w:rPr>
          <w:rFonts w:ascii="Palatino Linotype" w:hAnsi="Palatino Linotype"/>
          <w:b w:val="0"/>
        </w:rPr>
        <w:t>maximum enrollment cap of 2 MW</w:t>
      </w:r>
      <w:r w:rsidRPr="00511954">
        <w:rPr>
          <w:rFonts w:ascii="Palatino Linotype" w:hAnsi="Palatino Linotype"/>
          <w:b w:val="0"/>
        </w:rPr>
        <w:t xml:space="preserve"> </w:t>
      </w:r>
      <w:r w:rsidRPr="00511954" w:rsidR="00215845">
        <w:rPr>
          <w:rFonts w:ascii="Palatino Linotype" w:hAnsi="Palatino Linotype"/>
          <w:b w:val="0"/>
        </w:rPr>
        <w:t xml:space="preserve">per customer </w:t>
      </w:r>
      <w:r w:rsidRPr="00511954" w:rsidR="00664523">
        <w:rPr>
          <w:rFonts w:ascii="Palatino Linotype" w:hAnsi="Palatino Linotype"/>
          <w:b w:val="0"/>
        </w:rPr>
        <w:t xml:space="preserve">to </w:t>
      </w:r>
      <w:r w:rsidRPr="00511954" w:rsidR="00DE29A9">
        <w:rPr>
          <w:rFonts w:ascii="Palatino Linotype" w:hAnsi="Palatino Linotype"/>
          <w:b w:val="0"/>
        </w:rPr>
        <w:t xml:space="preserve">the </w:t>
      </w:r>
      <w:r w:rsidRPr="00511954" w:rsidR="00664523">
        <w:rPr>
          <w:rFonts w:ascii="Palatino Linotype" w:hAnsi="Palatino Linotype"/>
          <w:b w:val="0"/>
        </w:rPr>
        <w:t>DAC-GT and CSGT progr</w:t>
      </w:r>
      <w:r w:rsidRPr="00511954">
        <w:rPr>
          <w:rFonts w:ascii="Palatino Linotype" w:hAnsi="Palatino Linotype"/>
          <w:b w:val="0"/>
        </w:rPr>
        <w:t>ams</w:t>
      </w:r>
      <w:r w:rsidRPr="00511954" w:rsidR="00C1456C">
        <w:rPr>
          <w:rFonts w:ascii="Palatino Linotype" w:hAnsi="Palatino Linotype"/>
          <w:b w:val="0"/>
        </w:rPr>
        <w:t xml:space="preserve"> for consistency with the GTSR program and to maximize the number of customers that can be served by the programs</w:t>
      </w:r>
      <w:r w:rsidRPr="00511954">
        <w:rPr>
          <w:rFonts w:ascii="Palatino Linotype" w:hAnsi="Palatino Linotype"/>
          <w:b w:val="0"/>
        </w:rPr>
        <w:t>.</w:t>
      </w:r>
      <w:r w:rsidRPr="00511954" w:rsidR="00664523">
        <w:rPr>
          <w:rFonts w:ascii="Palatino Linotype" w:hAnsi="Palatino Linotype"/>
          <w:b w:val="0"/>
        </w:rPr>
        <w:t xml:space="preserve"> </w:t>
      </w:r>
    </w:p>
    <w:p w:rsidRPr="00511954" w:rsidR="000345CB" w:rsidP="00215845" w:rsidRDefault="006B2253" w14:paraId="68299570" w14:textId="77777777">
      <w:pPr>
        <w:pStyle w:val="BodyText"/>
        <w:keepNext/>
        <w:rPr>
          <w:rFonts w:ascii="Palatino Linotype" w:hAnsi="Palatino Linotype"/>
          <w:b w:val="0"/>
          <w:u w:val="single"/>
        </w:rPr>
      </w:pPr>
      <w:r w:rsidRPr="00511954">
        <w:rPr>
          <w:rFonts w:ascii="Palatino Linotype" w:hAnsi="Palatino Linotype"/>
          <w:b w:val="0"/>
          <w:u w:val="single"/>
        </w:rPr>
        <w:t>Portability</w:t>
      </w:r>
    </w:p>
    <w:p w:rsidRPr="00511954" w:rsidR="006B2253" w:rsidP="00215845" w:rsidRDefault="006B2253" w14:paraId="1E56D0F1" w14:textId="7A0F0C89">
      <w:pPr>
        <w:pStyle w:val="BodyText"/>
        <w:keepNext/>
        <w:spacing w:after="120"/>
        <w:rPr>
          <w:rFonts w:ascii="Palatino Linotype" w:hAnsi="Palatino Linotype"/>
          <w:b w:val="0"/>
        </w:rPr>
      </w:pPr>
      <w:r w:rsidRPr="00511954">
        <w:rPr>
          <w:rFonts w:ascii="Palatino Linotype" w:hAnsi="Palatino Linotype"/>
          <w:b w:val="0"/>
        </w:rPr>
        <w:t xml:space="preserve">PG&amp;E and SDG&amp;E specify </w:t>
      </w:r>
      <w:r w:rsidRPr="00511954" w:rsidR="000345CB">
        <w:rPr>
          <w:rFonts w:ascii="Palatino Linotype" w:hAnsi="Palatino Linotype"/>
          <w:b w:val="0"/>
        </w:rPr>
        <w:t xml:space="preserve">in their ALs </w:t>
      </w:r>
      <w:r w:rsidRPr="00511954">
        <w:rPr>
          <w:rFonts w:ascii="Palatino Linotype" w:hAnsi="Palatino Linotype"/>
          <w:b w:val="0"/>
        </w:rPr>
        <w:t xml:space="preserve">that if </w:t>
      </w:r>
      <w:r w:rsidRPr="00511954" w:rsidR="00CB35BA">
        <w:rPr>
          <w:rFonts w:ascii="Palatino Linotype" w:hAnsi="Palatino Linotype"/>
          <w:b w:val="0"/>
        </w:rPr>
        <w:t>a</w:t>
      </w:r>
      <w:r w:rsidRPr="00511954">
        <w:rPr>
          <w:rFonts w:ascii="Palatino Linotype" w:hAnsi="Palatino Linotype"/>
          <w:b w:val="0"/>
        </w:rPr>
        <w:t xml:space="preserve"> customer move</w:t>
      </w:r>
      <w:r w:rsidRPr="00511954" w:rsidR="00CB35BA">
        <w:rPr>
          <w:rFonts w:ascii="Palatino Linotype" w:hAnsi="Palatino Linotype"/>
          <w:b w:val="0"/>
        </w:rPr>
        <w:t>s</w:t>
      </w:r>
      <w:r w:rsidRPr="00511954">
        <w:rPr>
          <w:rFonts w:ascii="Palatino Linotype" w:hAnsi="Palatino Linotype"/>
          <w:b w:val="0"/>
        </w:rPr>
        <w:t xml:space="preserve">, they will be required to reapply to the </w:t>
      </w:r>
      <w:r w:rsidRPr="00511954" w:rsidR="00CB35BA">
        <w:rPr>
          <w:rFonts w:ascii="Palatino Linotype" w:hAnsi="Palatino Linotype"/>
          <w:b w:val="0"/>
        </w:rPr>
        <w:t xml:space="preserve">DAC-GT or CSGT </w:t>
      </w:r>
      <w:r w:rsidRPr="00511954">
        <w:rPr>
          <w:rFonts w:ascii="Palatino Linotype" w:hAnsi="Palatino Linotype"/>
          <w:b w:val="0"/>
        </w:rPr>
        <w:t>program to ensure they are still eligible</w:t>
      </w:r>
      <w:r w:rsidRPr="00511954" w:rsidR="006B2388">
        <w:rPr>
          <w:rFonts w:ascii="Palatino Linotype" w:hAnsi="Palatino Linotype"/>
          <w:b w:val="0"/>
        </w:rPr>
        <w:t xml:space="preserve"> for th</w:t>
      </w:r>
      <w:r w:rsidRPr="00511954" w:rsidR="00CB35BA">
        <w:rPr>
          <w:rFonts w:ascii="Palatino Linotype" w:hAnsi="Palatino Linotype"/>
          <w:b w:val="0"/>
        </w:rPr>
        <w:t>at</w:t>
      </w:r>
      <w:r w:rsidRPr="00511954" w:rsidR="006B2388">
        <w:rPr>
          <w:rFonts w:ascii="Palatino Linotype" w:hAnsi="Palatino Linotype"/>
          <w:b w:val="0"/>
        </w:rPr>
        <w:t xml:space="preserve"> program</w:t>
      </w:r>
      <w:r w:rsidRPr="00511954">
        <w:rPr>
          <w:rFonts w:ascii="Palatino Linotype" w:hAnsi="Palatino Linotype"/>
          <w:b w:val="0"/>
        </w:rPr>
        <w:t xml:space="preserve">. </w:t>
      </w:r>
      <w:r w:rsidRPr="00511954" w:rsidR="00267FFE">
        <w:rPr>
          <w:rFonts w:ascii="Palatino Linotype" w:hAnsi="Palatino Linotype"/>
          <w:b w:val="0"/>
        </w:rPr>
        <w:t xml:space="preserve">SCE does not address this issue. </w:t>
      </w:r>
      <w:r w:rsidRPr="00511954" w:rsidR="006B2388">
        <w:rPr>
          <w:rFonts w:ascii="Palatino Linotype" w:hAnsi="Palatino Linotype"/>
          <w:b w:val="0"/>
        </w:rPr>
        <w:t xml:space="preserve">Requiring customers to reapply after a move will </w:t>
      </w:r>
      <w:r w:rsidRPr="00511954" w:rsidR="00267FFE">
        <w:rPr>
          <w:rFonts w:ascii="Palatino Linotype" w:hAnsi="Palatino Linotype"/>
          <w:b w:val="0"/>
        </w:rPr>
        <w:t>ensure that the benefits of the programs go only to customers living in DACs</w:t>
      </w:r>
      <w:r w:rsidRPr="00511954" w:rsidR="006B2388">
        <w:rPr>
          <w:rFonts w:ascii="Palatino Linotype" w:hAnsi="Palatino Linotype"/>
          <w:b w:val="0"/>
        </w:rPr>
        <w:t xml:space="preserve">. We </w:t>
      </w:r>
      <w:r w:rsidRPr="00511954" w:rsidR="00267FFE">
        <w:rPr>
          <w:rFonts w:ascii="Palatino Linotype" w:hAnsi="Palatino Linotype"/>
          <w:b w:val="0"/>
        </w:rPr>
        <w:t xml:space="preserve">therefore require the IOUs to require customers </w:t>
      </w:r>
      <w:r w:rsidRPr="00511954" w:rsidR="006B2388">
        <w:rPr>
          <w:rFonts w:ascii="Palatino Linotype" w:hAnsi="Palatino Linotype"/>
          <w:b w:val="0"/>
        </w:rPr>
        <w:t>who</w:t>
      </w:r>
      <w:r w:rsidRPr="00511954" w:rsidR="00267FFE">
        <w:rPr>
          <w:rFonts w:ascii="Palatino Linotype" w:hAnsi="Palatino Linotype"/>
          <w:b w:val="0"/>
        </w:rPr>
        <w:t xml:space="preserve"> move to recertify their eligibility for the </w:t>
      </w:r>
      <w:r w:rsidRPr="00511954" w:rsidR="006B2388">
        <w:rPr>
          <w:rFonts w:ascii="Palatino Linotype" w:hAnsi="Palatino Linotype"/>
          <w:b w:val="0"/>
        </w:rPr>
        <w:t>DAC</w:t>
      </w:r>
      <w:r w:rsidRPr="00511954" w:rsidR="00CB35BA">
        <w:rPr>
          <w:rFonts w:ascii="Palatino Linotype" w:hAnsi="Palatino Linotype"/>
          <w:b w:val="0"/>
        </w:rPr>
        <w:t>-</w:t>
      </w:r>
      <w:r w:rsidRPr="00511954" w:rsidR="006B2388">
        <w:rPr>
          <w:rFonts w:ascii="Palatino Linotype" w:hAnsi="Palatino Linotype"/>
          <w:b w:val="0"/>
        </w:rPr>
        <w:t xml:space="preserve">GT and CSGT </w:t>
      </w:r>
      <w:r w:rsidRPr="00511954" w:rsidR="00267FFE">
        <w:rPr>
          <w:rFonts w:ascii="Palatino Linotype" w:hAnsi="Palatino Linotype"/>
          <w:b w:val="0"/>
        </w:rPr>
        <w:t xml:space="preserve">programs. </w:t>
      </w:r>
      <w:r w:rsidRPr="00511954">
        <w:rPr>
          <w:rFonts w:ascii="Palatino Linotype" w:hAnsi="Palatino Linotype"/>
          <w:b w:val="0"/>
        </w:rPr>
        <w:t xml:space="preserve">If </w:t>
      </w:r>
      <w:r w:rsidR="00710921">
        <w:rPr>
          <w:rFonts w:ascii="Palatino Linotype" w:hAnsi="Palatino Linotype"/>
          <w:b w:val="0"/>
        </w:rPr>
        <w:t xml:space="preserve">a customer is </w:t>
      </w:r>
      <w:r w:rsidRPr="00511954" w:rsidR="009A1B37">
        <w:rPr>
          <w:rFonts w:ascii="Palatino Linotype" w:hAnsi="Palatino Linotype"/>
          <w:b w:val="0"/>
        </w:rPr>
        <w:t xml:space="preserve">found to </w:t>
      </w:r>
      <w:r w:rsidRPr="00511954">
        <w:rPr>
          <w:rFonts w:ascii="Palatino Linotype" w:hAnsi="Palatino Linotype"/>
          <w:b w:val="0"/>
        </w:rPr>
        <w:t xml:space="preserve">still </w:t>
      </w:r>
      <w:r w:rsidRPr="00511954" w:rsidR="003F5CB3">
        <w:rPr>
          <w:rFonts w:ascii="Palatino Linotype" w:hAnsi="Palatino Linotype"/>
          <w:b w:val="0"/>
        </w:rPr>
        <w:t xml:space="preserve">be </w:t>
      </w:r>
      <w:r w:rsidRPr="00511954">
        <w:rPr>
          <w:rFonts w:ascii="Palatino Linotype" w:hAnsi="Palatino Linotype"/>
          <w:b w:val="0"/>
        </w:rPr>
        <w:t xml:space="preserve">eligible, </w:t>
      </w:r>
      <w:r w:rsidRPr="00511954" w:rsidR="00267FFE">
        <w:rPr>
          <w:rFonts w:ascii="Palatino Linotype" w:hAnsi="Palatino Linotype"/>
          <w:b w:val="0"/>
        </w:rPr>
        <w:t xml:space="preserve">the </w:t>
      </w:r>
      <w:r w:rsidR="00710921">
        <w:rPr>
          <w:rFonts w:ascii="Palatino Linotype" w:hAnsi="Palatino Linotype"/>
          <w:b w:val="0"/>
        </w:rPr>
        <w:t xml:space="preserve">relevant </w:t>
      </w:r>
      <w:r w:rsidRPr="00511954" w:rsidR="00267FFE">
        <w:rPr>
          <w:rFonts w:ascii="Palatino Linotype" w:hAnsi="Palatino Linotype"/>
          <w:b w:val="0"/>
        </w:rPr>
        <w:t>IOU shall</w:t>
      </w:r>
      <w:r w:rsidRPr="00511954" w:rsidR="006848D2">
        <w:rPr>
          <w:rFonts w:ascii="Palatino Linotype" w:hAnsi="Palatino Linotype"/>
          <w:b w:val="0"/>
        </w:rPr>
        <w:t xml:space="preserve"> </w:t>
      </w:r>
      <w:r w:rsidRPr="00511954">
        <w:rPr>
          <w:rFonts w:ascii="Palatino Linotype" w:hAnsi="Palatino Linotype"/>
          <w:b w:val="0"/>
        </w:rPr>
        <w:t xml:space="preserve">retain their status as </w:t>
      </w:r>
      <w:r w:rsidR="00710921">
        <w:rPr>
          <w:rFonts w:ascii="Palatino Linotype" w:hAnsi="Palatino Linotype"/>
          <w:b w:val="0"/>
        </w:rPr>
        <w:t xml:space="preserve">a </w:t>
      </w:r>
      <w:r w:rsidRPr="00511954">
        <w:rPr>
          <w:rFonts w:ascii="Palatino Linotype" w:hAnsi="Palatino Linotype"/>
          <w:b w:val="0"/>
        </w:rPr>
        <w:t xml:space="preserve">program participant and </w:t>
      </w:r>
      <w:r w:rsidRPr="00511954" w:rsidR="00267FFE">
        <w:rPr>
          <w:rFonts w:ascii="Palatino Linotype" w:hAnsi="Palatino Linotype"/>
          <w:b w:val="0"/>
        </w:rPr>
        <w:t>shall not require th</w:t>
      </w:r>
      <w:r w:rsidR="00710921">
        <w:rPr>
          <w:rFonts w:ascii="Palatino Linotype" w:hAnsi="Palatino Linotype"/>
          <w:b w:val="0"/>
        </w:rPr>
        <w:t>at</w:t>
      </w:r>
      <w:r w:rsidRPr="00511954" w:rsidR="00267FFE">
        <w:rPr>
          <w:rFonts w:ascii="Palatino Linotype" w:hAnsi="Palatino Linotype"/>
          <w:b w:val="0"/>
        </w:rPr>
        <w:t xml:space="preserve"> customer to go</w:t>
      </w:r>
      <w:r w:rsidRPr="00511954">
        <w:rPr>
          <w:rFonts w:ascii="Palatino Linotype" w:hAnsi="Palatino Linotype"/>
          <w:b w:val="0"/>
        </w:rPr>
        <w:t xml:space="preserve"> on a wait</w:t>
      </w:r>
      <w:r w:rsidRPr="00511954" w:rsidR="009A1B37">
        <w:rPr>
          <w:rFonts w:ascii="Palatino Linotype" w:hAnsi="Palatino Linotype"/>
          <w:b w:val="0"/>
        </w:rPr>
        <w:t>list</w:t>
      </w:r>
      <w:r w:rsidRPr="00511954">
        <w:rPr>
          <w:rFonts w:ascii="Palatino Linotype" w:hAnsi="Palatino Linotype"/>
          <w:b w:val="0"/>
        </w:rPr>
        <w:t xml:space="preserve">.  </w:t>
      </w:r>
    </w:p>
    <w:p w:rsidRPr="00511954" w:rsidR="006848D2" w:rsidP="006848D2" w:rsidRDefault="003F5CB3" w14:paraId="039A6C92" w14:textId="77777777">
      <w:pPr>
        <w:pStyle w:val="BodyText"/>
        <w:rPr>
          <w:rFonts w:ascii="Palatino Linotype" w:hAnsi="Palatino Linotype"/>
          <w:b w:val="0"/>
        </w:rPr>
      </w:pPr>
      <w:proofErr w:type="spellStart"/>
      <w:r w:rsidRPr="00511954">
        <w:rPr>
          <w:rFonts w:ascii="Palatino Linotype" w:hAnsi="Palatino Linotype"/>
          <w:b w:val="0"/>
          <w:u w:val="single"/>
        </w:rPr>
        <w:t>Cal</w:t>
      </w:r>
      <w:r w:rsidRPr="00511954" w:rsidR="00BC6184">
        <w:rPr>
          <w:rFonts w:ascii="Palatino Linotype" w:hAnsi="Palatino Linotype"/>
          <w:b w:val="0"/>
          <w:u w:val="single"/>
        </w:rPr>
        <w:t>EnviroScreen</w:t>
      </w:r>
      <w:proofErr w:type="spellEnd"/>
      <w:r w:rsidRPr="00511954" w:rsidR="00BC6184">
        <w:rPr>
          <w:rFonts w:ascii="Palatino Linotype" w:hAnsi="Palatino Linotype"/>
          <w:b w:val="0"/>
          <w:u w:val="single"/>
        </w:rPr>
        <w:t xml:space="preserve"> U</w:t>
      </w:r>
      <w:r w:rsidRPr="00511954" w:rsidR="006B2253">
        <w:rPr>
          <w:rFonts w:ascii="Palatino Linotype" w:hAnsi="Palatino Linotype"/>
          <w:b w:val="0"/>
          <w:u w:val="single"/>
        </w:rPr>
        <w:t>pdates</w:t>
      </w:r>
      <w:r w:rsidRPr="00511954" w:rsidR="006B2253">
        <w:rPr>
          <w:rFonts w:ascii="Palatino Linotype" w:hAnsi="Palatino Linotype"/>
          <w:b w:val="0"/>
        </w:rPr>
        <w:t xml:space="preserve"> </w:t>
      </w:r>
    </w:p>
    <w:p w:rsidR="00786345" w:rsidP="00B164AC" w:rsidRDefault="006B2253" w14:paraId="7BC477EF" w14:textId="77777777">
      <w:pPr>
        <w:pStyle w:val="BodyText"/>
        <w:spacing w:after="120"/>
        <w:rPr>
          <w:rFonts w:ascii="Palatino Linotype" w:hAnsi="Palatino Linotype"/>
          <w:b w:val="0"/>
        </w:rPr>
      </w:pPr>
      <w:r w:rsidRPr="00511954">
        <w:rPr>
          <w:rFonts w:ascii="Palatino Linotype" w:hAnsi="Palatino Linotype"/>
          <w:b w:val="0"/>
        </w:rPr>
        <w:t xml:space="preserve">The </w:t>
      </w:r>
      <w:r w:rsidRPr="00511954" w:rsidR="003816EB">
        <w:rPr>
          <w:rFonts w:ascii="Palatino Linotype" w:hAnsi="Palatino Linotype"/>
          <w:b w:val="0"/>
        </w:rPr>
        <w:t xml:space="preserve">NEM DAC </w:t>
      </w:r>
      <w:r w:rsidRPr="00511954" w:rsidR="00A165B3">
        <w:rPr>
          <w:rFonts w:ascii="Palatino Linotype" w:hAnsi="Palatino Linotype"/>
          <w:b w:val="0"/>
        </w:rPr>
        <w:t>Decision</w:t>
      </w:r>
      <w:r w:rsidRPr="00511954">
        <w:rPr>
          <w:rFonts w:ascii="Palatino Linotype" w:hAnsi="Palatino Linotype"/>
          <w:b w:val="0"/>
        </w:rPr>
        <w:t xml:space="preserve"> </w:t>
      </w:r>
      <w:r w:rsidR="00710921">
        <w:rPr>
          <w:rFonts w:ascii="Palatino Linotype" w:hAnsi="Palatino Linotype"/>
          <w:b w:val="0"/>
        </w:rPr>
        <w:t>state</w:t>
      </w:r>
      <w:r w:rsidRPr="00511954" w:rsidR="006848D2">
        <w:rPr>
          <w:rFonts w:ascii="Palatino Linotype" w:hAnsi="Palatino Linotype"/>
          <w:b w:val="0"/>
        </w:rPr>
        <w:t xml:space="preserve">s that </w:t>
      </w:r>
      <w:r w:rsidRPr="00511954">
        <w:rPr>
          <w:rFonts w:ascii="Palatino Linotype" w:hAnsi="Palatino Linotype"/>
          <w:b w:val="0"/>
        </w:rPr>
        <w:t>program eligibility</w:t>
      </w:r>
      <w:r w:rsidRPr="00511954" w:rsidR="00BC6184">
        <w:rPr>
          <w:rFonts w:ascii="Palatino Linotype" w:hAnsi="Palatino Linotype"/>
          <w:b w:val="0"/>
        </w:rPr>
        <w:t xml:space="preserve"> based on the top 25 percent</w:t>
      </w:r>
      <w:r w:rsidRPr="00511954" w:rsidR="00B533B9">
        <w:rPr>
          <w:rFonts w:ascii="Palatino Linotype" w:hAnsi="Palatino Linotype"/>
          <w:b w:val="0"/>
        </w:rPr>
        <w:t xml:space="preserve"> of DACs</w:t>
      </w:r>
      <w:r w:rsidRPr="00511954">
        <w:rPr>
          <w:rFonts w:ascii="Palatino Linotype" w:hAnsi="Palatino Linotype"/>
          <w:b w:val="0"/>
        </w:rPr>
        <w:t xml:space="preserve"> is to be adjusted to include any future revisions of </w:t>
      </w:r>
      <w:r w:rsidRPr="00511954" w:rsidR="006B2388">
        <w:rPr>
          <w:rFonts w:ascii="Palatino Linotype" w:hAnsi="Palatino Linotype"/>
          <w:b w:val="0"/>
        </w:rPr>
        <w:t xml:space="preserve">the </w:t>
      </w:r>
      <w:proofErr w:type="spellStart"/>
      <w:r w:rsidRPr="00511954">
        <w:rPr>
          <w:rFonts w:ascii="Palatino Linotype" w:hAnsi="Palatino Linotype"/>
          <w:b w:val="0"/>
        </w:rPr>
        <w:t>CalEnviroScreen</w:t>
      </w:r>
      <w:proofErr w:type="spellEnd"/>
      <w:r w:rsidRPr="00511954" w:rsidR="006B2388">
        <w:rPr>
          <w:rFonts w:ascii="Palatino Linotype" w:hAnsi="Palatino Linotype"/>
          <w:b w:val="0"/>
        </w:rPr>
        <w:t xml:space="preserve"> tool</w:t>
      </w:r>
      <w:r w:rsidRPr="00511954" w:rsidR="00B533B9">
        <w:rPr>
          <w:rFonts w:ascii="Palatino Linotype" w:hAnsi="Palatino Linotype"/>
          <w:b w:val="0"/>
        </w:rPr>
        <w:t>.</w:t>
      </w:r>
      <w:r w:rsidRPr="00511954">
        <w:rPr>
          <w:rStyle w:val="FootnoteReference"/>
          <w:rFonts w:ascii="Palatino Linotype" w:hAnsi="Palatino Linotype"/>
          <w:b w:val="0"/>
        </w:rPr>
        <w:footnoteReference w:id="96"/>
      </w:r>
      <w:r w:rsidRPr="00511954">
        <w:rPr>
          <w:rFonts w:ascii="Palatino Linotype" w:hAnsi="Palatino Linotype"/>
          <w:b w:val="0"/>
        </w:rPr>
        <w:t xml:space="preserve">  </w:t>
      </w:r>
      <w:r w:rsidRPr="00511954" w:rsidR="00225A1E">
        <w:rPr>
          <w:rFonts w:ascii="Palatino Linotype" w:hAnsi="Palatino Linotype"/>
          <w:b w:val="0"/>
        </w:rPr>
        <w:t xml:space="preserve">The </w:t>
      </w:r>
      <w:r w:rsidRPr="00511954" w:rsidR="00A165B3">
        <w:rPr>
          <w:rFonts w:ascii="Palatino Linotype" w:hAnsi="Palatino Linotype"/>
          <w:b w:val="0"/>
        </w:rPr>
        <w:t>Decision</w:t>
      </w:r>
      <w:r w:rsidRPr="00511954" w:rsidR="00225A1E">
        <w:rPr>
          <w:rFonts w:ascii="Palatino Linotype" w:hAnsi="Palatino Linotype"/>
          <w:b w:val="0"/>
        </w:rPr>
        <w:t xml:space="preserve"> does not, however, discuss how to treat participating customers in census tracts that were eligible for DAC-GT or CSGT </w:t>
      </w:r>
      <w:r w:rsidRPr="00511954" w:rsidR="006B2388">
        <w:rPr>
          <w:rFonts w:ascii="Palatino Linotype" w:hAnsi="Palatino Linotype"/>
          <w:b w:val="0"/>
        </w:rPr>
        <w:t xml:space="preserve">under </w:t>
      </w:r>
      <w:r w:rsidR="00710921">
        <w:rPr>
          <w:rFonts w:ascii="Palatino Linotype" w:hAnsi="Palatino Linotype"/>
          <w:b w:val="0"/>
        </w:rPr>
        <w:t>one</w:t>
      </w:r>
      <w:r w:rsidRPr="00511954" w:rsidR="00710921">
        <w:rPr>
          <w:rFonts w:ascii="Palatino Linotype" w:hAnsi="Palatino Linotype"/>
          <w:b w:val="0"/>
        </w:rPr>
        <w:t xml:space="preserve"> </w:t>
      </w:r>
      <w:r w:rsidRPr="00511954" w:rsidR="006B2388">
        <w:rPr>
          <w:rFonts w:ascii="Palatino Linotype" w:hAnsi="Palatino Linotype"/>
          <w:b w:val="0"/>
        </w:rPr>
        <w:t xml:space="preserve">version of </w:t>
      </w:r>
      <w:proofErr w:type="spellStart"/>
      <w:r w:rsidRPr="00511954" w:rsidR="006B2388">
        <w:rPr>
          <w:rFonts w:ascii="Palatino Linotype" w:hAnsi="Palatino Linotype"/>
          <w:b w:val="0"/>
        </w:rPr>
        <w:t>CalEnviroScreen</w:t>
      </w:r>
      <w:proofErr w:type="spellEnd"/>
      <w:r w:rsidRPr="00511954" w:rsidR="006B2388">
        <w:rPr>
          <w:rFonts w:ascii="Palatino Linotype" w:hAnsi="Palatino Linotype"/>
          <w:b w:val="0"/>
        </w:rPr>
        <w:t xml:space="preserve">, </w:t>
      </w:r>
      <w:r w:rsidRPr="00511954" w:rsidR="00225A1E">
        <w:rPr>
          <w:rFonts w:ascii="Palatino Linotype" w:hAnsi="Palatino Linotype"/>
          <w:b w:val="0"/>
        </w:rPr>
        <w:t>but</w:t>
      </w:r>
      <w:r w:rsidRPr="00511954" w:rsidR="00BC6184">
        <w:rPr>
          <w:rFonts w:ascii="Palatino Linotype" w:hAnsi="Palatino Linotype"/>
          <w:b w:val="0"/>
        </w:rPr>
        <w:t xml:space="preserve"> are no longer scored as top 25 percent</w:t>
      </w:r>
      <w:r w:rsidRPr="00511954" w:rsidR="00225A1E">
        <w:rPr>
          <w:rFonts w:ascii="Palatino Linotype" w:hAnsi="Palatino Linotype"/>
          <w:b w:val="0"/>
        </w:rPr>
        <w:t xml:space="preserve"> DACs after a </w:t>
      </w:r>
      <w:proofErr w:type="spellStart"/>
      <w:r w:rsidRPr="00511954" w:rsidR="00225A1E">
        <w:rPr>
          <w:rFonts w:ascii="Palatino Linotype" w:hAnsi="Palatino Linotype"/>
          <w:b w:val="0"/>
        </w:rPr>
        <w:t>CalEnviroScreen</w:t>
      </w:r>
      <w:proofErr w:type="spellEnd"/>
      <w:r w:rsidRPr="00511954" w:rsidR="00225A1E">
        <w:rPr>
          <w:rFonts w:ascii="Palatino Linotype" w:hAnsi="Palatino Linotype"/>
          <w:b w:val="0"/>
        </w:rPr>
        <w:t xml:space="preserve"> update. </w:t>
      </w:r>
      <w:r w:rsidRPr="00511954" w:rsidR="00043EB9">
        <w:rPr>
          <w:rFonts w:ascii="Palatino Linotype" w:hAnsi="Palatino Linotype"/>
          <w:b w:val="0"/>
        </w:rPr>
        <w:t>The IOUs</w:t>
      </w:r>
      <w:r w:rsidRPr="00511954" w:rsidR="00A94030">
        <w:rPr>
          <w:rFonts w:ascii="Palatino Linotype" w:hAnsi="Palatino Linotype"/>
          <w:b w:val="0"/>
        </w:rPr>
        <w:t>’</w:t>
      </w:r>
      <w:r w:rsidRPr="00511954" w:rsidR="00043EB9">
        <w:rPr>
          <w:rFonts w:ascii="Palatino Linotype" w:hAnsi="Palatino Linotype"/>
          <w:b w:val="0"/>
        </w:rPr>
        <w:t xml:space="preserve"> ALs</w:t>
      </w:r>
      <w:r w:rsidRPr="00511954" w:rsidR="006B2388">
        <w:rPr>
          <w:rFonts w:ascii="Palatino Linotype" w:hAnsi="Palatino Linotype"/>
          <w:b w:val="0"/>
        </w:rPr>
        <w:t xml:space="preserve"> </w:t>
      </w:r>
      <w:r w:rsidRPr="00511954" w:rsidR="00043EB9">
        <w:rPr>
          <w:rFonts w:ascii="Palatino Linotype" w:hAnsi="Palatino Linotype"/>
          <w:b w:val="0"/>
        </w:rPr>
        <w:t>do not discuss this issue</w:t>
      </w:r>
      <w:r w:rsidRPr="00511954" w:rsidR="006B2388">
        <w:rPr>
          <w:rFonts w:ascii="Palatino Linotype" w:hAnsi="Palatino Linotype"/>
          <w:b w:val="0"/>
        </w:rPr>
        <w:t>, however,</w:t>
      </w:r>
      <w:r w:rsidRPr="00511954" w:rsidR="00043EB9">
        <w:rPr>
          <w:rFonts w:ascii="Palatino Linotype" w:hAnsi="Palatino Linotype"/>
          <w:b w:val="0"/>
        </w:rPr>
        <w:t xml:space="preserve"> it is important to provide direction </w:t>
      </w:r>
      <w:r w:rsidRPr="00511954" w:rsidR="00C129A7">
        <w:rPr>
          <w:rFonts w:ascii="Palatino Linotype" w:hAnsi="Palatino Linotype"/>
          <w:b w:val="0"/>
        </w:rPr>
        <w:t xml:space="preserve">in this Resolution to provide certainty for program implementation. </w:t>
      </w:r>
      <w:r w:rsidRPr="00511954" w:rsidR="003816EB">
        <w:rPr>
          <w:rFonts w:ascii="Palatino Linotype" w:hAnsi="Palatino Linotype"/>
          <w:b w:val="0"/>
        </w:rPr>
        <w:t>We</w:t>
      </w:r>
      <w:r w:rsidRPr="00511954" w:rsidR="006848D2">
        <w:rPr>
          <w:rFonts w:ascii="Palatino Linotype" w:hAnsi="Palatino Linotype"/>
          <w:b w:val="0"/>
        </w:rPr>
        <w:t xml:space="preserve"> find it reasonable for </w:t>
      </w:r>
      <w:r w:rsidRPr="00511954" w:rsidR="00AC0501">
        <w:rPr>
          <w:rFonts w:ascii="Palatino Linotype" w:hAnsi="Palatino Linotype"/>
          <w:b w:val="0"/>
        </w:rPr>
        <w:t xml:space="preserve">the </w:t>
      </w:r>
      <w:r w:rsidRPr="00511954">
        <w:rPr>
          <w:rFonts w:ascii="Palatino Linotype" w:hAnsi="Palatino Linotype"/>
          <w:b w:val="0"/>
        </w:rPr>
        <w:t xml:space="preserve">IOUs </w:t>
      </w:r>
      <w:r w:rsidRPr="00511954" w:rsidR="006848D2">
        <w:rPr>
          <w:rFonts w:ascii="Palatino Linotype" w:hAnsi="Palatino Linotype"/>
          <w:b w:val="0"/>
        </w:rPr>
        <w:t xml:space="preserve">to </w:t>
      </w:r>
      <w:r w:rsidRPr="00511954">
        <w:rPr>
          <w:rFonts w:ascii="Palatino Linotype" w:hAnsi="Palatino Linotype"/>
          <w:b w:val="0"/>
        </w:rPr>
        <w:t xml:space="preserve">update program eligibility rules </w:t>
      </w:r>
      <w:r w:rsidRPr="00511954" w:rsidR="00AC0501">
        <w:rPr>
          <w:rFonts w:ascii="Palatino Linotype" w:hAnsi="Palatino Linotype"/>
          <w:b w:val="0"/>
        </w:rPr>
        <w:t xml:space="preserve">to reflect the new </w:t>
      </w:r>
      <w:proofErr w:type="spellStart"/>
      <w:r w:rsidRPr="00511954" w:rsidR="00AC0501">
        <w:rPr>
          <w:rFonts w:ascii="Palatino Linotype" w:hAnsi="Palatino Linotype"/>
          <w:b w:val="0"/>
        </w:rPr>
        <w:t>CalEnviroScreen</w:t>
      </w:r>
      <w:proofErr w:type="spellEnd"/>
      <w:r w:rsidRPr="00511954" w:rsidR="00AC0501">
        <w:rPr>
          <w:rFonts w:ascii="Palatino Linotype" w:hAnsi="Palatino Linotype"/>
          <w:b w:val="0"/>
        </w:rPr>
        <w:t xml:space="preserve"> thresholds, </w:t>
      </w:r>
      <w:bookmarkStart w:name="_Hlk6320731" w:id="9"/>
      <w:r w:rsidRPr="00511954" w:rsidR="002E1F1B">
        <w:rPr>
          <w:rFonts w:ascii="Palatino Linotype" w:hAnsi="Palatino Linotype"/>
          <w:b w:val="0"/>
        </w:rPr>
        <w:t xml:space="preserve">by filing a Tier </w:t>
      </w:r>
      <w:r w:rsidR="00710921">
        <w:rPr>
          <w:rFonts w:ascii="Palatino Linotype" w:hAnsi="Palatino Linotype"/>
          <w:b w:val="0"/>
        </w:rPr>
        <w:t>1</w:t>
      </w:r>
      <w:r w:rsidRPr="00511954" w:rsidR="002E1F1B">
        <w:rPr>
          <w:rFonts w:ascii="Palatino Linotype" w:hAnsi="Palatino Linotype"/>
          <w:b w:val="0"/>
        </w:rPr>
        <w:t xml:space="preserve"> advice letter within 30 days of the release of the new version</w:t>
      </w:r>
      <w:bookmarkEnd w:id="9"/>
      <w:r w:rsidRPr="00511954" w:rsidR="00730701">
        <w:rPr>
          <w:rFonts w:ascii="Palatino Linotype" w:hAnsi="Palatino Linotype"/>
          <w:b w:val="0"/>
        </w:rPr>
        <w:t>.</w:t>
      </w:r>
      <w:r w:rsidR="00786345">
        <w:rPr>
          <w:rFonts w:ascii="Palatino Linotype" w:hAnsi="Palatino Linotype"/>
          <w:b w:val="0"/>
        </w:rPr>
        <w:t xml:space="preserve"> </w:t>
      </w:r>
    </w:p>
    <w:p w:rsidRPr="00511954" w:rsidR="00A94030" w:rsidP="00B164AC" w:rsidRDefault="00730701" w14:paraId="0879BD2E" w14:textId="12A269E0">
      <w:pPr>
        <w:pStyle w:val="BodyText"/>
        <w:spacing w:after="120"/>
        <w:rPr>
          <w:rFonts w:ascii="Palatino Linotype" w:hAnsi="Palatino Linotype"/>
          <w:b w:val="0"/>
        </w:rPr>
      </w:pPr>
      <w:r w:rsidRPr="00511954">
        <w:rPr>
          <w:rFonts w:ascii="Palatino Linotype" w:hAnsi="Palatino Linotype"/>
          <w:b w:val="0"/>
        </w:rPr>
        <w:t>We also find it reasonable for</w:t>
      </w:r>
      <w:r w:rsidRPr="00511954" w:rsidR="006B2253">
        <w:rPr>
          <w:rFonts w:ascii="Palatino Linotype" w:hAnsi="Palatino Linotype"/>
          <w:b w:val="0"/>
        </w:rPr>
        <w:t xml:space="preserve"> customers who are already enrolled in DAC-GT </w:t>
      </w:r>
      <w:r w:rsidRPr="00511954" w:rsidR="00C129A7">
        <w:rPr>
          <w:rFonts w:ascii="Palatino Linotype" w:hAnsi="Palatino Linotype"/>
          <w:b w:val="0"/>
        </w:rPr>
        <w:t xml:space="preserve">to </w:t>
      </w:r>
      <w:r w:rsidRPr="00511954" w:rsidR="006B2253">
        <w:rPr>
          <w:rFonts w:ascii="Palatino Linotype" w:hAnsi="Palatino Linotype"/>
          <w:b w:val="0"/>
        </w:rPr>
        <w:t xml:space="preserve">retain their eligibility even if </w:t>
      </w:r>
      <w:r w:rsidRPr="00511954">
        <w:rPr>
          <w:rFonts w:ascii="Palatino Linotype" w:hAnsi="Palatino Linotype"/>
          <w:b w:val="0"/>
        </w:rPr>
        <w:t xml:space="preserve">their census tract is no longer considered a top 25 percent DAC under the revised </w:t>
      </w:r>
      <w:proofErr w:type="spellStart"/>
      <w:r w:rsidRPr="00511954">
        <w:rPr>
          <w:rFonts w:ascii="Palatino Linotype" w:hAnsi="Palatino Linotype"/>
          <w:b w:val="0"/>
        </w:rPr>
        <w:t>CalEnviroScreen</w:t>
      </w:r>
      <w:proofErr w:type="spellEnd"/>
      <w:r w:rsidRPr="00511954" w:rsidR="0097118C">
        <w:rPr>
          <w:rFonts w:ascii="Palatino Linotype" w:hAnsi="Palatino Linotype"/>
          <w:b w:val="0"/>
        </w:rPr>
        <w:t xml:space="preserve"> so as to not penalize customers who were previously eligible for, and participating in, DAC-GT and whose situation has not changed</w:t>
      </w:r>
      <w:r w:rsidRPr="00511954">
        <w:rPr>
          <w:rFonts w:ascii="Palatino Linotype" w:hAnsi="Palatino Linotype"/>
          <w:b w:val="0"/>
        </w:rPr>
        <w:t xml:space="preserve">. </w:t>
      </w:r>
      <w:r w:rsidRPr="00511954" w:rsidR="00225A1E">
        <w:rPr>
          <w:rFonts w:ascii="Palatino Linotype" w:hAnsi="Palatino Linotype"/>
          <w:b w:val="0"/>
        </w:rPr>
        <w:t>Similarly, DAC-GT projects located in census tra</w:t>
      </w:r>
      <w:r w:rsidRPr="00511954" w:rsidR="00E132A5">
        <w:rPr>
          <w:rFonts w:ascii="Palatino Linotype" w:hAnsi="Palatino Linotype"/>
          <w:b w:val="0"/>
        </w:rPr>
        <w:t>cts that were previously top 25 percent</w:t>
      </w:r>
      <w:r w:rsidRPr="00511954" w:rsidR="00225A1E">
        <w:rPr>
          <w:rFonts w:ascii="Palatino Linotype" w:hAnsi="Palatino Linotype"/>
          <w:b w:val="0"/>
        </w:rPr>
        <w:t xml:space="preserve"> </w:t>
      </w:r>
      <w:r w:rsidRPr="00511954" w:rsidR="00F75AEC">
        <w:rPr>
          <w:rFonts w:ascii="Palatino Linotype" w:hAnsi="Palatino Linotype"/>
          <w:b w:val="0"/>
        </w:rPr>
        <w:t>DACs</w:t>
      </w:r>
      <w:r w:rsidRPr="00511954" w:rsidR="00AC0501">
        <w:rPr>
          <w:rFonts w:ascii="Palatino Linotype" w:hAnsi="Palatino Linotype"/>
          <w:b w:val="0"/>
        </w:rPr>
        <w:t>,</w:t>
      </w:r>
      <w:r w:rsidRPr="00511954" w:rsidR="00F75AEC">
        <w:rPr>
          <w:rFonts w:ascii="Palatino Linotype" w:hAnsi="Palatino Linotype"/>
          <w:b w:val="0"/>
        </w:rPr>
        <w:t xml:space="preserve"> but</w:t>
      </w:r>
      <w:r w:rsidRPr="00511954" w:rsidR="00225A1E">
        <w:rPr>
          <w:rFonts w:ascii="Palatino Linotype" w:hAnsi="Palatino Linotype"/>
          <w:b w:val="0"/>
        </w:rPr>
        <w:t xml:space="preserve"> are no longer</w:t>
      </w:r>
      <w:r w:rsidRPr="00511954" w:rsidR="00F75AEC">
        <w:rPr>
          <w:rFonts w:ascii="Palatino Linotype" w:hAnsi="Palatino Linotype"/>
          <w:b w:val="0"/>
        </w:rPr>
        <w:t xml:space="preserve"> scored as such</w:t>
      </w:r>
      <w:r w:rsidRPr="00511954" w:rsidR="00225A1E">
        <w:rPr>
          <w:rFonts w:ascii="Palatino Linotype" w:hAnsi="Palatino Linotype"/>
          <w:b w:val="0"/>
        </w:rPr>
        <w:t xml:space="preserve">, will </w:t>
      </w:r>
      <w:r w:rsidRPr="00511954" w:rsidR="00F75AEC">
        <w:rPr>
          <w:rFonts w:ascii="Palatino Linotype" w:hAnsi="Palatino Linotype"/>
          <w:b w:val="0"/>
        </w:rPr>
        <w:t xml:space="preserve">continue to be eligible to </w:t>
      </w:r>
      <w:r w:rsidRPr="00511954" w:rsidR="00225A1E">
        <w:rPr>
          <w:rFonts w:ascii="Palatino Linotype" w:hAnsi="Palatino Linotype"/>
          <w:b w:val="0"/>
        </w:rPr>
        <w:t>serve customers under the DAC-GT program.</w:t>
      </w:r>
      <w:r w:rsidRPr="00511954">
        <w:rPr>
          <w:rFonts w:ascii="Palatino Linotype" w:hAnsi="Palatino Linotype"/>
          <w:b w:val="0"/>
        </w:rPr>
        <w:t xml:space="preserve"> This approach will honor the eligibility requirements that were in place at the time the customers enrolled in the program and at the time the projects bid into the RFO.</w:t>
      </w:r>
      <w:r w:rsidRPr="00511954" w:rsidR="00225A1E">
        <w:rPr>
          <w:rFonts w:ascii="Palatino Linotype" w:hAnsi="Palatino Linotype"/>
          <w:b w:val="0"/>
        </w:rPr>
        <w:t xml:space="preserve"> </w:t>
      </w:r>
    </w:p>
    <w:p w:rsidRPr="00511954" w:rsidR="00F75AEC" w:rsidP="00B164AC" w:rsidRDefault="00A94030" w14:paraId="5643C74C" w14:textId="388DCBDE">
      <w:pPr>
        <w:pStyle w:val="BodyText"/>
        <w:spacing w:after="120"/>
        <w:rPr>
          <w:rFonts w:ascii="Palatino Linotype" w:hAnsi="Palatino Linotype"/>
          <w:b w:val="0"/>
        </w:rPr>
      </w:pPr>
      <w:r w:rsidRPr="00511954">
        <w:rPr>
          <w:rFonts w:ascii="Palatino Linotype" w:hAnsi="Palatino Linotype"/>
          <w:b w:val="0"/>
        </w:rPr>
        <w:t>G</w:t>
      </w:r>
      <w:r w:rsidRPr="00511954" w:rsidR="00E07955">
        <w:rPr>
          <w:rFonts w:ascii="Palatino Linotype" w:hAnsi="Palatino Linotype"/>
          <w:b w:val="0"/>
        </w:rPr>
        <w:t xml:space="preserve">iven the </w:t>
      </w:r>
      <w:r w:rsidRPr="00511954" w:rsidR="00F07FA7">
        <w:rPr>
          <w:rFonts w:ascii="Palatino Linotype" w:hAnsi="Palatino Linotype"/>
          <w:b w:val="0"/>
        </w:rPr>
        <w:t>5</w:t>
      </w:r>
      <w:r w:rsidR="00FA3B38">
        <w:rPr>
          <w:rFonts w:ascii="Palatino Linotype" w:hAnsi="Palatino Linotype"/>
          <w:b w:val="0"/>
        </w:rPr>
        <w:t xml:space="preserve"> </w:t>
      </w:r>
      <w:r w:rsidRPr="00511954" w:rsidR="00F07FA7">
        <w:rPr>
          <w:rFonts w:ascii="Palatino Linotype" w:hAnsi="Palatino Linotype"/>
          <w:b w:val="0"/>
        </w:rPr>
        <w:t>mile</w:t>
      </w:r>
      <w:r w:rsidRPr="00511954" w:rsidR="00E07955">
        <w:rPr>
          <w:rFonts w:ascii="Palatino Linotype" w:hAnsi="Palatino Linotype"/>
          <w:b w:val="0"/>
        </w:rPr>
        <w:t xml:space="preserve"> locational eligibility requirements</w:t>
      </w:r>
      <w:r w:rsidRPr="00511954">
        <w:rPr>
          <w:rFonts w:ascii="Palatino Linotype" w:hAnsi="Palatino Linotype"/>
          <w:b w:val="0"/>
        </w:rPr>
        <w:t xml:space="preserve"> for CSGT projects</w:t>
      </w:r>
      <w:r w:rsidRPr="00511954" w:rsidR="00E07955">
        <w:rPr>
          <w:rFonts w:ascii="Palatino Linotype" w:hAnsi="Palatino Linotype"/>
          <w:b w:val="0"/>
        </w:rPr>
        <w:t xml:space="preserve">, </w:t>
      </w:r>
      <w:r w:rsidRPr="00511954">
        <w:rPr>
          <w:rFonts w:ascii="Palatino Linotype" w:hAnsi="Palatino Linotype"/>
          <w:b w:val="0"/>
        </w:rPr>
        <w:t xml:space="preserve">it is critical that all residential customers in a DAC </w:t>
      </w:r>
      <w:r w:rsidRPr="00511954" w:rsidR="00F07FA7">
        <w:rPr>
          <w:rFonts w:ascii="Palatino Linotype" w:hAnsi="Palatino Linotype"/>
          <w:b w:val="0"/>
        </w:rPr>
        <w:t xml:space="preserve">that is considered an eligible DAC at the date of the project’s initial energy delivery date, </w:t>
      </w:r>
      <w:r w:rsidRPr="00511954">
        <w:rPr>
          <w:rFonts w:ascii="Palatino Linotype" w:hAnsi="Palatino Linotype"/>
          <w:b w:val="0"/>
        </w:rPr>
        <w:t>remain eligible to subscribe to that CSGT project</w:t>
      </w:r>
      <w:r w:rsidR="001E1EF2">
        <w:rPr>
          <w:rFonts w:ascii="Palatino Linotype" w:hAnsi="Palatino Linotype"/>
          <w:b w:val="0"/>
        </w:rPr>
        <w:t>,</w:t>
      </w:r>
      <w:r w:rsidRPr="00511954">
        <w:rPr>
          <w:rFonts w:ascii="Palatino Linotype" w:hAnsi="Palatino Linotype"/>
          <w:b w:val="0"/>
        </w:rPr>
        <w:t xml:space="preserve"> even if their DAC designation changes in subsequent iterations of </w:t>
      </w:r>
      <w:proofErr w:type="spellStart"/>
      <w:r w:rsidRPr="00511954">
        <w:rPr>
          <w:rFonts w:ascii="Palatino Linotype" w:hAnsi="Palatino Linotype"/>
          <w:b w:val="0"/>
        </w:rPr>
        <w:t>CalEnviroScreen</w:t>
      </w:r>
      <w:proofErr w:type="spellEnd"/>
      <w:r w:rsidR="001E1EF2">
        <w:rPr>
          <w:rFonts w:ascii="Palatino Linotype" w:hAnsi="Palatino Linotype"/>
          <w:b w:val="0"/>
        </w:rPr>
        <w:t>. This grandfathered eligibility should apply to both existing</w:t>
      </w:r>
      <w:r w:rsidRPr="00511954" w:rsidR="001E1EF2">
        <w:rPr>
          <w:rFonts w:ascii="Palatino Linotype" w:hAnsi="Palatino Linotype"/>
          <w:b w:val="0"/>
        </w:rPr>
        <w:t xml:space="preserve"> subscribe</w:t>
      </w:r>
      <w:r w:rsidR="001E1EF2">
        <w:rPr>
          <w:rFonts w:ascii="Palatino Linotype" w:hAnsi="Palatino Linotype"/>
          <w:b w:val="0"/>
        </w:rPr>
        <w:t xml:space="preserve">rs and customers </w:t>
      </w:r>
      <w:r w:rsidRPr="00511954" w:rsidR="00F07FA7">
        <w:rPr>
          <w:rFonts w:ascii="Palatino Linotype" w:hAnsi="Palatino Linotype"/>
          <w:b w:val="0"/>
        </w:rPr>
        <w:t>not previously subscribed to the project</w:t>
      </w:r>
      <w:r w:rsidR="001E1EF2">
        <w:rPr>
          <w:rFonts w:ascii="Palatino Linotype" w:hAnsi="Palatino Linotype"/>
          <w:b w:val="0"/>
        </w:rPr>
        <w:t>,</w:t>
      </w:r>
      <w:r w:rsidRPr="00511954" w:rsidR="00AC0501">
        <w:rPr>
          <w:rFonts w:ascii="Palatino Linotype" w:hAnsi="Palatino Linotype"/>
          <w:b w:val="0"/>
        </w:rPr>
        <w:t xml:space="preserve"> to ensure that the project’s output can be fully subscribed by customers whose census tract is within 5-miles of the project</w:t>
      </w:r>
      <w:r w:rsidRPr="00511954">
        <w:rPr>
          <w:rFonts w:ascii="Palatino Linotype" w:hAnsi="Palatino Linotype"/>
          <w:b w:val="0"/>
        </w:rPr>
        <w:t xml:space="preserve">. We find it reasonable to allow </w:t>
      </w:r>
      <w:r w:rsidRPr="00511954" w:rsidR="00E07955">
        <w:rPr>
          <w:rFonts w:ascii="Palatino Linotype" w:hAnsi="Palatino Linotype"/>
          <w:b w:val="0"/>
        </w:rPr>
        <w:t xml:space="preserve">any CSGT project that has </w:t>
      </w:r>
      <w:r w:rsidRPr="00511954" w:rsidR="00E132A5">
        <w:rPr>
          <w:rFonts w:ascii="Palatino Linotype" w:hAnsi="Palatino Linotype"/>
          <w:b w:val="0"/>
        </w:rPr>
        <w:t xml:space="preserve">executed a PPA with an IOU </w:t>
      </w:r>
      <w:r w:rsidRPr="00511954">
        <w:rPr>
          <w:rFonts w:ascii="Palatino Linotype" w:hAnsi="Palatino Linotype"/>
          <w:b w:val="0"/>
        </w:rPr>
        <w:t xml:space="preserve">to </w:t>
      </w:r>
      <w:r w:rsidRPr="00511954" w:rsidR="00E07955">
        <w:rPr>
          <w:rFonts w:ascii="Palatino Linotype" w:hAnsi="Palatino Linotype"/>
          <w:b w:val="0"/>
        </w:rPr>
        <w:t xml:space="preserve">retain its original customer eligibility </w:t>
      </w:r>
      <w:r w:rsidRPr="00511954">
        <w:rPr>
          <w:rFonts w:ascii="Palatino Linotype" w:hAnsi="Palatino Linotype"/>
          <w:b w:val="0"/>
        </w:rPr>
        <w:t xml:space="preserve">rules </w:t>
      </w:r>
      <w:r w:rsidRPr="00511954" w:rsidR="00E07955">
        <w:rPr>
          <w:rFonts w:ascii="Palatino Linotype" w:hAnsi="Palatino Linotype"/>
          <w:b w:val="0"/>
        </w:rPr>
        <w:t>throughout the life of that pr</w:t>
      </w:r>
      <w:r w:rsidRPr="00511954" w:rsidR="00E132A5">
        <w:rPr>
          <w:rFonts w:ascii="Palatino Linotype" w:hAnsi="Palatino Linotype"/>
          <w:b w:val="0"/>
        </w:rPr>
        <w:t>oject</w:t>
      </w:r>
      <w:r w:rsidRPr="00511954">
        <w:rPr>
          <w:rFonts w:ascii="Palatino Linotype" w:hAnsi="Palatino Linotype"/>
          <w:b w:val="0"/>
        </w:rPr>
        <w:t xml:space="preserve">. </w:t>
      </w:r>
    </w:p>
    <w:p w:rsidRPr="00511954" w:rsidR="00AB33E5" w:rsidP="00B164AC" w:rsidRDefault="006B2253" w14:paraId="01419989" w14:textId="77777777">
      <w:pPr>
        <w:pStyle w:val="BodyText"/>
        <w:shd w:val="clear" w:color="auto" w:fill="FFFFFF"/>
        <w:textAlignment w:val="baseline"/>
        <w:rPr>
          <w:rFonts w:ascii="Palatino Linotype" w:hAnsi="Palatino Linotype"/>
          <w:b w:val="0"/>
        </w:rPr>
      </w:pPr>
      <w:r w:rsidRPr="00511954">
        <w:rPr>
          <w:rFonts w:ascii="Palatino Linotype" w:hAnsi="Palatino Linotype"/>
          <w:b w:val="0"/>
          <w:u w:val="single"/>
        </w:rPr>
        <w:t>Retirement of R</w:t>
      </w:r>
      <w:r w:rsidRPr="00511954" w:rsidR="00DE29A9">
        <w:rPr>
          <w:rFonts w:ascii="Palatino Linotype" w:hAnsi="Palatino Linotype"/>
          <w:b w:val="0"/>
          <w:u w:val="single"/>
        </w:rPr>
        <w:t>enewable Energy Credits (R</w:t>
      </w:r>
      <w:r w:rsidRPr="00511954">
        <w:rPr>
          <w:rFonts w:ascii="Palatino Linotype" w:hAnsi="Palatino Linotype"/>
          <w:b w:val="0"/>
          <w:u w:val="single"/>
        </w:rPr>
        <w:t>ECs</w:t>
      </w:r>
      <w:r w:rsidRPr="00511954" w:rsidR="00DE29A9">
        <w:rPr>
          <w:rFonts w:ascii="Palatino Linotype" w:hAnsi="Palatino Linotype"/>
          <w:b w:val="0"/>
          <w:u w:val="single"/>
        </w:rPr>
        <w:t>)</w:t>
      </w:r>
      <w:r w:rsidRPr="00511954">
        <w:rPr>
          <w:rFonts w:ascii="Palatino Linotype" w:hAnsi="Palatino Linotype"/>
          <w:b w:val="0"/>
        </w:rPr>
        <w:t xml:space="preserve"> </w:t>
      </w:r>
    </w:p>
    <w:p w:rsidRPr="00511954" w:rsidR="00EC3EB3" w:rsidP="00713B1F" w:rsidRDefault="00757800" w14:paraId="550EBB84" w14:textId="7F2A5D97">
      <w:pPr>
        <w:pStyle w:val="BodyText"/>
        <w:shd w:val="clear" w:color="auto" w:fill="FFFFFF"/>
        <w:spacing w:after="120"/>
        <w:textAlignment w:val="baseline"/>
        <w:rPr>
          <w:rFonts w:ascii="Palatino Linotype" w:hAnsi="Palatino Linotype"/>
          <w:b w:val="0"/>
        </w:rPr>
      </w:pPr>
      <w:r w:rsidRPr="00511954">
        <w:rPr>
          <w:rFonts w:ascii="Palatino Linotype" w:hAnsi="Palatino Linotype"/>
          <w:b w:val="0"/>
        </w:rPr>
        <w:t xml:space="preserve">As previously discussed, </w:t>
      </w:r>
      <w:r w:rsidRPr="00511954" w:rsidR="00C129A7">
        <w:rPr>
          <w:rFonts w:ascii="Palatino Linotype" w:hAnsi="Palatino Linotype"/>
          <w:b w:val="0"/>
        </w:rPr>
        <w:t xml:space="preserve">the NEM DAC Decision states that </w:t>
      </w:r>
      <w:r w:rsidRPr="00511954">
        <w:rPr>
          <w:rFonts w:ascii="Palatino Linotype" w:hAnsi="Palatino Linotype"/>
          <w:b w:val="0"/>
        </w:rPr>
        <w:t>b</w:t>
      </w:r>
      <w:r w:rsidRPr="00511954" w:rsidR="006B2253">
        <w:rPr>
          <w:rFonts w:ascii="Palatino Linotype" w:hAnsi="Palatino Linotype"/>
          <w:b w:val="0"/>
        </w:rPr>
        <w:t>oth DAC-GT and CSGT are based on the GTSR model.</w:t>
      </w:r>
      <w:r w:rsidRPr="00511954">
        <w:rPr>
          <w:rStyle w:val="FootnoteReference"/>
          <w:rFonts w:ascii="Palatino Linotype" w:hAnsi="Palatino Linotype"/>
          <w:b w:val="0"/>
        </w:rPr>
        <w:footnoteReference w:id="97"/>
      </w:r>
      <w:r w:rsidRPr="00511954" w:rsidR="006B2253">
        <w:rPr>
          <w:rFonts w:ascii="Palatino Linotype" w:hAnsi="Palatino Linotype"/>
          <w:b w:val="0"/>
        </w:rPr>
        <w:t xml:space="preserve"> </w:t>
      </w:r>
      <w:r w:rsidRPr="00511954" w:rsidR="00730701">
        <w:rPr>
          <w:rFonts w:ascii="Palatino Linotype" w:hAnsi="Palatino Linotype"/>
          <w:b w:val="0"/>
        </w:rPr>
        <w:t>Statute governing GTSR (</w:t>
      </w:r>
      <w:r w:rsidRPr="00511954" w:rsidR="006B2253">
        <w:rPr>
          <w:rFonts w:ascii="Palatino Linotype" w:hAnsi="Palatino Linotype"/>
          <w:b w:val="0"/>
        </w:rPr>
        <w:t xml:space="preserve">Pub. Util. Code </w:t>
      </w:r>
      <w:r w:rsidRPr="00511954" w:rsidR="003F5CB3">
        <w:rPr>
          <w:rFonts w:ascii="Palatino Linotype" w:hAnsi="Palatino Linotype"/>
          <w:b w:val="0"/>
        </w:rPr>
        <w:t xml:space="preserve">§ </w:t>
      </w:r>
      <w:r w:rsidRPr="00511954" w:rsidR="006B2253">
        <w:rPr>
          <w:rFonts w:ascii="Palatino Linotype" w:hAnsi="Palatino Linotype"/>
          <w:b w:val="0"/>
        </w:rPr>
        <w:t>2833(v)</w:t>
      </w:r>
      <w:r w:rsidR="00710921">
        <w:rPr>
          <w:rFonts w:ascii="Palatino Linotype" w:hAnsi="Palatino Linotype"/>
          <w:b w:val="0"/>
        </w:rPr>
        <w:t>)</w:t>
      </w:r>
      <w:r w:rsidRPr="00511954" w:rsidR="006B2253">
        <w:rPr>
          <w:rFonts w:ascii="Palatino Linotype" w:hAnsi="Palatino Linotype"/>
          <w:b w:val="0"/>
        </w:rPr>
        <w:t xml:space="preserve"> requires that resources procured under GTSR comply with the </w:t>
      </w:r>
      <w:r w:rsidRPr="00511954" w:rsidR="003F5CB3">
        <w:rPr>
          <w:rFonts w:ascii="Palatino Linotype" w:hAnsi="Palatino Linotype"/>
          <w:b w:val="0"/>
        </w:rPr>
        <w:t>California</w:t>
      </w:r>
      <w:r w:rsidRPr="00511954" w:rsidR="006B2253">
        <w:rPr>
          <w:rFonts w:ascii="Palatino Linotype" w:hAnsi="Palatino Linotype"/>
          <w:b w:val="0"/>
        </w:rPr>
        <w:t xml:space="preserve"> Air Resources Board’s </w:t>
      </w:r>
      <w:r w:rsidRPr="00511954" w:rsidR="00E132A5">
        <w:rPr>
          <w:rFonts w:ascii="Palatino Linotype" w:hAnsi="Palatino Linotype"/>
          <w:b w:val="0"/>
        </w:rPr>
        <w:t xml:space="preserve">(CARB’s) </w:t>
      </w:r>
      <w:r w:rsidRPr="00511954" w:rsidR="006B2253">
        <w:rPr>
          <w:rFonts w:ascii="Palatino Linotype" w:hAnsi="Palatino Linotype"/>
          <w:b w:val="0"/>
        </w:rPr>
        <w:t>Voluntary Renewable Electricity Program and that the IOUs retire all</w:t>
      </w:r>
      <w:r w:rsidRPr="00511954" w:rsidR="00DF16BB">
        <w:rPr>
          <w:rFonts w:ascii="Palatino Linotype" w:hAnsi="Palatino Linotype"/>
          <w:b w:val="0"/>
        </w:rPr>
        <w:t xml:space="preserve"> California-eligible</w:t>
      </w:r>
      <w:r w:rsidRPr="00511954" w:rsidR="006B2253">
        <w:rPr>
          <w:rFonts w:ascii="Palatino Linotype" w:hAnsi="Palatino Linotype"/>
          <w:b w:val="0"/>
        </w:rPr>
        <w:t xml:space="preserve"> GHG allowances associated with GTSR generation. </w:t>
      </w:r>
    </w:p>
    <w:p w:rsidRPr="00511954" w:rsidR="006B2253" w:rsidP="00713B1F" w:rsidRDefault="00EC3EB3" w14:paraId="4CABD7F6" w14:textId="75FD2A5A">
      <w:pPr>
        <w:pStyle w:val="BodyText"/>
        <w:shd w:val="clear" w:color="auto" w:fill="FFFFFF"/>
        <w:spacing w:after="120"/>
        <w:textAlignment w:val="baseline"/>
        <w:rPr>
          <w:rFonts w:ascii="Palatino Linotype" w:hAnsi="Palatino Linotype"/>
          <w:b w:val="0"/>
        </w:rPr>
      </w:pPr>
      <w:r w:rsidRPr="00511954">
        <w:rPr>
          <w:rFonts w:ascii="Palatino Linotype" w:hAnsi="Palatino Linotype"/>
          <w:b w:val="0"/>
        </w:rPr>
        <w:t xml:space="preserve">The IOUs do not </w:t>
      </w:r>
      <w:r w:rsidRPr="00511954" w:rsidR="009F29D1">
        <w:rPr>
          <w:rFonts w:ascii="Palatino Linotype" w:hAnsi="Palatino Linotype"/>
          <w:b w:val="0"/>
        </w:rPr>
        <w:t xml:space="preserve">explicitly </w:t>
      </w:r>
      <w:r w:rsidRPr="00511954">
        <w:rPr>
          <w:rFonts w:ascii="Palatino Linotype" w:hAnsi="Palatino Linotype"/>
          <w:b w:val="0"/>
        </w:rPr>
        <w:t xml:space="preserve">state in their ALs whether they intend to follow this approach for DAC-GT and CSGT projects. </w:t>
      </w:r>
      <w:r w:rsidRPr="00511954" w:rsidR="00757800">
        <w:rPr>
          <w:rFonts w:ascii="Palatino Linotype" w:hAnsi="Palatino Linotype"/>
          <w:b w:val="0"/>
        </w:rPr>
        <w:t>In order to ensure that DAC-GT and CSGT customers “receive 100 percent renewable energy”</w:t>
      </w:r>
      <w:r w:rsidRPr="00511954" w:rsidR="006A4A50">
        <w:rPr>
          <w:rStyle w:val="FootnoteReference"/>
          <w:rFonts w:ascii="Palatino Linotype" w:hAnsi="Palatino Linotype"/>
          <w:b w:val="0"/>
        </w:rPr>
        <w:footnoteReference w:id="98"/>
      </w:r>
      <w:r w:rsidRPr="00511954" w:rsidR="00AB33E5">
        <w:rPr>
          <w:rFonts w:ascii="Palatino Linotype" w:hAnsi="Palatino Linotype"/>
          <w:b w:val="0"/>
        </w:rPr>
        <w:t xml:space="preserve"> </w:t>
      </w:r>
      <w:r w:rsidRPr="00511954">
        <w:rPr>
          <w:rFonts w:ascii="Palatino Linotype" w:hAnsi="Palatino Linotype"/>
          <w:b w:val="0"/>
        </w:rPr>
        <w:t>allocated to them under the programs, we find</w:t>
      </w:r>
      <w:r w:rsidRPr="00511954" w:rsidR="00AB33E5">
        <w:rPr>
          <w:rFonts w:ascii="Palatino Linotype" w:hAnsi="Palatino Linotype"/>
          <w:b w:val="0"/>
        </w:rPr>
        <w:t xml:space="preserve"> it reasonable</w:t>
      </w:r>
      <w:r w:rsidRPr="00511954" w:rsidR="00DF16BB">
        <w:rPr>
          <w:rFonts w:ascii="Palatino Linotype" w:hAnsi="Palatino Linotype"/>
          <w:b w:val="0"/>
        </w:rPr>
        <w:t xml:space="preserve"> to require that</w:t>
      </w:r>
      <w:r w:rsidRPr="00511954" w:rsidR="00AB33E5">
        <w:rPr>
          <w:rFonts w:ascii="Palatino Linotype" w:hAnsi="Palatino Linotype"/>
          <w:b w:val="0"/>
        </w:rPr>
        <w:t xml:space="preserve"> </w:t>
      </w:r>
      <w:r w:rsidRPr="00511954" w:rsidR="006A4A50">
        <w:rPr>
          <w:rFonts w:ascii="Palatino Linotype" w:hAnsi="Palatino Linotype"/>
          <w:b w:val="0"/>
        </w:rPr>
        <w:t xml:space="preserve">all </w:t>
      </w:r>
      <w:r w:rsidRPr="00511954" w:rsidR="00DF16BB">
        <w:rPr>
          <w:rFonts w:ascii="Palatino Linotype" w:hAnsi="Palatino Linotype"/>
          <w:b w:val="0"/>
        </w:rPr>
        <w:t xml:space="preserve">renewable energy resources procured on behalf of customers participating in the </w:t>
      </w:r>
      <w:r w:rsidRPr="00511954" w:rsidR="006B2253">
        <w:rPr>
          <w:rFonts w:ascii="Palatino Linotype" w:hAnsi="Palatino Linotype"/>
          <w:b w:val="0"/>
        </w:rPr>
        <w:t xml:space="preserve">DAC-GT and CSGT </w:t>
      </w:r>
      <w:r w:rsidRPr="00511954" w:rsidR="00DF16BB">
        <w:rPr>
          <w:rFonts w:ascii="Palatino Linotype" w:hAnsi="Palatino Linotype"/>
          <w:b w:val="0"/>
        </w:rPr>
        <w:t xml:space="preserve">programs </w:t>
      </w:r>
      <w:r w:rsidRPr="00511954">
        <w:rPr>
          <w:rFonts w:ascii="Palatino Linotype" w:hAnsi="Palatino Linotype"/>
          <w:b w:val="0"/>
        </w:rPr>
        <w:t>must</w:t>
      </w:r>
      <w:r w:rsidRPr="00511954" w:rsidR="00DF16BB">
        <w:rPr>
          <w:rFonts w:ascii="Palatino Linotype" w:hAnsi="Palatino Linotype"/>
          <w:b w:val="0"/>
        </w:rPr>
        <w:t xml:space="preserve"> comply with </w:t>
      </w:r>
      <w:r w:rsidRPr="00511954" w:rsidR="00E132A5">
        <w:rPr>
          <w:rFonts w:ascii="Palatino Linotype" w:hAnsi="Palatino Linotype"/>
          <w:b w:val="0"/>
        </w:rPr>
        <w:t>CARB’s</w:t>
      </w:r>
      <w:r w:rsidRPr="00511954" w:rsidR="00DF16BB">
        <w:rPr>
          <w:rFonts w:ascii="Palatino Linotype" w:hAnsi="Palatino Linotype"/>
          <w:b w:val="0"/>
        </w:rPr>
        <w:t xml:space="preserve"> Voluntary Renewable Electricity Program. California-eligible </w:t>
      </w:r>
      <w:r w:rsidRPr="00511954">
        <w:rPr>
          <w:rFonts w:ascii="Palatino Linotype" w:hAnsi="Palatino Linotype"/>
          <w:b w:val="0"/>
        </w:rPr>
        <w:t>GHG</w:t>
      </w:r>
      <w:r w:rsidRPr="00511954" w:rsidR="00DF16BB">
        <w:rPr>
          <w:rFonts w:ascii="Palatino Linotype" w:hAnsi="Palatino Linotype"/>
          <w:b w:val="0"/>
        </w:rPr>
        <w:t xml:space="preserve">s allowances associated with these purchases shall be retired on behalf of participating customers as part of </w:t>
      </w:r>
      <w:r w:rsidRPr="00511954" w:rsidR="00E132A5">
        <w:rPr>
          <w:rFonts w:ascii="Palatino Linotype" w:hAnsi="Palatino Linotype"/>
          <w:b w:val="0"/>
        </w:rPr>
        <w:t>CARB’s</w:t>
      </w:r>
      <w:r w:rsidRPr="00511954" w:rsidR="00DF16BB">
        <w:rPr>
          <w:rFonts w:ascii="Palatino Linotype" w:hAnsi="Palatino Linotype"/>
          <w:b w:val="0"/>
        </w:rPr>
        <w:t xml:space="preserve"> Voluntary Renewable Electricity Program.</w:t>
      </w:r>
    </w:p>
    <w:p w:rsidRPr="00511954" w:rsidR="007D47F1" w:rsidP="00713B1F" w:rsidRDefault="006B2253" w14:paraId="7788E53C" w14:textId="77777777">
      <w:pPr>
        <w:pStyle w:val="BodyText"/>
        <w:rPr>
          <w:rFonts w:ascii="Palatino Linotype" w:hAnsi="Palatino Linotype"/>
          <w:b w:val="0"/>
        </w:rPr>
      </w:pPr>
      <w:r w:rsidRPr="00511954">
        <w:rPr>
          <w:rFonts w:ascii="Palatino Linotype" w:hAnsi="Palatino Linotype"/>
          <w:b w:val="0"/>
          <w:u w:val="single"/>
        </w:rPr>
        <w:t xml:space="preserve">Reporting </w:t>
      </w:r>
      <w:r w:rsidRPr="00511954" w:rsidR="003F5CB3">
        <w:rPr>
          <w:rFonts w:ascii="Palatino Linotype" w:hAnsi="Palatino Linotype"/>
          <w:b w:val="0"/>
          <w:u w:val="single"/>
        </w:rPr>
        <w:t>R</w:t>
      </w:r>
      <w:r w:rsidRPr="00511954">
        <w:rPr>
          <w:rFonts w:ascii="Palatino Linotype" w:hAnsi="Palatino Linotype"/>
          <w:b w:val="0"/>
          <w:u w:val="single"/>
        </w:rPr>
        <w:t>equirements</w:t>
      </w:r>
      <w:r w:rsidRPr="00511954">
        <w:rPr>
          <w:rFonts w:ascii="Palatino Linotype" w:hAnsi="Palatino Linotype"/>
          <w:b w:val="0"/>
        </w:rPr>
        <w:t xml:space="preserve"> </w:t>
      </w:r>
    </w:p>
    <w:p w:rsidRPr="00511954" w:rsidR="0044660C" w:rsidP="00713B1F" w:rsidRDefault="006B2253" w14:paraId="71A294EA" w14:textId="77777777">
      <w:pPr>
        <w:pStyle w:val="BodyText"/>
        <w:spacing w:after="120"/>
        <w:rPr>
          <w:rFonts w:ascii="Palatino Linotype" w:hAnsi="Palatino Linotype"/>
          <w:b w:val="0"/>
        </w:rPr>
      </w:pPr>
      <w:r w:rsidRPr="00511954">
        <w:rPr>
          <w:rFonts w:ascii="Palatino Linotype" w:hAnsi="Palatino Linotype"/>
          <w:b w:val="0"/>
        </w:rPr>
        <w:t>The</w:t>
      </w:r>
      <w:r w:rsidRPr="00511954" w:rsidR="00D47783">
        <w:rPr>
          <w:rFonts w:ascii="Palatino Linotype" w:hAnsi="Palatino Linotype"/>
          <w:b w:val="0"/>
        </w:rPr>
        <w:t xml:space="preserve"> NEM</w:t>
      </w:r>
      <w:r w:rsidRPr="00511954" w:rsidR="00C129A7">
        <w:rPr>
          <w:rFonts w:ascii="Palatino Linotype" w:hAnsi="Palatino Linotype"/>
          <w:b w:val="0"/>
        </w:rPr>
        <w:t xml:space="preserve"> DAC</w:t>
      </w:r>
      <w:r w:rsidRPr="00511954">
        <w:rPr>
          <w:rFonts w:ascii="Palatino Linotype" w:hAnsi="Palatino Linotype"/>
          <w:b w:val="0"/>
        </w:rPr>
        <w:t xml:space="preserve"> </w:t>
      </w:r>
      <w:r w:rsidRPr="00511954" w:rsidR="00A165B3">
        <w:rPr>
          <w:rFonts w:ascii="Palatino Linotype" w:hAnsi="Palatino Linotype"/>
          <w:b w:val="0"/>
        </w:rPr>
        <w:t>Decision</w:t>
      </w:r>
      <w:r w:rsidRPr="00511954">
        <w:rPr>
          <w:rFonts w:ascii="Palatino Linotype" w:hAnsi="Palatino Linotype"/>
          <w:b w:val="0"/>
        </w:rPr>
        <w:t xml:space="preserve"> instructs the </w:t>
      </w:r>
      <w:r w:rsidRPr="00511954" w:rsidR="007D47F1">
        <w:rPr>
          <w:rFonts w:ascii="Palatino Linotype" w:hAnsi="Palatino Linotype"/>
          <w:b w:val="0"/>
        </w:rPr>
        <w:t>IOUs</w:t>
      </w:r>
      <w:r w:rsidRPr="00511954">
        <w:rPr>
          <w:rFonts w:ascii="Palatino Linotype" w:hAnsi="Palatino Linotype"/>
          <w:b w:val="0"/>
        </w:rPr>
        <w:t xml:space="preserve"> to work with the E</w:t>
      </w:r>
      <w:r w:rsidRPr="00511954" w:rsidR="003267C9">
        <w:rPr>
          <w:rFonts w:ascii="Palatino Linotype" w:hAnsi="Palatino Linotype"/>
          <w:b w:val="0"/>
        </w:rPr>
        <w:t xml:space="preserve">nergy </w:t>
      </w:r>
      <w:r w:rsidRPr="00511954">
        <w:rPr>
          <w:rFonts w:ascii="Palatino Linotype" w:hAnsi="Palatino Linotype"/>
          <w:b w:val="0"/>
        </w:rPr>
        <w:t>D</w:t>
      </w:r>
      <w:r w:rsidRPr="00511954" w:rsidR="003267C9">
        <w:rPr>
          <w:rFonts w:ascii="Palatino Linotype" w:hAnsi="Palatino Linotype"/>
          <w:b w:val="0"/>
        </w:rPr>
        <w:t>ivision</w:t>
      </w:r>
      <w:r w:rsidRPr="00511954">
        <w:rPr>
          <w:rFonts w:ascii="Palatino Linotype" w:hAnsi="Palatino Linotype"/>
          <w:b w:val="0"/>
        </w:rPr>
        <w:t xml:space="preserve"> to develop reporting requirements for DAC-GT and CSGT.</w:t>
      </w:r>
      <w:r w:rsidRPr="00511954" w:rsidR="004044C1">
        <w:rPr>
          <w:rStyle w:val="FootnoteReference"/>
          <w:rFonts w:ascii="Palatino Linotype" w:hAnsi="Palatino Linotype"/>
          <w:b w:val="0"/>
        </w:rPr>
        <w:footnoteReference w:id="99"/>
      </w:r>
      <w:r w:rsidRPr="00511954">
        <w:rPr>
          <w:rFonts w:ascii="Palatino Linotype" w:hAnsi="Palatino Linotype"/>
          <w:b w:val="0"/>
        </w:rPr>
        <w:t xml:space="preserve"> The IOUs’ ALs indicate they will comply with this </w:t>
      </w:r>
      <w:r w:rsidRPr="00511954" w:rsidR="003267C9">
        <w:rPr>
          <w:rFonts w:ascii="Palatino Linotype" w:hAnsi="Palatino Linotype"/>
          <w:b w:val="0"/>
        </w:rPr>
        <w:t>directive</w:t>
      </w:r>
      <w:r w:rsidRPr="00511954" w:rsidR="0044660C">
        <w:rPr>
          <w:rFonts w:ascii="Palatino Linotype" w:hAnsi="Palatino Linotype"/>
          <w:b w:val="0"/>
        </w:rPr>
        <w:t>,</w:t>
      </w:r>
      <w:r w:rsidRPr="00511954" w:rsidR="003267C9">
        <w:rPr>
          <w:rFonts w:ascii="Palatino Linotype" w:hAnsi="Palatino Linotype"/>
          <w:b w:val="0"/>
        </w:rPr>
        <w:t xml:space="preserve"> but </w:t>
      </w:r>
      <w:r w:rsidRPr="00511954" w:rsidR="00E132A5">
        <w:rPr>
          <w:rFonts w:ascii="Palatino Linotype" w:hAnsi="Palatino Linotype"/>
          <w:b w:val="0"/>
        </w:rPr>
        <w:t xml:space="preserve">they </w:t>
      </w:r>
      <w:r w:rsidRPr="00511954" w:rsidR="003267C9">
        <w:rPr>
          <w:rFonts w:ascii="Palatino Linotype" w:hAnsi="Palatino Linotype"/>
          <w:b w:val="0"/>
        </w:rPr>
        <w:t>do not suggest any specific reporting requirements</w:t>
      </w:r>
      <w:r w:rsidRPr="00511954">
        <w:rPr>
          <w:rFonts w:ascii="Palatino Linotype" w:hAnsi="Palatino Linotype"/>
          <w:b w:val="0"/>
        </w:rPr>
        <w:t>.</w:t>
      </w:r>
      <w:r w:rsidRPr="00511954" w:rsidR="003267C9">
        <w:rPr>
          <w:rFonts w:ascii="Palatino Linotype" w:hAnsi="Palatino Linotype"/>
          <w:b w:val="0"/>
        </w:rPr>
        <w:t xml:space="preserve"> </w:t>
      </w:r>
    </w:p>
    <w:p w:rsidRPr="00511954" w:rsidR="0044660C" w:rsidP="00713B1F" w:rsidRDefault="0044660C" w14:paraId="4FB4C5B8" w14:textId="07739B93">
      <w:pPr>
        <w:pStyle w:val="BodyText"/>
        <w:spacing w:after="120"/>
        <w:rPr>
          <w:rFonts w:ascii="Palatino Linotype" w:hAnsi="Palatino Linotype"/>
          <w:b w:val="0"/>
        </w:rPr>
      </w:pPr>
      <w:r w:rsidRPr="00511954">
        <w:rPr>
          <w:rFonts w:ascii="Palatino Linotype" w:hAnsi="Palatino Linotype"/>
          <w:b w:val="0"/>
        </w:rPr>
        <w:t xml:space="preserve">We take the opportunity in this </w:t>
      </w:r>
      <w:r w:rsidRPr="00511954" w:rsidR="009F29D1">
        <w:rPr>
          <w:rFonts w:ascii="Palatino Linotype" w:hAnsi="Palatino Linotype"/>
          <w:b w:val="0"/>
        </w:rPr>
        <w:t>R</w:t>
      </w:r>
      <w:r w:rsidRPr="00511954">
        <w:rPr>
          <w:rFonts w:ascii="Palatino Linotype" w:hAnsi="Palatino Linotype"/>
          <w:b w:val="0"/>
        </w:rPr>
        <w:t>esolution to provide standardized guidance to the IOUs on DAC-GT and CSGT reporting requirements. For purposes of consistency, we find that</w:t>
      </w:r>
      <w:r w:rsidRPr="00511954" w:rsidR="003267C9">
        <w:rPr>
          <w:rFonts w:ascii="Palatino Linotype" w:hAnsi="Palatino Linotype"/>
          <w:b w:val="0"/>
        </w:rPr>
        <w:t xml:space="preserve"> it is reasonable </w:t>
      </w:r>
      <w:r w:rsidRPr="00511954">
        <w:rPr>
          <w:rFonts w:ascii="Palatino Linotype" w:hAnsi="Palatino Linotype"/>
          <w:b w:val="0"/>
        </w:rPr>
        <w:t xml:space="preserve">to direct the IOUs to </w:t>
      </w:r>
      <w:r w:rsidRPr="00511954" w:rsidR="00A51AF1">
        <w:rPr>
          <w:rFonts w:ascii="Palatino Linotype" w:hAnsi="Palatino Linotype"/>
          <w:b w:val="0"/>
        </w:rPr>
        <w:t xml:space="preserve">follow </w:t>
      </w:r>
      <w:r w:rsidRPr="00511954" w:rsidR="006B2253">
        <w:rPr>
          <w:rFonts w:ascii="Palatino Linotype" w:hAnsi="Palatino Linotype"/>
          <w:b w:val="0"/>
        </w:rPr>
        <w:t>a streamlined version of</w:t>
      </w:r>
      <w:r w:rsidRPr="00511954" w:rsidR="003267C9">
        <w:rPr>
          <w:rFonts w:ascii="Palatino Linotype" w:hAnsi="Palatino Linotype"/>
          <w:b w:val="0"/>
        </w:rPr>
        <w:t xml:space="preserve"> the</w:t>
      </w:r>
      <w:r w:rsidRPr="00511954" w:rsidR="00A51AF1">
        <w:rPr>
          <w:rFonts w:ascii="Palatino Linotype" w:hAnsi="Palatino Linotype"/>
          <w:b w:val="0"/>
        </w:rPr>
        <w:t xml:space="preserve"> GTSR</w:t>
      </w:r>
      <w:r w:rsidRPr="00511954" w:rsidR="003267C9">
        <w:rPr>
          <w:rFonts w:ascii="Palatino Linotype" w:hAnsi="Palatino Linotype"/>
          <w:b w:val="0"/>
        </w:rPr>
        <w:t xml:space="preserve"> reporting requirements for the DAC-GT and CSGT programs. </w:t>
      </w:r>
      <w:r w:rsidRPr="00511954">
        <w:rPr>
          <w:rFonts w:ascii="Palatino Linotype" w:hAnsi="Palatino Linotype"/>
          <w:b w:val="0"/>
        </w:rPr>
        <w:t xml:space="preserve">Specifically: </w:t>
      </w:r>
    </w:p>
    <w:p w:rsidR="0010120C" w:rsidP="0010120C" w:rsidRDefault="009C1B9F" w14:paraId="2F1940CA" w14:textId="77777777">
      <w:pPr>
        <w:pStyle w:val="BodyText"/>
        <w:numPr>
          <w:ilvl w:val="0"/>
          <w:numId w:val="16"/>
        </w:numPr>
        <w:spacing w:after="120"/>
        <w:rPr>
          <w:rFonts w:ascii="Palatino Linotype" w:hAnsi="Palatino Linotype"/>
          <w:b w:val="0"/>
        </w:rPr>
      </w:pPr>
      <w:r w:rsidRPr="00511954">
        <w:rPr>
          <w:rFonts w:ascii="Palatino Linotype" w:hAnsi="Palatino Linotype"/>
          <w:b w:val="0"/>
        </w:rPr>
        <w:t xml:space="preserve">Within </w:t>
      </w:r>
      <w:r w:rsidRPr="00511954">
        <w:rPr>
          <w:rFonts w:ascii="Palatino Linotype" w:hAnsi="Palatino Linotype"/>
          <w:b w:val="0"/>
          <w:szCs w:val="24"/>
        </w:rPr>
        <w:t xml:space="preserve">30 </w:t>
      </w:r>
      <w:r w:rsidRPr="00511954" w:rsidR="00A51AF1">
        <w:rPr>
          <w:rFonts w:ascii="Palatino Linotype" w:hAnsi="Palatino Linotype"/>
          <w:b w:val="0"/>
          <w:szCs w:val="24"/>
        </w:rPr>
        <w:t>c</w:t>
      </w:r>
      <w:r w:rsidRPr="00511954">
        <w:rPr>
          <w:rFonts w:ascii="Palatino Linotype" w:hAnsi="Palatino Linotype"/>
          <w:b w:val="0"/>
          <w:szCs w:val="24"/>
        </w:rPr>
        <w:t xml:space="preserve">alendar </w:t>
      </w:r>
      <w:r w:rsidRPr="00511954" w:rsidR="00A51AF1">
        <w:rPr>
          <w:rFonts w:ascii="Palatino Linotype" w:hAnsi="Palatino Linotype"/>
          <w:b w:val="0"/>
          <w:szCs w:val="24"/>
        </w:rPr>
        <w:t>d</w:t>
      </w:r>
      <w:r w:rsidRPr="00511954">
        <w:rPr>
          <w:rFonts w:ascii="Palatino Linotype" w:hAnsi="Palatino Linotype"/>
          <w:b w:val="0"/>
          <w:szCs w:val="24"/>
        </w:rPr>
        <w:t>ays after the end of each calendar quarter</w:t>
      </w:r>
      <w:r w:rsidRPr="00511954">
        <w:rPr>
          <w:rFonts w:ascii="Palatino Linotype" w:hAnsi="Palatino Linotype"/>
          <w:b w:val="0"/>
        </w:rPr>
        <w:t xml:space="preserve"> </w:t>
      </w:r>
      <w:r w:rsidRPr="00511954" w:rsidR="002D18AA">
        <w:rPr>
          <w:rFonts w:ascii="Palatino Linotype" w:hAnsi="Palatino Linotype"/>
          <w:b w:val="0"/>
        </w:rPr>
        <w:t xml:space="preserve">each </w:t>
      </w:r>
      <w:r w:rsidRPr="00511954" w:rsidR="004835B9">
        <w:rPr>
          <w:rFonts w:ascii="Palatino Linotype" w:hAnsi="Palatino Linotype"/>
          <w:b w:val="0"/>
        </w:rPr>
        <w:t xml:space="preserve">IOU </w:t>
      </w:r>
      <w:r w:rsidRPr="00511954" w:rsidR="00C129A7">
        <w:rPr>
          <w:rFonts w:ascii="Palatino Linotype" w:hAnsi="Palatino Linotype"/>
          <w:b w:val="0"/>
        </w:rPr>
        <w:t>must</w:t>
      </w:r>
      <w:r w:rsidRPr="00511954" w:rsidR="00D562DE">
        <w:rPr>
          <w:rFonts w:ascii="Palatino Linotype" w:hAnsi="Palatino Linotype"/>
          <w:b w:val="0"/>
        </w:rPr>
        <w:t>,</w:t>
      </w:r>
      <w:r w:rsidRPr="00511954" w:rsidR="00C129A7">
        <w:rPr>
          <w:rFonts w:ascii="Palatino Linotype" w:hAnsi="Palatino Linotype"/>
          <w:b w:val="0"/>
        </w:rPr>
        <w:t xml:space="preserve"> </w:t>
      </w:r>
      <w:r w:rsidRPr="00511954" w:rsidR="002D18AA">
        <w:rPr>
          <w:rFonts w:ascii="Palatino Linotype" w:hAnsi="Palatino Linotype"/>
          <w:b w:val="0"/>
        </w:rPr>
        <w:t>at a minimum</w:t>
      </w:r>
      <w:r w:rsidRPr="00511954" w:rsidR="00D562DE">
        <w:rPr>
          <w:rFonts w:ascii="Palatino Linotype" w:hAnsi="Palatino Linotype"/>
          <w:b w:val="0"/>
        </w:rPr>
        <w:t>,</w:t>
      </w:r>
      <w:r w:rsidR="006150F7">
        <w:rPr>
          <w:rFonts w:ascii="Palatino Linotype" w:hAnsi="Palatino Linotype"/>
          <w:b w:val="0"/>
        </w:rPr>
        <w:t xml:space="preserve"> file a report in R.14-07-002 and serve the same</w:t>
      </w:r>
      <w:r w:rsidRPr="00511954" w:rsidR="002D18AA">
        <w:rPr>
          <w:rFonts w:ascii="Palatino Linotype" w:hAnsi="Palatino Linotype"/>
          <w:b w:val="0"/>
        </w:rPr>
        <w:t xml:space="preserve"> </w:t>
      </w:r>
      <w:r w:rsidRPr="00511954" w:rsidR="004835B9">
        <w:rPr>
          <w:rFonts w:ascii="Palatino Linotype" w:hAnsi="Palatino Linotype"/>
          <w:b w:val="0"/>
        </w:rPr>
        <w:t xml:space="preserve">report </w:t>
      </w:r>
      <w:r w:rsidR="006150F7">
        <w:rPr>
          <w:rFonts w:ascii="Palatino Linotype" w:hAnsi="Palatino Linotype"/>
          <w:b w:val="0"/>
        </w:rPr>
        <w:t>on</w:t>
      </w:r>
      <w:r w:rsidRPr="00511954" w:rsidR="004835B9">
        <w:rPr>
          <w:rFonts w:ascii="Palatino Linotype" w:hAnsi="Palatino Linotype"/>
          <w:b w:val="0"/>
        </w:rPr>
        <w:t xml:space="preserve"> the service list for this proceeding</w:t>
      </w:r>
      <w:r w:rsidR="006150F7">
        <w:rPr>
          <w:rFonts w:ascii="Palatino Linotype" w:hAnsi="Palatino Linotype"/>
          <w:b w:val="0"/>
        </w:rPr>
        <w:t xml:space="preserve"> that describes</w:t>
      </w:r>
      <w:r w:rsidRPr="00511954" w:rsidR="004835B9">
        <w:rPr>
          <w:rFonts w:ascii="Palatino Linotype" w:hAnsi="Palatino Linotype"/>
          <w:b w:val="0"/>
        </w:rPr>
        <w:t xml:space="preserve"> the </w:t>
      </w:r>
      <w:r w:rsidRPr="00511954" w:rsidR="006B2253">
        <w:rPr>
          <w:rFonts w:ascii="Palatino Linotype" w:hAnsi="Palatino Linotype"/>
          <w:b w:val="0"/>
        </w:rPr>
        <w:t>capacity procured, capacity online, and customers subscribed</w:t>
      </w:r>
      <w:r w:rsidRPr="00511954" w:rsidR="004835B9">
        <w:rPr>
          <w:rFonts w:ascii="Palatino Linotype" w:hAnsi="Palatino Linotype"/>
          <w:b w:val="0"/>
        </w:rPr>
        <w:t xml:space="preserve"> – </w:t>
      </w:r>
      <w:r w:rsidRPr="00511954" w:rsidR="00B164AC">
        <w:rPr>
          <w:rFonts w:ascii="Palatino Linotype" w:hAnsi="Palatino Linotype"/>
          <w:b w:val="0"/>
        </w:rPr>
        <w:t>for both programs, distinguishing between</w:t>
      </w:r>
      <w:r w:rsidRPr="00511954" w:rsidR="002D18AA">
        <w:rPr>
          <w:rFonts w:ascii="Palatino Linotype" w:hAnsi="Palatino Linotype"/>
          <w:b w:val="0"/>
        </w:rPr>
        <w:t xml:space="preserve"> </w:t>
      </w:r>
      <w:r w:rsidRPr="00511954" w:rsidR="00B164AC">
        <w:rPr>
          <w:rFonts w:ascii="Palatino Linotype" w:hAnsi="Palatino Linotype"/>
          <w:b w:val="0"/>
        </w:rPr>
        <w:t xml:space="preserve">the </w:t>
      </w:r>
      <w:r w:rsidRPr="00511954" w:rsidR="002D18AA">
        <w:rPr>
          <w:rFonts w:ascii="Palatino Linotype" w:hAnsi="Palatino Linotype"/>
          <w:b w:val="0"/>
        </w:rPr>
        <w:t>DAC-GT and CSGT</w:t>
      </w:r>
      <w:r w:rsidRPr="00511954" w:rsidR="00B164AC">
        <w:rPr>
          <w:rFonts w:ascii="Palatino Linotype" w:hAnsi="Palatino Linotype"/>
          <w:b w:val="0"/>
        </w:rPr>
        <w:t xml:space="preserve"> data</w:t>
      </w:r>
      <w:r w:rsidRPr="00511954" w:rsidR="002D18AA">
        <w:rPr>
          <w:rFonts w:ascii="Palatino Linotype" w:hAnsi="Palatino Linotype"/>
          <w:b w:val="0"/>
        </w:rPr>
        <w:t>.</w:t>
      </w:r>
      <w:r w:rsidRPr="00511954" w:rsidR="006B2253">
        <w:rPr>
          <w:rFonts w:ascii="Palatino Linotype" w:hAnsi="Palatino Linotype"/>
          <w:b w:val="0"/>
        </w:rPr>
        <w:t xml:space="preserve"> The </w:t>
      </w:r>
      <w:r w:rsidRPr="00511954" w:rsidR="004835B9">
        <w:rPr>
          <w:rFonts w:ascii="Palatino Linotype" w:hAnsi="Palatino Linotype"/>
          <w:b w:val="0"/>
        </w:rPr>
        <w:t xml:space="preserve">quarterly </w:t>
      </w:r>
      <w:r w:rsidRPr="00511954" w:rsidR="006B2253">
        <w:rPr>
          <w:rFonts w:ascii="Palatino Linotype" w:hAnsi="Palatino Linotype"/>
          <w:b w:val="0"/>
        </w:rPr>
        <w:t xml:space="preserve">reports </w:t>
      </w:r>
      <w:r w:rsidRPr="00511954" w:rsidR="00C129A7">
        <w:rPr>
          <w:rFonts w:ascii="Palatino Linotype" w:hAnsi="Palatino Linotype"/>
          <w:b w:val="0"/>
        </w:rPr>
        <w:t xml:space="preserve">must </w:t>
      </w:r>
      <w:r w:rsidRPr="00511954" w:rsidR="006B2253">
        <w:rPr>
          <w:rFonts w:ascii="Palatino Linotype" w:hAnsi="Palatino Linotype"/>
          <w:b w:val="0"/>
        </w:rPr>
        <w:t>also identify</w:t>
      </w:r>
      <w:r w:rsidRPr="00511954" w:rsidR="004835B9">
        <w:rPr>
          <w:rFonts w:ascii="Palatino Linotype" w:hAnsi="Palatino Linotype"/>
          <w:b w:val="0"/>
        </w:rPr>
        <w:t xml:space="preserve"> the DACs in which projects are located and </w:t>
      </w:r>
      <w:r w:rsidRPr="00511954" w:rsidR="00E132A5">
        <w:rPr>
          <w:rFonts w:ascii="Palatino Linotype" w:hAnsi="Palatino Linotype"/>
          <w:b w:val="0"/>
        </w:rPr>
        <w:t>list the number of participating customers in each</w:t>
      </w:r>
      <w:r w:rsidRPr="00511954" w:rsidR="004835B9">
        <w:rPr>
          <w:rFonts w:ascii="Palatino Linotype" w:hAnsi="Palatino Linotype"/>
          <w:b w:val="0"/>
        </w:rPr>
        <w:t xml:space="preserve"> DAC</w:t>
      </w:r>
      <w:r w:rsidRPr="00511954" w:rsidR="00E132A5">
        <w:rPr>
          <w:rFonts w:ascii="Palatino Linotype" w:hAnsi="Palatino Linotype"/>
          <w:b w:val="0"/>
        </w:rPr>
        <w:t xml:space="preserve"> within the IOU’s service territory</w:t>
      </w:r>
      <w:r w:rsidRPr="00511954" w:rsidR="004835B9">
        <w:rPr>
          <w:rFonts w:ascii="Palatino Linotype" w:hAnsi="Palatino Linotype"/>
          <w:b w:val="0"/>
        </w:rPr>
        <w:t xml:space="preserve">. </w:t>
      </w:r>
      <w:r w:rsidRPr="00511954" w:rsidR="00D562DE">
        <w:rPr>
          <w:rFonts w:ascii="Palatino Linotype" w:hAnsi="Palatino Linotype"/>
          <w:b w:val="0"/>
        </w:rPr>
        <w:t xml:space="preserve">Finally, the quarterly reports must include the number of customers who have successfully enrolled in CARE and FERA </w:t>
      </w:r>
      <w:r w:rsidRPr="00511954" w:rsidR="00F546B9">
        <w:rPr>
          <w:rFonts w:ascii="Palatino Linotype" w:hAnsi="Palatino Linotype"/>
          <w:b w:val="0"/>
        </w:rPr>
        <w:t xml:space="preserve">in the process </w:t>
      </w:r>
      <w:r w:rsidRPr="00511954" w:rsidR="00D562DE">
        <w:rPr>
          <w:rFonts w:ascii="Palatino Linotype" w:hAnsi="Palatino Linotype"/>
          <w:b w:val="0"/>
        </w:rPr>
        <w:t>of signing up for the DAC-GT or CSGT programs.</w:t>
      </w:r>
    </w:p>
    <w:p w:rsidRPr="0010120C" w:rsidR="00965E55" w:rsidP="0010120C" w:rsidRDefault="009C1B9F" w14:paraId="555200EE" w14:textId="5951B853">
      <w:pPr>
        <w:pStyle w:val="BodyText"/>
        <w:numPr>
          <w:ilvl w:val="0"/>
          <w:numId w:val="16"/>
        </w:numPr>
        <w:spacing w:after="120"/>
        <w:rPr>
          <w:rFonts w:ascii="Palatino Linotype" w:hAnsi="Palatino Linotype"/>
          <w:b w:val="0"/>
        </w:rPr>
      </w:pPr>
      <w:r w:rsidRPr="0010120C">
        <w:rPr>
          <w:rFonts w:ascii="Palatino Linotype" w:hAnsi="Palatino Linotype"/>
          <w:b w:val="0"/>
        </w:rPr>
        <w:t xml:space="preserve">Semi-annually, within </w:t>
      </w:r>
      <w:r w:rsidRPr="0010120C">
        <w:rPr>
          <w:rFonts w:ascii="Palatino Linotype" w:hAnsi="Palatino Linotype"/>
          <w:b w:val="0"/>
          <w:szCs w:val="24"/>
        </w:rPr>
        <w:t xml:space="preserve">30 </w:t>
      </w:r>
      <w:r w:rsidRPr="0010120C" w:rsidR="00965E55">
        <w:rPr>
          <w:rFonts w:ascii="Palatino Linotype" w:hAnsi="Palatino Linotype"/>
          <w:b w:val="0"/>
          <w:szCs w:val="24"/>
        </w:rPr>
        <w:t>c</w:t>
      </w:r>
      <w:r w:rsidRPr="0010120C">
        <w:rPr>
          <w:rFonts w:ascii="Palatino Linotype" w:hAnsi="Palatino Linotype"/>
          <w:b w:val="0"/>
          <w:szCs w:val="24"/>
        </w:rPr>
        <w:t xml:space="preserve">alendar </w:t>
      </w:r>
      <w:r w:rsidRPr="0010120C" w:rsidR="00965E55">
        <w:rPr>
          <w:rFonts w:ascii="Palatino Linotype" w:hAnsi="Palatino Linotype"/>
          <w:b w:val="0"/>
          <w:szCs w:val="24"/>
        </w:rPr>
        <w:t>d</w:t>
      </w:r>
      <w:r w:rsidRPr="0010120C">
        <w:rPr>
          <w:rFonts w:ascii="Palatino Linotype" w:hAnsi="Palatino Linotype"/>
          <w:b w:val="0"/>
          <w:szCs w:val="24"/>
        </w:rPr>
        <w:t>ays after the end of each six month period of the year</w:t>
      </w:r>
      <w:r w:rsidRPr="0010120C" w:rsidR="0044660C">
        <w:rPr>
          <w:rFonts w:ascii="Palatino Linotype" w:hAnsi="Palatino Linotype"/>
          <w:b w:val="0"/>
        </w:rPr>
        <w:t>, for CSGT projects,</w:t>
      </w:r>
      <w:r w:rsidRPr="0010120C" w:rsidR="00B164AC">
        <w:rPr>
          <w:rFonts w:ascii="Palatino Linotype" w:hAnsi="Palatino Linotype"/>
          <w:b w:val="0"/>
        </w:rPr>
        <w:t xml:space="preserve"> the IOUs must report </w:t>
      </w:r>
      <w:r w:rsidRPr="0010120C" w:rsidR="00A51AF1">
        <w:rPr>
          <w:rFonts w:ascii="Palatino Linotype" w:hAnsi="Palatino Linotype"/>
          <w:b w:val="0"/>
        </w:rPr>
        <w:t>to E</w:t>
      </w:r>
      <w:r w:rsidRPr="0010120C" w:rsidR="00965E55">
        <w:rPr>
          <w:rFonts w:ascii="Palatino Linotype" w:hAnsi="Palatino Linotype"/>
          <w:b w:val="0"/>
        </w:rPr>
        <w:t xml:space="preserve">nergy </w:t>
      </w:r>
      <w:r w:rsidRPr="0010120C" w:rsidR="00A51AF1">
        <w:rPr>
          <w:rFonts w:ascii="Palatino Linotype" w:hAnsi="Palatino Linotype"/>
          <w:b w:val="0"/>
        </w:rPr>
        <w:t>D</w:t>
      </w:r>
      <w:r w:rsidRPr="0010120C" w:rsidR="00965E55">
        <w:rPr>
          <w:rFonts w:ascii="Palatino Linotype" w:hAnsi="Palatino Linotype"/>
          <w:b w:val="0"/>
        </w:rPr>
        <w:t>ivision</w:t>
      </w:r>
      <w:r w:rsidRPr="0010120C" w:rsidR="00A51AF1">
        <w:rPr>
          <w:rFonts w:ascii="Palatino Linotype" w:hAnsi="Palatino Linotype"/>
          <w:b w:val="0"/>
        </w:rPr>
        <w:t xml:space="preserve"> </w:t>
      </w:r>
      <w:r w:rsidRPr="0010120C" w:rsidR="001E1EF2">
        <w:rPr>
          <w:rFonts w:ascii="Palatino Linotype" w:hAnsi="Palatino Linotype"/>
          <w:b w:val="0"/>
        </w:rPr>
        <w:t>Central Files</w:t>
      </w:r>
      <w:r w:rsidR="006A5D4F">
        <w:rPr>
          <w:rStyle w:val="FootnoteReference"/>
          <w:rFonts w:ascii="Palatino Linotype" w:hAnsi="Palatino Linotype"/>
          <w:b w:val="0"/>
        </w:rPr>
        <w:footnoteReference w:id="100"/>
      </w:r>
      <w:r w:rsidRPr="0010120C" w:rsidR="001E1EF2">
        <w:rPr>
          <w:rFonts w:ascii="Palatino Linotype" w:hAnsi="Palatino Linotype"/>
          <w:b w:val="0"/>
        </w:rPr>
        <w:t xml:space="preserve"> </w:t>
      </w:r>
      <w:r w:rsidRPr="0010120C" w:rsidR="00B164AC">
        <w:rPr>
          <w:rFonts w:ascii="Palatino Linotype" w:hAnsi="Palatino Linotype"/>
          <w:b w:val="0"/>
        </w:rPr>
        <w:t>the number of income</w:t>
      </w:r>
      <w:r w:rsidRPr="0010120C" w:rsidR="003F5CB3">
        <w:rPr>
          <w:rFonts w:ascii="Palatino Linotype" w:hAnsi="Palatino Linotype"/>
          <w:b w:val="0"/>
        </w:rPr>
        <w:t>-</w:t>
      </w:r>
      <w:r w:rsidRPr="0010120C" w:rsidR="00B164AC">
        <w:rPr>
          <w:rFonts w:ascii="Palatino Linotype" w:hAnsi="Palatino Linotype"/>
          <w:b w:val="0"/>
        </w:rPr>
        <w:t>qualified customers subscribed to each project and the capacity those customers are receiving, whether a waitlist of non-income</w:t>
      </w:r>
      <w:r w:rsidRPr="0010120C" w:rsidR="004E474B">
        <w:rPr>
          <w:rFonts w:ascii="Palatino Linotype" w:hAnsi="Palatino Linotype"/>
          <w:b w:val="0"/>
        </w:rPr>
        <w:t>-</w:t>
      </w:r>
      <w:r w:rsidRPr="0010120C" w:rsidR="00B164AC">
        <w:rPr>
          <w:rFonts w:ascii="Palatino Linotype" w:hAnsi="Palatino Linotype"/>
          <w:b w:val="0"/>
        </w:rPr>
        <w:t>qualified customers exist and the size of that list, and if project sponsors are receiving bill credits under CSGT projects, the size of each sponsor’s subscription.</w:t>
      </w:r>
      <w:r w:rsidRPr="0010120C" w:rsidR="00A51AF1">
        <w:rPr>
          <w:rFonts w:ascii="Palatino Linotype" w:hAnsi="Palatino Linotype"/>
          <w:b w:val="0"/>
        </w:rPr>
        <w:t xml:space="preserve"> Each IOU’s report must also include </w:t>
      </w:r>
      <w:r w:rsidRPr="0010120C" w:rsidR="00E132A5">
        <w:rPr>
          <w:rFonts w:ascii="Palatino Linotype" w:hAnsi="Palatino Linotype"/>
          <w:b w:val="0"/>
        </w:rPr>
        <w:t>the number of master</w:t>
      </w:r>
      <w:r w:rsidRPr="0010120C" w:rsidR="00547F0B">
        <w:rPr>
          <w:rFonts w:ascii="Palatino Linotype" w:hAnsi="Palatino Linotype"/>
          <w:b w:val="0"/>
        </w:rPr>
        <w:t>-</w:t>
      </w:r>
      <w:r w:rsidRPr="0010120C" w:rsidR="00E132A5">
        <w:rPr>
          <w:rFonts w:ascii="Palatino Linotype" w:hAnsi="Palatino Linotype"/>
          <w:b w:val="0"/>
        </w:rPr>
        <w:t xml:space="preserve">metered </w:t>
      </w:r>
      <w:r w:rsidRPr="0010120C" w:rsidR="00965E55">
        <w:rPr>
          <w:rFonts w:ascii="Palatino Linotype" w:hAnsi="Palatino Linotype"/>
          <w:b w:val="0"/>
        </w:rPr>
        <w:t xml:space="preserve">properties </w:t>
      </w:r>
      <w:r w:rsidRPr="0010120C" w:rsidR="00E132A5">
        <w:rPr>
          <w:rFonts w:ascii="Palatino Linotype" w:hAnsi="Palatino Linotype"/>
          <w:b w:val="0"/>
        </w:rPr>
        <w:t xml:space="preserve">served on </w:t>
      </w:r>
      <w:r w:rsidRPr="0010120C" w:rsidR="00A51AF1">
        <w:rPr>
          <w:rFonts w:ascii="Palatino Linotype" w:hAnsi="Palatino Linotype"/>
          <w:b w:val="0"/>
        </w:rPr>
        <w:t xml:space="preserve">its </w:t>
      </w:r>
      <w:r w:rsidRPr="0010120C" w:rsidR="00E132A5">
        <w:rPr>
          <w:rFonts w:ascii="Palatino Linotype" w:hAnsi="Palatino Linotype"/>
          <w:b w:val="0"/>
        </w:rPr>
        <w:t>CSGT tariffs</w:t>
      </w:r>
      <w:r w:rsidRPr="0010120C" w:rsidR="005E6341">
        <w:rPr>
          <w:rFonts w:ascii="Palatino Linotype" w:hAnsi="Palatino Linotype"/>
          <w:b w:val="0"/>
        </w:rPr>
        <w:t xml:space="preserve"> and total capacity those properties are subscribed to receive</w:t>
      </w:r>
      <w:r w:rsidRPr="0010120C" w:rsidR="00E132A5">
        <w:rPr>
          <w:rFonts w:ascii="Palatino Linotype" w:hAnsi="Palatino Linotype"/>
          <w:b w:val="0"/>
        </w:rPr>
        <w:t xml:space="preserve">. </w:t>
      </w:r>
    </w:p>
    <w:p w:rsidRPr="00511954" w:rsidR="00B164AC" w:rsidP="00522072" w:rsidRDefault="004835B9" w14:paraId="59CF378A" w14:textId="01D18E2F">
      <w:pPr>
        <w:pStyle w:val="BodyText"/>
        <w:spacing w:after="120"/>
        <w:rPr>
          <w:rFonts w:ascii="Palatino Linotype" w:hAnsi="Palatino Linotype"/>
          <w:b w:val="0"/>
        </w:rPr>
      </w:pPr>
      <w:r w:rsidRPr="00511954">
        <w:rPr>
          <w:rFonts w:ascii="Palatino Linotype" w:hAnsi="Palatino Linotype"/>
          <w:b w:val="0"/>
        </w:rPr>
        <w:t>Energy Division staff may modify these reporting requirements</w:t>
      </w:r>
      <w:r w:rsidRPr="00511954" w:rsidR="00522072">
        <w:rPr>
          <w:rFonts w:ascii="Palatino Linotype" w:hAnsi="Palatino Linotype"/>
          <w:b w:val="0"/>
        </w:rPr>
        <w:t>, and provide guidance on the format of these reports,</w:t>
      </w:r>
      <w:r w:rsidRPr="00511954">
        <w:rPr>
          <w:rFonts w:ascii="Palatino Linotype" w:hAnsi="Palatino Linotype"/>
          <w:b w:val="0"/>
        </w:rPr>
        <w:t xml:space="preserve"> as necessary</w:t>
      </w:r>
      <w:r w:rsidRPr="00511954" w:rsidR="00B164AC">
        <w:rPr>
          <w:rFonts w:ascii="Palatino Linotype" w:hAnsi="Palatino Linotype"/>
          <w:b w:val="0"/>
        </w:rPr>
        <w:t>.</w:t>
      </w:r>
    </w:p>
    <w:p w:rsidRPr="00511954" w:rsidR="00341D76" w:rsidP="00C345D8" w:rsidRDefault="00341D76" w14:paraId="254EE60B" w14:textId="77777777">
      <w:pPr>
        <w:pStyle w:val="BodyText"/>
        <w:rPr>
          <w:rFonts w:ascii="Palatino Linotype" w:hAnsi="Palatino Linotype"/>
          <w:b w:val="0"/>
          <w:u w:val="single"/>
        </w:rPr>
      </w:pPr>
      <w:r w:rsidRPr="00511954">
        <w:rPr>
          <w:rFonts w:ascii="Palatino Linotype" w:hAnsi="Palatino Linotype"/>
          <w:b w:val="0"/>
          <w:u w:val="single"/>
        </w:rPr>
        <w:t>Customer Eligibility Issues in SCE’s Tariffs</w:t>
      </w:r>
    </w:p>
    <w:p w:rsidR="00315E47" w:rsidP="00315E47" w:rsidRDefault="00341D76" w14:paraId="069E4F39" w14:textId="14118E60">
      <w:pPr>
        <w:pStyle w:val="BodyText"/>
        <w:spacing w:after="120"/>
        <w:rPr>
          <w:rFonts w:ascii="Palatino Linotype" w:hAnsi="Palatino Linotype"/>
          <w:b w:val="0"/>
        </w:rPr>
      </w:pPr>
      <w:r w:rsidRPr="00511954">
        <w:rPr>
          <w:rFonts w:ascii="Palatino Linotype" w:hAnsi="Palatino Linotype"/>
          <w:b w:val="0"/>
        </w:rPr>
        <w:t xml:space="preserve">In both its DAC-GT and CSGT tariffs, SCE correctly defines DACs as including </w:t>
      </w:r>
      <w:r w:rsidRPr="00511954" w:rsidR="005B6C30">
        <w:rPr>
          <w:rFonts w:ascii="Palatino Linotype" w:hAnsi="Palatino Linotype"/>
          <w:b w:val="0"/>
        </w:rPr>
        <w:t xml:space="preserve">both </w:t>
      </w:r>
      <w:r w:rsidRPr="00511954">
        <w:rPr>
          <w:rFonts w:ascii="Palatino Linotype" w:hAnsi="Palatino Linotype"/>
          <w:b w:val="0"/>
        </w:rPr>
        <w:t>the top 25 percent of census tracts</w:t>
      </w:r>
      <w:r w:rsidRPr="00511954" w:rsidR="00A56F83">
        <w:rPr>
          <w:rFonts w:ascii="Palatino Linotype" w:hAnsi="Palatino Linotype"/>
          <w:b w:val="0"/>
        </w:rPr>
        <w:t xml:space="preserve"> statewide</w:t>
      </w:r>
      <w:r w:rsidRPr="00511954">
        <w:rPr>
          <w:rFonts w:ascii="Palatino Linotype" w:hAnsi="Palatino Linotype"/>
          <w:b w:val="0"/>
        </w:rPr>
        <w:t xml:space="preserve"> under </w:t>
      </w:r>
      <w:proofErr w:type="spellStart"/>
      <w:r w:rsidRPr="00511954">
        <w:rPr>
          <w:rFonts w:ascii="Palatino Linotype" w:hAnsi="Palatino Linotype"/>
          <w:b w:val="0"/>
        </w:rPr>
        <w:t>CalEnviroScreen</w:t>
      </w:r>
      <w:proofErr w:type="spellEnd"/>
      <w:r w:rsidRPr="00511954">
        <w:rPr>
          <w:rFonts w:ascii="Palatino Linotype" w:hAnsi="Palatino Linotype"/>
          <w:b w:val="0"/>
        </w:rPr>
        <w:t xml:space="preserve"> and 22 census tracts in the highest 5 percent of </w:t>
      </w:r>
      <w:proofErr w:type="spellStart"/>
      <w:r w:rsidRPr="00511954">
        <w:rPr>
          <w:rFonts w:ascii="Palatino Linotype" w:hAnsi="Palatino Linotype"/>
          <w:b w:val="0"/>
        </w:rPr>
        <w:t>CalEnviroScreen’s</w:t>
      </w:r>
      <w:proofErr w:type="spellEnd"/>
      <w:r w:rsidRPr="00511954">
        <w:rPr>
          <w:rFonts w:ascii="Palatino Linotype" w:hAnsi="Palatino Linotype"/>
          <w:b w:val="0"/>
        </w:rPr>
        <w:t xml:space="preserve"> pollution burden that do not have an overall </w:t>
      </w:r>
      <w:proofErr w:type="spellStart"/>
      <w:r w:rsidRPr="00511954">
        <w:rPr>
          <w:rFonts w:ascii="Palatino Linotype" w:hAnsi="Palatino Linotype"/>
          <w:b w:val="0"/>
        </w:rPr>
        <w:t>CalEnviroScreen</w:t>
      </w:r>
      <w:proofErr w:type="spellEnd"/>
      <w:r w:rsidRPr="00511954">
        <w:rPr>
          <w:rFonts w:ascii="Palatino Linotype" w:hAnsi="Palatino Linotype"/>
          <w:b w:val="0"/>
        </w:rPr>
        <w:t xml:space="preserve"> score. In the </w:t>
      </w:r>
      <w:r w:rsidRPr="00511954" w:rsidR="000C7DD3">
        <w:rPr>
          <w:rFonts w:ascii="Palatino Linotype" w:hAnsi="Palatino Linotype"/>
          <w:b w:val="0"/>
        </w:rPr>
        <w:t>“A</w:t>
      </w:r>
      <w:r w:rsidRPr="00511954">
        <w:rPr>
          <w:rFonts w:ascii="Palatino Linotype" w:hAnsi="Palatino Linotype"/>
          <w:b w:val="0"/>
        </w:rPr>
        <w:t>pplicability</w:t>
      </w:r>
      <w:r w:rsidRPr="00511954" w:rsidR="000C7DD3">
        <w:rPr>
          <w:rFonts w:ascii="Palatino Linotype" w:hAnsi="Palatino Linotype"/>
          <w:b w:val="0"/>
        </w:rPr>
        <w:t>” and “Territory”</w:t>
      </w:r>
      <w:r w:rsidRPr="00511954">
        <w:rPr>
          <w:rFonts w:ascii="Palatino Linotype" w:hAnsi="Palatino Linotype"/>
          <w:b w:val="0"/>
        </w:rPr>
        <w:t xml:space="preserve"> </w:t>
      </w:r>
      <w:r w:rsidRPr="00511954" w:rsidR="005B6C30">
        <w:rPr>
          <w:rFonts w:ascii="Palatino Linotype" w:hAnsi="Palatino Linotype"/>
          <w:b w:val="0"/>
        </w:rPr>
        <w:t>section</w:t>
      </w:r>
      <w:r w:rsidRPr="00511954" w:rsidR="000C7DD3">
        <w:rPr>
          <w:rFonts w:ascii="Palatino Linotype" w:hAnsi="Palatino Linotype"/>
          <w:b w:val="0"/>
        </w:rPr>
        <w:t>s</w:t>
      </w:r>
      <w:r w:rsidRPr="00511954" w:rsidR="005B6C30">
        <w:rPr>
          <w:rFonts w:ascii="Palatino Linotype" w:hAnsi="Palatino Linotype"/>
          <w:b w:val="0"/>
        </w:rPr>
        <w:t xml:space="preserve"> </w:t>
      </w:r>
      <w:r w:rsidRPr="00511954">
        <w:rPr>
          <w:rFonts w:ascii="Palatino Linotype" w:hAnsi="Palatino Linotype"/>
          <w:b w:val="0"/>
        </w:rPr>
        <w:t>of both tariffs, however, SCE simply refers to top 25 percent DACs.</w:t>
      </w:r>
      <w:r w:rsidRPr="00511954">
        <w:rPr>
          <w:rStyle w:val="FootnoteReference"/>
          <w:rFonts w:ascii="Palatino Linotype" w:hAnsi="Palatino Linotype"/>
          <w:b w:val="0"/>
        </w:rPr>
        <w:footnoteReference w:id="101"/>
      </w:r>
      <w:r w:rsidRPr="00511954">
        <w:rPr>
          <w:rFonts w:ascii="Palatino Linotype" w:hAnsi="Palatino Linotype"/>
          <w:b w:val="0"/>
        </w:rPr>
        <w:t xml:space="preserve"> It is clear in </w:t>
      </w:r>
      <w:r w:rsidRPr="00511954" w:rsidR="00342BAE">
        <w:rPr>
          <w:rFonts w:ascii="Palatino Linotype" w:hAnsi="Palatino Linotype"/>
          <w:b w:val="0"/>
        </w:rPr>
        <w:t>the NEM DAC Decision</w:t>
      </w:r>
      <w:r w:rsidRPr="00511954">
        <w:rPr>
          <w:rFonts w:ascii="Palatino Linotype" w:hAnsi="Palatino Linotype"/>
          <w:b w:val="0"/>
        </w:rPr>
        <w:t xml:space="preserve"> that customers in the 22 additional census tracts </w:t>
      </w:r>
      <w:r w:rsidRPr="00511954" w:rsidR="00A56F83">
        <w:rPr>
          <w:rFonts w:ascii="Palatino Linotype" w:hAnsi="Palatino Linotype"/>
          <w:b w:val="0"/>
        </w:rPr>
        <w:t xml:space="preserve">without a </w:t>
      </w:r>
      <w:proofErr w:type="spellStart"/>
      <w:r w:rsidRPr="00511954" w:rsidR="00A56F83">
        <w:rPr>
          <w:rFonts w:ascii="Palatino Linotype" w:hAnsi="Palatino Linotype"/>
          <w:b w:val="0"/>
        </w:rPr>
        <w:t>CalEnviroScreen</w:t>
      </w:r>
      <w:proofErr w:type="spellEnd"/>
      <w:r w:rsidRPr="00511954" w:rsidR="00A56F83">
        <w:rPr>
          <w:rFonts w:ascii="Palatino Linotype" w:hAnsi="Palatino Linotype"/>
          <w:b w:val="0"/>
        </w:rPr>
        <w:t xml:space="preserve"> score </w:t>
      </w:r>
      <w:r w:rsidRPr="00511954">
        <w:rPr>
          <w:rFonts w:ascii="Palatino Linotype" w:hAnsi="Palatino Linotype"/>
          <w:b w:val="0"/>
        </w:rPr>
        <w:t xml:space="preserve">are to be eligible for both DAC-GT and CSGT and </w:t>
      </w:r>
      <w:r w:rsidRPr="00511954" w:rsidR="005B6C30">
        <w:rPr>
          <w:rFonts w:ascii="Palatino Linotype" w:hAnsi="Palatino Linotype"/>
          <w:b w:val="0"/>
        </w:rPr>
        <w:t xml:space="preserve">that </w:t>
      </w:r>
      <w:r w:rsidRPr="00511954">
        <w:rPr>
          <w:rFonts w:ascii="Palatino Linotype" w:hAnsi="Palatino Linotype"/>
          <w:b w:val="0"/>
        </w:rPr>
        <w:t>projects under either program can be sited in these additional 22 census tracts.</w:t>
      </w:r>
      <w:r w:rsidRPr="00511954">
        <w:rPr>
          <w:rStyle w:val="FootnoteReference"/>
          <w:rFonts w:ascii="Palatino Linotype" w:hAnsi="Palatino Linotype"/>
          <w:b w:val="0"/>
        </w:rPr>
        <w:footnoteReference w:id="102"/>
      </w:r>
      <w:r w:rsidRPr="00511954">
        <w:rPr>
          <w:rFonts w:ascii="Palatino Linotype" w:hAnsi="Palatino Linotype"/>
          <w:b w:val="0"/>
        </w:rPr>
        <w:t xml:space="preserve"> </w:t>
      </w:r>
      <w:r w:rsidRPr="00511954" w:rsidR="00342BAE">
        <w:rPr>
          <w:rFonts w:ascii="Palatino Linotype" w:hAnsi="Palatino Linotype"/>
          <w:b w:val="0"/>
        </w:rPr>
        <w:t>For consistency with the NEM DAC Decision,</w:t>
      </w:r>
      <w:r w:rsidRPr="00511954">
        <w:rPr>
          <w:rFonts w:ascii="Palatino Linotype" w:hAnsi="Palatino Linotype"/>
          <w:b w:val="0"/>
        </w:rPr>
        <w:t xml:space="preserve"> </w:t>
      </w:r>
      <w:r w:rsidRPr="00511954" w:rsidR="00F71BD9">
        <w:rPr>
          <w:rFonts w:ascii="Palatino Linotype" w:hAnsi="Palatino Linotype"/>
          <w:b w:val="0"/>
        </w:rPr>
        <w:t xml:space="preserve">we direct </w:t>
      </w:r>
      <w:r w:rsidRPr="00511954">
        <w:rPr>
          <w:rFonts w:ascii="Palatino Linotype" w:hAnsi="Palatino Linotype"/>
          <w:b w:val="0"/>
        </w:rPr>
        <w:t xml:space="preserve">SCE </w:t>
      </w:r>
      <w:r w:rsidRPr="00511954" w:rsidR="00F71BD9">
        <w:rPr>
          <w:rFonts w:ascii="Palatino Linotype" w:hAnsi="Palatino Linotype"/>
          <w:b w:val="0"/>
        </w:rPr>
        <w:t xml:space="preserve">to </w:t>
      </w:r>
      <w:r w:rsidRPr="00511954">
        <w:rPr>
          <w:rFonts w:ascii="Palatino Linotype" w:hAnsi="Palatino Linotype"/>
          <w:b w:val="0"/>
        </w:rPr>
        <w:t xml:space="preserve">update its </w:t>
      </w:r>
      <w:r w:rsidRPr="00511954" w:rsidR="00342BAE">
        <w:rPr>
          <w:rFonts w:ascii="Palatino Linotype" w:hAnsi="Palatino Linotype"/>
          <w:b w:val="0"/>
        </w:rPr>
        <w:t xml:space="preserve">DAC-GT and CSGT </w:t>
      </w:r>
      <w:r w:rsidRPr="00511954">
        <w:rPr>
          <w:rFonts w:ascii="Palatino Linotype" w:hAnsi="Palatino Linotype"/>
          <w:b w:val="0"/>
        </w:rPr>
        <w:t xml:space="preserve">tariffs to </w:t>
      </w:r>
      <w:r w:rsidRPr="00511954" w:rsidR="00342BAE">
        <w:rPr>
          <w:rFonts w:ascii="Palatino Linotype" w:hAnsi="Palatino Linotype"/>
          <w:b w:val="0"/>
        </w:rPr>
        <w:t>clarify that the additional 22 census tracts are also eligible for the programs</w:t>
      </w:r>
      <w:r w:rsidRPr="00511954">
        <w:rPr>
          <w:rFonts w:ascii="Palatino Linotype" w:hAnsi="Palatino Linotype"/>
          <w:b w:val="0"/>
        </w:rPr>
        <w:t>.</w:t>
      </w:r>
    </w:p>
    <w:p w:rsidRPr="00511954" w:rsidR="00341D76" w:rsidP="00341D76" w:rsidRDefault="00341D76" w14:paraId="3828DDA7" w14:textId="55ADC653">
      <w:pPr>
        <w:pStyle w:val="BodyText"/>
        <w:spacing w:after="120"/>
        <w:rPr>
          <w:rFonts w:ascii="Palatino Linotype" w:hAnsi="Palatino Linotype"/>
          <w:b w:val="0"/>
        </w:rPr>
      </w:pPr>
      <w:r w:rsidRPr="00511954">
        <w:rPr>
          <w:rFonts w:ascii="Palatino Linotype" w:hAnsi="Palatino Linotype"/>
          <w:b w:val="0"/>
        </w:rPr>
        <w:t>In its DAC-GT tariff, SCE states, “</w:t>
      </w:r>
      <w:r w:rsidRPr="00511954" w:rsidR="003F5CB3">
        <w:rPr>
          <w:rFonts w:ascii="Palatino Linotype" w:hAnsi="Palatino Linotype"/>
          <w:b w:val="0"/>
        </w:rPr>
        <w:t>[c]</w:t>
      </w:r>
      <w:proofErr w:type="spellStart"/>
      <w:r w:rsidRPr="00511954">
        <w:rPr>
          <w:rFonts w:ascii="Palatino Linotype" w:hAnsi="Palatino Linotype"/>
          <w:b w:val="0"/>
        </w:rPr>
        <w:t>ustomers</w:t>
      </w:r>
      <w:proofErr w:type="spellEnd"/>
      <w:r w:rsidRPr="00511954">
        <w:rPr>
          <w:rFonts w:ascii="Palatino Linotype" w:hAnsi="Palatino Linotype"/>
          <w:b w:val="0"/>
        </w:rPr>
        <w:t xml:space="preserve"> served under this Schedule can concurrently participate on any of SCE’s </w:t>
      </w:r>
      <w:r w:rsidRPr="00511954" w:rsidR="003F5CB3">
        <w:rPr>
          <w:rFonts w:ascii="Palatino Linotype" w:hAnsi="Palatino Linotype"/>
          <w:b w:val="0"/>
        </w:rPr>
        <w:t>[Net Energy Metering (</w:t>
      </w:r>
      <w:r w:rsidRPr="00511954">
        <w:rPr>
          <w:rFonts w:ascii="Palatino Linotype" w:hAnsi="Palatino Linotype"/>
          <w:b w:val="0"/>
        </w:rPr>
        <w:t>NEM</w:t>
      </w:r>
      <w:r w:rsidRPr="00511954" w:rsidR="003F5CB3">
        <w:rPr>
          <w:rFonts w:ascii="Palatino Linotype" w:hAnsi="Palatino Linotype"/>
          <w:b w:val="0"/>
        </w:rPr>
        <w:t>)]</w:t>
      </w:r>
      <w:r w:rsidRPr="00511954">
        <w:rPr>
          <w:rFonts w:ascii="Palatino Linotype" w:hAnsi="Palatino Linotype"/>
          <w:b w:val="0"/>
        </w:rPr>
        <w:t xml:space="preserve"> tariffs for which they are otherwise eligible, excluding NEM successor tariffs.”</w:t>
      </w:r>
      <w:r w:rsidRPr="00511954">
        <w:rPr>
          <w:rStyle w:val="FootnoteReference"/>
          <w:rFonts w:ascii="Palatino Linotype" w:hAnsi="Palatino Linotype"/>
          <w:b w:val="0"/>
        </w:rPr>
        <w:footnoteReference w:id="103"/>
      </w:r>
      <w:r w:rsidRPr="00511954">
        <w:rPr>
          <w:rFonts w:ascii="Palatino Linotype" w:hAnsi="Palatino Linotype"/>
          <w:b w:val="0"/>
        </w:rPr>
        <w:t xml:space="preserve"> </w:t>
      </w:r>
      <w:r w:rsidRPr="00511954" w:rsidR="00F53442">
        <w:rPr>
          <w:rFonts w:ascii="Palatino Linotype" w:hAnsi="Palatino Linotype"/>
          <w:b w:val="0"/>
        </w:rPr>
        <w:t>T</w:t>
      </w:r>
      <w:r w:rsidRPr="00511954">
        <w:rPr>
          <w:rFonts w:ascii="Palatino Linotype" w:hAnsi="Palatino Linotype"/>
          <w:b w:val="0"/>
        </w:rPr>
        <w:t xml:space="preserve">he programs created in D.18-06-027 were designed </w:t>
      </w:r>
      <w:r w:rsidRPr="00511954" w:rsidR="00F53442">
        <w:rPr>
          <w:rFonts w:ascii="Palatino Linotype" w:hAnsi="Palatino Linotype"/>
          <w:b w:val="0"/>
        </w:rPr>
        <w:t xml:space="preserve">as </w:t>
      </w:r>
      <w:r w:rsidRPr="00511954" w:rsidR="003F5CB3">
        <w:rPr>
          <w:rFonts w:ascii="Palatino Linotype" w:hAnsi="Palatino Linotype"/>
          <w:b w:val="0"/>
        </w:rPr>
        <w:t xml:space="preserve">NEM </w:t>
      </w:r>
      <w:r w:rsidRPr="00511954" w:rsidR="00F53442">
        <w:rPr>
          <w:rFonts w:ascii="Palatino Linotype" w:hAnsi="Palatino Linotype"/>
          <w:b w:val="0"/>
        </w:rPr>
        <w:t>alternatives “to increase adoption of renewable generation in DACs.”</w:t>
      </w:r>
      <w:r w:rsidRPr="00511954" w:rsidR="00F53442">
        <w:rPr>
          <w:rStyle w:val="FootnoteReference"/>
          <w:rFonts w:ascii="Palatino Linotype" w:hAnsi="Palatino Linotype"/>
          <w:b w:val="0"/>
        </w:rPr>
        <w:footnoteReference w:id="104"/>
      </w:r>
      <w:r w:rsidRPr="00511954" w:rsidR="00F53442">
        <w:rPr>
          <w:rFonts w:ascii="Palatino Linotype" w:hAnsi="Palatino Linotype"/>
          <w:b w:val="0"/>
        </w:rPr>
        <w:t xml:space="preserve"> Therefore </w:t>
      </w:r>
      <w:r w:rsidRPr="00511954" w:rsidR="00BC7144">
        <w:rPr>
          <w:rFonts w:ascii="Palatino Linotype" w:hAnsi="Palatino Linotype"/>
          <w:b w:val="0"/>
        </w:rPr>
        <w:t xml:space="preserve">we </w:t>
      </w:r>
      <w:r w:rsidRPr="00511954" w:rsidR="00F53442">
        <w:rPr>
          <w:rFonts w:ascii="Palatino Linotype" w:hAnsi="Palatino Linotype"/>
          <w:b w:val="0"/>
        </w:rPr>
        <w:t xml:space="preserve">find that DAC-GT and CSGT customers should not be allowed to concurrently participate in any NEM tariffs. </w:t>
      </w:r>
      <w:r w:rsidRPr="00511954" w:rsidR="00C129A7">
        <w:rPr>
          <w:rFonts w:ascii="Palatino Linotype" w:hAnsi="Palatino Linotype"/>
          <w:b w:val="0"/>
        </w:rPr>
        <w:t>W</w:t>
      </w:r>
      <w:r w:rsidRPr="00511954" w:rsidR="00BC7144">
        <w:rPr>
          <w:rFonts w:ascii="Palatino Linotype" w:hAnsi="Palatino Linotype"/>
          <w:b w:val="0"/>
        </w:rPr>
        <w:t xml:space="preserve">e direct SCE to </w:t>
      </w:r>
      <w:r w:rsidRPr="00511954" w:rsidR="00F53442">
        <w:rPr>
          <w:rFonts w:ascii="Palatino Linotype" w:hAnsi="Palatino Linotype"/>
          <w:b w:val="0"/>
        </w:rPr>
        <w:t xml:space="preserve">revise its DAC-GT tariff to reflect this. </w:t>
      </w:r>
    </w:p>
    <w:p w:rsidRPr="00511954" w:rsidR="00211CB2" w:rsidP="00C345D8" w:rsidRDefault="00211CB2" w14:paraId="12CC1A00" w14:textId="77777777">
      <w:pPr>
        <w:pStyle w:val="BodyText"/>
        <w:rPr>
          <w:rFonts w:ascii="Palatino Linotype" w:hAnsi="Palatino Linotype"/>
          <w:b w:val="0"/>
          <w:u w:val="single"/>
        </w:rPr>
      </w:pPr>
      <w:r w:rsidRPr="00511954">
        <w:rPr>
          <w:rFonts w:ascii="Palatino Linotype" w:hAnsi="Palatino Linotype"/>
          <w:b w:val="0"/>
          <w:u w:val="single"/>
        </w:rPr>
        <w:t xml:space="preserve">CSGT </w:t>
      </w:r>
      <w:r w:rsidRPr="00511954" w:rsidR="007D5262">
        <w:rPr>
          <w:rFonts w:ascii="Palatino Linotype" w:hAnsi="Palatino Linotype"/>
          <w:b w:val="0"/>
          <w:u w:val="single"/>
        </w:rPr>
        <w:t>Location</w:t>
      </w:r>
      <w:r w:rsidRPr="00511954" w:rsidR="00844D3C">
        <w:rPr>
          <w:rFonts w:ascii="Palatino Linotype" w:hAnsi="Palatino Linotype"/>
          <w:b w:val="0"/>
          <w:u w:val="single"/>
        </w:rPr>
        <w:t>al</w:t>
      </w:r>
      <w:r w:rsidRPr="00511954" w:rsidR="007D5262">
        <w:rPr>
          <w:rFonts w:ascii="Palatino Linotype" w:hAnsi="Palatino Linotype"/>
          <w:b w:val="0"/>
          <w:u w:val="single"/>
        </w:rPr>
        <w:t xml:space="preserve"> Eligibility</w:t>
      </w:r>
    </w:p>
    <w:p w:rsidR="005E6341" w:rsidP="00C345D8" w:rsidRDefault="00211CB2" w14:paraId="4178C734" w14:textId="77777777">
      <w:pPr>
        <w:pStyle w:val="BodyText"/>
        <w:rPr>
          <w:rFonts w:ascii="Palatino Linotype" w:hAnsi="Palatino Linotype"/>
          <w:b w:val="0"/>
        </w:rPr>
      </w:pPr>
      <w:r w:rsidRPr="00511954">
        <w:rPr>
          <w:rFonts w:ascii="Palatino Linotype" w:hAnsi="Palatino Linotype"/>
          <w:b w:val="0"/>
        </w:rPr>
        <w:t>PG&amp;E’s CSGT tariff states that, “</w:t>
      </w:r>
      <w:r w:rsidRPr="00511954" w:rsidR="003F5CB3">
        <w:rPr>
          <w:rFonts w:ascii="Palatino Linotype" w:hAnsi="Palatino Linotype"/>
          <w:b w:val="0"/>
        </w:rPr>
        <w:t>[t]</w:t>
      </w:r>
      <w:r w:rsidRPr="00511954">
        <w:rPr>
          <w:rFonts w:ascii="Palatino Linotype" w:hAnsi="Palatino Linotype"/>
          <w:b w:val="0"/>
        </w:rPr>
        <w:t>he community solar project that customers are subscribing to must be located within 5 miles from the customer’s community, as defined by its census tract borders.</w:t>
      </w:r>
      <w:r w:rsidRPr="00511954" w:rsidR="007D5262">
        <w:rPr>
          <w:rFonts w:ascii="Palatino Linotype" w:hAnsi="Palatino Linotype"/>
          <w:b w:val="0"/>
        </w:rPr>
        <w:t>”</w:t>
      </w:r>
      <w:r w:rsidRPr="00511954" w:rsidR="007D5262">
        <w:rPr>
          <w:rStyle w:val="FootnoteReference"/>
          <w:rFonts w:ascii="Palatino Linotype" w:hAnsi="Palatino Linotype"/>
          <w:b w:val="0"/>
        </w:rPr>
        <w:footnoteReference w:id="105"/>
      </w:r>
      <w:r w:rsidRPr="00511954">
        <w:rPr>
          <w:rFonts w:ascii="Palatino Linotype" w:hAnsi="Palatino Linotype"/>
          <w:b w:val="0"/>
        </w:rPr>
        <w:t xml:space="preserve"> </w:t>
      </w:r>
      <w:r w:rsidRPr="00511954" w:rsidR="00DF0FA4">
        <w:rPr>
          <w:rFonts w:ascii="Palatino Linotype" w:hAnsi="Palatino Linotype"/>
          <w:b w:val="0"/>
        </w:rPr>
        <w:t>This language is ambiguous and does not clearly state that the project must be in a DAC, as is made clear in the NEM DAC Decision</w:t>
      </w:r>
      <w:r w:rsidRPr="00511954">
        <w:rPr>
          <w:rFonts w:ascii="Palatino Linotype" w:hAnsi="Palatino Linotype"/>
          <w:b w:val="0"/>
        </w:rPr>
        <w:t>.</w:t>
      </w:r>
      <w:r w:rsidRPr="00511954" w:rsidR="008C1338">
        <w:rPr>
          <w:rStyle w:val="FootnoteReference"/>
          <w:rFonts w:ascii="Palatino Linotype" w:hAnsi="Palatino Linotype"/>
          <w:b w:val="0"/>
        </w:rPr>
        <w:footnoteReference w:id="106"/>
      </w:r>
      <w:r w:rsidRPr="00511954" w:rsidR="008C1338">
        <w:rPr>
          <w:rFonts w:ascii="Palatino Linotype" w:hAnsi="Palatino Linotype"/>
          <w:b w:val="0"/>
        </w:rPr>
        <w:t xml:space="preserve"> </w:t>
      </w:r>
      <w:r w:rsidRPr="00511954" w:rsidR="006A7070">
        <w:rPr>
          <w:rFonts w:ascii="Palatino Linotype" w:hAnsi="Palatino Linotype"/>
          <w:b w:val="0"/>
        </w:rPr>
        <w:t xml:space="preserve">In addition, as previously discussed, </w:t>
      </w:r>
      <w:r w:rsidRPr="00511954" w:rsidR="00DF0FA4">
        <w:rPr>
          <w:rFonts w:ascii="Palatino Linotype" w:hAnsi="Palatino Linotype"/>
          <w:b w:val="0"/>
        </w:rPr>
        <w:t xml:space="preserve">the SJV Pilots Decision </w:t>
      </w:r>
      <w:r w:rsidRPr="00511954" w:rsidR="006A7070">
        <w:rPr>
          <w:rFonts w:ascii="Palatino Linotype" w:hAnsi="Palatino Linotype"/>
          <w:b w:val="0"/>
        </w:rPr>
        <w:t>allowed CSGT projects in S</w:t>
      </w:r>
      <w:r w:rsidRPr="00511954" w:rsidR="00A56F83">
        <w:rPr>
          <w:rFonts w:ascii="Palatino Linotype" w:hAnsi="Palatino Linotype"/>
          <w:b w:val="0"/>
        </w:rPr>
        <w:t xml:space="preserve">an </w:t>
      </w:r>
      <w:r w:rsidRPr="00511954" w:rsidR="006A7070">
        <w:rPr>
          <w:rFonts w:ascii="Palatino Linotype" w:hAnsi="Palatino Linotype"/>
          <w:b w:val="0"/>
        </w:rPr>
        <w:t>J</w:t>
      </w:r>
      <w:r w:rsidRPr="00511954" w:rsidR="00A56F83">
        <w:rPr>
          <w:rFonts w:ascii="Palatino Linotype" w:hAnsi="Palatino Linotype"/>
          <w:b w:val="0"/>
        </w:rPr>
        <w:t xml:space="preserve">oaquin </w:t>
      </w:r>
      <w:r w:rsidRPr="00511954" w:rsidR="006A7070">
        <w:rPr>
          <w:rFonts w:ascii="Palatino Linotype" w:hAnsi="Palatino Linotype"/>
          <w:b w:val="0"/>
        </w:rPr>
        <w:t>V</w:t>
      </w:r>
      <w:r w:rsidRPr="00511954" w:rsidR="00A56F83">
        <w:rPr>
          <w:rFonts w:ascii="Palatino Linotype" w:hAnsi="Palatino Linotype"/>
          <w:b w:val="0"/>
        </w:rPr>
        <w:t>alley (SJV)</w:t>
      </w:r>
      <w:r w:rsidRPr="00511954" w:rsidR="006A7070">
        <w:rPr>
          <w:rFonts w:ascii="Palatino Linotype" w:hAnsi="Palatino Linotype"/>
          <w:b w:val="0"/>
        </w:rPr>
        <w:t xml:space="preserve"> pilot communities to be within a 40</w:t>
      </w:r>
      <w:r w:rsidRPr="00511954" w:rsidR="003F5CB3">
        <w:rPr>
          <w:rFonts w:ascii="Palatino Linotype" w:hAnsi="Palatino Linotype"/>
          <w:b w:val="0"/>
        </w:rPr>
        <w:t>-</w:t>
      </w:r>
      <w:r w:rsidRPr="00511954" w:rsidR="006A7070">
        <w:rPr>
          <w:rFonts w:ascii="Palatino Linotype" w:hAnsi="Palatino Linotype"/>
          <w:b w:val="0"/>
        </w:rPr>
        <w:t>mile radius of the pilot communities they serve, rather than within a 5</w:t>
      </w:r>
      <w:r w:rsidRPr="00511954" w:rsidR="003F5CB3">
        <w:rPr>
          <w:rFonts w:ascii="Palatino Linotype" w:hAnsi="Palatino Linotype"/>
          <w:b w:val="0"/>
        </w:rPr>
        <w:t>-</w:t>
      </w:r>
      <w:r w:rsidRPr="00511954" w:rsidR="006A7070">
        <w:rPr>
          <w:rFonts w:ascii="Palatino Linotype" w:hAnsi="Palatino Linotype"/>
          <w:b w:val="0"/>
        </w:rPr>
        <w:t>mile radius.</w:t>
      </w:r>
      <w:r w:rsidRPr="00511954" w:rsidR="006A7070">
        <w:rPr>
          <w:rStyle w:val="FootnoteReference"/>
          <w:rFonts w:ascii="Palatino Linotype" w:hAnsi="Palatino Linotype"/>
          <w:b w:val="0"/>
        </w:rPr>
        <w:footnoteReference w:id="107"/>
      </w:r>
      <w:r w:rsidRPr="00511954" w:rsidR="006A7070">
        <w:rPr>
          <w:rFonts w:ascii="Palatino Linotype" w:hAnsi="Palatino Linotype"/>
          <w:b w:val="0"/>
        </w:rPr>
        <w:t xml:space="preserve"> </w:t>
      </w:r>
      <w:r w:rsidRPr="00511954" w:rsidR="00F71BD9">
        <w:rPr>
          <w:rFonts w:ascii="Palatino Linotype" w:hAnsi="Palatino Linotype"/>
          <w:b w:val="0"/>
        </w:rPr>
        <w:t>We direct</w:t>
      </w:r>
      <w:r w:rsidRPr="00511954" w:rsidR="006A7070">
        <w:rPr>
          <w:rFonts w:ascii="Palatino Linotype" w:hAnsi="Palatino Linotype"/>
          <w:b w:val="0"/>
        </w:rPr>
        <w:t xml:space="preserve"> PG&amp;E</w:t>
      </w:r>
      <w:r w:rsidRPr="00511954" w:rsidR="00F71BD9">
        <w:rPr>
          <w:rFonts w:ascii="Palatino Linotype" w:hAnsi="Palatino Linotype"/>
          <w:b w:val="0"/>
        </w:rPr>
        <w:t xml:space="preserve"> to</w:t>
      </w:r>
      <w:r w:rsidRPr="00511954" w:rsidR="00051E4E">
        <w:rPr>
          <w:rFonts w:ascii="Palatino Linotype" w:hAnsi="Palatino Linotype"/>
          <w:b w:val="0"/>
        </w:rPr>
        <w:t xml:space="preserve"> </w:t>
      </w:r>
      <w:r w:rsidRPr="00511954" w:rsidR="00A56F83">
        <w:rPr>
          <w:rFonts w:ascii="Palatino Linotype" w:hAnsi="Palatino Linotype"/>
          <w:b w:val="0"/>
        </w:rPr>
        <w:t>revise</w:t>
      </w:r>
      <w:r w:rsidRPr="00511954" w:rsidR="006A7070">
        <w:rPr>
          <w:rFonts w:ascii="Palatino Linotype" w:hAnsi="Palatino Linotype"/>
          <w:b w:val="0"/>
        </w:rPr>
        <w:t xml:space="preserve"> its CSGT tariff</w:t>
      </w:r>
      <w:r w:rsidRPr="00511954" w:rsidR="00D40797">
        <w:rPr>
          <w:rFonts w:ascii="Palatino Linotype" w:hAnsi="Palatino Linotype"/>
          <w:b w:val="0"/>
        </w:rPr>
        <w:t xml:space="preserve"> to ensure that all projects are located in DACs as defined by the </w:t>
      </w:r>
      <w:r w:rsidRPr="00511954" w:rsidR="00A165B3">
        <w:rPr>
          <w:rFonts w:ascii="Palatino Linotype" w:hAnsi="Palatino Linotype"/>
          <w:b w:val="0"/>
        </w:rPr>
        <w:t>Decision</w:t>
      </w:r>
      <w:r w:rsidRPr="00511954" w:rsidR="00D40797">
        <w:rPr>
          <w:rFonts w:ascii="Palatino Linotype" w:hAnsi="Palatino Linotype"/>
          <w:b w:val="0"/>
        </w:rPr>
        <w:t xml:space="preserve"> and t</w:t>
      </w:r>
      <w:r w:rsidRPr="00511954" w:rsidR="006A7070">
        <w:rPr>
          <w:rFonts w:ascii="Palatino Linotype" w:hAnsi="Palatino Linotype"/>
          <w:b w:val="0"/>
        </w:rPr>
        <w:t>o</w:t>
      </w:r>
      <w:r w:rsidRPr="00511954" w:rsidR="0054353F">
        <w:rPr>
          <w:rFonts w:ascii="Palatino Linotype" w:hAnsi="Palatino Linotype"/>
          <w:b w:val="0"/>
        </w:rPr>
        <w:t xml:space="preserve"> </w:t>
      </w:r>
      <w:r w:rsidRPr="00511954" w:rsidR="006A7070">
        <w:rPr>
          <w:rFonts w:ascii="Palatino Linotype" w:hAnsi="Palatino Linotype"/>
          <w:b w:val="0"/>
        </w:rPr>
        <w:t xml:space="preserve">allow SJV </w:t>
      </w:r>
      <w:r w:rsidRPr="00511954" w:rsidR="00DF0FA4">
        <w:rPr>
          <w:rFonts w:ascii="Palatino Linotype" w:hAnsi="Palatino Linotype"/>
          <w:b w:val="0"/>
        </w:rPr>
        <w:t xml:space="preserve">pilot community </w:t>
      </w:r>
      <w:r w:rsidRPr="00511954" w:rsidR="006A7070">
        <w:rPr>
          <w:rFonts w:ascii="Palatino Linotype" w:hAnsi="Palatino Linotype"/>
          <w:b w:val="0"/>
        </w:rPr>
        <w:t>CSGT projects to be within 40 miles of the SJV pilot communities that they serve.</w:t>
      </w:r>
    </w:p>
    <w:p w:rsidRPr="00511954" w:rsidR="006A7070" w:rsidP="00C345D8" w:rsidRDefault="006A7070" w14:paraId="3B0E2CAB" w14:textId="24ADFABC">
      <w:pPr>
        <w:pStyle w:val="BodyText"/>
        <w:rPr>
          <w:rFonts w:ascii="Palatino Linotype" w:hAnsi="Palatino Linotype"/>
          <w:b w:val="0"/>
        </w:rPr>
      </w:pPr>
      <w:r w:rsidRPr="00511954">
        <w:rPr>
          <w:rFonts w:ascii="Palatino Linotype" w:hAnsi="Palatino Linotype"/>
          <w:b w:val="0"/>
        </w:rPr>
        <w:t xml:space="preserve"> </w:t>
      </w:r>
    </w:p>
    <w:p w:rsidRPr="00511954" w:rsidR="00C95147" w:rsidP="00C95147" w:rsidRDefault="007D5262" w14:paraId="29D47E94" w14:textId="5B25155C">
      <w:pPr>
        <w:pStyle w:val="BodyText"/>
        <w:spacing w:after="240"/>
        <w:rPr>
          <w:rFonts w:ascii="Palatino Linotype" w:hAnsi="Palatino Linotype"/>
          <w:b w:val="0"/>
        </w:rPr>
      </w:pPr>
      <w:r w:rsidRPr="00511954">
        <w:rPr>
          <w:rFonts w:ascii="Palatino Linotype" w:hAnsi="Palatino Linotype"/>
          <w:b w:val="0"/>
        </w:rPr>
        <w:t xml:space="preserve">SCE’s CSGT tariff states that eligible customers must “reside in a community considered in the top 25 percent of Disadvantaged Communities (DACs), based on </w:t>
      </w:r>
      <w:proofErr w:type="spellStart"/>
      <w:r w:rsidRPr="00511954">
        <w:rPr>
          <w:rFonts w:ascii="Palatino Linotype" w:hAnsi="Palatino Linotype"/>
          <w:b w:val="0"/>
        </w:rPr>
        <w:t>CalEnviroScreen</w:t>
      </w:r>
      <w:proofErr w:type="spellEnd"/>
      <w:r w:rsidRPr="00511954">
        <w:rPr>
          <w:rFonts w:ascii="Palatino Linotype" w:hAnsi="Palatino Linotype"/>
          <w:b w:val="0"/>
        </w:rPr>
        <w:t xml:space="preserve"> 3.0, and within a five-mile radius of a Community Solar (CS) Facility”</w:t>
      </w:r>
      <w:r w:rsidRPr="00511954" w:rsidR="001E6FF8">
        <w:rPr>
          <w:rFonts w:ascii="Palatino Linotype" w:hAnsi="Palatino Linotype"/>
          <w:b w:val="0"/>
        </w:rPr>
        <w:t>.</w:t>
      </w:r>
      <w:r w:rsidRPr="00511954">
        <w:rPr>
          <w:rStyle w:val="FootnoteReference"/>
          <w:rFonts w:ascii="Palatino Linotype" w:hAnsi="Palatino Linotype"/>
          <w:b w:val="0"/>
        </w:rPr>
        <w:footnoteReference w:id="108"/>
      </w:r>
      <w:r w:rsidRPr="00511954">
        <w:rPr>
          <w:rFonts w:ascii="Palatino Linotype" w:hAnsi="Palatino Linotype"/>
          <w:b w:val="0"/>
        </w:rPr>
        <w:t xml:space="preserve"> </w:t>
      </w:r>
      <w:r w:rsidRPr="00511954" w:rsidR="001370A0">
        <w:rPr>
          <w:rFonts w:ascii="Palatino Linotype" w:hAnsi="Palatino Linotype"/>
          <w:b w:val="0"/>
        </w:rPr>
        <w:t xml:space="preserve">As discussed above, SCE </w:t>
      </w:r>
      <w:r w:rsidRPr="00511954" w:rsidR="00F71BD9">
        <w:rPr>
          <w:rFonts w:ascii="Palatino Linotype" w:hAnsi="Palatino Linotype"/>
          <w:b w:val="0"/>
        </w:rPr>
        <w:t>is directed to</w:t>
      </w:r>
      <w:r w:rsidRPr="00511954" w:rsidR="001370A0">
        <w:rPr>
          <w:rFonts w:ascii="Palatino Linotype" w:hAnsi="Palatino Linotype"/>
          <w:b w:val="0"/>
        </w:rPr>
        <w:t xml:space="preserve"> revise this statement to reflect the correct definition of DACs used elsewhere in its CSGT tariff (i.e.</w:t>
      </w:r>
      <w:r w:rsidRPr="00511954" w:rsidR="003F5CB3">
        <w:rPr>
          <w:rFonts w:ascii="Palatino Linotype" w:hAnsi="Palatino Linotype"/>
          <w:b w:val="0"/>
        </w:rPr>
        <w:t>,</w:t>
      </w:r>
      <w:r w:rsidRPr="00511954" w:rsidR="001370A0">
        <w:rPr>
          <w:rFonts w:ascii="Palatino Linotype" w:hAnsi="Palatino Linotype"/>
          <w:b w:val="0"/>
        </w:rPr>
        <w:t xml:space="preserve"> DACs as defined by the </w:t>
      </w:r>
      <w:r w:rsidRPr="00511954" w:rsidR="00A165B3">
        <w:rPr>
          <w:rFonts w:ascii="Palatino Linotype" w:hAnsi="Palatino Linotype"/>
          <w:b w:val="0"/>
        </w:rPr>
        <w:t>Decision</w:t>
      </w:r>
      <w:r w:rsidRPr="00511954" w:rsidR="001370A0">
        <w:rPr>
          <w:rFonts w:ascii="Palatino Linotype" w:hAnsi="Palatino Linotype"/>
          <w:b w:val="0"/>
        </w:rPr>
        <w:t xml:space="preserve"> include </w:t>
      </w:r>
      <w:r w:rsidRPr="00511954" w:rsidR="00C95147">
        <w:rPr>
          <w:rFonts w:ascii="Palatino Linotype" w:hAnsi="Palatino Linotype"/>
          <w:b w:val="0"/>
        </w:rPr>
        <w:t>22 additional c</w:t>
      </w:r>
      <w:r w:rsidRPr="00511954" w:rsidR="001370A0">
        <w:rPr>
          <w:rFonts w:ascii="Palatino Linotype" w:hAnsi="Palatino Linotype"/>
          <w:b w:val="0"/>
        </w:rPr>
        <w:t>ensus tracts). In addition,</w:t>
      </w:r>
      <w:r w:rsidRPr="00511954" w:rsidR="00D40797">
        <w:rPr>
          <w:rFonts w:ascii="Palatino Linotype" w:hAnsi="Palatino Linotype"/>
          <w:b w:val="0"/>
        </w:rPr>
        <w:t xml:space="preserve"> </w:t>
      </w:r>
      <w:r w:rsidRPr="00511954" w:rsidR="0054353F">
        <w:rPr>
          <w:rFonts w:ascii="Palatino Linotype" w:hAnsi="Palatino Linotype"/>
          <w:b w:val="0"/>
        </w:rPr>
        <w:t>a</w:t>
      </w:r>
      <w:r w:rsidRPr="00511954" w:rsidR="00D40797">
        <w:rPr>
          <w:rFonts w:ascii="Palatino Linotype" w:hAnsi="Palatino Linotype"/>
          <w:b w:val="0"/>
        </w:rPr>
        <w:t xml:space="preserve">s clarified in </w:t>
      </w:r>
      <w:r w:rsidRPr="00511954" w:rsidR="00A165B3">
        <w:rPr>
          <w:rFonts w:ascii="Palatino Linotype" w:hAnsi="Palatino Linotype"/>
          <w:b w:val="0"/>
        </w:rPr>
        <w:t>D</w:t>
      </w:r>
      <w:r w:rsidRPr="00511954" w:rsidR="00D40797">
        <w:rPr>
          <w:rFonts w:ascii="Palatino Linotype" w:hAnsi="Palatino Linotype"/>
          <w:b w:val="0"/>
        </w:rPr>
        <w:t>.18-</w:t>
      </w:r>
      <w:r w:rsidRPr="00511954" w:rsidR="00C335CD">
        <w:rPr>
          <w:rFonts w:ascii="Palatino Linotype" w:hAnsi="Palatino Linotype"/>
          <w:b w:val="0"/>
        </w:rPr>
        <w:t>10-007</w:t>
      </w:r>
      <w:r w:rsidRPr="00511954" w:rsidR="00D40797">
        <w:rPr>
          <w:rFonts w:ascii="Palatino Linotype" w:hAnsi="Palatino Linotype"/>
          <w:b w:val="0"/>
        </w:rPr>
        <w:t>, “the disadvantaged community (as opposed to the potential customer) must be within five miles of the project.”</w:t>
      </w:r>
      <w:r w:rsidRPr="00511954" w:rsidR="00D40797">
        <w:rPr>
          <w:rStyle w:val="FootnoteReference"/>
          <w:rFonts w:ascii="Palatino Linotype" w:hAnsi="Palatino Linotype"/>
          <w:b w:val="0"/>
        </w:rPr>
        <w:footnoteReference w:id="109"/>
      </w:r>
      <w:r w:rsidRPr="00511954" w:rsidR="0054353F">
        <w:rPr>
          <w:rFonts w:ascii="Palatino Linotype" w:hAnsi="Palatino Linotype"/>
          <w:b w:val="0"/>
        </w:rPr>
        <w:t xml:space="preserve"> It is unclear from SCE’s </w:t>
      </w:r>
      <w:r w:rsidRPr="00511954" w:rsidR="00F71BD9">
        <w:rPr>
          <w:rFonts w:ascii="Palatino Linotype" w:hAnsi="Palatino Linotype"/>
          <w:b w:val="0"/>
        </w:rPr>
        <w:t xml:space="preserve">tariff </w:t>
      </w:r>
      <w:r w:rsidRPr="00511954" w:rsidR="0054353F">
        <w:rPr>
          <w:rFonts w:ascii="Palatino Linotype" w:hAnsi="Palatino Linotype"/>
          <w:b w:val="0"/>
        </w:rPr>
        <w:t>whether it intends for the customer or the customer</w:t>
      </w:r>
      <w:r w:rsidRPr="00511954" w:rsidR="00C95147">
        <w:rPr>
          <w:rFonts w:ascii="Palatino Linotype" w:hAnsi="Palatino Linotype"/>
          <w:b w:val="0"/>
        </w:rPr>
        <w:t>’</w:t>
      </w:r>
      <w:r w:rsidRPr="00511954" w:rsidR="0054353F">
        <w:rPr>
          <w:rFonts w:ascii="Palatino Linotype" w:hAnsi="Palatino Linotype"/>
          <w:b w:val="0"/>
        </w:rPr>
        <w:t xml:space="preserve">s DAC to be within 5 miles of the CSGT project. </w:t>
      </w:r>
      <w:r w:rsidRPr="00511954" w:rsidR="00A75175">
        <w:rPr>
          <w:rFonts w:ascii="Palatino Linotype" w:hAnsi="Palatino Linotype"/>
          <w:b w:val="0"/>
        </w:rPr>
        <w:t>We direct</w:t>
      </w:r>
      <w:r w:rsidRPr="00511954" w:rsidR="0054353F">
        <w:rPr>
          <w:rFonts w:ascii="Palatino Linotype" w:hAnsi="Palatino Linotype"/>
          <w:b w:val="0"/>
        </w:rPr>
        <w:t xml:space="preserve"> SCE </w:t>
      </w:r>
      <w:r w:rsidRPr="00511954" w:rsidR="00A75175">
        <w:rPr>
          <w:rFonts w:ascii="Palatino Linotype" w:hAnsi="Palatino Linotype"/>
          <w:b w:val="0"/>
        </w:rPr>
        <w:t xml:space="preserve">to </w:t>
      </w:r>
      <w:r w:rsidRPr="00511954" w:rsidR="0054353F">
        <w:rPr>
          <w:rFonts w:ascii="Palatino Linotype" w:hAnsi="Palatino Linotype"/>
          <w:b w:val="0"/>
        </w:rPr>
        <w:t>amend its CSGT</w:t>
      </w:r>
      <w:r w:rsidRPr="00511954" w:rsidR="001E6FF8">
        <w:rPr>
          <w:rFonts w:ascii="Palatino Linotype" w:hAnsi="Palatino Linotype"/>
          <w:b w:val="0"/>
        </w:rPr>
        <w:t xml:space="preserve"> </w:t>
      </w:r>
      <w:r w:rsidRPr="00511954" w:rsidR="00C95147">
        <w:rPr>
          <w:rFonts w:ascii="Palatino Linotype" w:hAnsi="Palatino Linotype"/>
          <w:b w:val="0"/>
        </w:rPr>
        <w:t xml:space="preserve">tariff to </w:t>
      </w:r>
      <w:r w:rsidRPr="00511954" w:rsidR="001E6FF8">
        <w:rPr>
          <w:rFonts w:ascii="Palatino Linotype" w:hAnsi="Palatino Linotype"/>
          <w:b w:val="0"/>
        </w:rPr>
        <w:t>clarify th</w:t>
      </w:r>
      <w:r w:rsidRPr="00511954" w:rsidR="00C95147">
        <w:rPr>
          <w:rFonts w:ascii="Palatino Linotype" w:hAnsi="Palatino Linotype"/>
          <w:b w:val="0"/>
        </w:rPr>
        <w:t>at CSGT projects must be located within</w:t>
      </w:r>
      <w:r w:rsidRPr="00511954" w:rsidR="001E6FF8">
        <w:rPr>
          <w:rFonts w:ascii="Palatino Linotype" w:hAnsi="Palatino Linotype"/>
          <w:b w:val="0"/>
        </w:rPr>
        <w:t xml:space="preserve"> 5 mile</w:t>
      </w:r>
      <w:r w:rsidRPr="00511954" w:rsidR="00C95147">
        <w:rPr>
          <w:rFonts w:ascii="Palatino Linotype" w:hAnsi="Palatino Linotype"/>
          <w:b w:val="0"/>
        </w:rPr>
        <w:t>s of a CSGT customer’s census tract.</w:t>
      </w:r>
    </w:p>
    <w:p w:rsidRPr="00511954" w:rsidR="00B539D7" w:rsidP="00C95147" w:rsidRDefault="007C7A8C" w14:paraId="5808C12A" w14:textId="42990CBE">
      <w:pPr>
        <w:pStyle w:val="BodyText"/>
        <w:spacing w:after="240"/>
        <w:rPr>
          <w:rFonts w:ascii="Palatino Linotype" w:hAnsi="Palatino Linotype"/>
          <w:b w:val="0"/>
        </w:rPr>
      </w:pPr>
      <w:r w:rsidRPr="00511954">
        <w:rPr>
          <w:rFonts w:ascii="Palatino Linotype" w:hAnsi="Palatino Linotype"/>
          <w:b w:val="0"/>
        </w:rPr>
        <w:t>SDG&amp;E’s CSGT tariff defines an eligible customer as</w:t>
      </w:r>
      <w:r w:rsidR="00315E47">
        <w:rPr>
          <w:rFonts w:ascii="Palatino Linotype" w:hAnsi="Palatino Linotype"/>
          <w:b w:val="0"/>
        </w:rPr>
        <w:t xml:space="preserve"> a</w:t>
      </w:r>
      <w:r w:rsidRPr="00511954">
        <w:rPr>
          <w:rFonts w:ascii="Palatino Linotype" w:hAnsi="Palatino Linotype"/>
          <w:b w:val="0"/>
        </w:rPr>
        <w:t xml:space="preserve"> “utility customer located within the Utility’s service territory who: (</w:t>
      </w:r>
      <w:proofErr w:type="spellStart"/>
      <w:r w:rsidRPr="00511954">
        <w:rPr>
          <w:rFonts w:ascii="Palatino Linotype" w:hAnsi="Palatino Linotype"/>
          <w:b w:val="0"/>
        </w:rPr>
        <w:t>i</w:t>
      </w:r>
      <w:proofErr w:type="spellEnd"/>
      <w:r w:rsidRPr="00511954">
        <w:rPr>
          <w:rFonts w:ascii="Palatino Linotype" w:hAnsi="Palatino Linotype"/>
          <w:b w:val="0"/>
        </w:rPr>
        <w:t xml:space="preserve">) is located within a top 25% disadvantaged community; (ii) is located within 5 miles from the CSGT </w:t>
      </w:r>
      <w:r w:rsidRPr="00511954" w:rsidR="00A56F83">
        <w:rPr>
          <w:rFonts w:ascii="Palatino Linotype" w:hAnsi="Palatino Linotype"/>
          <w:b w:val="0"/>
        </w:rPr>
        <w:t>Renewable Generating Facility</w:t>
      </w:r>
      <w:r w:rsidRPr="00511954" w:rsidR="00C335CD">
        <w:rPr>
          <w:rFonts w:ascii="Palatino Linotype" w:hAnsi="Palatino Linotype"/>
          <w:b w:val="0"/>
        </w:rPr>
        <w:t>.”</w:t>
      </w:r>
      <w:r w:rsidRPr="00511954">
        <w:rPr>
          <w:rStyle w:val="FootnoteReference"/>
          <w:rFonts w:ascii="Palatino Linotype" w:hAnsi="Palatino Linotype"/>
          <w:b w:val="0"/>
        </w:rPr>
        <w:footnoteReference w:id="110"/>
      </w:r>
      <w:r w:rsidRPr="00511954">
        <w:rPr>
          <w:rFonts w:ascii="Palatino Linotype" w:hAnsi="Palatino Linotype"/>
          <w:b w:val="0"/>
        </w:rPr>
        <w:t xml:space="preserve"> Similar to SCE, </w:t>
      </w:r>
      <w:r w:rsidRPr="00511954" w:rsidR="00C95147">
        <w:rPr>
          <w:rFonts w:ascii="Palatino Linotype" w:hAnsi="Palatino Linotype"/>
          <w:b w:val="0"/>
        </w:rPr>
        <w:t xml:space="preserve">elsewhere in its CSGT tariff </w:t>
      </w:r>
      <w:r w:rsidRPr="00511954">
        <w:rPr>
          <w:rFonts w:ascii="Palatino Linotype" w:hAnsi="Palatino Linotype"/>
          <w:b w:val="0"/>
        </w:rPr>
        <w:t>SDG&amp;E correctly defines DACs as includ</w:t>
      </w:r>
      <w:r w:rsidRPr="00511954" w:rsidR="00C95147">
        <w:rPr>
          <w:rFonts w:ascii="Palatino Linotype" w:hAnsi="Palatino Linotype"/>
          <w:b w:val="0"/>
        </w:rPr>
        <w:t>ing</w:t>
      </w:r>
      <w:r w:rsidRPr="00511954">
        <w:rPr>
          <w:rFonts w:ascii="Palatino Linotype" w:hAnsi="Palatino Linotype"/>
          <w:b w:val="0"/>
        </w:rPr>
        <w:t xml:space="preserve"> 22 additional census t</w:t>
      </w:r>
      <w:r w:rsidRPr="00511954" w:rsidR="00A56F83">
        <w:rPr>
          <w:rFonts w:ascii="Palatino Linotype" w:hAnsi="Palatino Linotype"/>
          <w:b w:val="0"/>
        </w:rPr>
        <w:t>racts that are within the top 5 percent</w:t>
      </w:r>
      <w:r w:rsidRPr="00511954">
        <w:rPr>
          <w:rFonts w:ascii="Palatino Linotype" w:hAnsi="Palatino Linotype"/>
          <w:b w:val="0"/>
        </w:rPr>
        <w:t xml:space="preserve"> of pollution burden but that do not have an overall </w:t>
      </w:r>
      <w:proofErr w:type="spellStart"/>
      <w:r w:rsidRPr="00511954">
        <w:rPr>
          <w:rFonts w:ascii="Palatino Linotype" w:hAnsi="Palatino Linotype"/>
          <w:b w:val="0"/>
        </w:rPr>
        <w:t>CalEnviroScreen</w:t>
      </w:r>
      <w:proofErr w:type="spellEnd"/>
      <w:r w:rsidRPr="00511954">
        <w:rPr>
          <w:rFonts w:ascii="Palatino Linotype" w:hAnsi="Palatino Linotype"/>
          <w:b w:val="0"/>
        </w:rPr>
        <w:t xml:space="preserve"> score. </w:t>
      </w:r>
      <w:r w:rsidRPr="00511954" w:rsidR="002B55E9">
        <w:rPr>
          <w:rFonts w:ascii="Palatino Linotype" w:hAnsi="Palatino Linotype"/>
          <w:b w:val="0"/>
        </w:rPr>
        <w:t xml:space="preserve">We direct </w:t>
      </w:r>
      <w:r w:rsidRPr="00511954">
        <w:rPr>
          <w:rFonts w:ascii="Palatino Linotype" w:hAnsi="Palatino Linotype"/>
          <w:b w:val="0"/>
        </w:rPr>
        <w:t xml:space="preserve">SDG&amp;E </w:t>
      </w:r>
      <w:r w:rsidR="00315E47">
        <w:rPr>
          <w:rFonts w:ascii="Palatino Linotype" w:hAnsi="Palatino Linotype"/>
          <w:b w:val="0"/>
        </w:rPr>
        <w:t xml:space="preserve">to </w:t>
      </w:r>
      <w:r w:rsidRPr="00511954" w:rsidR="002B55E9">
        <w:rPr>
          <w:rFonts w:ascii="Palatino Linotype" w:hAnsi="Palatino Linotype"/>
          <w:b w:val="0"/>
        </w:rPr>
        <w:t>amend its tariff to</w:t>
      </w:r>
      <w:r w:rsidRPr="00511954">
        <w:rPr>
          <w:rFonts w:ascii="Palatino Linotype" w:hAnsi="Palatino Linotype"/>
          <w:b w:val="0"/>
        </w:rPr>
        <w:t xml:space="preserve"> use this definition </w:t>
      </w:r>
      <w:r w:rsidRPr="00511954" w:rsidR="002B55E9">
        <w:rPr>
          <w:rFonts w:ascii="Palatino Linotype" w:hAnsi="Palatino Linotype"/>
          <w:b w:val="0"/>
        </w:rPr>
        <w:t xml:space="preserve">throughout, </w:t>
      </w:r>
      <w:r w:rsidRPr="00511954">
        <w:rPr>
          <w:rFonts w:ascii="Palatino Linotype" w:hAnsi="Palatino Linotype"/>
          <w:b w:val="0"/>
        </w:rPr>
        <w:t>rather th</w:t>
      </w:r>
      <w:r w:rsidRPr="00511954" w:rsidR="00C95147">
        <w:rPr>
          <w:rFonts w:ascii="Palatino Linotype" w:hAnsi="Palatino Linotype"/>
          <w:b w:val="0"/>
        </w:rPr>
        <w:t>an referring to only the top 25 percent</w:t>
      </w:r>
      <w:r w:rsidRPr="00511954">
        <w:rPr>
          <w:rFonts w:ascii="Palatino Linotype" w:hAnsi="Palatino Linotype"/>
          <w:b w:val="0"/>
        </w:rPr>
        <w:t xml:space="preserve"> DACs.</w:t>
      </w:r>
      <w:r w:rsidRPr="00511954" w:rsidR="00843708">
        <w:rPr>
          <w:rStyle w:val="FootnoteReference"/>
          <w:rFonts w:ascii="Palatino Linotype" w:hAnsi="Palatino Linotype"/>
          <w:b w:val="0"/>
        </w:rPr>
        <w:footnoteReference w:id="111"/>
      </w:r>
      <w:r w:rsidRPr="00511954">
        <w:rPr>
          <w:rFonts w:ascii="Palatino Linotype" w:hAnsi="Palatino Linotype"/>
          <w:b w:val="0"/>
        </w:rPr>
        <w:t xml:space="preserve"> SDG&amp;E’s CSGT tariff also ap</w:t>
      </w:r>
      <w:r w:rsidRPr="00511954" w:rsidR="001E6FF8">
        <w:rPr>
          <w:rFonts w:ascii="Palatino Linotype" w:hAnsi="Palatino Linotype"/>
          <w:b w:val="0"/>
        </w:rPr>
        <w:t xml:space="preserve">pears to require </w:t>
      </w:r>
      <w:r w:rsidRPr="00511954" w:rsidR="002B55E9">
        <w:rPr>
          <w:rFonts w:ascii="Palatino Linotype" w:hAnsi="Palatino Linotype"/>
          <w:b w:val="0"/>
        </w:rPr>
        <w:t xml:space="preserve">that </w:t>
      </w:r>
      <w:r w:rsidRPr="00511954" w:rsidR="001E6FF8">
        <w:rPr>
          <w:rFonts w:ascii="Palatino Linotype" w:hAnsi="Palatino Linotype"/>
          <w:b w:val="0"/>
        </w:rPr>
        <w:t xml:space="preserve">CSGT customers </w:t>
      </w:r>
      <w:r w:rsidRPr="00511954">
        <w:rPr>
          <w:rFonts w:ascii="Palatino Linotype" w:hAnsi="Palatino Linotype"/>
          <w:b w:val="0"/>
        </w:rPr>
        <w:t xml:space="preserve">be located within 5 miles of the CSGT project rather than for their </w:t>
      </w:r>
      <w:r w:rsidRPr="00511954" w:rsidR="002B55E9">
        <w:rPr>
          <w:rFonts w:ascii="Palatino Linotype" w:hAnsi="Palatino Linotype"/>
          <w:b w:val="0"/>
        </w:rPr>
        <w:t xml:space="preserve">census tract </w:t>
      </w:r>
      <w:r w:rsidRPr="00511954">
        <w:rPr>
          <w:rFonts w:ascii="Palatino Linotype" w:hAnsi="Palatino Linotype"/>
          <w:b w:val="0"/>
        </w:rPr>
        <w:t xml:space="preserve">to be within 5 miles of the project. </w:t>
      </w:r>
      <w:r w:rsidRPr="00511954" w:rsidR="002B55E9">
        <w:rPr>
          <w:rFonts w:ascii="Palatino Linotype" w:hAnsi="Palatino Linotype"/>
          <w:b w:val="0"/>
        </w:rPr>
        <w:t xml:space="preserve">This is inconsistent with the direction from the NEM DAC Decision. We therefore direct </w:t>
      </w:r>
      <w:r w:rsidRPr="00511954">
        <w:rPr>
          <w:rFonts w:ascii="Palatino Linotype" w:hAnsi="Palatino Linotype"/>
          <w:b w:val="0"/>
        </w:rPr>
        <w:t xml:space="preserve">SDG&amp;E </w:t>
      </w:r>
      <w:r w:rsidRPr="00511954" w:rsidR="002B55E9">
        <w:rPr>
          <w:rFonts w:ascii="Palatino Linotype" w:hAnsi="Palatino Linotype"/>
          <w:b w:val="0"/>
        </w:rPr>
        <w:t>to</w:t>
      </w:r>
      <w:r w:rsidRPr="00511954" w:rsidR="00894328">
        <w:rPr>
          <w:rFonts w:ascii="Palatino Linotype" w:hAnsi="Palatino Linotype"/>
          <w:b w:val="0"/>
        </w:rPr>
        <w:t xml:space="preserve"> </w:t>
      </w:r>
      <w:r w:rsidRPr="00511954" w:rsidR="00843708">
        <w:rPr>
          <w:rFonts w:ascii="Palatino Linotype" w:hAnsi="Palatino Linotype"/>
          <w:b w:val="0"/>
        </w:rPr>
        <w:t>revise</w:t>
      </w:r>
      <w:r w:rsidRPr="00511954">
        <w:rPr>
          <w:rFonts w:ascii="Palatino Linotype" w:hAnsi="Palatino Linotype"/>
          <w:b w:val="0"/>
        </w:rPr>
        <w:t xml:space="preserve"> </w:t>
      </w:r>
      <w:r w:rsidRPr="00511954" w:rsidR="001E6FF8">
        <w:rPr>
          <w:rFonts w:ascii="Palatino Linotype" w:hAnsi="Palatino Linotype"/>
          <w:b w:val="0"/>
        </w:rPr>
        <w:t>its</w:t>
      </w:r>
      <w:r w:rsidRPr="00511954">
        <w:rPr>
          <w:rFonts w:ascii="Palatino Linotype" w:hAnsi="Palatino Linotype"/>
          <w:b w:val="0"/>
        </w:rPr>
        <w:t xml:space="preserve"> CSGT tariff to clarify that customers in the 22 additional census tracts</w:t>
      </w:r>
      <w:r w:rsidRPr="00511954" w:rsidR="00A56F83">
        <w:rPr>
          <w:rFonts w:ascii="Palatino Linotype" w:hAnsi="Palatino Linotype"/>
          <w:b w:val="0"/>
        </w:rPr>
        <w:t xml:space="preserve"> defined as DACs in the </w:t>
      </w:r>
      <w:r w:rsidRPr="00511954" w:rsidR="00A165B3">
        <w:rPr>
          <w:rFonts w:ascii="Palatino Linotype" w:hAnsi="Palatino Linotype"/>
          <w:b w:val="0"/>
        </w:rPr>
        <w:t>Decision</w:t>
      </w:r>
      <w:r w:rsidRPr="00511954">
        <w:rPr>
          <w:rFonts w:ascii="Palatino Linotype" w:hAnsi="Palatino Linotype"/>
          <w:b w:val="0"/>
        </w:rPr>
        <w:t xml:space="preserve"> are qualified for </w:t>
      </w:r>
      <w:r w:rsidRPr="00511954" w:rsidR="001E6FF8">
        <w:rPr>
          <w:rFonts w:ascii="Palatino Linotype" w:hAnsi="Palatino Linotype"/>
          <w:b w:val="0"/>
        </w:rPr>
        <w:t>CSGT</w:t>
      </w:r>
      <w:r w:rsidRPr="00511954" w:rsidR="00C95147">
        <w:rPr>
          <w:rFonts w:ascii="Palatino Linotype" w:hAnsi="Palatino Linotype"/>
          <w:b w:val="0"/>
        </w:rPr>
        <w:t xml:space="preserve"> and to clarify that CSGT projects are to be located within</w:t>
      </w:r>
      <w:r w:rsidRPr="00511954">
        <w:rPr>
          <w:rFonts w:ascii="Palatino Linotype" w:hAnsi="Palatino Linotype"/>
          <w:b w:val="0"/>
        </w:rPr>
        <w:t xml:space="preserve"> 5 mile</w:t>
      </w:r>
      <w:r w:rsidRPr="00511954" w:rsidR="00C95147">
        <w:rPr>
          <w:rFonts w:ascii="Palatino Linotype" w:hAnsi="Palatino Linotype"/>
          <w:b w:val="0"/>
        </w:rPr>
        <w:t>s of a CSGT customer’s census tract.</w:t>
      </w:r>
    </w:p>
    <w:p w:rsidRPr="00511954" w:rsidR="00B539D7" w:rsidP="00786345" w:rsidRDefault="00C95147" w14:paraId="62E75A72" w14:textId="77777777">
      <w:pPr>
        <w:pStyle w:val="BodyText"/>
        <w:keepNext/>
        <w:rPr>
          <w:rFonts w:ascii="Palatino Linotype" w:hAnsi="Palatino Linotype"/>
          <w:b w:val="0"/>
          <w:u w:val="single"/>
        </w:rPr>
      </w:pPr>
      <w:r w:rsidRPr="00511954">
        <w:rPr>
          <w:rFonts w:ascii="Palatino Linotype" w:hAnsi="Palatino Linotype"/>
          <w:b w:val="0"/>
          <w:u w:val="single"/>
        </w:rPr>
        <w:t>CSGT Community Sponsors</w:t>
      </w:r>
    </w:p>
    <w:p w:rsidR="00A008BF" w:rsidP="00A008BF" w:rsidRDefault="00C95147" w14:paraId="5F25CCFF" w14:textId="7894EE2D">
      <w:pPr>
        <w:pStyle w:val="BodyText"/>
        <w:spacing w:after="120"/>
        <w:rPr>
          <w:rFonts w:ascii="Palatino Linotype" w:hAnsi="Palatino Linotype"/>
          <w:b w:val="0"/>
        </w:rPr>
      </w:pPr>
      <w:r w:rsidRPr="00511954">
        <w:rPr>
          <w:rFonts w:ascii="Palatino Linotype" w:hAnsi="Palatino Linotype"/>
          <w:b w:val="0"/>
        </w:rPr>
        <w:t>SCE’</w:t>
      </w:r>
      <w:r w:rsidRPr="00511954" w:rsidR="00D60521">
        <w:rPr>
          <w:rFonts w:ascii="Palatino Linotype" w:hAnsi="Palatino Linotype"/>
          <w:b w:val="0"/>
        </w:rPr>
        <w:t>s CSGT tariff states, “Community Sponsors must demonstrate community involvement by sponsoring a Community Solar Green Tariff project on behalf of the residents, building awareness of the program, screen for customer eligibility, and assist customers with enrolling in the CS-Green Tariff program.”</w:t>
      </w:r>
      <w:r w:rsidRPr="00511954" w:rsidR="00D60521">
        <w:rPr>
          <w:rStyle w:val="FootnoteReference"/>
          <w:rFonts w:ascii="Palatino Linotype" w:hAnsi="Palatino Linotype"/>
          <w:b w:val="0"/>
        </w:rPr>
        <w:footnoteReference w:id="112"/>
      </w:r>
      <w:r w:rsidRPr="00511954" w:rsidR="00D60521">
        <w:rPr>
          <w:rFonts w:ascii="Palatino Linotype" w:hAnsi="Palatino Linotype"/>
          <w:b w:val="0"/>
        </w:rPr>
        <w:t xml:space="preserve"> </w:t>
      </w:r>
      <w:r w:rsidRPr="00511954" w:rsidR="00084C3B">
        <w:rPr>
          <w:rFonts w:ascii="Palatino Linotype" w:hAnsi="Palatino Linotype"/>
          <w:b w:val="0"/>
        </w:rPr>
        <w:t>While</w:t>
      </w:r>
      <w:r w:rsidRPr="00511954" w:rsidR="006A0AD8">
        <w:rPr>
          <w:rFonts w:ascii="Palatino Linotype" w:hAnsi="Palatino Linotype"/>
          <w:b w:val="0"/>
        </w:rPr>
        <w:t>,</w:t>
      </w:r>
      <w:r w:rsidRPr="00511954" w:rsidR="00084C3B">
        <w:rPr>
          <w:rFonts w:ascii="Palatino Linotype" w:hAnsi="Palatino Linotype"/>
          <w:b w:val="0"/>
        </w:rPr>
        <w:t xml:space="preserve"> per the </w:t>
      </w:r>
      <w:r w:rsidRPr="00511954" w:rsidR="00A165B3">
        <w:rPr>
          <w:rFonts w:ascii="Palatino Linotype" w:hAnsi="Palatino Linotype"/>
          <w:b w:val="0"/>
        </w:rPr>
        <w:t>Decision</w:t>
      </w:r>
      <w:r w:rsidRPr="00511954" w:rsidR="006A0AD8">
        <w:rPr>
          <w:rFonts w:ascii="Palatino Linotype" w:hAnsi="Palatino Linotype"/>
          <w:b w:val="0"/>
        </w:rPr>
        <w:t>,</w:t>
      </w:r>
      <w:r w:rsidRPr="00511954" w:rsidR="00084C3B">
        <w:rPr>
          <w:rFonts w:ascii="Palatino Linotype" w:hAnsi="Palatino Linotype"/>
          <w:b w:val="0"/>
        </w:rPr>
        <w:t xml:space="preserve"> the community sponsor is “to be a catalyst for the community and the project,”</w:t>
      </w:r>
      <w:r w:rsidRPr="00511954" w:rsidR="00084C3B">
        <w:rPr>
          <w:rStyle w:val="FootnoteReference"/>
          <w:rFonts w:ascii="Palatino Linotype" w:hAnsi="Palatino Linotype"/>
          <w:b w:val="0"/>
        </w:rPr>
        <w:footnoteReference w:id="113"/>
      </w:r>
      <w:r w:rsidRPr="00511954" w:rsidR="00084C3B">
        <w:rPr>
          <w:rFonts w:ascii="Palatino Linotype" w:hAnsi="Palatino Linotype"/>
          <w:b w:val="0"/>
        </w:rPr>
        <w:t xml:space="preserve"> the </w:t>
      </w:r>
      <w:r w:rsidRPr="00511954" w:rsidR="00A165B3">
        <w:rPr>
          <w:rFonts w:ascii="Palatino Linotype" w:hAnsi="Palatino Linotype"/>
          <w:b w:val="0"/>
        </w:rPr>
        <w:t>Decision</w:t>
      </w:r>
      <w:r w:rsidRPr="00511954" w:rsidR="00084C3B">
        <w:rPr>
          <w:rFonts w:ascii="Palatino Linotype" w:hAnsi="Palatino Linotype"/>
          <w:b w:val="0"/>
        </w:rPr>
        <w:t xml:space="preserve"> does not place any requirements on the community sponsor after a letter of commitment has been submitted that enables a CSGT project to bid into an RFO.</w:t>
      </w:r>
      <w:r w:rsidRPr="00511954" w:rsidR="0025218B">
        <w:rPr>
          <w:rFonts w:ascii="Palatino Linotype" w:hAnsi="Palatino Linotype"/>
          <w:b w:val="0"/>
        </w:rPr>
        <w:t xml:space="preserve"> Th</w:t>
      </w:r>
      <w:r w:rsidRPr="00511954" w:rsidR="00084C3B">
        <w:rPr>
          <w:rFonts w:ascii="Palatino Linotype" w:hAnsi="Palatino Linotype"/>
          <w:b w:val="0"/>
        </w:rPr>
        <w:t xml:space="preserve">e </w:t>
      </w:r>
      <w:r w:rsidRPr="00511954" w:rsidR="00A165B3">
        <w:rPr>
          <w:rFonts w:ascii="Palatino Linotype" w:hAnsi="Palatino Linotype"/>
          <w:b w:val="0"/>
        </w:rPr>
        <w:t>Decision</w:t>
      </w:r>
      <w:r w:rsidRPr="00511954" w:rsidR="00084C3B">
        <w:rPr>
          <w:rFonts w:ascii="Palatino Linotype" w:hAnsi="Palatino Linotype"/>
          <w:b w:val="0"/>
        </w:rPr>
        <w:t xml:space="preserve"> states only that the sponsor and developer “</w:t>
      </w:r>
      <w:r w:rsidRPr="00251F3E" w:rsidR="00084C3B">
        <w:rPr>
          <w:rFonts w:ascii="Palatino Linotype" w:hAnsi="Palatino Linotype"/>
          <w:b w:val="0"/>
          <w:i/>
        </w:rPr>
        <w:t>could</w:t>
      </w:r>
      <w:r w:rsidRPr="00511954" w:rsidR="00084C3B">
        <w:rPr>
          <w:rFonts w:ascii="Palatino Linotype" w:hAnsi="Palatino Linotype"/>
          <w:b w:val="0"/>
        </w:rPr>
        <w:t xml:space="preserve"> conduct community outreach”</w:t>
      </w:r>
      <w:r w:rsidRPr="00511954" w:rsidR="0025218B">
        <w:rPr>
          <w:rStyle w:val="FootnoteReference"/>
          <w:rFonts w:ascii="Palatino Linotype" w:hAnsi="Palatino Linotype"/>
          <w:b w:val="0"/>
        </w:rPr>
        <w:footnoteReference w:id="114"/>
      </w:r>
      <w:r w:rsidRPr="00511954" w:rsidR="00084C3B">
        <w:rPr>
          <w:rFonts w:ascii="Palatino Linotype" w:hAnsi="Palatino Linotype"/>
          <w:b w:val="0"/>
        </w:rPr>
        <w:t xml:space="preserve"> and requires “that utilities (no</w:t>
      </w:r>
      <w:r w:rsidRPr="00511954" w:rsidR="0025218B">
        <w:rPr>
          <w:rFonts w:ascii="Palatino Linotype" w:hAnsi="Palatino Linotype"/>
          <w:b w:val="0"/>
        </w:rPr>
        <w:t>t</w:t>
      </w:r>
      <w:r w:rsidRPr="00511954" w:rsidR="00084C3B">
        <w:rPr>
          <w:rFonts w:ascii="Palatino Linotype" w:hAnsi="Palatino Linotype"/>
          <w:b w:val="0"/>
        </w:rPr>
        <w:t xml:space="preserve"> the sponsor) be responsible for tracking enrollment.”</w:t>
      </w:r>
      <w:r w:rsidRPr="00511954" w:rsidR="0025218B">
        <w:rPr>
          <w:rStyle w:val="FootnoteReference"/>
          <w:rFonts w:ascii="Palatino Linotype" w:hAnsi="Palatino Linotype"/>
          <w:b w:val="0"/>
        </w:rPr>
        <w:footnoteReference w:id="115"/>
      </w:r>
      <w:r w:rsidRPr="00511954" w:rsidR="0025218B">
        <w:rPr>
          <w:rFonts w:ascii="Palatino Linotype" w:hAnsi="Palatino Linotype"/>
          <w:b w:val="0"/>
        </w:rPr>
        <w:t xml:space="preserve"> As such, there is no requirement that community sponsors screen for customer eligibility</w:t>
      </w:r>
      <w:r w:rsidRPr="00511954" w:rsidR="006A0AD8">
        <w:rPr>
          <w:rFonts w:ascii="Palatino Linotype" w:hAnsi="Palatino Linotype"/>
          <w:b w:val="0"/>
        </w:rPr>
        <w:t>,</w:t>
      </w:r>
      <w:r w:rsidRPr="00511954" w:rsidR="0025218B">
        <w:rPr>
          <w:rFonts w:ascii="Palatino Linotype" w:hAnsi="Palatino Linotype"/>
          <w:b w:val="0"/>
        </w:rPr>
        <w:t xml:space="preserve"> nor that they assist with customer enrollment. Instead, the </w:t>
      </w:r>
      <w:r w:rsidRPr="00511954" w:rsidR="00A165B3">
        <w:rPr>
          <w:rFonts w:ascii="Palatino Linotype" w:hAnsi="Palatino Linotype"/>
          <w:b w:val="0"/>
        </w:rPr>
        <w:t>Decision</w:t>
      </w:r>
      <w:r w:rsidRPr="00511954" w:rsidR="0025218B">
        <w:rPr>
          <w:rFonts w:ascii="Palatino Linotype" w:hAnsi="Palatino Linotype"/>
          <w:b w:val="0"/>
        </w:rPr>
        <w:t xml:space="preserve"> seeks to motivate post</w:t>
      </w:r>
      <w:r w:rsidRPr="00511954" w:rsidR="006A0AD8">
        <w:rPr>
          <w:rFonts w:ascii="Palatino Linotype" w:hAnsi="Palatino Linotype"/>
          <w:b w:val="0"/>
        </w:rPr>
        <w:t>-</w:t>
      </w:r>
      <w:r w:rsidRPr="00511954" w:rsidR="0025218B">
        <w:rPr>
          <w:rFonts w:ascii="Palatino Linotype" w:hAnsi="Palatino Linotype"/>
          <w:b w:val="0"/>
        </w:rPr>
        <w:t xml:space="preserve">installation community engagement on the part of the sponsor by </w:t>
      </w:r>
      <w:r w:rsidRPr="00511954" w:rsidR="008708F7">
        <w:rPr>
          <w:rFonts w:ascii="Palatino Linotype" w:hAnsi="Palatino Linotype"/>
          <w:b w:val="0"/>
        </w:rPr>
        <w:t xml:space="preserve">requiring that </w:t>
      </w:r>
      <w:proofErr w:type="gramStart"/>
      <w:r w:rsidRPr="00511954" w:rsidR="008708F7">
        <w:rPr>
          <w:rFonts w:ascii="Palatino Linotype" w:hAnsi="Palatino Linotype"/>
          <w:b w:val="0"/>
        </w:rPr>
        <w:t>in order for</w:t>
      </w:r>
      <w:proofErr w:type="gramEnd"/>
      <w:r w:rsidRPr="00511954" w:rsidR="008708F7">
        <w:rPr>
          <w:rFonts w:ascii="Palatino Linotype" w:hAnsi="Palatino Linotype"/>
          <w:b w:val="0"/>
        </w:rPr>
        <w:t xml:space="preserve"> the sponsor</w:t>
      </w:r>
      <w:r w:rsidRPr="00511954" w:rsidR="006539EA">
        <w:rPr>
          <w:rFonts w:ascii="Palatino Linotype" w:hAnsi="Palatino Linotype"/>
          <w:b w:val="0"/>
        </w:rPr>
        <w:t xml:space="preserve"> to receive a </w:t>
      </w:r>
      <w:r w:rsidRPr="00511954" w:rsidR="0025218B">
        <w:rPr>
          <w:rFonts w:ascii="Palatino Linotype" w:hAnsi="Palatino Linotype"/>
          <w:b w:val="0"/>
        </w:rPr>
        <w:t>bill discount</w:t>
      </w:r>
      <w:r w:rsidRPr="00511954" w:rsidR="008708F7">
        <w:rPr>
          <w:rFonts w:ascii="Palatino Linotype" w:hAnsi="Palatino Linotype"/>
          <w:b w:val="0"/>
        </w:rPr>
        <w:t xml:space="preserve">, </w:t>
      </w:r>
      <w:r w:rsidRPr="00511954" w:rsidR="0025218B">
        <w:rPr>
          <w:rFonts w:ascii="Palatino Linotype" w:hAnsi="Palatino Linotype"/>
          <w:b w:val="0"/>
        </w:rPr>
        <w:t>50 percent of the project’s output</w:t>
      </w:r>
      <w:r w:rsidRPr="00511954" w:rsidR="008708F7">
        <w:rPr>
          <w:rFonts w:ascii="Palatino Linotype" w:hAnsi="Palatino Linotype"/>
          <w:b w:val="0"/>
        </w:rPr>
        <w:t xml:space="preserve"> must first</w:t>
      </w:r>
      <w:r w:rsidRPr="00511954" w:rsidR="0025218B">
        <w:rPr>
          <w:rFonts w:ascii="Palatino Linotype" w:hAnsi="Palatino Linotype"/>
          <w:b w:val="0"/>
        </w:rPr>
        <w:t xml:space="preserve"> be subscribed </w:t>
      </w:r>
      <w:r w:rsidRPr="00511954" w:rsidR="006539EA">
        <w:rPr>
          <w:rFonts w:ascii="Palatino Linotype" w:hAnsi="Palatino Linotype"/>
          <w:b w:val="0"/>
        </w:rPr>
        <w:t xml:space="preserve">to </w:t>
      </w:r>
      <w:r w:rsidRPr="00511954" w:rsidR="0025218B">
        <w:rPr>
          <w:rFonts w:ascii="Palatino Linotype" w:hAnsi="Palatino Linotype"/>
          <w:b w:val="0"/>
        </w:rPr>
        <w:t xml:space="preserve">income qualified customers. </w:t>
      </w:r>
    </w:p>
    <w:p w:rsidR="00A008BF" w:rsidP="00A008BF" w:rsidRDefault="006A0AD8" w14:paraId="153B77F0" w14:textId="1F6E9F18">
      <w:pPr>
        <w:pStyle w:val="BodyText"/>
        <w:spacing w:after="120"/>
        <w:rPr>
          <w:rFonts w:ascii="Palatino Linotype" w:hAnsi="Palatino Linotype"/>
          <w:b w:val="0"/>
        </w:rPr>
      </w:pPr>
      <w:r w:rsidRPr="00511954">
        <w:rPr>
          <w:rFonts w:ascii="Palatino Linotype" w:hAnsi="Palatino Linotype"/>
          <w:b w:val="0"/>
        </w:rPr>
        <w:t xml:space="preserve">SCE’s tariff as currently written imposes requirements on the community sponsor that go beyond what was envisioned by the </w:t>
      </w:r>
      <w:r w:rsidRPr="00511954" w:rsidR="000C7DD3">
        <w:rPr>
          <w:rFonts w:ascii="Palatino Linotype" w:hAnsi="Palatino Linotype"/>
          <w:b w:val="0"/>
        </w:rPr>
        <w:t>NEM DAC D</w:t>
      </w:r>
      <w:r w:rsidRPr="00511954">
        <w:rPr>
          <w:rFonts w:ascii="Palatino Linotype" w:hAnsi="Palatino Linotype"/>
          <w:b w:val="0"/>
        </w:rPr>
        <w:t>ecision, and that might exclude otherwise worthy community sponsors should they not have the resources to meet some of the requirements like screening customers for eligibility and assisting with enrollment. We therefore find it reasonable to require</w:t>
      </w:r>
      <w:r w:rsidRPr="00511954" w:rsidR="0025218B">
        <w:rPr>
          <w:rFonts w:ascii="Palatino Linotype" w:hAnsi="Palatino Linotype"/>
          <w:b w:val="0"/>
        </w:rPr>
        <w:t xml:space="preserve"> </w:t>
      </w:r>
      <w:r w:rsidRPr="00511954" w:rsidR="000C7DD3">
        <w:rPr>
          <w:rFonts w:ascii="Palatino Linotype" w:hAnsi="Palatino Linotype"/>
          <w:b w:val="0"/>
        </w:rPr>
        <w:t xml:space="preserve">SCE </w:t>
      </w:r>
      <w:r w:rsidRPr="00511954">
        <w:rPr>
          <w:rFonts w:ascii="Palatino Linotype" w:hAnsi="Palatino Linotype"/>
          <w:b w:val="0"/>
        </w:rPr>
        <w:t>to</w:t>
      </w:r>
      <w:r w:rsidRPr="00511954" w:rsidR="0025218B">
        <w:rPr>
          <w:rFonts w:ascii="Palatino Linotype" w:hAnsi="Palatino Linotype"/>
          <w:b w:val="0"/>
        </w:rPr>
        <w:t xml:space="preserve"> revise its tariff to remove the requirements that a community sponsor </w:t>
      </w:r>
      <w:r w:rsidRPr="00511954" w:rsidR="006539EA">
        <w:rPr>
          <w:rFonts w:ascii="Palatino Linotype" w:hAnsi="Palatino Linotype"/>
          <w:b w:val="0"/>
        </w:rPr>
        <w:t xml:space="preserve">must </w:t>
      </w:r>
      <w:r w:rsidRPr="00511954" w:rsidR="0025218B">
        <w:rPr>
          <w:rFonts w:ascii="Palatino Linotype" w:hAnsi="Palatino Linotype"/>
          <w:b w:val="0"/>
        </w:rPr>
        <w:t>screen</w:t>
      </w:r>
      <w:r w:rsidR="00315E47">
        <w:rPr>
          <w:rFonts w:ascii="Palatino Linotype" w:hAnsi="Palatino Linotype"/>
          <w:b w:val="0"/>
        </w:rPr>
        <w:t xml:space="preserve"> for</w:t>
      </w:r>
      <w:r w:rsidRPr="00511954" w:rsidR="0025218B">
        <w:rPr>
          <w:rFonts w:ascii="Palatino Linotype" w:hAnsi="Palatino Linotype"/>
          <w:b w:val="0"/>
        </w:rPr>
        <w:t xml:space="preserve"> customer eligibility and assist customers with enrollment.</w:t>
      </w:r>
    </w:p>
    <w:p w:rsidRPr="00511954" w:rsidR="00C95147" w:rsidP="00A008BF" w:rsidRDefault="00D60521" w14:paraId="063F55F9" w14:textId="1F9E35FB">
      <w:pPr>
        <w:pStyle w:val="BodyText"/>
        <w:spacing w:after="120"/>
        <w:rPr>
          <w:rFonts w:ascii="Palatino Linotype" w:hAnsi="Palatino Linotype"/>
          <w:b w:val="0"/>
        </w:rPr>
      </w:pPr>
      <w:r w:rsidRPr="00511954">
        <w:rPr>
          <w:rFonts w:ascii="Palatino Linotype" w:hAnsi="Palatino Linotype"/>
          <w:b w:val="0"/>
        </w:rPr>
        <w:t>SCE’s CSGT tariff further requires that community sponsors must take service under the CSGT tariff for the length of the Power Purchase Agreement (PPA) for the CSGT project unless they assign this obligation to another party.</w:t>
      </w:r>
      <w:r w:rsidRPr="00511954">
        <w:rPr>
          <w:rStyle w:val="FootnoteReference"/>
          <w:rFonts w:ascii="Palatino Linotype" w:hAnsi="Palatino Linotype"/>
          <w:b w:val="0"/>
        </w:rPr>
        <w:footnoteReference w:id="116"/>
      </w:r>
      <w:r w:rsidRPr="00511954" w:rsidR="00A716C3">
        <w:rPr>
          <w:rFonts w:ascii="Palatino Linotype" w:hAnsi="Palatino Linotype"/>
          <w:b w:val="0"/>
        </w:rPr>
        <w:t xml:space="preserve"> While the </w:t>
      </w:r>
      <w:r w:rsidRPr="00511954" w:rsidR="00A165B3">
        <w:rPr>
          <w:rFonts w:ascii="Palatino Linotype" w:hAnsi="Palatino Linotype"/>
          <w:b w:val="0"/>
        </w:rPr>
        <w:t>Decision</w:t>
      </w:r>
      <w:r w:rsidRPr="00511954" w:rsidR="00A716C3">
        <w:rPr>
          <w:rFonts w:ascii="Palatino Linotype" w:hAnsi="Palatino Linotype"/>
          <w:b w:val="0"/>
        </w:rPr>
        <w:t xml:space="preserve"> states that it will “limit the sponsor’s discount to the life of the project</w:t>
      </w:r>
      <w:r w:rsidR="00315E47">
        <w:rPr>
          <w:rFonts w:ascii="Palatino Linotype" w:hAnsi="Palatino Linotype"/>
          <w:b w:val="0"/>
        </w:rPr>
        <w:t>,</w:t>
      </w:r>
      <w:r w:rsidRPr="00511954" w:rsidR="00A716C3">
        <w:rPr>
          <w:rFonts w:ascii="Palatino Linotype" w:hAnsi="Palatino Linotype"/>
          <w:b w:val="0"/>
        </w:rPr>
        <w:t>”</w:t>
      </w:r>
      <w:r w:rsidRPr="00511954" w:rsidR="00A716C3">
        <w:rPr>
          <w:rStyle w:val="FootnoteReference"/>
          <w:rFonts w:ascii="Palatino Linotype" w:hAnsi="Palatino Linotype"/>
          <w:b w:val="0"/>
        </w:rPr>
        <w:footnoteReference w:id="117"/>
      </w:r>
      <w:r w:rsidRPr="00511954" w:rsidR="006539EA">
        <w:rPr>
          <w:rFonts w:ascii="Palatino Linotype" w:hAnsi="Palatino Linotype"/>
          <w:b w:val="0"/>
        </w:rPr>
        <w:t xml:space="preserve"> there is no</w:t>
      </w:r>
      <w:r w:rsidRPr="00511954" w:rsidR="00A716C3">
        <w:rPr>
          <w:rFonts w:ascii="Palatino Linotype" w:hAnsi="Palatino Linotype"/>
          <w:b w:val="0"/>
        </w:rPr>
        <w:t xml:space="preserve"> requirement that the sponsor continue to receive bill credits for the life of the project. In order to provide flexibility for community sponsors as well as changing circumstances </w:t>
      </w:r>
      <w:r w:rsidRPr="00511954" w:rsidR="006539EA">
        <w:rPr>
          <w:rFonts w:ascii="Palatino Linotype" w:hAnsi="Palatino Linotype"/>
          <w:b w:val="0"/>
        </w:rPr>
        <w:t>in</w:t>
      </w:r>
      <w:r w:rsidRPr="00511954" w:rsidR="00A716C3">
        <w:rPr>
          <w:rFonts w:ascii="Palatino Linotype" w:hAnsi="Palatino Linotype"/>
          <w:b w:val="0"/>
        </w:rPr>
        <w:t xml:space="preserve"> the communities they support, the Commission finds that there should be no minimum term required for community sponsors to participate in a project. </w:t>
      </w:r>
      <w:r w:rsidRPr="00511954" w:rsidR="001764FC">
        <w:rPr>
          <w:rFonts w:ascii="Palatino Linotype" w:hAnsi="Palatino Linotype"/>
          <w:b w:val="0"/>
        </w:rPr>
        <w:t xml:space="preserve">We therefore direct </w:t>
      </w:r>
      <w:r w:rsidRPr="00511954" w:rsidR="005B6B6B">
        <w:rPr>
          <w:rFonts w:ascii="Palatino Linotype" w:hAnsi="Palatino Linotype"/>
          <w:b w:val="0"/>
        </w:rPr>
        <w:t xml:space="preserve">SCE </w:t>
      </w:r>
      <w:r w:rsidRPr="00511954" w:rsidR="001764FC">
        <w:rPr>
          <w:rFonts w:ascii="Palatino Linotype" w:hAnsi="Palatino Linotype"/>
          <w:b w:val="0"/>
        </w:rPr>
        <w:t>to</w:t>
      </w:r>
      <w:r w:rsidRPr="00511954" w:rsidR="005B6B6B">
        <w:rPr>
          <w:rFonts w:ascii="Palatino Linotype" w:hAnsi="Palatino Linotype"/>
          <w:b w:val="0"/>
        </w:rPr>
        <w:t xml:space="preserve"> revise its CSGT tariff to remove the community sponsor term section.</w:t>
      </w:r>
      <w:r w:rsidRPr="00511954" w:rsidR="00A716C3">
        <w:rPr>
          <w:rFonts w:ascii="Palatino Linotype" w:hAnsi="Palatino Linotype"/>
          <w:b w:val="0"/>
        </w:rPr>
        <w:t xml:space="preserve"> </w:t>
      </w:r>
    </w:p>
    <w:p w:rsidRPr="00511954" w:rsidR="00404957" w:rsidP="00A008BF" w:rsidRDefault="00404957" w14:paraId="46D1DFFD" w14:textId="0755360F">
      <w:pPr>
        <w:pStyle w:val="BodyText"/>
        <w:spacing w:after="120"/>
        <w:rPr>
          <w:rFonts w:ascii="Palatino Linotype" w:hAnsi="Palatino Linotype"/>
          <w:b w:val="0"/>
        </w:rPr>
      </w:pPr>
      <w:r w:rsidRPr="00511954">
        <w:rPr>
          <w:rFonts w:ascii="Palatino Linotype" w:hAnsi="Palatino Linotype"/>
          <w:b w:val="0"/>
        </w:rPr>
        <w:t xml:space="preserve">Finally, the </w:t>
      </w:r>
      <w:r w:rsidRPr="00511954" w:rsidR="00A165B3">
        <w:rPr>
          <w:rFonts w:ascii="Palatino Linotype" w:hAnsi="Palatino Linotype"/>
          <w:b w:val="0"/>
        </w:rPr>
        <w:t>Decision</w:t>
      </w:r>
      <w:r w:rsidRPr="00511954">
        <w:rPr>
          <w:rFonts w:ascii="Palatino Linotype" w:hAnsi="Palatino Linotype"/>
          <w:b w:val="0"/>
        </w:rPr>
        <w:t xml:space="preserve"> clearly states that multiple community sponsors, if eligible, may share the bill credits for up to 25 percent of a CSGT project’s output.</w:t>
      </w:r>
      <w:r w:rsidRPr="00511954">
        <w:rPr>
          <w:rStyle w:val="FootnoteReference"/>
          <w:rFonts w:ascii="Palatino Linotype" w:hAnsi="Palatino Linotype"/>
          <w:b w:val="0"/>
        </w:rPr>
        <w:footnoteReference w:id="118"/>
      </w:r>
      <w:r w:rsidRPr="00511954">
        <w:rPr>
          <w:rFonts w:ascii="Palatino Linotype" w:hAnsi="Palatino Linotype"/>
          <w:b w:val="0"/>
        </w:rPr>
        <w:t xml:space="preserve"> SCE’s and SDG&amp;E’s CSGT tariffs do not </w:t>
      </w:r>
      <w:r w:rsidRPr="00511954" w:rsidR="00046706">
        <w:rPr>
          <w:rFonts w:ascii="Palatino Linotype" w:hAnsi="Palatino Linotype"/>
          <w:b w:val="0"/>
        </w:rPr>
        <w:t xml:space="preserve">discuss the ability of </w:t>
      </w:r>
      <w:r w:rsidRPr="00511954">
        <w:rPr>
          <w:rFonts w:ascii="Palatino Linotype" w:hAnsi="Palatino Linotype"/>
          <w:b w:val="0"/>
        </w:rPr>
        <w:t xml:space="preserve">multiple community sponsors </w:t>
      </w:r>
      <w:r w:rsidRPr="00511954" w:rsidR="00046706">
        <w:rPr>
          <w:rFonts w:ascii="Palatino Linotype" w:hAnsi="Palatino Linotype"/>
          <w:b w:val="0"/>
        </w:rPr>
        <w:t xml:space="preserve">to </w:t>
      </w:r>
      <w:r w:rsidRPr="00511954">
        <w:rPr>
          <w:rFonts w:ascii="Palatino Linotype" w:hAnsi="Palatino Linotype"/>
          <w:b w:val="0"/>
        </w:rPr>
        <w:t>shar</w:t>
      </w:r>
      <w:r w:rsidRPr="00511954" w:rsidR="00046706">
        <w:rPr>
          <w:rFonts w:ascii="Palatino Linotype" w:hAnsi="Palatino Linotype"/>
          <w:b w:val="0"/>
        </w:rPr>
        <w:t>e</w:t>
      </w:r>
      <w:r w:rsidRPr="00511954">
        <w:rPr>
          <w:rFonts w:ascii="Palatino Linotype" w:hAnsi="Palatino Linotype"/>
          <w:b w:val="0"/>
        </w:rPr>
        <w:t xml:space="preserve"> bill credits under a single CSGT project. </w:t>
      </w:r>
      <w:r w:rsidRPr="00511954" w:rsidR="00382182">
        <w:rPr>
          <w:rFonts w:ascii="Palatino Linotype" w:hAnsi="Palatino Linotype"/>
          <w:b w:val="0"/>
        </w:rPr>
        <w:t>We direct</w:t>
      </w:r>
      <w:r w:rsidRPr="00511954" w:rsidR="00046706">
        <w:rPr>
          <w:rFonts w:ascii="Palatino Linotype" w:hAnsi="Palatino Linotype"/>
          <w:b w:val="0"/>
        </w:rPr>
        <w:t xml:space="preserve"> SCE and SDG&amp;E </w:t>
      </w:r>
      <w:r w:rsidRPr="00511954" w:rsidR="00382182">
        <w:rPr>
          <w:rFonts w:ascii="Palatino Linotype" w:hAnsi="Palatino Linotype"/>
          <w:b w:val="0"/>
        </w:rPr>
        <w:t>to</w:t>
      </w:r>
      <w:r w:rsidRPr="00511954" w:rsidR="00A51AF1">
        <w:rPr>
          <w:rFonts w:ascii="Palatino Linotype" w:hAnsi="Palatino Linotype"/>
          <w:b w:val="0"/>
        </w:rPr>
        <w:t xml:space="preserve"> </w:t>
      </w:r>
      <w:r w:rsidRPr="00511954" w:rsidR="00046706">
        <w:rPr>
          <w:rFonts w:ascii="Palatino Linotype" w:hAnsi="Palatino Linotype"/>
          <w:b w:val="0"/>
        </w:rPr>
        <w:t xml:space="preserve">update their CSGT tariffs to </w:t>
      </w:r>
      <w:r w:rsidRPr="00511954" w:rsidR="001764FC">
        <w:rPr>
          <w:rFonts w:ascii="Palatino Linotype" w:hAnsi="Palatino Linotype"/>
          <w:b w:val="0"/>
        </w:rPr>
        <w:t xml:space="preserve">align with the direction in the NEM DAC Decision to </w:t>
      </w:r>
      <w:r w:rsidRPr="00511954" w:rsidR="00046706">
        <w:rPr>
          <w:rFonts w:ascii="Palatino Linotype" w:hAnsi="Palatino Linotype"/>
          <w:b w:val="0"/>
        </w:rPr>
        <w:t>enable multiple community sponsors to share the 20 percent bill credit for up to 25 percent of a CSGT project’s output.</w:t>
      </w:r>
    </w:p>
    <w:p w:rsidRPr="00511954" w:rsidR="001C538D" w:rsidP="00404957" w:rsidRDefault="001C538D" w14:paraId="7C8ABF07" w14:textId="77777777">
      <w:pPr>
        <w:pStyle w:val="Heading1"/>
        <w:spacing w:before="0" w:after="120"/>
        <w:jc w:val="both"/>
        <w:rPr>
          <w:rFonts w:ascii="Palatino Linotype" w:hAnsi="Palatino Linotype"/>
        </w:rPr>
      </w:pPr>
      <w:r w:rsidRPr="00511954">
        <w:rPr>
          <w:rFonts w:ascii="Palatino Linotype" w:hAnsi="Palatino Linotype"/>
        </w:rPr>
        <w:t>Comments</w:t>
      </w:r>
    </w:p>
    <w:p w:rsidRPr="00511954" w:rsidR="00F14C2A" w:rsidP="00B164AC" w:rsidRDefault="00F14C2A" w14:paraId="71CF72BD" w14:textId="3C5D2695">
      <w:pPr>
        <w:spacing w:after="120"/>
        <w:rPr>
          <w:rFonts w:ascii="Palatino Linotype" w:hAnsi="Palatino Linotype"/>
        </w:rPr>
      </w:pPr>
      <w:r w:rsidRPr="00511954">
        <w:rPr>
          <w:rFonts w:ascii="Palatino Linotype" w:hAnsi="Palatino Linotype"/>
        </w:rPr>
        <w:t xml:space="preserve">Public Utilities Code </w:t>
      </w:r>
      <w:r w:rsidR="00315E47">
        <w:rPr>
          <w:rFonts w:ascii="Palatino Linotype" w:hAnsi="Palatino Linotype"/>
        </w:rPr>
        <w:t>S</w:t>
      </w:r>
      <w:r w:rsidRPr="00511954">
        <w:rPr>
          <w:rFonts w:ascii="Palatino Linotype" w:hAnsi="Palatino Linotype"/>
        </w:rPr>
        <w:t xml:space="preserve">ection 311(g)(1) provides that this resolution must be served on all parties and subject to at least 30 days public review.  Please note that comments are due 20 days from the mailing date of this resolution. Section 311(g)(2) provides that this 30-day review period and 20-day comment period may be reduced or waived upon the stipulation of all parties in the proceeding. </w:t>
      </w:r>
    </w:p>
    <w:p w:rsidRPr="00511954" w:rsidR="005842B3" w:rsidP="0010120C" w:rsidRDefault="00F14C2A" w14:paraId="2CB7B86A" w14:textId="18902164">
      <w:pPr>
        <w:spacing w:after="240"/>
        <w:rPr>
          <w:rFonts w:ascii="Palatino Linotype" w:hAnsi="Palatino Linotype"/>
        </w:rPr>
      </w:pPr>
      <w:r w:rsidRPr="00511954">
        <w:rPr>
          <w:rFonts w:ascii="Palatino Linotype" w:hAnsi="Palatino Linotype"/>
        </w:rPr>
        <w:t>The 30-day review and 20-day comment period for the draft of this resolution was neither waived nor reduced.  Accordingly, this draft resolution was mailed to parties for comments, and will be placed on the Commission's agenda no earlier than 30 days from today.</w:t>
      </w:r>
    </w:p>
    <w:p w:rsidRPr="00511954" w:rsidR="001536FC" w:rsidP="00C345D8" w:rsidRDefault="001C538D" w14:paraId="3AB8C37C" w14:textId="12799DA1">
      <w:pPr>
        <w:pStyle w:val="Heading1"/>
        <w:spacing w:before="0" w:after="120"/>
        <w:jc w:val="both"/>
      </w:pPr>
      <w:r w:rsidRPr="00511954">
        <w:rPr>
          <w:rFonts w:ascii="Palatino Linotype" w:hAnsi="Palatino Linotype"/>
        </w:rPr>
        <w:t xml:space="preserve">Findings </w:t>
      </w:r>
      <w:r w:rsidR="00EF456E">
        <w:rPr>
          <w:rFonts w:ascii="Palatino Linotype" w:hAnsi="Palatino Linotype"/>
        </w:rPr>
        <w:t>and Conclusions</w:t>
      </w:r>
    </w:p>
    <w:p w:rsidRPr="00511954" w:rsidR="00482425" w:rsidP="00BF52AA" w:rsidRDefault="00482425" w14:paraId="5D3048A8" w14:textId="58DF0FAF">
      <w:pPr>
        <w:pStyle w:val="standard"/>
        <w:numPr>
          <w:ilvl w:val="0"/>
          <w:numId w:val="35"/>
        </w:numPr>
        <w:spacing w:after="120" w:line="240" w:lineRule="auto"/>
        <w:rPr>
          <w:rFonts w:ascii="Palatino Linotype" w:hAnsi="Palatino Linotype"/>
        </w:rPr>
      </w:pPr>
      <w:r w:rsidRPr="00511954">
        <w:rPr>
          <w:rFonts w:ascii="Palatino Linotype" w:hAnsi="Palatino Linotype"/>
        </w:rPr>
        <w:t>Assembly Bill (AB) 327 (</w:t>
      </w:r>
      <w:proofErr w:type="spellStart"/>
      <w:r w:rsidRPr="00511954">
        <w:rPr>
          <w:rFonts w:ascii="Palatino Linotype" w:hAnsi="Palatino Linotype"/>
        </w:rPr>
        <w:t>Perea</w:t>
      </w:r>
      <w:proofErr w:type="spellEnd"/>
      <w:r w:rsidRPr="00511954">
        <w:rPr>
          <w:rFonts w:ascii="Palatino Linotype" w:hAnsi="Palatino Linotype"/>
        </w:rPr>
        <w:t xml:space="preserve">, 2013) required the </w:t>
      </w:r>
      <w:r w:rsidRPr="00511954" w:rsidR="00355094">
        <w:rPr>
          <w:rFonts w:ascii="Palatino Linotype" w:hAnsi="Palatino Linotype"/>
        </w:rPr>
        <w:t>California Public Utilities Commission (</w:t>
      </w:r>
      <w:r w:rsidRPr="00511954">
        <w:rPr>
          <w:rFonts w:ascii="Palatino Linotype" w:hAnsi="Palatino Linotype"/>
        </w:rPr>
        <w:t>Commission</w:t>
      </w:r>
      <w:r w:rsidRPr="00511954" w:rsidR="00355094">
        <w:rPr>
          <w:rFonts w:ascii="Palatino Linotype" w:hAnsi="Palatino Linotype"/>
        </w:rPr>
        <w:t>)</w:t>
      </w:r>
      <w:r w:rsidRPr="00511954">
        <w:rPr>
          <w:rFonts w:ascii="Palatino Linotype" w:hAnsi="Palatino Linotype"/>
        </w:rPr>
        <w:t xml:space="preserve"> to develop specific alternatives </w:t>
      </w:r>
      <w:r w:rsidRPr="00511954" w:rsidR="00355094">
        <w:rPr>
          <w:rFonts w:ascii="Palatino Linotype" w:hAnsi="Palatino Linotype"/>
        </w:rPr>
        <w:t xml:space="preserve">to the net energy metering (NEM) successor tariff </w:t>
      </w:r>
      <w:r w:rsidRPr="00511954">
        <w:rPr>
          <w:rFonts w:ascii="Palatino Linotype" w:hAnsi="Palatino Linotype"/>
        </w:rPr>
        <w:t xml:space="preserve">designed to increase adoption of renewable generation </w:t>
      </w:r>
      <w:r w:rsidRPr="00511954" w:rsidR="00355094">
        <w:rPr>
          <w:rFonts w:ascii="Palatino Linotype" w:hAnsi="Palatino Linotype"/>
        </w:rPr>
        <w:t xml:space="preserve">by residential customers </w:t>
      </w:r>
      <w:r w:rsidRPr="00511954">
        <w:rPr>
          <w:rFonts w:ascii="Palatino Linotype" w:hAnsi="Palatino Linotype"/>
        </w:rPr>
        <w:t xml:space="preserve">in </w:t>
      </w:r>
      <w:r w:rsidRPr="00511954" w:rsidR="00E6680D">
        <w:rPr>
          <w:rFonts w:ascii="Palatino Linotype" w:hAnsi="Palatino Linotype"/>
        </w:rPr>
        <w:t>disadvantaged communities (DACs)</w:t>
      </w:r>
      <w:r w:rsidRPr="00511954">
        <w:rPr>
          <w:rFonts w:ascii="Palatino Linotype" w:hAnsi="Palatino Linotype"/>
        </w:rPr>
        <w:t>.</w:t>
      </w:r>
    </w:p>
    <w:p w:rsidRPr="00511954" w:rsidR="00482425" w:rsidP="00BF52AA" w:rsidRDefault="00482425" w14:paraId="2060425B" w14:textId="0D8EA38B">
      <w:pPr>
        <w:pStyle w:val="standard"/>
        <w:numPr>
          <w:ilvl w:val="0"/>
          <w:numId w:val="35"/>
        </w:numPr>
        <w:spacing w:after="120" w:line="240" w:lineRule="auto"/>
        <w:rPr>
          <w:rFonts w:ascii="Palatino Linotype" w:hAnsi="Palatino Linotype"/>
        </w:rPr>
      </w:pPr>
      <w:r w:rsidRPr="00511954">
        <w:rPr>
          <w:rFonts w:ascii="Palatino Linotype" w:hAnsi="Palatino Linotype"/>
        </w:rPr>
        <w:t>On June 22, 2018</w:t>
      </w:r>
      <w:r w:rsidRPr="00511954" w:rsidR="00F35F7B">
        <w:rPr>
          <w:rFonts w:ascii="Palatino Linotype" w:hAnsi="Palatino Linotype"/>
        </w:rPr>
        <w:t>,</w:t>
      </w:r>
      <w:r w:rsidRPr="00511954">
        <w:rPr>
          <w:rFonts w:ascii="Palatino Linotype" w:hAnsi="Palatino Linotype"/>
        </w:rPr>
        <w:t xml:space="preserve"> </w:t>
      </w:r>
      <w:r w:rsidRPr="00511954" w:rsidR="00355094">
        <w:rPr>
          <w:rFonts w:ascii="Palatino Linotype" w:hAnsi="Palatino Linotype"/>
        </w:rPr>
        <w:t xml:space="preserve">pursuant to AB 327, </w:t>
      </w:r>
      <w:r w:rsidRPr="00511954">
        <w:rPr>
          <w:rFonts w:ascii="Palatino Linotype" w:hAnsi="Palatino Linotype"/>
        </w:rPr>
        <w:t xml:space="preserve">the Commission </w:t>
      </w:r>
      <w:r w:rsidRPr="00511954" w:rsidR="00355094">
        <w:rPr>
          <w:rFonts w:ascii="Palatino Linotype" w:hAnsi="Palatino Linotype"/>
        </w:rPr>
        <w:t>adopted</w:t>
      </w:r>
      <w:r w:rsidRPr="00511954">
        <w:rPr>
          <w:rFonts w:ascii="Palatino Linotype" w:hAnsi="Palatino Linotype"/>
        </w:rPr>
        <w:t xml:space="preserve"> </w:t>
      </w:r>
      <w:r w:rsidRPr="00511954" w:rsidR="00A165B3">
        <w:rPr>
          <w:rFonts w:ascii="Palatino Linotype" w:hAnsi="Palatino Linotype"/>
        </w:rPr>
        <w:t>Decision</w:t>
      </w:r>
      <w:r w:rsidRPr="00511954">
        <w:rPr>
          <w:rFonts w:ascii="Palatino Linotype" w:hAnsi="Palatino Linotype"/>
        </w:rPr>
        <w:t xml:space="preserve"> (D.)18-06-027</w:t>
      </w:r>
      <w:r w:rsidRPr="00511954" w:rsidR="00355094">
        <w:rPr>
          <w:rFonts w:ascii="Palatino Linotype" w:hAnsi="Palatino Linotype"/>
        </w:rPr>
        <w:t xml:space="preserve"> (NEM DAC Decision)</w:t>
      </w:r>
      <w:r w:rsidRPr="00511954">
        <w:rPr>
          <w:rFonts w:ascii="Palatino Linotype" w:hAnsi="Palatino Linotype"/>
        </w:rPr>
        <w:t>, creating three new programs to provide residen</w:t>
      </w:r>
      <w:r w:rsidRPr="00511954" w:rsidR="00E6680D">
        <w:rPr>
          <w:rFonts w:ascii="Palatino Linotype" w:hAnsi="Palatino Linotype"/>
        </w:rPr>
        <w:t>tial customers in DACs</w:t>
      </w:r>
      <w:r w:rsidRPr="00511954">
        <w:rPr>
          <w:rFonts w:ascii="Palatino Linotype" w:hAnsi="Palatino Linotype"/>
        </w:rPr>
        <w:t xml:space="preserve"> with </w:t>
      </w:r>
      <w:r w:rsidRPr="00511954" w:rsidR="006F3A4B">
        <w:rPr>
          <w:rFonts w:ascii="Palatino Linotype" w:hAnsi="Palatino Linotype"/>
        </w:rPr>
        <w:t xml:space="preserve">increased </w:t>
      </w:r>
      <w:r w:rsidRPr="00511954">
        <w:rPr>
          <w:rFonts w:ascii="Palatino Linotype" w:hAnsi="Palatino Linotype"/>
        </w:rPr>
        <w:t xml:space="preserve">access to renewable generation: </w:t>
      </w:r>
      <w:r w:rsidRPr="00511954" w:rsidR="00BF52AA">
        <w:rPr>
          <w:rFonts w:ascii="Palatino Linotype" w:hAnsi="Palatino Linotype"/>
        </w:rPr>
        <w:t xml:space="preserve">the </w:t>
      </w:r>
      <w:r w:rsidRPr="00511954">
        <w:rPr>
          <w:rFonts w:ascii="Palatino Linotype" w:hAnsi="Palatino Linotype"/>
        </w:rPr>
        <w:t xml:space="preserve">DAC Single-family Solar Homes (DAC-SASH) program, the DAC Green Tariff (DAC-GT) program, and the Community Solar Green Tariff </w:t>
      </w:r>
      <w:r w:rsidRPr="00511954" w:rsidR="00F35F7B">
        <w:rPr>
          <w:rFonts w:ascii="Palatino Linotype" w:hAnsi="Palatino Linotype"/>
        </w:rPr>
        <w:t>p</w:t>
      </w:r>
      <w:r w:rsidRPr="00511954">
        <w:rPr>
          <w:rFonts w:ascii="Palatino Linotype" w:hAnsi="Palatino Linotype"/>
        </w:rPr>
        <w:t>rogram (CSGT).</w:t>
      </w:r>
    </w:p>
    <w:p w:rsidRPr="00511954" w:rsidR="00482425" w:rsidP="00BF52AA" w:rsidRDefault="00355094" w14:paraId="27DE5110" w14:textId="31B1733C">
      <w:pPr>
        <w:pStyle w:val="standard"/>
        <w:numPr>
          <w:ilvl w:val="0"/>
          <w:numId w:val="35"/>
        </w:numPr>
        <w:spacing w:after="120" w:line="240" w:lineRule="auto"/>
        <w:rPr>
          <w:rFonts w:ascii="Palatino Linotype" w:hAnsi="Palatino Linotype"/>
        </w:rPr>
      </w:pPr>
      <w:r w:rsidRPr="00511954">
        <w:rPr>
          <w:rFonts w:ascii="Palatino Linotype" w:hAnsi="Palatino Linotype"/>
        </w:rPr>
        <w:t>The NEM DAC Decision</w:t>
      </w:r>
      <w:r w:rsidRPr="00511954" w:rsidR="00482425">
        <w:rPr>
          <w:rFonts w:ascii="Palatino Linotype" w:hAnsi="Palatino Linotype"/>
        </w:rPr>
        <w:t xml:space="preserve"> required the IOUs to file Tier 2 Advice Letters</w:t>
      </w:r>
      <w:r w:rsidRPr="00511954" w:rsidR="00B60818">
        <w:rPr>
          <w:rFonts w:ascii="Palatino Linotype" w:hAnsi="Palatino Linotype"/>
        </w:rPr>
        <w:t xml:space="preserve"> (ALs)</w:t>
      </w:r>
      <w:r w:rsidRPr="00511954" w:rsidR="00482425">
        <w:rPr>
          <w:rFonts w:ascii="Palatino Linotype" w:hAnsi="Palatino Linotype"/>
        </w:rPr>
        <w:t xml:space="preserve"> to create a DAC-GT </w:t>
      </w:r>
      <w:r w:rsidRPr="00511954">
        <w:rPr>
          <w:rFonts w:ascii="Palatino Linotype" w:hAnsi="Palatino Linotype"/>
        </w:rPr>
        <w:t>tariff</w:t>
      </w:r>
      <w:r w:rsidRPr="00511954" w:rsidR="00482425">
        <w:rPr>
          <w:rFonts w:ascii="Palatino Linotype" w:hAnsi="Palatino Linotype"/>
        </w:rPr>
        <w:t xml:space="preserve"> and a CSGT </w:t>
      </w:r>
      <w:r w:rsidRPr="00511954">
        <w:rPr>
          <w:rFonts w:ascii="Palatino Linotype" w:hAnsi="Palatino Linotype"/>
        </w:rPr>
        <w:t>tariff</w:t>
      </w:r>
      <w:r w:rsidRPr="00511954" w:rsidR="00482425">
        <w:rPr>
          <w:rFonts w:ascii="Palatino Linotype" w:hAnsi="Palatino Linotype"/>
        </w:rPr>
        <w:t>.</w:t>
      </w:r>
    </w:p>
    <w:p w:rsidRPr="00511954" w:rsidR="00880D91" w:rsidP="00BF52AA" w:rsidRDefault="00F35F7B" w14:paraId="16D8888A" w14:textId="3A1BC7A5">
      <w:pPr>
        <w:pStyle w:val="standard"/>
        <w:numPr>
          <w:ilvl w:val="0"/>
          <w:numId w:val="35"/>
        </w:numPr>
        <w:spacing w:after="120" w:line="240" w:lineRule="auto"/>
        <w:rPr>
          <w:rFonts w:ascii="Palatino Linotype" w:hAnsi="Palatino Linotype"/>
        </w:rPr>
      </w:pPr>
      <w:r w:rsidRPr="00511954">
        <w:rPr>
          <w:rFonts w:ascii="Palatino Linotype" w:hAnsi="Palatino Linotype"/>
        </w:rPr>
        <w:t xml:space="preserve">To satisfy the requirements </w:t>
      </w:r>
      <w:r w:rsidRPr="00511954" w:rsidR="00355094">
        <w:rPr>
          <w:rFonts w:ascii="Palatino Linotype" w:hAnsi="Palatino Linotype"/>
        </w:rPr>
        <w:t>in the NEM DAC Decision</w:t>
      </w:r>
      <w:r w:rsidRPr="00511954">
        <w:rPr>
          <w:rFonts w:ascii="Palatino Linotype" w:hAnsi="Palatino Linotype"/>
        </w:rPr>
        <w:t>, o</w:t>
      </w:r>
      <w:r w:rsidRPr="00511954" w:rsidR="00BF52AA">
        <w:rPr>
          <w:rFonts w:ascii="Palatino Linotype" w:hAnsi="Palatino Linotype"/>
        </w:rPr>
        <w:t xml:space="preserve">n August 20, 2018, </w:t>
      </w:r>
      <w:r w:rsidRPr="00511954" w:rsidR="00880D91">
        <w:rPr>
          <w:rFonts w:ascii="Palatino Linotype" w:hAnsi="Palatino Linotype"/>
        </w:rPr>
        <w:t>P</w:t>
      </w:r>
      <w:r w:rsidRPr="00511954" w:rsidR="00125204">
        <w:rPr>
          <w:rFonts w:ascii="Palatino Linotype" w:hAnsi="Palatino Linotype"/>
        </w:rPr>
        <w:t xml:space="preserve">acific Gas and Electric </w:t>
      </w:r>
      <w:r w:rsidRPr="00511954" w:rsidR="00355094">
        <w:rPr>
          <w:rFonts w:ascii="Palatino Linotype" w:hAnsi="Palatino Linotype"/>
        </w:rPr>
        <w:t xml:space="preserve">Company </w:t>
      </w:r>
      <w:r w:rsidRPr="00511954" w:rsidR="00125204">
        <w:rPr>
          <w:rFonts w:ascii="Palatino Linotype" w:hAnsi="Palatino Linotype"/>
        </w:rPr>
        <w:t>(P</w:t>
      </w:r>
      <w:r w:rsidRPr="00511954" w:rsidR="00880D91">
        <w:rPr>
          <w:rFonts w:ascii="Palatino Linotype" w:hAnsi="Palatino Linotype"/>
        </w:rPr>
        <w:t>G&amp;E</w:t>
      </w:r>
      <w:r w:rsidRPr="00511954" w:rsidR="00125204">
        <w:rPr>
          <w:rFonts w:ascii="Palatino Linotype" w:hAnsi="Palatino Linotype"/>
        </w:rPr>
        <w:t>)</w:t>
      </w:r>
      <w:r w:rsidRPr="00511954" w:rsidR="00880D91">
        <w:rPr>
          <w:rFonts w:ascii="Palatino Linotype" w:hAnsi="Palatino Linotype"/>
        </w:rPr>
        <w:t xml:space="preserve"> filed AL 5362-E, S</w:t>
      </w:r>
      <w:r w:rsidRPr="00511954" w:rsidR="00125204">
        <w:rPr>
          <w:rFonts w:ascii="Palatino Linotype" w:hAnsi="Palatino Linotype"/>
        </w:rPr>
        <w:t>outhern California Edison</w:t>
      </w:r>
      <w:r w:rsidRPr="00511954" w:rsidR="00355094">
        <w:rPr>
          <w:rFonts w:ascii="Palatino Linotype" w:hAnsi="Palatino Linotype"/>
        </w:rPr>
        <w:t xml:space="preserve"> </w:t>
      </w:r>
      <w:r w:rsidRPr="00511954" w:rsidR="00125204">
        <w:rPr>
          <w:rFonts w:ascii="Palatino Linotype" w:hAnsi="Palatino Linotype"/>
        </w:rPr>
        <w:t>(S</w:t>
      </w:r>
      <w:r w:rsidRPr="00511954" w:rsidR="00880D91">
        <w:rPr>
          <w:rFonts w:ascii="Palatino Linotype" w:hAnsi="Palatino Linotype"/>
        </w:rPr>
        <w:t>CE</w:t>
      </w:r>
      <w:r w:rsidRPr="00511954" w:rsidR="00125204">
        <w:rPr>
          <w:rFonts w:ascii="Palatino Linotype" w:hAnsi="Palatino Linotype"/>
        </w:rPr>
        <w:t>)</w:t>
      </w:r>
      <w:r w:rsidRPr="00511954" w:rsidR="00880D91">
        <w:rPr>
          <w:rFonts w:ascii="Palatino Linotype" w:hAnsi="Palatino Linotype"/>
        </w:rPr>
        <w:t xml:space="preserve"> filed AL 3851-E, </w:t>
      </w:r>
      <w:r w:rsidRPr="00511954" w:rsidR="00BF52AA">
        <w:rPr>
          <w:rFonts w:ascii="Palatino Linotype" w:hAnsi="Palatino Linotype"/>
        </w:rPr>
        <w:t xml:space="preserve">and </w:t>
      </w:r>
      <w:r w:rsidRPr="00511954" w:rsidR="00880D91">
        <w:rPr>
          <w:rFonts w:ascii="Palatino Linotype" w:hAnsi="Palatino Linotype"/>
        </w:rPr>
        <w:t>S</w:t>
      </w:r>
      <w:r w:rsidRPr="00511954" w:rsidR="00125204">
        <w:rPr>
          <w:rFonts w:ascii="Palatino Linotype" w:hAnsi="Palatino Linotype"/>
        </w:rPr>
        <w:t xml:space="preserve">an Diego Gas &amp; Electric </w:t>
      </w:r>
      <w:r w:rsidRPr="00511954" w:rsidR="00355094">
        <w:rPr>
          <w:rFonts w:ascii="Palatino Linotype" w:hAnsi="Palatino Linotype"/>
        </w:rPr>
        <w:t xml:space="preserve">Company </w:t>
      </w:r>
      <w:r w:rsidRPr="00511954" w:rsidR="00125204">
        <w:rPr>
          <w:rFonts w:ascii="Palatino Linotype" w:hAnsi="Palatino Linotype"/>
        </w:rPr>
        <w:t>(S</w:t>
      </w:r>
      <w:r w:rsidRPr="00511954" w:rsidR="00880D91">
        <w:rPr>
          <w:rFonts w:ascii="Palatino Linotype" w:hAnsi="Palatino Linotype"/>
        </w:rPr>
        <w:t>DG&amp;E</w:t>
      </w:r>
      <w:r w:rsidRPr="00511954" w:rsidR="00125204">
        <w:rPr>
          <w:rFonts w:ascii="Palatino Linotype" w:hAnsi="Palatino Linotype"/>
        </w:rPr>
        <w:t>)</w:t>
      </w:r>
      <w:r w:rsidRPr="00511954" w:rsidR="00880D91">
        <w:rPr>
          <w:rFonts w:ascii="Palatino Linotype" w:hAnsi="Palatino Linotype"/>
        </w:rPr>
        <w:t xml:space="preserve"> filed AL 3262-E</w:t>
      </w:r>
      <w:r w:rsidRPr="00511954" w:rsidR="00BF52AA">
        <w:rPr>
          <w:rFonts w:ascii="Palatino Linotype" w:hAnsi="Palatino Linotype"/>
        </w:rPr>
        <w:t xml:space="preserve">. </w:t>
      </w:r>
      <w:r w:rsidRPr="00511954" w:rsidR="00880D91">
        <w:rPr>
          <w:rFonts w:ascii="Palatino Linotype" w:hAnsi="Palatino Linotype"/>
        </w:rPr>
        <w:t xml:space="preserve">SDG&amp;E filed supplemental AL 3262-E-A on August 24, 2018. </w:t>
      </w:r>
    </w:p>
    <w:p w:rsidRPr="00511954" w:rsidR="00125204" w:rsidP="00BF52AA" w:rsidRDefault="00125204" w14:paraId="0BFAD2AE" w14:textId="77777777">
      <w:pPr>
        <w:pStyle w:val="standard"/>
        <w:numPr>
          <w:ilvl w:val="0"/>
          <w:numId w:val="35"/>
        </w:numPr>
        <w:spacing w:after="120" w:line="240" w:lineRule="auto"/>
        <w:rPr>
          <w:rFonts w:ascii="Palatino Linotype" w:hAnsi="Palatino Linotype"/>
        </w:rPr>
      </w:pPr>
      <w:r w:rsidRPr="00511954">
        <w:rPr>
          <w:rFonts w:ascii="Palatino Linotype" w:hAnsi="Palatino Linotype"/>
        </w:rPr>
        <w:t>On September 10, 2018, Peninsula Clean Energy on behalf of itself, Marin Clean Energy, Sonoma Clean Power, and Lancaster Choice Energy (jointly as “Protesting CCAs”) submitted a timely protest of PG&amp;E AL 5362-E and SCE AL 3851-E.</w:t>
      </w:r>
    </w:p>
    <w:p w:rsidRPr="00511954" w:rsidR="00125204" w:rsidP="00BF52AA" w:rsidRDefault="00125204" w14:paraId="307107B2" w14:textId="717E7CEB">
      <w:pPr>
        <w:pStyle w:val="standard"/>
        <w:numPr>
          <w:ilvl w:val="0"/>
          <w:numId w:val="35"/>
        </w:numPr>
        <w:spacing w:after="120" w:line="240" w:lineRule="auto"/>
        <w:rPr>
          <w:rFonts w:ascii="Palatino Linotype" w:hAnsi="Palatino Linotype"/>
        </w:rPr>
      </w:pPr>
      <w:r w:rsidRPr="00511954">
        <w:rPr>
          <w:rFonts w:ascii="Palatino Linotype" w:hAnsi="Palatino Linotype"/>
        </w:rPr>
        <w:t xml:space="preserve">On September 10, 2018, the Interstate Renewable Energy Council (IREC) and the Sustainable Economies Law Center (SELC) submitted a timely response to PG&amp;E AL 5362-E, SCE AL 3851-E, and SDG&amp;E </w:t>
      </w:r>
      <w:r w:rsidRPr="00511954" w:rsidR="00355094">
        <w:rPr>
          <w:rFonts w:ascii="Palatino Linotype" w:hAnsi="Palatino Linotype"/>
        </w:rPr>
        <w:t xml:space="preserve">AL </w:t>
      </w:r>
      <w:r w:rsidRPr="00511954">
        <w:rPr>
          <w:rFonts w:ascii="Palatino Linotype" w:hAnsi="Palatino Linotype"/>
        </w:rPr>
        <w:t>3262-E.</w:t>
      </w:r>
    </w:p>
    <w:p w:rsidRPr="00511954" w:rsidR="00125204" w:rsidP="00BF52AA" w:rsidRDefault="00125204" w14:paraId="7B411120" w14:textId="043E4295">
      <w:pPr>
        <w:pStyle w:val="ListParagraph"/>
        <w:numPr>
          <w:ilvl w:val="0"/>
          <w:numId w:val="35"/>
        </w:numPr>
        <w:autoSpaceDE w:val="0"/>
        <w:autoSpaceDN w:val="0"/>
        <w:adjustRightInd w:val="0"/>
        <w:spacing w:after="120" w:line="240" w:lineRule="auto"/>
        <w:contextualSpacing w:val="0"/>
        <w:rPr>
          <w:rFonts w:ascii="Palatino Linotype" w:hAnsi="Palatino Linotype"/>
          <w:sz w:val="26"/>
          <w:szCs w:val="20"/>
        </w:rPr>
      </w:pPr>
      <w:r w:rsidRPr="00511954">
        <w:rPr>
          <w:rFonts w:ascii="Palatino Linotype" w:hAnsi="Palatino Linotype"/>
          <w:sz w:val="26"/>
          <w:szCs w:val="20"/>
        </w:rPr>
        <w:t xml:space="preserve">On September 17, 2018, PG&amp;E and SCE replied to the protest of their </w:t>
      </w:r>
      <w:r w:rsidRPr="00511954" w:rsidR="00F35F7B">
        <w:rPr>
          <w:rFonts w:ascii="Palatino Linotype" w:hAnsi="Palatino Linotype"/>
          <w:sz w:val="26"/>
          <w:szCs w:val="20"/>
        </w:rPr>
        <w:t>ALs</w:t>
      </w:r>
      <w:r w:rsidRPr="00511954">
        <w:rPr>
          <w:rFonts w:ascii="Palatino Linotype" w:hAnsi="Palatino Linotype"/>
          <w:sz w:val="26"/>
          <w:szCs w:val="20"/>
        </w:rPr>
        <w:t xml:space="preserve"> by the Protesting CCAs and </w:t>
      </w:r>
      <w:r w:rsidRPr="00511954" w:rsidR="009F67FC">
        <w:rPr>
          <w:rFonts w:ascii="Palatino Linotype" w:hAnsi="Palatino Linotype"/>
          <w:sz w:val="26"/>
          <w:szCs w:val="20"/>
        </w:rPr>
        <w:t xml:space="preserve">to </w:t>
      </w:r>
      <w:r w:rsidRPr="00511954" w:rsidR="00355094">
        <w:rPr>
          <w:rFonts w:ascii="Palatino Linotype" w:hAnsi="Palatino Linotype"/>
          <w:sz w:val="26"/>
          <w:szCs w:val="20"/>
        </w:rPr>
        <w:t xml:space="preserve">the response to their ALs </w:t>
      </w:r>
      <w:r w:rsidRPr="00511954">
        <w:rPr>
          <w:rFonts w:ascii="Palatino Linotype" w:hAnsi="Palatino Linotype"/>
          <w:sz w:val="26"/>
          <w:szCs w:val="20"/>
        </w:rPr>
        <w:t>by IREC</w:t>
      </w:r>
      <w:r w:rsidRPr="00511954" w:rsidR="00355094">
        <w:rPr>
          <w:rFonts w:ascii="Palatino Linotype" w:hAnsi="Palatino Linotype"/>
          <w:sz w:val="26"/>
          <w:szCs w:val="20"/>
        </w:rPr>
        <w:t>/</w:t>
      </w:r>
      <w:r w:rsidRPr="00511954">
        <w:rPr>
          <w:rFonts w:ascii="Palatino Linotype" w:hAnsi="Palatino Linotype"/>
          <w:sz w:val="26"/>
          <w:szCs w:val="20"/>
        </w:rPr>
        <w:t>SELC.</w:t>
      </w:r>
    </w:p>
    <w:p w:rsidRPr="00511954" w:rsidR="00125204" w:rsidP="00BF52AA" w:rsidRDefault="00125204" w14:paraId="0A3AF42F" w14:textId="56C6E346">
      <w:pPr>
        <w:pStyle w:val="ListParagraph"/>
        <w:numPr>
          <w:ilvl w:val="0"/>
          <w:numId w:val="35"/>
        </w:numPr>
        <w:autoSpaceDE w:val="0"/>
        <w:autoSpaceDN w:val="0"/>
        <w:adjustRightInd w:val="0"/>
        <w:spacing w:after="120" w:line="240" w:lineRule="auto"/>
        <w:contextualSpacing w:val="0"/>
        <w:rPr>
          <w:rFonts w:ascii="Palatino Linotype" w:hAnsi="Palatino Linotype"/>
          <w:sz w:val="26"/>
          <w:szCs w:val="20"/>
        </w:rPr>
      </w:pPr>
      <w:r w:rsidRPr="00511954">
        <w:rPr>
          <w:rFonts w:ascii="Palatino Linotype" w:hAnsi="Palatino Linotype"/>
          <w:sz w:val="26"/>
          <w:szCs w:val="20"/>
        </w:rPr>
        <w:t xml:space="preserve">On September 17, 2018, SDG&amp;E replied to the </w:t>
      </w:r>
      <w:r w:rsidRPr="00511954" w:rsidR="006D0542">
        <w:rPr>
          <w:rFonts w:ascii="Palatino Linotype" w:hAnsi="Palatino Linotype"/>
          <w:sz w:val="26"/>
          <w:szCs w:val="20"/>
        </w:rPr>
        <w:t xml:space="preserve">response </w:t>
      </w:r>
      <w:r w:rsidRPr="00511954" w:rsidR="009F67FC">
        <w:rPr>
          <w:rFonts w:ascii="Palatino Linotype" w:hAnsi="Palatino Linotype"/>
          <w:sz w:val="26"/>
          <w:szCs w:val="20"/>
        </w:rPr>
        <w:t>to</w:t>
      </w:r>
      <w:r w:rsidRPr="00511954">
        <w:rPr>
          <w:rFonts w:ascii="Palatino Linotype" w:hAnsi="Palatino Linotype"/>
          <w:sz w:val="26"/>
          <w:szCs w:val="20"/>
        </w:rPr>
        <w:t xml:space="preserve"> its </w:t>
      </w:r>
      <w:r w:rsidRPr="00511954" w:rsidR="00F35F7B">
        <w:rPr>
          <w:rFonts w:ascii="Palatino Linotype" w:hAnsi="Palatino Linotype"/>
          <w:sz w:val="26"/>
          <w:szCs w:val="20"/>
        </w:rPr>
        <w:t>AL</w:t>
      </w:r>
      <w:r w:rsidRPr="00511954">
        <w:rPr>
          <w:rFonts w:ascii="Palatino Linotype" w:hAnsi="Palatino Linotype"/>
          <w:sz w:val="26"/>
          <w:szCs w:val="20"/>
        </w:rPr>
        <w:t xml:space="preserve"> by IREC</w:t>
      </w:r>
      <w:r w:rsidRPr="00511954" w:rsidR="00355094">
        <w:rPr>
          <w:rFonts w:ascii="Palatino Linotype" w:hAnsi="Palatino Linotype"/>
          <w:sz w:val="26"/>
          <w:szCs w:val="20"/>
        </w:rPr>
        <w:t>/</w:t>
      </w:r>
      <w:r w:rsidRPr="00511954">
        <w:rPr>
          <w:rFonts w:ascii="Palatino Linotype" w:hAnsi="Palatino Linotype"/>
          <w:sz w:val="26"/>
          <w:szCs w:val="20"/>
        </w:rPr>
        <w:t>SELC.</w:t>
      </w:r>
    </w:p>
    <w:p w:rsidRPr="00511954" w:rsidR="004F6F38" w:rsidP="00BF52AA" w:rsidRDefault="004F6F38" w14:paraId="12B676C9" w14:textId="3D1547F4">
      <w:pPr>
        <w:pStyle w:val="BodyText"/>
        <w:numPr>
          <w:ilvl w:val="0"/>
          <w:numId w:val="35"/>
        </w:numPr>
        <w:spacing w:after="120"/>
        <w:rPr>
          <w:rFonts w:ascii="Palatino Linotype" w:hAnsi="Palatino Linotype"/>
          <w:b w:val="0"/>
        </w:rPr>
      </w:pPr>
      <w:r w:rsidRPr="00511954">
        <w:rPr>
          <w:rFonts w:ascii="Palatino Linotype" w:hAnsi="Palatino Linotype"/>
          <w:b w:val="0"/>
        </w:rPr>
        <w:t>On October 18, 2018</w:t>
      </w:r>
      <w:r w:rsidRPr="00511954" w:rsidR="00355094">
        <w:rPr>
          <w:rFonts w:ascii="Palatino Linotype" w:hAnsi="Palatino Linotype"/>
          <w:b w:val="0"/>
        </w:rPr>
        <w:t>,</w:t>
      </w:r>
      <w:r w:rsidRPr="00511954">
        <w:rPr>
          <w:rFonts w:ascii="Palatino Linotype" w:hAnsi="Palatino Linotype"/>
          <w:b w:val="0"/>
        </w:rPr>
        <w:t xml:space="preserve"> the Commission issued </w:t>
      </w:r>
      <w:r w:rsidRPr="00511954" w:rsidR="00A165B3">
        <w:rPr>
          <w:rFonts w:ascii="Palatino Linotype" w:hAnsi="Palatino Linotype"/>
          <w:b w:val="0"/>
        </w:rPr>
        <w:t>D</w:t>
      </w:r>
      <w:r w:rsidRPr="00511954" w:rsidR="00F35F7B">
        <w:rPr>
          <w:rFonts w:ascii="Palatino Linotype" w:hAnsi="Palatino Linotype"/>
          <w:b w:val="0"/>
        </w:rPr>
        <w:t>.</w:t>
      </w:r>
      <w:r w:rsidRPr="00511954">
        <w:rPr>
          <w:rFonts w:ascii="Palatino Linotype" w:hAnsi="Palatino Linotype"/>
          <w:b w:val="0"/>
        </w:rPr>
        <w:t>18-10-</w:t>
      </w:r>
      <w:r w:rsidRPr="00511954" w:rsidR="00D2403B">
        <w:rPr>
          <w:rFonts w:ascii="Palatino Linotype" w:hAnsi="Palatino Linotype"/>
          <w:b w:val="0"/>
        </w:rPr>
        <w:t xml:space="preserve">007 </w:t>
      </w:r>
      <w:r w:rsidRPr="00511954">
        <w:rPr>
          <w:rFonts w:ascii="Palatino Linotype" w:hAnsi="Palatino Linotype"/>
          <w:b w:val="0"/>
        </w:rPr>
        <w:t xml:space="preserve">to make corrections and clarifications to </w:t>
      </w:r>
      <w:r w:rsidRPr="00511954" w:rsidR="00C35CC5">
        <w:rPr>
          <w:rFonts w:ascii="Palatino Linotype" w:hAnsi="Palatino Linotype"/>
          <w:b w:val="0"/>
        </w:rPr>
        <w:t>the NEM DAC Decision</w:t>
      </w:r>
      <w:r w:rsidRPr="00511954">
        <w:rPr>
          <w:rFonts w:ascii="Palatino Linotype" w:hAnsi="Palatino Linotype"/>
          <w:b w:val="0"/>
        </w:rPr>
        <w:t xml:space="preserve">.  </w:t>
      </w:r>
    </w:p>
    <w:p w:rsidRPr="00511954" w:rsidR="00880D91" w:rsidP="00BF52AA" w:rsidRDefault="004F6F38" w14:paraId="7CF7A9F9" w14:textId="1DE96FB0">
      <w:pPr>
        <w:pStyle w:val="BodyText"/>
        <w:numPr>
          <w:ilvl w:val="0"/>
          <w:numId w:val="35"/>
        </w:numPr>
        <w:spacing w:after="120"/>
        <w:rPr>
          <w:rFonts w:ascii="Palatino Linotype" w:hAnsi="Palatino Linotype"/>
          <w:b w:val="0"/>
        </w:rPr>
      </w:pPr>
      <w:r w:rsidRPr="00511954">
        <w:rPr>
          <w:rFonts w:ascii="Palatino Linotype" w:hAnsi="Palatino Linotype"/>
          <w:b w:val="0"/>
        </w:rPr>
        <w:t xml:space="preserve">On December 19, 2018, the Commission issued </w:t>
      </w:r>
      <w:r w:rsidR="00315E47">
        <w:rPr>
          <w:rFonts w:ascii="Palatino Linotype" w:hAnsi="Palatino Linotype"/>
          <w:b w:val="0"/>
        </w:rPr>
        <w:t>D.18-12-015,</w:t>
      </w:r>
      <w:r w:rsidRPr="00511954">
        <w:rPr>
          <w:rFonts w:ascii="Palatino Linotype" w:hAnsi="Palatino Linotype"/>
          <w:b w:val="0"/>
        </w:rPr>
        <w:t xml:space="preserve"> </w:t>
      </w:r>
      <w:r w:rsidRPr="00041319" w:rsidR="00A165B3">
        <w:rPr>
          <w:rFonts w:ascii="Palatino Linotype" w:hAnsi="Palatino Linotype"/>
          <w:b w:val="0"/>
          <w:i/>
        </w:rPr>
        <w:t>Decision</w:t>
      </w:r>
      <w:r w:rsidRPr="00041319">
        <w:rPr>
          <w:rFonts w:ascii="Palatino Linotype" w:hAnsi="Palatino Linotype"/>
          <w:b w:val="0"/>
          <w:i/>
        </w:rPr>
        <w:t xml:space="preserve"> </w:t>
      </w:r>
      <w:r w:rsidRPr="00041319" w:rsidR="00F35F7B">
        <w:rPr>
          <w:rFonts w:ascii="Palatino Linotype" w:hAnsi="Palatino Linotype"/>
          <w:b w:val="0"/>
          <w:i/>
        </w:rPr>
        <w:t>A</w:t>
      </w:r>
      <w:r w:rsidRPr="00041319">
        <w:rPr>
          <w:rFonts w:ascii="Palatino Linotype" w:hAnsi="Palatino Linotype"/>
          <w:b w:val="0"/>
          <w:i/>
        </w:rPr>
        <w:t>pproving</w:t>
      </w:r>
      <w:r w:rsidRPr="00041319" w:rsidR="00A42FD3">
        <w:rPr>
          <w:rFonts w:ascii="Palatino Linotype" w:hAnsi="Palatino Linotype"/>
          <w:b w:val="0"/>
          <w:i/>
        </w:rPr>
        <w:t xml:space="preserve"> </w:t>
      </w:r>
      <w:r w:rsidRPr="00041319">
        <w:rPr>
          <w:rFonts w:ascii="Palatino Linotype" w:hAnsi="Palatino Linotype"/>
          <w:b w:val="0"/>
          <w:i/>
        </w:rPr>
        <w:t>San Joaquin Valley Disadvantaged Communities Pilot Projects</w:t>
      </w:r>
      <w:r w:rsidRPr="00511954">
        <w:rPr>
          <w:rFonts w:ascii="Palatino Linotype" w:hAnsi="Palatino Linotype"/>
          <w:b w:val="0"/>
        </w:rPr>
        <w:t xml:space="preserve">. </w:t>
      </w:r>
      <w:r w:rsidRPr="00511954" w:rsidR="00A165B3">
        <w:rPr>
          <w:rFonts w:ascii="Palatino Linotype" w:hAnsi="Palatino Linotype"/>
          <w:b w:val="0"/>
        </w:rPr>
        <w:t>Decision</w:t>
      </w:r>
      <w:r w:rsidRPr="00511954" w:rsidR="005248A3">
        <w:rPr>
          <w:rFonts w:ascii="Palatino Linotype" w:hAnsi="Palatino Linotype"/>
          <w:b w:val="0"/>
        </w:rPr>
        <w:t xml:space="preserve"> 18-12-015</w:t>
      </w:r>
      <w:r w:rsidRPr="00511954">
        <w:rPr>
          <w:rFonts w:ascii="Palatino Linotype" w:hAnsi="Palatino Linotype"/>
          <w:b w:val="0"/>
        </w:rPr>
        <w:t xml:space="preserve"> modified the locational eligibility requirements for CSGT projects serving San Joaquin Valley pilot communities.</w:t>
      </w:r>
    </w:p>
    <w:p w:rsidRPr="00511954" w:rsidR="00880D91" w:rsidP="00BF52AA" w:rsidRDefault="00880D91" w14:paraId="4440B50F" w14:textId="1F3CBC54">
      <w:pPr>
        <w:pStyle w:val="standard"/>
        <w:numPr>
          <w:ilvl w:val="0"/>
          <w:numId w:val="35"/>
        </w:numPr>
        <w:spacing w:after="120" w:line="240" w:lineRule="auto"/>
        <w:rPr>
          <w:rFonts w:ascii="Palatino Linotype" w:hAnsi="Palatino Linotype"/>
        </w:rPr>
      </w:pPr>
      <w:r w:rsidRPr="00511954">
        <w:rPr>
          <w:rFonts w:ascii="Palatino Linotype" w:hAnsi="Palatino Linotype"/>
        </w:rPr>
        <w:t>PG&amp;E filed supplemental AL 5362-E-A on February 13, 2019, SCE filed supplemental AL 3851-E-A on February 27, 2019, and SDG&amp;E filed second supplemental AL 3262-E-B on January 24, 2019</w:t>
      </w:r>
      <w:r w:rsidRPr="00511954" w:rsidR="00C35CC5">
        <w:rPr>
          <w:rFonts w:ascii="Palatino Linotype" w:hAnsi="Palatino Linotype"/>
        </w:rPr>
        <w:t>,</w:t>
      </w:r>
      <w:r w:rsidRPr="00511954" w:rsidR="00F35F7B">
        <w:rPr>
          <w:rFonts w:ascii="Palatino Linotype" w:hAnsi="Palatino Linotype"/>
        </w:rPr>
        <w:t xml:space="preserve"> to address program implementation changes directed in subsequent decisions and issues raised in the protest</w:t>
      </w:r>
      <w:r w:rsidR="003000F1">
        <w:rPr>
          <w:rFonts w:ascii="Palatino Linotype" w:hAnsi="Palatino Linotype"/>
        </w:rPr>
        <w:t xml:space="preserve"> and response</w:t>
      </w:r>
      <w:r w:rsidRPr="00511954">
        <w:rPr>
          <w:rFonts w:ascii="Palatino Linotype" w:hAnsi="Palatino Linotype"/>
        </w:rPr>
        <w:t>.</w:t>
      </w:r>
    </w:p>
    <w:p w:rsidRPr="00511954" w:rsidR="00C35CC5" w:rsidP="00BF52AA" w:rsidRDefault="00C35CC5" w14:paraId="3297F6A3" w14:textId="62ECB582">
      <w:pPr>
        <w:pStyle w:val="standard"/>
        <w:numPr>
          <w:ilvl w:val="0"/>
          <w:numId w:val="35"/>
        </w:numPr>
        <w:spacing w:after="120" w:line="240" w:lineRule="auto"/>
        <w:rPr>
          <w:rFonts w:ascii="Palatino Linotype" w:hAnsi="Palatino Linotype"/>
        </w:rPr>
      </w:pPr>
      <w:r w:rsidRPr="00511954">
        <w:rPr>
          <w:rFonts w:ascii="Palatino Linotype" w:hAnsi="Palatino Linotype"/>
        </w:rPr>
        <w:t>The NEM DAC Decision authorized community choice aggregators</w:t>
      </w:r>
      <w:r w:rsidRPr="00511954" w:rsidR="0024447A">
        <w:rPr>
          <w:rFonts w:ascii="Palatino Linotype" w:hAnsi="Palatino Linotype"/>
        </w:rPr>
        <w:t xml:space="preserve"> (CCAs)</w:t>
      </w:r>
      <w:r w:rsidRPr="00511954">
        <w:rPr>
          <w:rFonts w:ascii="Palatino Linotype" w:hAnsi="Palatino Linotype"/>
        </w:rPr>
        <w:t xml:space="preserve"> to </w:t>
      </w:r>
      <w:r w:rsidRPr="00511954" w:rsidR="006D0542">
        <w:rPr>
          <w:rFonts w:ascii="Palatino Linotype" w:hAnsi="Palatino Linotype"/>
        </w:rPr>
        <w:t xml:space="preserve">develop and implement their own </w:t>
      </w:r>
      <w:r w:rsidRPr="00511954">
        <w:rPr>
          <w:rFonts w:ascii="Palatino Linotype" w:hAnsi="Palatino Linotype"/>
        </w:rPr>
        <w:t>DAC-GT and CSGT programs</w:t>
      </w:r>
      <w:r w:rsidRPr="00511954" w:rsidR="009F67FC">
        <w:rPr>
          <w:rFonts w:ascii="Palatino Linotype" w:hAnsi="Palatino Linotype"/>
        </w:rPr>
        <w:t>,</w:t>
      </w:r>
      <w:r w:rsidRPr="00511954" w:rsidR="006D0542">
        <w:rPr>
          <w:rFonts w:ascii="Palatino Linotype" w:hAnsi="Palatino Linotype"/>
        </w:rPr>
        <w:t xml:space="preserve"> and </w:t>
      </w:r>
      <w:r w:rsidRPr="00511954" w:rsidR="009F67FC">
        <w:rPr>
          <w:rFonts w:ascii="Palatino Linotype" w:hAnsi="Palatino Linotype"/>
        </w:rPr>
        <w:t xml:space="preserve">authorized them </w:t>
      </w:r>
      <w:r w:rsidRPr="00511954" w:rsidR="006D0542">
        <w:rPr>
          <w:rFonts w:ascii="Palatino Linotype" w:hAnsi="Palatino Linotype"/>
        </w:rPr>
        <w:t xml:space="preserve">to access </w:t>
      </w:r>
      <w:r w:rsidRPr="00511954" w:rsidR="009F67FC">
        <w:rPr>
          <w:rFonts w:ascii="Palatino Linotype" w:hAnsi="Palatino Linotype"/>
        </w:rPr>
        <w:t>g</w:t>
      </w:r>
      <w:r w:rsidRPr="00511954" w:rsidR="0024447A">
        <w:rPr>
          <w:rFonts w:ascii="Palatino Linotype" w:hAnsi="Palatino Linotype"/>
        </w:rPr>
        <w:t xml:space="preserve">reenhouse </w:t>
      </w:r>
      <w:r w:rsidRPr="00511954" w:rsidR="009F67FC">
        <w:rPr>
          <w:rFonts w:ascii="Palatino Linotype" w:hAnsi="Palatino Linotype"/>
        </w:rPr>
        <w:t>g</w:t>
      </w:r>
      <w:r w:rsidRPr="00511954" w:rsidR="0024447A">
        <w:rPr>
          <w:rFonts w:ascii="Palatino Linotype" w:hAnsi="Palatino Linotype"/>
        </w:rPr>
        <w:t>as (</w:t>
      </w:r>
      <w:r w:rsidRPr="00511954" w:rsidR="006D0542">
        <w:rPr>
          <w:rFonts w:ascii="Palatino Linotype" w:hAnsi="Palatino Linotype"/>
        </w:rPr>
        <w:t>GHG</w:t>
      </w:r>
      <w:r w:rsidRPr="00511954" w:rsidR="0024447A">
        <w:rPr>
          <w:rFonts w:ascii="Palatino Linotype" w:hAnsi="Palatino Linotype"/>
        </w:rPr>
        <w:t>)</w:t>
      </w:r>
      <w:r w:rsidRPr="00511954" w:rsidR="006D0542">
        <w:rPr>
          <w:rFonts w:ascii="Palatino Linotype" w:hAnsi="Palatino Linotype"/>
        </w:rPr>
        <w:t xml:space="preserve"> allowance revenues and public purpose program funds to support these programs,</w:t>
      </w:r>
      <w:r w:rsidRPr="00511954">
        <w:rPr>
          <w:rFonts w:ascii="Palatino Linotype" w:hAnsi="Palatino Linotype"/>
        </w:rPr>
        <w:t xml:space="preserve"> if </w:t>
      </w:r>
      <w:r w:rsidRPr="00511954" w:rsidR="006D0542">
        <w:rPr>
          <w:rFonts w:ascii="Palatino Linotype" w:hAnsi="Palatino Linotype"/>
        </w:rPr>
        <w:t>each CCA submits</w:t>
      </w:r>
      <w:r w:rsidRPr="00511954">
        <w:rPr>
          <w:rFonts w:ascii="Palatino Linotype" w:hAnsi="Palatino Linotype"/>
        </w:rPr>
        <w:t xml:space="preserve"> a Tier 3 A</w:t>
      </w:r>
      <w:r w:rsidRPr="00511954" w:rsidR="006D0542">
        <w:rPr>
          <w:rFonts w:ascii="Palatino Linotype" w:hAnsi="Palatino Linotype"/>
        </w:rPr>
        <w:t xml:space="preserve">L demonstrating how their DAC-GT and CSGT programs will abide by all rules and requirements for the programs established in the NEM DAC Decision. </w:t>
      </w:r>
    </w:p>
    <w:p w:rsidRPr="00511954" w:rsidR="009F67FC" w:rsidP="00CC779B" w:rsidRDefault="009F67FC" w14:paraId="11B019F2" w14:textId="22B33251">
      <w:pPr>
        <w:pStyle w:val="standard"/>
        <w:numPr>
          <w:ilvl w:val="0"/>
          <w:numId w:val="35"/>
        </w:numPr>
        <w:spacing w:after="120" w:line="240" w:lineRule="auto"/>
        <w:rPr>
          <w:rFonts w:ascii="Palatino Linotype" w:hAnsi="Palatino Linotype"/>
        </w:rPr>
      </w:pPr>
      <w:r w:rsidRPr="00511954">
        <w:rPr>
          <w:rFonts w:ascii="Palatino Linotype" w:hAnsi="Palatino Linotype"/>
        </w:rPr>
        <w:t xml:space="preserve">The NEM DAC Decision did not provide direction on how capacity </w:t>
      </w:r>
      <w:r w:rsidRPr="00511954" w:rsidR="003E6C4D">
        <w:rPr>
          <w:rFonts w:ascii="Palatino Linotype" w:hAnsi="Palatino Linotype"/>
        </w:rPr>
        <w:t>for the DAC-GT and CSGT programs should</w:t>
      </w:r>
      <w:r w:rsidRPr="00511954">
        <w:rPr>
          <w:rFonts w:ascii="Palatino Linotype" w:hAnsi="Palatino Linotype"/>
        </w:rPr>
        <w:t xml:space="preserve"> be allocated </w:t>
      </w:r>
      <w:r w:rsidRPr="00511954" w:rsidR="003E6C4D">
        <w:rPr>
          <w:rFonts w:ascii="Palatino Linotype" w:hAnsi="Palatino Linotype"/>
        </w:rPr>
        <w:t>between PG&amp;E, SCE, and SDG&amp;E and the CCAs.</w:t>
      </w:r>
    </w:p>
    <w:p w:rsidRPr="00511954" w:rsidR="0024447A" w:rsidP="00342619" w:rsidRDefault="009F67FC" w14:paraId="1A17D6A5" w14:textId="7EC323AE">
      <w:pPr>
        <w:pStyle w:val="standard"/>
        <w:numPr>
          <w:ilvl w:val="0"/>
          <w:numId w:val="35"/>
        </w:numPr>
        <w:spacing w:after="120" w:line="240" w:lineRule="auto"/>
        <w:rPr>
          <w:rFonts w:ascii="Palatino Linotype" w:hAnsi="Palatino Linotype"/>
        </w:rPr>
      </w:pPr>
      <w:r w:rsidRPr="00511954">
        <w:rPr>
          <w:rFonts w:ascii="Palatino Linotype" w:hAnsi="Palatino Linotype"/>
        </w:rPr>
        <w:t>It is necessary for PG&amp;E, SCE</w:t>
      </w:r>
      <w:r w:rsidR="003000F1">
        <w:rPr>
          <w:rFonts w:ascii="Palatino Linotype" w:hAnsi="Palatino Linotype"/>
        </w:rPr>
        <w:t>,</w:t>
      </w:r>
      <w:r w:rsidRPr="00511954">
        <w:rPr>
          <w:rFonts w:ascii="Palatino Linotype" w:hAnsi="Palatino Linotype"/>
        </w:rPr>
        <w:t xml:space="preserve"> and SDG&amp;E to have</w:t>
      </w:r>
      <w:r w:rsidRPr="00511954" w:rsidR="0024447A">
        <w:rPr>
          <w:rFonts w:ascii="Palatino Linotype" w:hAnsi="Palatino Linotype"/>
        </w:rPr>
        <w:t xml:space="preserve"> certainty on the </w:t>
      </w:r>
      <w:r w:rsidRPr="00511954">
        <w:rPr>
          <w:rFonts w:ascii="Palatino Linotype" w:hAnsi="Palatino Linotype"/>
        </w:rPr>
        <w:t>total capacity available for their</w:t>
      </w:r>
      <w:r w:rsidRPr="00511954" w:rsidR="0024447A">
        <w:rPr>
          <w:rFonts w:ascii="Palatino Linotype" w:hAnsi="Palatino Linotype"/>
        </w:rPr>
        <w:t xml:space="preserve"> DAC-GT and CSGT programs </w:t>
      </w:r>
      <w:proofErr w:type="gramStart"/>
      <w:r w:rsidRPr="00511954" w:rsidR="0024447A">
        <w:rPr>
          <w:rFonts w:ascii="Palatino Linotype" w:hAnsi="Palatino Linotype"/>
        </w:rPr>
        <w:t xml:space="preserve">in order </w:t>
      </w:r>
      <w:r w:rsidRPr="00511954">
        <w:rPr>
          <w:rFonts w:ascii="Palatino Linotype" w:hAnsi="Palatino Linotype"/>
        </w:rPr>
        <w:t>for</w:t>
      </w:r>
      <w:proofErr w:type="gramEnd"/>
      <w:r w:rsidRPr="00511954">
        <w:rPr>
          <w:rFonts w:ascii="Palatino Linotype" w:hAnsi="Palatino Linotype"/>
        </w:rPr>
        <w:t xml:space="preserve"> them </w:t>
      </w:r>
      <w:r w:rsidRPr="00511954" w:rsidR="0024447A">
        <w:rPr>
          <w:rFonts w:ascii="Palatino Linotype" w:hAnsi="Palatino Linotype"/>
        </w:rPr>
        <w:t xml:space="preserve">to launch </w:t>
      </w:r>
      <w:r w:rsidRPr="00511954">
        <w:rPr>
          <w:rFonts w:ascii="Palatino Linotype" w:hAnsi="Palatino Linotype"/>
        </w:rPr>
        <w:t>their DAC-GT and CSGT solicitations.</w:t>
      </w:r>
    </w:p>
    <w:p w:rsidRPr="00511954" w:rsidR="00CC779B" w:rsidP="00342619" w:rsidRDefault="0024447A" w14:paraId="6C21483E" w14:textId="08A5C5D3">
      <w:pPr>
        <w:pStyle w:val="standard"/>
        <w:numPr>
          <w:ilvl w:val="0"/>
          <w:numId w:val="35"/>
        </w:numPr>
        <w:spacing w:after="120" w:line="240" w:lineRule="auto"/>
        <w:rPr>
          <w:rFonts w:ascii="Palatino Linotype" w:hAnsi="Palatino Linotype"/>
        </w:rPr>
      </w:pPr>
      <w:r w:rsidRPr="00511954">
        <w:rPr>
          <w:rFonts w:ascii="Palatino Linotype" w:hAnsi="Palatino Linotype"/>
        </w:rPr>
        <w:t>The DAC-GT and CSGT programs have geographic eligibility criteria and CCAs have clear geographic service areas</w:t>
      </w:r>
      <w:r w:rsidRPr="00511954" w:rsidR="00CC779B">
        <w:rPr>
          <w:rFonts w:ascii="Palatino Linotype" w:hAnsi="Palatino Linotype"/>
        </w:rPr>
        <w:t xml:space="preserve">. </w:t>
      </w:r>
    </w:p>
    <w:p w:rsidR="001536FC" w:rsidP="00CC779B" w:rsidRDefault="00CC779B" w14:paraId="016EE72E" w14:textId="5403346E">
      <w:pPr>
        <w:pStyle w:val="standard"/>
        <w:numPr>
          <w:ilvl w:val="0"/>
          <w:numId w:val="35"/>
        </w:numPr>
        <w:spacing w:after="120" w:line="240" w:lineRule="auto"/>
        <w:rPr>
          <w:rFonts w:ascii="Palatino Linotype" w:hAnsi="Palatino Linotype"/>
        </w:rPr>
      </w:pPr>
      <w:r w:rsidRPr="00511954">
        <w:rPr>
          <w:rFonts w:ascii="Palatino Linotype" w:hAnsi="Palatino Linotype"/>
        </w:rPr>
        <w:t xml:space="preserve">It is reasonable </w:t>
      </w:r>
      <w:r w:rsidRPr="00511954" w:rsidR="0024447A">
        <w:rPr>
          <w:rFonts w:ascii="Palatino Linotype" w:hAnsi="Palatino Linotype"/>
        </w:rPr>
        <w:t xml:space="preserve">to allocate capacity to CCAs based on the </w:t>
      </w:r>
      <w:r w:rsidRPr="00511954" w:rsidR="0024447A">
        <w:rPr>
          <w:rFonts w:ascii="Palatino Linotype" w:hAnsi="Palatino Linotype" w:cs="TimesNewRoman"/>
          <w:szCs w:val="24"/>
        </w:rPr>
        <w:t>proportional share of residential customers in DACs that each CCA serves, as this will align capacity allocation with share of residential DAC customers.</w:t>
      </w:r>
      <w:r w:rsidRPr="00511954">
        <w:rPr>
          <w:rFonts w:ascii="Palatino Linotype" w:hAnsi="Palatino Linotype" w:cs="TimesNewRoman"/>
          <w:szCs w:val="24"/>
        </w:rPr>
        <w:t xml:space="preserve"> This allocation is set out in</w:t>
      </w:r>
      <w:r w:rsidRPr="00511954" w:rsidR="001536FC">
        <w:rPr>
          <w:rFonts w:ascii="Palatino Linotype" w:hAnsi="Palatino Linotype"/>
        </w:rPr>
        <w:t xml:space="preserve"> Table 1 and Table 2 in this Resolution.</w:t>
      </w:r>
    </w:p>
    <w:p w:rsidRPr="00806DFF" w:rsidR="00806DFF" w:rsidP="00806DFF" w:rsidRDefault="00806DFF" w14:paraId="19FF4FD5" w14:textId="38E66F30">
      <w:pPr>
        <w:pStyle w:val="standard"/>
        <w:numPr>
          <w:ilvl w:val="0"/>
          <w:numId w:val="35"/>
        </w:numPr>
        <w:spacing w:after="120" w:line="240" w:lineRule="auto"/>
        <w:rPr>
          <w:rFonts w:ascii="Palatino Linotype" w:hAnsi="Palatino Linotype"/>
        </w:rPr>
      </w:pPr>
      <w:r w:rsidRPr="00806DFF">
        <w:rPr>
          <w:rFonts w:ascii="Palatino Linotype" w:hAnsi="Palatino Linotype"/>
        </w:rPr>
        <w:t xml:space="preserve">To provide CCAs flexibility in approaching implementation of their DAC-GT or CSGT programs, </w:t>
      </w:r>
      <w:r>
        <w:rPr>
          <w:rFonts w:ascii="Palatino Linotype" w:hAnsi="Palatino Linotype"/>
        </w:rPr>
        <w:t xml:space="preserve">it is reasonable to </w:t>
      </w:r>
      <w:r w:rsidRPr="00806DFF">
        <w:rPr>
          <w:rFonts w:ascii="Palatino Linotype" w:hAnsi="Palatino Linotype"/>
        </w:rPr>
        <w:t>allow CCAs</w:t>
      </w:r>
      <w:r w:rsidR="008C5C25">
        <w:rPr>
          <w:rFonts w:ascii="Palatino Linotype" w:hAnsi="Palatino Linotype"/>
        </w:rPr>
        <w:t xml:space="preserve"> that </w:t>
      </w:r>
      <w:r w:rsidRPr="00806DFF">
        <w:rPr>
          <w:rFonts w:ascii="Palatino Linotype" w:hAnsi="Palatino Linotype"/>
        </w:rPr>
        <w:t>serve customers that are served by the same IOU to share and/or trade program capacity</w:t>
      </w:r>
      <w:r>
        <w:rPr>
          <w:rFonts w:ascii="Palatino Linotype" w:hAnsi="Palatino Linotype"/>
        </w:rPr>
        <w:t xml:space="preserve"> as described in this Resolution</w:t>
      </w:r>
      <w:r w:rsidRPr="00806DFF">
        <w:rPr>
          <w:rFonts w:ascii="Palatino Linotype" w:hAnsi="Palatino Linotype"/>
        </w:rPr>
        <w:t xml:space="preserve">. </w:t>
      </w:r>
    </w:p>
    <w:p w:rsidRPr="00511954" w:rsidR="00C35CC5" w:rsidP="00BF52AA" w:rsidRDefault="00C35CC5" w14:paraId="599E577D" w14:textId="64A6BC3E">
      <w:pPr>
        <w:pStyle w:val="standard"/>
        <w:numPr>
          <w:ilvl w:val="0"/>
          <w:numId w:val="35"/>
        </w:numPr>
        <w:spacing w:after="120" w:line="240" w:lineRule="auto"/>
        <w:rPr>
          <w:rFonts w:ascii="Palatino Linotype" w:hAnsi="Palatino Linotype"/>
        </w:rPr>
      </w:pPr>
      <w:r w:rsidRPr="00511954">
        <w:rPr>
          <w:rFonts w:ascii="Palatino Linotype" w:hAnsi="Palatino Linotype"/>
        </w:rPr>
        <w:t>It is unclear</w:t>
      </w:r>
      <w:r w:rsidRPr="00511954" w:rsidR="003E6C4D">
        <w:rPr>
          <w:rFonts w:ascii="Palatino Linotype" w:hAnsi="Palatino Linotype"/>
        </w:rPr>
        <w:t xml:space="preserve"> at this time</w:t>
      </w:r>
      <w:r w:rsidRPr="00511954">
        <w:rPr>
          <w:rFonts w:ascii="Palatino Linotype" w:hAnsi="Palatino Linotype"/>
        </w:rPr>
        <w:t xml:space="preserve"> </w:t>
      </w:r>
      <w:r w:rsidR="00315E47">
        <w:rPr>
          <w:rFonts w:ascii="Palatino Linotype" w:hAnsi="Palatino Linotype"/>
        </w:rPr>
        <w:t>whether and to what extent</w:t>
      </w:r>
      <w:r w:rsidRPr="00511954">
        <w:rPr>
          <w:rFonts w:ascii="Palatino Linotype" w:hAnsi="Palatino Linotype"/>
        </w:rPr>
        <w:t xml:space="preserve"> CCAs will be interested in offering their own DAC-GT and CSGT programs.</w:t>
      </w:r>
    </w:p>
    <w:p w:rsidRPr="00511954" w:rsidR="001536FC" w:rsidP="000113CA" w:rsidRDefault="003E6C4D" w14:paraId="16A78450" w14:textId="09EFCF50">
      <w:pPr>
        <w:pStyle w:val="standard"/>
        <w:numPr>
          <w:ilvl w:val="0"/>
          <w:numId w:val="35"/>
        </w:numPr>
        <w:spacing w:after="120" w:line="240" w:lineRule="auto"/>
        <w:rPr>
          <w:rFonts w:ascii="Palatino Linotype" w:hAnsi="Palatino Linotype"/>
        </w:rPr>
      </w:pPr>
      <w:r w:rsidRPr="00511954">
        <w:rPr>
          <w:rFonts w:ascii="Palatino Linotype" w:hAnsi="Palatino Linotype"/>
        </w:rPr>
        <w:t xml:space="preserve">To ensure that capacity </w:t>
      </w:r>
      <w:r w:rsidRPr="00511954" w:rsidR="00315E47">
        <w:rPr>
          <w:rFonts w:ascii="Palatino Linotype" w:hAnsi="Palatino Linotype"/>
        </w:rPr>
        <w:t xml:space="preserve">that could otherwise serve eligible customers </w:t>
      </w:r>
      <w:r w:rsidRPr="00511954">
        <w:rPr>
          <w:rFonts w:ascii="Palatino Linotype" w:hAnsi="Palatino Linotype"/>
        </w:rPr>
        <w:t>does not go unsubscribed, i</w:t>
      </w:r>
      <w:r w:rsidRPr="00511954" w:rsidR="001536FC">
        <w:rPr>
          <w:rFonts w:ascii="Palatino Linotype" w:hAnsi="Palatino Linotype"/>
        </w:rPr>
        <w:t xml:space="preserve">t is reasonable to establish a </w:t>
      </w:r>
      <w:proofErr w:type="spellStart"/>
      <w:r w:rsidRPr="00511954" w:rsidR="001536FC">
        <w:rPr>
          <w:rFonts w:ascii="Palatino Linotype" w:hAnsi="Palatino Linotype"/>
        </w:rPr>
        <w:t>clawback</w:t>
      </w:r>
      <w:proofErr w:type="spellEnd"/>
      <w:r w:rsidRPr="00511954" w:rsidR="001536FC">
        <w:rPr>
          <w:rFonts w:ascii="Palatino Linotype" w:hAnsi="Palatino Linotype"/>
        </w:rPr>
        <w:t xml:space="preserve"> provision such that</w:t>
      </w:r>
      <w:r w:rsidR="000113CA">
        <w:rPr>
          <w:rFonts w:ascii="Palatino Linotype" w:hAnsi="Palatino Linotype"/>
        </w:rPr>
        <w:t>,</w:t>
      </w:r>
      <w:r w:rsidRPr="000113CA" w:rsidR="000113CA">
        <w:rPr>
          <w:rFonts w:ascii="Palatino Linotype" w:hAnsi="Palatino Linotype"/>
        </w:rPr>
        <w:t xml:space="preserve"> if the Commission deems appropriate,</w:t>
      </w:r>
      <w:r w:rsidRPr="00511954" w:rsidR="001536FC">
        <w:rPr>
          <w:rFonts w:ascii="Palatino Linotype" w:hAnsi="Palatino Linotype"/>
        </w:rPr>
        <w:t xml:space="preserve"> the program capacity allocated to </w:t>
      </w:r>
      <w:r w:rsidRPr="00511954">
        <w:rPr>
          <w:rFonts w:ascii="Palatino Linotype" w:hAnsi="Palatino Linotype"/>
        </w:rPr>
        <w:t>a</w:t>
      </w:r>
      <w:r w:rsidRPr="00511954" w:rsidR="00F35F7B">
        <w:rPr>
          <w:rFonts w:ascii="Palatino Linotype" w:hAnsi="Palatino Linotype"/>
        </w:rPr>
        <w:t xml:space="preserve"> </w:t>
      </w:r>
      <w:r w:rsidRPr="00511954" w:rsidR="001536FC">
        <w:rPr>
          <w:rFonts w:ascii="Palatino Linotype" w:hAnsi="Palatino Linotype"/>
        </w:rPr>
        <w:t xml:space="preserve">CCA in Table 1 and Table 2 of this Resolution </w:t>
      </w:r>
      <w:r w:rsidR="000113CA">
        <w:rPr>
          <w:rFonts w:ascii="Palatino Linotype" w:hAnsi="Palatino Linotype"/>
        </w:rPr>
        <w:t>shall</w:t>
      </w:r>
      <w:r w:rsidRPr="00511954" w:rsidR="000113CA">
        <w:rPr>
          <w:rFonts w:ascii="Palatino Linotype" w:hAnsi="Palatino Linotype"/>
        </w:rPr>
        <w:t xml:space="preserve"> </w:t>
      </w:r>
      <w:r w:rsidRPr="00511954" w:rsidR="001536FC">
        <w:rPr>
          <w:rFonts w:ascii="Palatino Linotype" w:hAnsi="Palatino Linotype"/>
        </w:rPr>
        <w:t xml:space="preserve">revert back to </w:t>
      </w:r>
      <w:r w:rsidRPr="00511954">
        <w:rPr>
          <w:rFonts w:ascii="Palatino Linotype" w:hAnsi="Palatino Linotype"/>
        </w:rPr>
        <w:t>PG&amp;E, SCE</w:t>
      </w:r>
      <w:r w:rsidR="008C5C25">
        <w:rPr>
          <w:rFonts w:ascii="Palatino Linotype" w:hAnsi="Palatino Linotype"/>
        </w:rPr>
        <w:t>,</w:t>
      </w:r>
      <w:r w:rsidRPr="00511954">
        <w:rPr>
          <w:rFonts w:ascii="Palatino Linotype" w:hAnsi="Palatino Linotype"/>
        </w:rPr>
        <w:t xml:space="preserve"> and SDG&amp;E</w:t>
      </w:r>
      <w:r w:rsidRPr="00511954" w:rsidR="001536FC">
        <w:rPr>
          <w:rFonts w:ascii="Palatino Linotype" w:hAnsi="Palatino Linotype"/>
        </w:rPr>
        <w:t xml:space="preserve"> if </w:t>
      </w:r>
      <w:r w:rsidRPr="00511954" w:rsidR="00F35F7B">
        <w:rPr>
          <w:rFonts w:ascii="Palatino Linotype" w:hAnsi="Palatino Linotype"/>
        </w:rPr>
        <w:t xml:space="preserve">the </w:t>
      </w:r>
      <w:r w:rsidRPr="00511954" w:rsidR="001536FC">
        <w:rPr>
          <w:rFonts w:ascii="Palatino Linotype" w:hAnsi="Palatino Linotype"/>
        </w:rPr>
        <w:t>CCA do</w:t>
      </w:r>
      <w:r w:rsidRPr="00511954">
        <w:rPr>
          <w:rFonts w:ascii="Palatino Linotype" w:hAnsi="Palatino Linotype"/>
        </w:rPr>
        <w:t>es</w:t>
      </w:r>
      <w:r w:rsidRPr="00511954" w:rsidR="001536FC">
        <w:rPr>
          <w:rFonts w:ascii="Palatino Linotype" w:hAnsi="Palatino Linotype"/>
        </w:rPr>
        <w:t xml:space="preserve"> not file </w:t>
      </w:r>
      <w:r w:rsidRPr="00511954">
        <w:rPr>
          <w:rFonts w:ascii="Palatino Linotype" w:hAnsi="Palatino Linotype"/>
        </w:rPr>
        <w:t xml:space="preserve">a </w:t>
      </w:r>
      <w:r w:rsidRPr="00511954" w:rsidR="001536FC">
        <w:rPr>
          <w:rFonts w:ascii="Palatino Linotype" w:hAnsi="Palatino Linotype"/>
        </w:rPr>
        <w:t xml:space="preserve">Tier 3 AL </w:t>
      </w:r>
      <w:r w:rsidRPr="00511954" w:rsidR="00F35F7B">
        <w:rPr>
          <w:rFonts w:ascii="Palatino Linotype" w:hAnsi="Palatino Linotype"/>
        </w:rPr>
        <w:t xml:space="preserve">by January 1, 2021 </w:t>
      </w:r>
      <w:r w:rsidRPr="00511954" w:rsidR="001536FC">
        <w:rPr>
          <w:rFonts w:ascii="Palatino Linotype" w:hAnsi="Palatino Linotype"/>
        </w:rPr>
        <w:t xml:space="preserve">detailing </w:t>
      </w:r>
      <w:r w:rsidRPr="00511954">
        <w:rPr>
          <w:rFonts w:ascii="Palatino Linotype" w:hAnsi="Palatino Linotype"/>
        </w:rPr>
        <w:t>its</w:t>
      </w:r>
      <w:r w:rsidRPr="00511954" w:rsidR="001536FC">
        <w:rPr>
          <w:rFonts w:ascii="Palatino Linotype" w:hAnsi="Palatino Linotype"/>
        </w:rPr>
        <w:t xml:space="preserve"> plan to implement DAC-GT and CSGT programs and stating the capacity </w:t>
      </w:r>
      <w:r w:rsidRPr="00511954">
        <w:rPr>
          <w:rFonts w:ascii="Palatino Linotype" w:hAnsi="Palatino Linotype"/>
        </w:rPr>
        <w:t>it</w:t>
      </w:r>
      <w:r w:rsidRPr="00511954" w:rsidR="001536FC">
        <w:rPr>
          <w:rFonts w:ascii="Palatino Linotype" w:hAnsi="Palatino Linotype"/>
        </w:rPr>
        <w:t xml:space="preserve"> will procure for each prog</w:t>
      </w:r>
      <w:r w:rsidRPr="00511954" w:rsidR="00F35F7B">
        <w:rPr>
          <w:rFonts w:ascii="Palatino Linotype" w:hAnsi="Palatino Linotype"/>
        </w:rPr>
        <w:t>ram</w:t>
      </w:r>
      <w:r w:rsidRPr="00511954" w:rsidR="001536FC">
        <w:rPr>
          <w:rFonts w:ascii="Palatino Linotype" w:hAnsi="Palatino Linotype"/>
        </w:rPr>
        <w:t xml:space="preserve">. </w:t>
      </w:r>
    </w:p>
    <w:p w:rsidRPr="00511954" w:rsidR="001536FC" w:rsidP="00BF52AA" w:rsidRDefault="003E6C4D" w14:paraId="338BB82C" w14:textId="4FF0DF57">
      <w:pPr>
        <w:pStyle w:val="standard"/>
        <w:numPr>
          <w:ilvl w:val="0"/>
          <w:numId w:val="35"/>
        </w:numPr>
        <w:spacing w:after="120" w:line="240" w:lineRule="auto"/>
        <w:rPr>
          <w:rFonts w:ascii="Palatino Linotype" w:hAnsi="Palatino Linotype"/>
        </w:rPr>
      </w:pPr>
      <w:r w:rsidRPr="00511954">
        <w:rPr>
          <w:rFonts w:ascii="Palatino Linotype" w:hAnsi="Palatino Linotype"/>
        </w:rPr>
        <w:t>The NEM DAC Decision requires PG&amp;E, SCE</w:t>
      </w:r>
      <w:r w:rsidR="008C5C25">
        <w:rPr>
          <w:rFonts w:ascii="Palatino Linotype" w:hAnsi="Palatino Linotype"/>
        </w:rPr>
        <w:t>,</w:t>
      </w:r>
      <w:r w:rsidRPr="00511954">
        <w:rPr>
          <w:rFonts w:ascii="Palatino Linotype" w:hAnsi="Palatino Linotype"/>
        </w:rPr>
        <w:t xml:space="preserve"> and SDG&amp;E</w:t>
      </w:r>
      <w:r w:rsidRPr="00511954" w:rsidR="00690F96">
        <w:rPr>
          <w:rFonts w:ascii="Palatino Linotype" w:hAnsi="Palatino Linotype"/>
        </w:rPr>
        <w:t xml:space="preserve"> to</w:t>
      </w:r>
      <w:r w:rsidRPr="00511954" w:rsidR="00CC779B">
        <w:rPr>
          <w:rFonts w:ascii="Palatino Linotype" w:hAnsi="Palatino Linotype"/>
        </w:rPr>
        <w:t xml:space="preserve"> file an </w:t>
      </w:r>
      <w:r w:rsidRPr="00511954" w:rsidR="001536FC">
        <w:rPr>
          <w:rFonts w:ascii="Palatino Linotype" w:hAnsi="Palatino Linotype"/>
        </w:rPr>
        <w:t xml:space="preserve">application for review of </w:t>
      </w:r>
      <w:r w:rsidR="00315E47">
        <w:rPr>
          <w:rFonts w:ascii="Palatino Linotype" w:hAnsi="Palatino Linotype"/>
        </w:rPr>
        <w:t>their</w:t>
      </w:r>
      <w:r w:rsidRPr="00511954" w:rsidR="00315E47">
        <w:rPr>
          <w:rFonts w:ascii="Palatino Linotype" w:hAnsi="Palatino Linotype"/>
        </w:rPr>
        <w:t xml:space="preserve"> </w:t>
      </w:r>
      <w:r w:rsidRPr="00511954" w:rsidR="001536FC">
        <w:rPr>
          <w:rFonts w:ascii="Palatino Linotype" w:hAnsi="Palatino Linotype"/>
        </w:rPr>
        <w:t>DAC-GT and CSGT programs no later than January 1, 2021.</w:t>
      </w:r>
    </w:p>
    <w:p w:rsidRPr="00511954" w:rsidR="00CC779B" w:rsidP="00BF52AA" w:rsidRDefault="006311EE" w14:paraId="076488B1" w14:textId="3181C759">
      <w:pPr>
        <w:pStyle w:val="standard"/>
        <w:numPr>
          <w:ilvl w:val="0"/>
          <w:numId w:val="35"/>
        </w:numPr>
        <w:spacing w:after="120" w:line="240" w:lineRule="auto"/>
        <w:rPr>
          <w:rFonts w:ascii="Palatino Linotype" w:hAnsi="Palatino Linotype"/>
        </w:rPr>
      </w:pPr>
      <w:r w:rsidRPr="00511954">
        <w:rPr>
          <w:rFonts w:ascii="Palatino Linotype" w:hAnsi="Palatino Linotype"/>
        </w:rPr>
        <w:t xml:space="preserve">To ensure that capacity </w:t>
      </w:r>
      <w:r w:rsidRPr="00511954" w:rsidR="00315E47">
        <w:rPr>
          <w:rFonts w:ascii="Palatino Linotype" w:hAnsi="Palatino Linotype"/>
        </w:rPr>
        <w:t xml:space="preserve">that could otherwise serve eligible customers </w:t>
      </w:r>
      <w:r w:rsidRPr="00511954">
        <w:rPr>
          <w:rFonts w:ascii="Palatino Linotype" w:hAnsi="Palatino Linotype"/>
        </w:rPr>
        <w:t xml:space="preserve">does not go unsubscribed, </w:t>
      </w:r>
      <w:r w:rsidRPr="00511954">
        <w:rPr>
          <w:rFonts w:ascii="Palatino Linotype" w:hAnsi="Palatino Linotype" w:cs="TimesNewRoman"/>
          <w:szCs w:val="24"/>
        </w:rPr>
        <w:t>i</w:t>
      </w:r>
      <w:r w:rsidRPr="00511954" w:rsidR="00CC779B">
        <w:rPr>
          <w:rFonts w:ascii="Palatino Linotype" w:hAnsi="Palatino Linotype" w:cs="TimesNewRoman"/>
          <w:szCs w:val="24"/>
        </w:rPr>
        <w:t>t is reasonable</w:t>
      </w:r>
      <w:r w:rsidR="00315E47">
        <w:rPr>
          <w:rFonts w:ascii="Palatino Linotype" w:hAnsi="Palatino Linotype" w:cs="TimesNewRoman"/>
          <w:szCs w:val="24"/>
        </w:rPr>
        <w:t xml:space="preserve"> for the Commission</w:t>
      </w:r>
      <w:r w:rsidRPr="00511954" w:rsidR="00CC779B">
        <w:rPr>
          <w:rFonts w:ascii="Palatino Linotype" w:hAnsi="Palatino Linotype" w:cs="TimesNewRoman"/>
          <w:szCs w:val="24"/>
        </w:rPr>
        <w:t xml:space="preserve"> to determine</w:t>
      </w:r>
      <w:r w:rsidRPr="00511954" w:rsidR="00CC779B">
        <w:rPr>
          <w:rFonts w:ascii="Palatino Linotype" w:hAnsi="Palatino Linotype" w:cs="TimesNewRoman"/>
          <w:b/>
          <w:szCs w:val="24"/>
        </w:rPr>
        <w:t xml:space="preserve"> </w:t>
      </w:r>
      <w:r w:rsidRPr="00511954" w:rsidR="00CC779B">
        <w:rPr>
          <w:rFonts w:ascii="Palatino Linotype" w:hAnsi="Palatino Linotype" w:cs="TimesNewRoman"/>
          <w:szCs w:val="24"/>
        </w:rPr>
        <w:t>whether</w:t>
      </w:r>
      <w:r w:rsidRPr="00511954" w:rsidR="00CC779B">
        <w:rPr>
          <w:rFonts w:ascii="Palatino Linotype" w:hAnsi="Palatino Linotype"/>
        </w:rPr>
        <w:t xml:space="preserve"> it is appropriate and necessary to use the CCA capacity </w:t>
      </w:r>
      <w:proofErr w:type="spellStart"/>
      <w:r w:rsidRPr="00511954" w:rsidR="00CC779B">
        <w:rPr>
          <w:rFonts w:ascii="Palatino Linotype" w:hAnsi="Palatino Linotype"/>
        </w:rPr>
        <w:t>clawback</w:t>
      </w:r>
      <w:proofErr w:type="spellEnd"/>
      <w:r w:rsidRPr="00511954" w:rsidR="00CC779B">
        <w:rPr>
          <w:rFonts w:ascii="Palatino Linotype" w:hAnsi="Palatino Linotype"/>
        </w:rPr>
        <w:t xml:space="preserve"> provision through </w:t>
      </w:r>
      <w:r w:rsidRPr="00511954" w:rsidR="00D60D0D">
        <w:rPr>
          <w:rFonts w:ascii="Palatino Linotype" w:hAnsi="Palatino Linotype"/>
        </w:rPr>
        <w:t>PG&amp;E’s, SCE’s, and SDG&amp;E’s</w:t>
      </w:r>
      <w:r w:rsidRPr="00511954" w:rsidR="00CC779B">
        <w:rPr>
          <w:rFonts w:ascii="Palatino Linotype" w:hAnsi="Palatino Linotype"/>
        </w:rPr>
        <w:t xml:space="preserve"> application</w:t>
      </w:r>
      <w:r w:rsidRPr="00511954" w:rsidR="00D60D0D">
        <w:rPr>
          <w:rFonts w:ascii="Palatino Linotype" w:hAnsi="Palatino Linotype"/>
        </w:rPr>
        <w:t>s</w:t>
      </w:r>
      <w:r w:rsidRPr="00511954" w:rsidR="00CC779B">
        <w:rPr>
          <w:rFonts w:ascii="Palatino Linotype" w:hAnsi="Palatino Linotype"/>
        </w:rPr>
        <w:t xml:space="preserve"> for review of the DAC-GT and CSGT programs. </w:t>
      </w:r>
    </w:p>
    <w:p w:rsidRPr="00511954" w:rsidR="00E34884" w:rsidP="00BF52AA" w:rsidRDefault="00E34884" w14:paraId="0DE61BED" w14:textId="66B4FE0B">
      <w:pPr>
        <w:pStyle w:val="standard"/>
        <w:numPr>
          <w:ilvl w:val="0"/>
          <w:numId w:val="35"/>
        </w:numPr>
        <w:spacing w:after="120" w:line="240" w:lineRule="auto"/>
        <w:rPr>
          <w:rFonts w:ascii="Palatino Linotype" w:hAnsi="Palatino Linotype"/>
        </w:rPr>
      </w:pPr>
      <w:r w:rsidRPr="00511954">
        <w:rPr>
          <w:rFonts w:ascii="Palatino Linotype" w:hAnsi="Palatino Linotype"/>
        </w:rPr>
        <w:t xml:space="preserve">If conflicts are identified between </w:t>
      </w:r>
      <w:r w:rsidRPr="00511954" w:rsidR="00D43E2C">
        <w:rPr>
          <w:rFonts w:ascii="Palatino Linotype" w:hAnsi="Palatino Linotype"/>
        </w:rPr>
        <w:t>PG&amp;E’s, SCE’s</w:t>
      </w:r>
      <w:r w:rsidR="008C5C25">
        <w:rPr>
          <w:rFonts w:ascii="Palatino Linotype" w:hAnsi="Palatino Linotype"/>
        </w:rPr>
        <w:t>,</w:t>
      </w:r>
      <w:r w:rsidRPr="00511954" w:rsidR="00D43E2C">
        <w:rPr>
          <w:rFonts w:ascii="Palatino Linotype" w:hAnsi="Palatino Linotype"/>
        </w:rPr>
        <w:t xml:space="preserve"> and SDG&amp;E’s</w:t>
      </w:r>
      <w:r w:rsidRPr="00511954">
        <w:rPr>
          <w:rFonts w:ascii="Palatino Linotype" w:hAnsi="Palatino Linotype"/>
        </w:rPr>
        <w:t xml:space="preserve"> </w:t>
      </w:r>
      <w:r w:rsidRPr="00511954" w:rsidR="00D43E2C">
        <w:rPr>
          <w:rFonts w:ascii="Palatino Linotype" w:hAnsi="Palatino Linotype"/>
        </w:rPr>
        <w:t xml:space="preserve">approved </w:t>
      </w:r>
      <w:r w:rsidRPr="00511954">
        <w:rPr>
          <w:rFonts w:ascii="Palatino Linotype" w:hAnsi="Palatino Linotype"/>
        </w:rPr>
        <w:t>implementation plans and a</w:t>
      </w:r>
      <w:r w:rsidRPr="00511954" w:rsidR="00D43E2C">
        <w:rPr>
          <w:rFonts w:ascii="Palatino Linotype" w:hAnsi="Palatino Linotype"/>
        </w:rPr>
        <w:t xml:space="preserve"> </w:t>
      </w:r>
      <w:r w:rsidRPr="00511954">
        <w:rPr>
          <w:rFonts w:ascii="Palatino Linotype" w:hAnsi="Palatino Linotype"/>
        </w:rPr>
        <w:t xml:space="preserve">CCA’s program implementation plan, </w:t>
      </w:r>
      <w:r w:rsidRPr="00511954" w:rsidR="00D43E2C">
        <w:rPr>
          <w:rFonts w:ascii="Palatino Linotype" w:hAnsi="Palatino Linotype"/>
        </w:rPr>
        <w:t>it is reasonable to</w:t>
      </w:r>
      <w:r w:rsidRPr="00511954">
        <w:rPr>
          <w:rFonts w:ascii="Palatino Linotype" w:hAnsi="Palatino Linotype"/>
        </w:rPr>
        <w:t xml:space="preserve"> addres</w:t>
      </w:r>
      <w:r w:rsidRPr="00511954" w:rsidR="00D43E2C">
        <w:rPr>
          <w:rFonts w:ascii="Palatino Linotype" w:hAnsi="Palatino Linotype"/>
        </w:rPr>
        <w:t>s them</w:t>
      </w:r>
      <w:r w:rsidRPr="00511954">
        <w:rPr>
          <w:rFonts w:ascii="Palatino Linotype" w:hAnsi="Palatino Linotype"/>
        </w:rPr>
        <w:t xml:space="preserve"> in the resolution </w:t>
      </w:r>
      <w:r w:rsidRPr="00511954" w:rsidR="00D43E2C">
        <w:rPr>
          <w:rFonts w:ascii="Palatino Linotype" w:hAnsi="Palatino Linotype"/>
        </w:rPr>
        <w:t>disposing of</w:t>
      </w:r>
      <w:r w:rsidRPr="00511954">
        <w:rPr>
          <w:rFonts w:ascii="Palatino Linotype" w:hAnsi="Palatino Linotype"/>
        </w:rPr>
        <w:t xml:space="preserve"> the CCA’s Tier 3 </w:t>
      </w:r>
      <w:r w:rsidRPr="00511954" w:rsidR="00D43E2C">
        <w:rPr>
          <w:rFonts w:ascii="Palatino Linotype" w:hAnsi="Palatino Linotype"/>
        </w:rPr>
        <w:t xml:space="preserve">implementation plan </w:t>
      </w:r>
      <w:r w:rsidRPr="00511954">
        <w:rPr>
          <w:rFonts w:ascii="Palatino Linotype" w:hAnsi="Palatino Linotype"/>
        </w:rPr>
        <w:t>AL</w:t>
      </w:r>
      <w:r w:rsidRPr="00511954" w:rsidR="00D43E2C">
        <w:rPr>
          <w:rFonts w:ascii="Palatino Linotype" w:hAnsi="Palatino Linotype"/>
        </w:rPr>
        <w:t>.</w:t>
      </w:r>
    </w:p>
    <w:p w:rsidRPr="00511954" w:rsidR="006A3C0C" w:rsidP="00BF52AA" w:rsidRDefault="00172221" w14:paraId="0583D5A4" w14:textId="5AA22FCC">
      <w:pPr>
        <w:pStyle w:val="standard"/>
        <w:numPr>
          <w:ilvl w:val="0"/>
          <w:numId w:val="35"/>
        </w:numPr>
        <w:spacing w:after="120" w:line="240" w:lineRule="auto"/>
        <w:rPr>
          <w:rFonts w:ascii="Palatino Linotype" w:hAnsi="Palatino Linotype"/>
        </w:rPr>
      </w:pPr>
      <w:r w:rsidRPr="00511954">
        <w:rPr>
          <w:rFonts w:ascii="Palatino Linotype" w:hAnsi="Palatino Linotype" w:cs="TimesNewRoman"/>
          <w:szCs w:val="24"/>
        </w:rPr>
        <w:t>The NEM DAC Decision</w:t>
      </w:r>
      <w:r w:rsidRPr="00511954" w:rsidR="006A3C0C">
        <w:rPr>
          <w:rFonts w:ascii="Palatino Linotype" w:hAnsi="Palatino Linotype" w:cs="TimesNewRoman"/>
          <w:szCs w:val="24"/>
        </w:rPr>
        <w:t xml:space="preserve"> is clear that </w:t>
      </w:r>
      <w:r w:rsidRPr="00511954">
        <w:rPr>
          <w:rFonts w:ascii="Palatino Linotype" w:hAnsi="Palatino Linotype" w:cs="TimesNewRoman"/>
          <w:szCs w:val="24"/>
        </w:rPr>
        <w:t>greenhouse gas (</w:t>
      </w:r>
      <w:r w:rsidRPr="00511954" w:rsidR="006A3C0C">
        <w:rPr>
          <w:rFonts w:ascii="Palatino Linotype" w:hAnsi="Palatino Linotype" w:cs="TimesNewRoman"/>
          <w:szCs w:val="24"/>
        </w:rPr>
        <w:t>GHG</w:t>
      </w:r>
      <w:r w:rsidRPr="00511954">
        <w:rPr>
          <w:rFonts w:ascii="Palatino Linotype" w:hAnsi="Palatino Linotype" w:cs="TimesNewRoman"/>
          <w:szCs w:val="24"/>
        </w:rPr>
        <w:t>)</w:t>
      </w:r>
      <w:r w:rsidRPr="00511954" w:rsidR="006A3C0C">
        <w:rPr>
          <w:rFonts w:ascii="Palatino Linotype" w:hAnsi="Palatino Linotype" w:cs="TimesNewRoman"/>
          <w:szCs w:val="24"/>
        </w:rPr>
        <w:t xml:space="preserve"> </w:t>
      </w:r>
      <w:r w:rsidRPr="00511954" w:rsidR="007F7A32">
        <w:rPr>
          <w:rFonts w:ascii="Palatino Linotype" w:hAnsi="Palatino Linotype" w:cs="TimesNewRoman"/>
          <w:szCs w:val="24"/>
        </w:rPr>
        <w:t>allowance proceeds</w:t>
      </w:r>
      <w:r w:rsidRPr="00511954" w:rsidR="006A3C0C">
        <w:rPr>
          <w:rFonts w:ascii="Palatino Linotype" w:hAnsi="Palatino Linotype" w:cs="TimesNewRoman"/>
          <w:szCs w:val="24"/>
        </w:rPr>
        <w:t xml:space="preserve"> and public purpose program funds can be used to fund DAC-GT and CSGT projects in any qualified DAC within an IOU</w:t>
      </w:r>
      <w:r w:rsidRPr="00511954">
        <w:rPr>
          <w:rFonts w:ascii="Palatino Linotype" w:hAnsi="Palatino Linotype" w:cs="TimesNewRoman"/>
          <w:szCs w:val="24"/>
        </w:rPr>
        <w:t>’</w:t>
      </w:r>
      <w:r w:rsidRPr="00511954" w:rsidR="006A3C0C">
        <w:rPr>
          <w:rFonts w:ascii="Palatino Linotype" w:hAnsi="Palatino Linotype" w:cs="TimesNewRoman"/>
          <w:szCs w:val="24"/>
        </w:rPr>
        <w:t>s service territory</w:t>
      </w:r>
      <w:r w:rsidRPr="00511954" w:rsidR="00E34884">
        <w:rPr>
          <w:rFonts w:ascii="Palatino Linotype" w:hAnsi="Palatino Linotype" w:cs="TimesNewRoman"/>
          <w:szCs w:val="24"/>
        </w:rPr>
        <w:t xml:space="preserve">, regardless of whether the Power Purchase Agreement for the project is held by </w:t>
      </w:r>
      <w:r w:rsidRPr="00511954" w:rsidR="00D66DFD">
        <w:rPr>
          <w:rFonts w:ascii="Palatino Linotype" w:hAnsi="Palatino Linotype" w:cs="TimesNewRoman"/>
          <w:szCs w:val="24"/>
        </w:rPr>
        <w:t>a</w:t>
      </w:r>
      <w:r w:rsidRPr="00511954" w:rsidR="00E34884">
        <w:rPr>
          <w:rFonts w:ascii="Palatino Linotype" w:hAnsi="Palatino Linotype" w:cs="TimesNewRoman"/>
          <w:szCs w:val="24"/>
        </w:rPr>
        <w:t xml:space="preserve"> </w:t>
      </w:r>
      <w:r w:rsidRPr="00511954" w:rsidR="00D66DFD">
        <w:rPr>
          <w:rFonts w:ascii="Palatino Linotype" w:hAnsi="Palatino Linotype" w:cs="TimesNewRoman"/>
          <w:szCs w:val="24"/>
        </w:rPr>
        <w:t>utility</w:t>
      </w:r>
      <w:r w:rsidRPr="00511954" w:rsidR="00E34884">
        <w:rPr>
          <w:rFonts w:ascii="Palatino Linotype" w:hAnsi="Palatino Linotype" w:cs="TimesNewRoman"/>
          <w:szCs w:val="24"/>
        </w:rPr>
        <w:t xml:space="preserve"> or by a CCA</w:t>
      </w:r>
      <w:r w:rsidRPr="00511954" w:rsidR="006A3C0C">
        <w:rPr>
          <w:rFonts w:ascii="Palatino Linotype" w:hAnsi="Palatino Linotype" w:cs="TimesNewRoman"/>
          <w:szCs w:val="24"/>
        </w:rPr>
        <w:t>.</w:t>
      </w:r>
    </w:p>
    <w:p w:rsidRPr="00511954" w:rsidR="008A0DE7" w:rsidP="00BF52AA" w:rsidRDefault="008A0DE7" w14:paraId="28984294" w14:textId="3633F216">
      <w:pPr>
        <w:pStyle w:val="standard"/>
        <w:numPr>
          <w:ilvl w:val="0"/>
          <w:numId w:val="35"/>
        </w:numPr>
        <w:spacing w:after="120" w:line="240" w:lineRule="auto"/>
        <w:rPr>
          <w:rFonts w:ascii="Palatino Linotype" w:hAnsi="Palatino Linotype"/>
        </w:rPr>
      </w:pPr>
      <w:r w:rsidRPr="00511954">
        <w:rPr>
          <w:rFonts w:ascii="Palatino Linotype" w:hAnsi="Palatino Linotype"/>
        </w:rPr>
        <w:t xml:space="preserve">It is consistent with </w:t>
      </w:r>
      <w:r w:rsidRPr="00511954">
        <w:rPr>
          <w:rFonts w:ascii="Palatino Linotype" w:hAnsi="Palatino Linotype" w:cs="TimesNewRoman"/>
          <w:szCs w:val="24"/>
        </w:rPr>
        <w:t xml:space="preserve">the NEM DAC Decision </w:t>
      </w:r>
      <w:r w:rsidRPr="00511954">
        <w:rPr>
          <w:rFonts w:ascii="Palatino Linotype" w:hAnsi="Palatino Linotype"/>
        </w:rPr>
        <w:t xml:space="preserve">for </w:t>
      </w:r>
      <w:r w:rsidRPr="00511954" w:rsidR="00D35842">
        <w:rPr>
          <w:rFonts w:ascii="Palatino Linotype" w:hAnsi="Palatino Linotype"/>
        </w:rPr>
        <w:t xml:space="preserve">CSGT </w:t>
      </w:r>
      <w:r w:rsidRPr="00511954">
        <w:rPr>
          <w:rFonts w:ascii="Palatino Linotype" w:hAnsi="Palatino Linotype"/>
        </w:rPr>
        <w:t>eligible community sponsors to earn and retain a 20 percent bill discount on up to 25 percent of a CSGT project’s output</w:t>
      </w:r>
      <w:r w:rsidR="000220FF">
        <w:rPr>
          <w:rFonts w:ascii="Palatino Linotype" w:hAnsi="Palatino Linotype"/>
        </w:rPr>
        <w:t xml:space="preserve"> for the life of the project</w:t>
      </w:r>
      <w:r w:rsidRPr="00511954">
        <w:rPr>
          <w:rFonts w:ascii="Palatino Linotype" w:hAnsi="Palatino Linotype"/>
        </w:rPr>
        <w:t xml:space="preserve"> after the 50 percent low-income subscription threshold is met.</w:t>
      </w:r>
    </w:p>
    <w:p w:rsidRPr="00511954" w:rsidR="00890EBD" w:rsidP="00BF52AA" w:rsidRDefault="007F7A32" w14:paraId="2DA7AB21" w14:textId="29331ACF">
      <w:pPr>
        <w:pStyle w:val="standard"/>
        <w:numPr>
          <w:ilvl w:val="0"/>
          <w:numId w:val="35"/>
        </w:numPr>
        <w:spacing w:after="120" w:line="240" w:lineRule="auto"/>
        <w:rPr>
          <w:rFonts w:ascii="Palatino Linotype" w:hAnsi="Palatino Linotype"/>
        </w:rPr>
      </w:pPr>
      <w:r w:rsidRPr="00511954">
        <w:rPr>
          <w:rFonts w:ascii="Palatino Linotype" w:hAnsi="Palatino Linotype"/>
        </w:rPr>
        <w:t xml:space="preserve">It is consistent with </w:t>
      </w:r>
      <w:r w:rsidRPr="00511954" w:rsidR="00172221">
        <w:rPr>
          <w:rFonts w:ascii="Palatino Linotype" w:hAnsi="Palatino Linotype" w:cs="TimesNewRoman"/>
          <w:szCs w:val="24"/>
        </w:rPr>
        <w:t>the NEM DAC Decision</w:t>
      </w:r>
      <w:r w:rsidRPr="00511954" w:rsidR="00F35F7B">
        <w:rPr>
          <w:rFonts w:ascii="Palatino Linotype" w:hAnsi="Palatino Linotype" w:cs="TimesNewRoman"/>
          <w:szCs w:val="24"/>
        </w:rPr>
        <w:t xml:space="preserve"> </w:t>
      </w:r>
      <w:r w:rsidRPr="00511954">
        <w:rPr>
          <w:rFonts w:ascii="Palatino Linotype" w:hAnsi="Palatino Linotype"/>
        </w:rPr>
        <w:t xml:space="preserve">for </w:t>
      </w:r>
      <w:r w:rsidRPr="00511954" w:rsidR="00EA376C">
        <w:rPr>
          <w:rFonts w:ascii="Palatino Linotype" w:hAnsi="Palatino Linotype"/>
        </w:rPr>
        <w:t xml:space="preserve">residential DAC customers who are not eligible for CARE or FERA but who still </w:t>
      </w:r>
      <w:r w:rsidRPr="00511954" w:rsidR="00890EBD">
        <w:rPr>
          <w:rFonts w:ascii="Palatino Linotype" w:hAnsi="Palatino Linotype"/>
        </w:rPr>
        <w:t xml:space="preserve">meet the geographic eligibility requirements for CSGT to receive </w:t>
      </w:r>
      <w:r w:rsidRPr="00511954" w:rsidR="00491A78">
        <w:rPr>
          <w:rFonts w:ascii="Palatino Linotype" w:hAnsi="Palatino Linotype"/>
        </w:rPr>
        <w:t>a 20 percent bill discount after the 50 percent</w:t>
      </w:r>
      <w:r w:rsidRPr="00511954">
        <w:rPr>
          <w:rFonts w:ascii="Palatino Linotype" w:hAnsi="Palatino Linotype"/>
        </w:rPr>
        <w:t xml:space="preserve"> low</w:t>
      </w:r>
      <w:r w:rsidRPr="00511954" w:rsidR="00172221">
        <w:rPr>
          <w:rFonts w:ascii="Palatino Linotype" w:hAnsi="Palatino Linotype"/>
        </w:rPr>
        <w:t>-</w:t>
      </w:r>
      <w:r w:rsidRPr="00511954">
        <w:rPr>
          <w:rFonts w:ascii="Palatino Linotype" w:hAnsi="Palatino Linotype"/>
        </w:rPr>
        <w:t>income subscription threshold is met.</w:t>
      </w:r>
    </w:p>
    <w:p w:rsidRPr="00511954" w:rsidR="007F7A32" w:rsidP="00BF52AA" w:rsidRDefault="007F7A32" w14:paraId="145CCD75" w14:textId="6FAA945E">
      <w:pPr>
        <w:pStyle w:val="BodyText"/>
        <w:numPr>
          <w:ilvl w:val="0"/>
          <w:numId w:val="35"/>
        </w:numPr>
        <w:spacing w:after="120"/>
        <w:rPr>
          <w:rFonts w:ascii="Palatino Linotype" w:hAnsi="Palatino Linotype"/>
          <w:b w:val="0"/>
          <w:u w:val="single"/>
        </w:rPr>
      </w:pPr>
      <w:r w:rsidRPr="00511954">
        <w:rPr>
          <w:rFonts w:ascii="Palatino Linotype" w:hAnsi="Palatino Linotype"/>
          <w:b w:val="0"/>
        </w:rPr>
        <w:t xml:space="preserve">It is consistent with </w:t>
      </w:r>
      <w:r w:rsidRPr="00511954" w:rsidR="00172221">
        <w:rPr>
          <w:rFonts w:ascii="Palatino Linotype" w:hAnsi="Palatino Linotype" w:cs="TimesNewRoman"/>
          <w:b w:val="0"/>
          <w:szCs w:val="24"/>
        </w:rPr>
        <w:t>the NEM DAC Decision</w:t>
      </w:r>
      <w:r w:rsidRPr="00511954" w:rsidR="00F35F7B">
        <w:rPr>
          <w:rFonts w:ascii="Palatino Linotype" w:hAnsi="Palatino Linotype" w:cs="TimesNewRoman"/>
          <w:b w:val="0"/>
          <w:szCs w:val="24"/>
        </w:rPr>
        <w:t xml:space="preserve"> </w:t>
      </w:r>
      <w:r w:rsidRPr="00511954" w:rsidR="00464E9F">
        <w:rPr>
          <w:rFonts w:ascii="Palatino Linotype" w:hAnsi="Palatino Linotype"/>
          <w:b w:val="0"/>
        </w:rPr>
        <w:t xml:space="preserve">that </w:t>
      </w:r>
      <w:r w:rsidRPr="00511954" w:rsidR="00C34F36">
        <w:rPr>
          <w:rFonts w:ascii="Palatino Linotype" w:hAnsi="Palatino Linotype"/>
          <w:b w:val="0"/>
        </w:rPr>
        <w:t xml:space="preserve">low-income customers under DAC-GT and CSGT </w:t>
      </w:r>
      <w:r w:rsidRPr="00511954" w:rsidR="00F35F7B">
        <w:rPr>
          <w:rFonts w:ascii="Palatino Linotype" w:hAnsi="Palatino Linotype"/>
          <w:b w:val="0"/>
        </w:rPr>
        <w:t>must be</w:t>
      </w:r>
      <w:r w:rsidRPr="00511954" w:rsidR="00464E9F">
        <w:rPr>
          <w:rFonts w:ascii="Palatino Linotype" w:hAnsi="Palatino Linotype"/>
          <w:b w:val="0"/>
        </w:rPr>
        <w:t xml:space="preserve"> </w:t>
      </w:r>
      <w:r w:rsidRPr="00511954" w:rsidR="00C34F36">
        <w:rPr>
          <w:rFonts w:ascii="Palatino Linotype" w:hAnsi="Palatino Linotype"/>
          <w:b w:val="0"/>
        </w:rPr>
        <w:t>eligible for CARE and FERA</w:t>
      </w:r>
      <w:r w:rsidRPr="00511954" w:rsidR="00F35F7B">
        <w:rPr>
          <w:rFonts w:ascii="Palatino Linotype" w:hAnsi="Palatino Linotype"/>
          <w:b w:val="0"/>
        </w:rPr>
        <w:t>, but</w:t>
      </w:r>
      <w:r w:rsidRPr="00511954" w:rsidR="00464E9F">
        <w:rPr>
          <w:rFonts w:ascii="Palatino Linotype" w:hAnsi="Palatino Linotype"/>
          <w:b w:val="0"/>
        </w:rPr>
        <w:t xml:space="preserve"> they need not</w:t>
      </w:r>
      <w:r w:rsidRPr="00511954">
        <w:rPr>
          <w:rFonts w:ascii="Palatino Linotype" w:hAnsi="Palatino Linotype"/>
          <w:b w:val="0"/>
        </w:rPr>
        <w:t xml:space="preserve"> necessarily </w:t>
      </w:r>
      <w:r w:rsidRPr="00511954" w:rsidR="00464E9F">
        <w:rPr>
          <w:rFonts w:ascii="Palatino Linotype" w:hAnsi="Palatino Linotype"/>
          <w:b w:val="0"/>
        </w:rPr>
        <w:t>be</w:t>
      </w:r>
      <w:r w:rsidRPr="00511954">
        <w:rPr>
          <w:rFonts w:ascii="Palatino Linotype" w:hAnsi="Palatino Linotype"/>
          <w:b w:val="0"/>
        </w:rPr>
        <w:t xml:space="preserve"> enrolled in these programs</w:t>
      </w:r>
      <w:r w:rsidRPr="00511954" w:rsidR="00D66DFD">
        <w:rPr>
          <w:rFonts w:ascii="Palatino Linotype" w:hAnsi="Palatino Linotype"/>
          <w:b w:val="0"/>
        </w:rPr>
        <w:t xml:space="preserve"> to be eligible for DAC-GT and CSGT</w:t>
      </w:r>
      <w:r w:rsidRPr="00511954">
        <w:rPr>
          <w:rFonts w:ascii="Palatino Linotype" w:hAnsi="Palatino Linotype"/>
          <w:b w:val="0"/>
        </w:rPr>
        <w:t>.</w:t>
      </w:r>
    </w:p>
    <w:p w:rsidRPr="00511954" w:rsidR="007F7A32" w:rsidP="00BF52AA" w:rsidRDefault="00172221" w14:paraId="4742CB62" w14:textId="68F18476">
      <w:pPr>
        <w:pStyle w:val="BodyText"/>
        <w:numPr>
          <w:ilvl w:val="0"/>
          <w:numId w:val="35"/>
        </w:numPr>
        <w:spacing w:after="120"/>
        <w:rPr>
          <w:rFonts w:ascii="Palatino Linotype" w:hAnsi="Palatino Linotype"/>
          <w:b w:val="0"/>
          <w:u w:val="single"/>
        </w:rPr>
      </w:pPr>
      <w:r w:rsidRPr="00511954">
        <w:rPr>
          <w:rFonts w:ascii="Palatino Linotype" w:hAnsi="Palatino Linotype"/>
          <w:b w:val="0"/>
        </w:rPr>
        <w:t>It is consistent with the NEM-DAC Decision that t</w:t>
      </w:r>
      <w:r w:rsidRPr="00511954" w:rsidR="0033767F">
        <w:rPr>
          <w:rFonts w:ascii="Palatino Linotype" w:hAnsi="Palatino Linotype"/>
          <w:b w:val="0"/>
        </w:rPr>
        <w:t>he 20</w:t>
      </w:r>
      <w:r w:rsidRPr="00511954" w:rsidR="00491A78">
        <w:rPr>
          <w:rFonts w:ascii="Palatino Linotype" w:hAnsi="Palatino Linotype"/>
          <w:b w:val="0"/>
        </w:rPr>
        <w:t xml:space="preserve"> percent</w:t>
      </w:r>
      <w:r w:rsidRPr="00511954" w:rsidR="0033767F">
        <w:rPr>
          <w:rFonts w:ascii="Palatino Linotype" w:hAnsi="Palatino Linotype"/>
          <w:b w:val="0"/>
        </w:rPr>
        <w:t xml:space="preserve"> discount for DAC-GT and CSGT is to be applied to a customer’s otherwise applicable </w:t>
      </w:r>
      <w:r w:rsidRPr="00511954">
        <w:rPr>
          <w:rFonts w:ascii="Palatino Linotype" w:hAnsi="Palatino Linotype"/>
          <w:b w:val="0"/>
        </w:rPr>
        <w:t>tariff</w:t>
      </w:r>
      <w:r w:rsidRPr="00511954" w:rsidR="0033767F">
        <w:rPr>
          <w:rFonts w:ascii="Palatino Linotype" w:hAnsi="Palatino Linotype"/>
          <w:b w:val="0"/>
        </w:rPr>
        <w:t xml:space="preserve">. </w:t>
      </w:r>
    </w:p>
    <w:p w:rsidRPr="00511954" w:rsidR="00230CFA" w:rsidP="00BF52AA" w:rsidRDefault="0033767F" w14:paraId="68814C2F" w14:textId="77777777">
      <w:pPr>
        <w:pStyle w:val="BodyText"/>
        <w:numPr>
          <w:ilvl w:val="0"/>
          <w:numId w:val="35"/>
        </w:numPr>
        <w:spacing w:after="120"/>
        <w:rPr>
          <w:rFonts w:ascii="Palatino Linotype" w:hAnsi="Palatino Linotype"/>
          <w:b w:val="0"/>
          <w:u w:val="single"/>
        </w:rPr>
      </w:pPr>
      <w:r w:rsidRPr="00511954">
        <w:rPr>
          <w:rFonts w:ascii="Palatino Linotype" w:hAnsi="Palatino Linotype"/>
          <w:b w:val="0"/>
        </w:rPr>
        <w:t xml:space="preserve">It is reasonable for a customer’s otherwise applicable tariff to be a CARE or FERA rate if they enroll in either of these programs in the process of enrolling in the DAC-GT or CSGT programs. </w:t>
      </w:r>
    </w:p>
    <w:p w:rsidRPr="00511954" w:rsidR="007F7A32" w:rsidP="00BF52AA" w:rsidRDefault="007F7A32" w14:paraId="4354A242" w14:textId="14738F97">
      <w:pPr>
        <w:pStyle w:val="standard"/>
        <w:numPr>
          <w:ilvl w:val="0"/>
          <w:numId w:val="35"/>
        </w:numPr>
        <w:spacing w:after="120" w:line="240" w:lineRule="auto"/>
        <w:rPr>
          <w:rFonts w:ascii="Palatino Linotype" w:hAnsi="Palatino Linotype"/>
        </w:rPr>
      </w:pPr>
      <w:r w:rsidRPr="00511954">
        <w:rPr>
          <w:rFonts w:ascii="Palatino Linotype" w:hAnsi="Palatino Linotype"/>
        </w:rPr>
        <w:t xml:space="preserve">It is consistent with </w:t>
      </w:r>
      <w:r w:rsidRPr="00511954" w:rsidR="00172221">
        <w:rPr>
          <w:rFonts w:ascii="Palatino Linotype" w:hAnsi="Palatino Linotype" w:cs="TimesNewRoman"/>
          <w:szCs w:val="24"/>
        </w:rPr>
        <w:t>the NEM DAC Decision</w:t>
      </w:r>
      <w:r w:rsidRPr="00511954">
        <w:rPr>
          <w:rFonts w:ascii="Palatino Linotype" w:hAnsi="Palatino Linotype"/>
        </w:rPr>
        <w:t xml:space="preserve"> that any</w:t>
      </w:r>
      <w:r w:rsidRPr="00511954" w:rsidR="00C224B1">
        <w:rPr>
          <w:rFonts w:ascii="Palatino Linotype" w:hAnsi="Palatino Linotype"/>
        </w:rPr>
        <w:t xml:space="preserve"> residential customer meeting the locational eligibility requirements for CSGT is eligible </w:t>
      </w:r>
      <w:r w:rsidRPr="00511954">
        <w:rPr>
          <w:rFonts w:ascii="Palatino Linotype" w:hAnsi="Palatino Linotype"/>
        </w:rPr>
        <w:t>to participate in the program</w:t>
      </w:r>
      <w:r w:rsidRPr="00511954" w:rsidR="00C224B1">
        <w:rPr>
          <w:rFonts w:ascii="Palatino Linotype" w:hAnsi="Palatino Linotype"/>
        </w:rPr>
        <w:t xml:space="preserve">. </w:t>
      </w:r>
    </w:p>
    <w:p w:rsidRPr="00511954" w:rsidR="00890EBD" w:rsidP="00BF52AA" w:rsidRDefault="007F7A32" w14:paraId="20E18922" w14:textId="1A4BBD07">
      <w:pPr>
        <w:pStyle w:val="standard"/>
        <w:numPr>
          <w:ilvl w:val="0"/>
          <w:numId w:val="35"/>
        </w:numPr>
        <w:spacing w:after="120" w:line="240" w:lineRule="auto"/>
        <w:rPr>
          <w:rFonts w:ascii="Palatino Linotype" w:hAnsi="Palatino Linotype"/>
        </w:rPr>
      </w:pPr>
      <w:proofErr w:type="gramStart"/>
      <w:r w:rsidRPr="00511954">
        <w:rPr>
          <w:rFonts w:ascii="Palatino Linotype" w:hAnsi="Palatino Linotype"/>
        </w:rPr>
        <w:t>A</w:t>
      </w:r>
      <w:r w:rsidRPr="00511954" w:rsidR="00C224B1">
        <w:rPr>
          <w:rFonts w:ascii="Palatino Linotype" w:hAnsi="Palatino Linotype"/>
        </w:rPr>
        <w:t>s long as</w:t>
      </w:r>
      <w:proofErr w:type="gramEnd"/>
      <w:r w:rsidRPr="00511954" w:rsidR="00C224B1">
        <w:rPr>
          <w:rFonts w:ascii="Palatino Linotype" w:hAnsi="Palatino Linotype"/>
        </w:rPr>
        <w:t xml:space="preserve"> a mastered</w:t>
      </w:r>
      <w:r w:rsidRPr="00511954" w:rsidR="00547F0B">
        <w:rPr>
          <w:rFonts w:ascii="Palatino Linotype" w:hAnsi="Palatino Linotype"/>
        </w:rPr>
        <w:t>-</w:t>
      </w:r>
      <w:r w:rsidRPr="00511954" w:rsidR="00C224B1">
        <w:rPr>
          <w:rFonts w:ascii="Palatino Linotype" w:hAnsi="Palatino Linotype"/>
        </w:rPr>
        <w:t xml:space="preserve">meter </w:t>
      </w:r>
      <w:r w:rsidR="00BA38B8">
        <w:rPr>
          <w:rFonts w:ascii="Palatino Linotype" w:hAnsi="Palatino Linotype"/>
        </w:rPr>
        <w:t>property’s</w:t>
      </w:r>
      <w:r w:rsidRPr="00511954" w:rsidR="00BA38B8">
        <w:rPr>
          <w:rFonts w:ascii="Palatino Linotype" w:hAnsi="Palatino Linotype"/>
        </w:rPr>
        <w:t xml:space="preserve"> </w:t>
      </w:r>
      <w:r w:rsidRPr="00511954" w:rsidR="00172221">
        <w:rPr>
          <w:rFonts w:ascii="Palatino Linotype" w:hAnsi="Palatino Linotype"/>
        </w:rPr>
        <w:t xml:space="preserve">account </w:t>
      </w:r>
      <w:r w:rsidRPr="00511954" w:rsidR="00C224B1">
        <w:rPr>
          <w:rFonts w:ascii="Palatino Linotype" w:hAnsi="Palatino Linotype"/>
        </w:rPr>
        <w:t xml:space="preserve">is on a residential rate and meets the locational eligibility requirements, it </w:t>
      </w:r>
      <w:r w:rsidRPr="00511954">
        <w:rPr>
          <w:rFonts w:ascii="Palatino Linotype" w:hAnsi="Palatino Linotype"/>
        </w:rPr>
        <w:t xml:space="preserve">is consistent with </w:t>
      </w:r>
      <w:r w:rsidRPr="00511954" w:rsidR="00172221">
        <w:rPr>
          <w:rFonts w:ascii="Palatino Linotype" w:hAnsi="Palatino Linotype" w:cs="TimesNewRoman"/>
          <w:szCs w:val="24"/>
        </w:rPr>
        <w:t>the NEM DAC Decision</w:t>
      </w:r>
      <w:r w:rsidRPr="00511954" w:rsidR="00F35F7B">
        <w:rPr>
          <w:rFonts w:ascii="Palatino Linotype" w:hAnsi="Palatino Linotype" w:cs="TimesNewRoman"/>
          <w:szCs w:val="24"/>
        </w:rPr>
        <w:t xml:space="preserve"> </w:t>
      </w:r>
      <w:r w:rsidRPr="00511954">
        <w:rPr>
          <w:rFonts w:ascii="Palatino Linotype" w:hAnsi="Palatino Linotype"/>
        </w:rPr>
        <w:t xml:space="preserve">for the </w:t>
      </w:r>
      <w:r w:rsidR="00BA38B8">
        <w:rPr>
          <w:rFonts w:ascii="Palatino Linotype" w:hAnsi="Palatino Linotype"/>
        </w:rPr>
        <w:t>property’s</w:t>
      </w:r>
      <w:r w:rsidRPr="00511954" w:rsidR="00D66DFD">
        <w:rPr>
          <w:rFonts w:ascii="Palatino Linotype" w:hAnsi="Palatino Linotype"/>
        </w:rPr>
        <w:t xml:space="preserve"> account</w:t>
      </w:r>
      <w:r w:rsidRPr="00511954">
        <w:rPr>
          <w:rFonts w:ascii="Palatino Linotype" w:hAnsi="Palatino Linotype"/>
        </w:rPr>
        <w:t xml:space="preserve"> to be eligible to subscribe to a CSGT project</w:t>
      </w:r>
      <w:r w:rsidRPr="00511954" w:rsidR="00C224B1">
        <w:rPr>
          <w:rFonts w:ascii="Palatino Linotype" w:hAnsi="Palatino Linotype"/>
        </w:rPr>
        <w:t xml:space="preserve"> once the 50</w:t>
      </w:r>
      <w:r w:rsidRPr="00511954" w:rsidR="00795CFD">
        <w:rPr>
          <w:rFonts w:ascii="Palatino Linotype" w:hAnsi="Palatino Linotype"/>
        </w:rPr>
        <w:t xml:space="preserve"> percent</w:t>
      </w:r>
      <w:r w:rsidRPr="00511954" w:rsidR="00C224B1">
        <w:rPr>
          <w:rFonts w:ascii="Palatino Linotype" w:hAnsi="Palatino Linotype"/>
        </w:rPr>
        <w:t xml:space="preserve"> low</w:t>
      </w:r>
      <w:r w:rsidRPr="00511954" w:rsidR="00172221">
        <w:rPr>
          <w:rFonts w:ascii="Palatino Linotype" w:hAnsi="Palatino Linotype"/>
        </w:rPr>
        <w:t>-</w:t>
      </w:r>
      <w:r w:rsidRPr="00511954" w:rsidR="00C224B1">
        <w:rPr>
          <w:rFonts w:ascii="Palatino Linotype" w:hAnsi="Palatino Linotype"/>
        </w:rPr>
        <w:t>income threshold is met.</w:t>
      </w:r>
    </w:p>
    <w:p w:rsidRPr="00511954" w:rsidR="00C224B1" w:rsidP="00BF52AA" w:rsidRDefault="00C224B1" w14:paraId="075697F3" w14:textId="393DF274">
      <w:pPr>
        <w:pStyle w:val="standard"/>
        <w:numPr>
          <w:ilvl w:val="0"/>
          <w:numId w:val="35"/>
        </w:numPr>
        <w:spacing w:after="120" w:line="240" w:lineRule="auto"/>
        <w:rPr>
          <w:rFonts w:ascii="Palatino Linotype" w:hAnsi="Palatino Linotype"/>
        </w:rPr>
      </w:pPr>
      <w:r w:rsidRPr="00511954">
        <w:rPr>
          <w:rFonts w:ascii="Palatino Linotype" w:hAnsi="Palatino Linotype"/>
        </w:rPr>
        <w:t xml:space="preserve">It is </w:t>
      </w:r>
      <w:r w:rsidRPr="00511954" w:rsidR="00172221">
        <w:rPr>
          <w:rFonts w:ascii="Palatino Linotype" w:hAnsi="Palatino Linotype"/>
        </w:rPr>
        <w:t>reasonable</w:t>
      </w:r>
      <w:r w:rsidRPr="00511954">
        <w:rPr>
          <w:rFonts w:ascii="Palatino Linotype" w:hAnsi="Palatino Linotype"/>
        </w:rPr>
        <w:t xml:space="preserve"> to have the IOUs track and report the number of master</w:t>
      </w:r>
      <w:r w:rsidRPr="00511954" w:rsidR="00547F0B">
        <w:rPr>
          <w:rFonts w:ascii="Palatino Linotype" w:hAnsi="Palatino Linotype"/>
        </w:rPr>
        <w:t>-</w:t>
      </w:r>
      <w:r w:rsidRPr="00511954">
        <w:rPr>
          <w:rFonts w:ascii="Palatino Linotype" w:hAnsi="Palatino Linotype"/>
        </w:rPr>
        <w:t xml:space="preserve">metered customers participating in the CSGT program so future program evaluations </w:t>
      </w:r>
      <w:r w:rsidRPr="00511954" w:rsidR="00172221">
        <w:rPr>
          <w:rFonts w:ascii="Palatino Linotype" w:hAnsi="Palatino Linotype"/>
        </w:rPr>
        <w:t>may</w:t>
      </w:r>
      <w:r w:rsidRPr="00511954">
        <w:rPr>
          <w:rFonts w:ascii="Palatino Linotype" w:hAnsi="Palatino Linotype"/>
        </w:rPr>
        <w:t xml:space="preserve"> examine impacts on tenants.</w:t>
      </w:r>
    </w:p>
    <w:p w:rsidRPr="00511954" w:rsidR="008E5E63" w:rsidP="00BF52AA" w:rsidRDefault="008E5E63" w14:paraId="200FFA67" w14:textId="16CAB059">
      <w:pPr>
        <w:pStyle w:val="BodyText"/>
        <w:numPr>
          <w:ilvl w:val="0"/>
          <w:numId w:val="35"/>
        </w:numPr>
        <w:spacing w:after="120"/>
        <w:rPr>
          <w:rFonts w:ascii="Palatino Linotype" w:hAnsi="Palatino Linotype"/>
          <w:b w:val="0"/>
        </w:rPr>
      </w:pPr>
      <w:r w:rsidRPr="00511954">
        <w:rPr>
          <w:rFonts w:ascii="Palatino Linotype" w:hAnsi="Palatino Linotype"/>
          <w:b w:val="0"/>
        </w:rPr>
        <w:t xml:space="preserve"> </w:t>
      </w:r>
      <w:r w:rsidRPr="00511954" w:rsidR="00E34884">
        <w:rPr>
          <w:rFonts w:ascii="Palatino Linotype" w:hAnsi="Palatino Linotype"/>
          <w:b w:val="0"/>
        </w:rPr>
        <w:t xml:space="preserve">As this </w:t>
      </w:r>
      <w:r w:rsidR="00BA38B8">
        <w:rPr>
          <w:rFonts w:ascii="Palatino Linotype" w:hAnsi="Palatino Linotype"/>
          <w:b w:val="0"/>
        </w:rPr>
        <w:t>R</w:t>
      </w:r>
      <w:r w:rsidRPr="00511954" w:rsidR="00E34884">
        <w:rPr>
          <w:rFonts w:ascii="Palatino Linotype" w:hAnsi="Palatino Linotype"/>
          <w:b w:val="0"/>
        </w:rPr>
        <w:t xml:space="preserve">esolution is up for consideration in the second quarter of 2019, it would not be procedurally possible for </w:t>
      </w:r>
      <w:r w:rsidRPr="00511954" w:rsidR="00D66DFD">
        <w:rPr>
          <w:rFonts w:ascii="Palatino Linotype" w:hAnsi="Palatino Linotype"/>
          <w:b w:val="0"/>
        </w:rPr>
        <w:t>PG&amp;E, SCE</w:t>
      </w:r>
      <w:r w:rsidR="00BA38B8">
        <w:rPr>
          <w:rFonts w:ascii="Palatino Linotype" w:hAnsi="Palatino Linotype"/>
          <w:b w:val="0"/>
        </w:rPr>
        <w:t>,</w:t>
      </w:r>
      <w:r w:rsidRPr="00511954" w:rsidR="00D66DFD">
        <w:rPr>
          <w:rFonts w:ascii="Palatino Linotype" w:hAnsi="Palatino Linotype"/>
          <w:b w:val="0"/>
        </w:rPr>
        <w:t xml:space="preserve"> and SDG&amp;E</w:t>
      </w:r>
      <w:r w:rsidRPr="00511954" w:rsidR="00E34884">
        <w:rPr>
          <w:rFonts w:ascii="Palatino Linotype" w:hAnsi="Palatino Linotype"/>
          <w:b w:val="0"/>
        </w:rPr>
        <w:t xml:space="preserve"> to run Request for Offers (RFOs) by August 1, 2019</w:t>
      </w:r>
      <w:r w:rsidRPr="00511954" w:rsidR="00D66DFD">
        <w:rPr>
          <w:rFonts w:ascii="Palatino Linotype" w:hAnsi="Palatino Linotype"/>
          <w:b w:val="0"/>
        </w:rPr>
        <w:t>,</w:t>
      </w:r>
      <w:r w:rsidRPr="00511954" w:rsidR="00E34884">
        <w:rPr>
          <w:rFonts w:ascii="Palatino Linotype" w:hAnsi="Palatino Linotype"/>
          <w:b w:val="0"/>
        </w:rPr>
        <w:t xml:space="preserve"> because </w:t>
      </w:r>
      <w:r w:rsidRPr="00511954" w:rsidR="00D66DFD">
        <w:rPr>
          <w:rFonts w:ascii="Palatino Linotype" w:hAnsi="Palatino Linotype"/>
          <w:b w:val="0"/>
        </w:rPr>
        <w:t>their</w:t>
      </w:r>
      <w:r w:rsidRPr="00511954" w:rsidR="00E34884">
        <w:rPr>
          <w:rFonts w:ascii="Palatino Linotype" w:hAnsi="Palatino Linotype"/>
          <w:b w:val="0"/>
        </w:rPr>
        <w:t xml:space="preserve"> RFO solicitation documents require review and approval by the Commission prior to an RFO being launched</w:t>
      </w:r>
      <w:r w:rsidRPr="00511954" w:rsidR="00D66DFD">
        <w:rPr>
          <w:rFonts w:ascii="Palatino Linotype" w:hAnsi="Palatino Linotype"/>
          <w:b w:val="0"/>
        </w:rPr>
        <w:t>, and there would not be sufficient time for them to submit their RFO solicitation documents to the Commission and have them approved by August 1, 2019</w:t>
      </w:r>
      <w:r w:rsidRPr="00511954" w:rsidR="00E34884">
        <w:rPr>
          <w:rFonts w:ascii="Palatino Linotype" w:hAnsi="Palatino Linotype"/>
          <w:b w:val="0"/>
        </w:rPr>
        <w:t xml:space="preserve">. </w:t>
      </w:r>
      <w:r w:rsidRPr="00511954">
        <w:rPr>
          <w:rFonts w:ascii="Palatino Linotype" w:hAnsi="Palatino Linotype"/>
          <w:b w:val="0"/>
        </w:rPr>
        <w:t xml:space="preserve"> </w:t>
      </w:r>
    </w:p>
    <w:p w:rsidRPr="00511954" w:rsidR="008E5E63" w:rsidP="00BF52AA" w:rsidRDefault="008E5E63" w14:paraId="200612F1" w14:textId="40882F7C">
      <w:pPr>
        <w:pStyle w:val="BodyText"/>
        <w:numPr>
          <w:ilvl w:val="0"/>
          <w:numId w:val="35"/>
        </w:numPr>
        <w:spacing w:after="120"/>
        <w:rPr>
          <w:rFonts w:ascii="Palatino Linotype" w:hAnsi="Palatino Linotype"/>
          <w:b w:val="0"/>
        </w:rPr>
      </w:pPr>
      <w:r w:rsidRPr="00511954">
        <w:rPr>
          <w:rFonts w:ascii="Palatino Linotype" w:hAnsi="Palatino Linotype" w:cs="TimesNewRoman"/>
          <w:b w:val="0"/>
          <w:szCs w:val="24"/>
        </w:rPr>
        <w:t>Th</w:t>
      </w:r>
      <w:r w:rsidRPr="00511954" w:rsidR="001D7864">
        <w:rPr>
          <w:rFonts w:ascii="Palatino Linotype" w:hAnsi="Palatino Linotype" w:cs="TimesNewRoman"/>
          <w:b w:val="0"/>
          <w:szCs w:val="24"/>
        </w:rPr>
        <w:t>e NEM DAC Decision specifies that th</w:t>
      </w:r>
      <w:r w:rsidRPr="00511954">
        <w:rPr>
          <w:rFonts w:ascii="Palatino Linotype" w:hAnsi="Palatino Linotype" w:cs="TimesNewRoman"/>
          <w:b w:val="0"/>
          <w:szCs w:val="24"/>
        </w:rPr>
        <w:t xml:space="preserve">ere </w:t>
      </w:r>
      <w:r w:rsidRPr="00511954">
        <w:rPr>
          <w:rFonts w:ascii="Palatino Linotype" w:hAnsi="Palatino Linotype"/>
          <w:b w:val="0"/>
        </w:rPr>
        <w:t>is no minimum project size for CSGT projects</w:t>
      </w:r>
      <w:r w:rsidRPr="00511954" w:rsidR="00486826">
        <w:rPr>
          <w:rFonts w:ascii="Palatino Linotype" w:hAnsi="Palatino Linotype"/>
          <w:b w:val="0"/>
        </w:rPr>
        <w:t>.</w:t>
      </w:r>
      <w:r w:rsidRPr="00511954">
        <w:rPr>
          <w:rFonts w:ascii="Palatino Linotype" w:hAnsi="Palatino Linotype"/>
          <w:b w:val="0"/>
        </w:rPr>
        <w:t xml:space="preserve"> </w:t>
      </w:r>
      <w:r w:rsidRPr="00511954" w:rsidR="00486826">
        <w:rPr>
          <w:rFonts w:ascii="Palatino Linotype" w:hAnsi="Palatino Linotype"/>
          <w:b w:val="0"/>
        </w:rPr>
        <w:t>T</w:t>
      </w:r>
      <w:r w:rsidRPr="00511954">
        <w:rPr>
          <w:rFonts w:ascii="Palatino Linotype" w:hAnsi="Palatino Linotype"/>
          <w:b w:val="0"/>
        </w:rPr>
        <w:t>herefore</w:t>
      </w:r>
      <w:r w:rsidR="00F56D1C">
        <w:rPr>
          <w:rFonts w:ascii="Palatino Linotype" w:hAnsi="Palatino Linotype"/>
          <w:b w:val="0"/>
        </w:rPr>
        <w:t>,</w:t>
      </w:r>
      <w:r w:rsidRPr="00511954">
        <w:rPr>
          <w:rFonts w:ascii="Palatino Linotype" w:hAnsi="Palatino Linotype"/>
          <w:b w:val="0"/>
        </w:rPr>
        <w:t xml:space="preserve"> it is not </w:t>
      </w:r>
      <w:r w:rsidRPr="00511954" w:rsidR="00486826">
        <w:rPr>
          <w:rFonts w:ascii="Palatino Linotype" w:hAnsi="Palatino Linotype"/>
          <w:b w:val="0"/>
        </w:rPr>
        <w:t>consistent with the NEM DAC Decision for</w:t>
      </w:r>
      <w:r w:rsidRPr="00511954">
        <w:rPr>
          <w:rFonts w:ascii="Palatino Linotype" w:hAnsi="Palatino Linotype"/>
          <w:b w:val="0"/>
        </w:rPr>
        <w:t xml:space="preserve"> </w:t>
      </w:r>
      <w:r w:rsidR="00C4025F">
        <w:rPr>
          <w:rFonts w:ascii="Palatino Linotype" w:hAnsi="Palatino Linotype"/>
          <w:b w:val="0"/>
        </w:rPr>
        <w:t>a</w:t>
      </w:r>
      <w:r w:rsidR="00BA38B8">
        <w:rPr>
          <w:rFonts w:ascii="Palatino Linotype" w:hAnsi="Palatino Linotype"/>
          <w:b w:val="0"/>
        </w:rPr>
        <w:t xml:space="preserve"> utility</w:t>
      </w:r>
      <w:r w:rsidRPr="00511954" w:rsidR="00BA38B8">
        <w:rPr>
          <w:rFonts w:ascii="Palatino Linotype" w:hAnsi="Palatino Linotype"/>
          <w:b w:val="0"/>
        </w:rPr>
        <w:t xml:space="preserve"> </w:t>
      </w:r>
      <w:r w:rsidRPr="00511954">
        <w:rPr>
          <w:rFonts w:ascii="Palatino Linotype" w:hAnsi="Palatino Linotype"/>
          <w:b w:val="0"/>
        </w:rPr>
        <w:t xml:space="preserve">to impose requirements that would penalize CSGT projects that are smaller than 500 </w:t>
      </w:r>
      <w:r w:rsidRPr="00511954" w:rsidR="00172221">
        <w:rPr>
          <w:rFonts w:ascii="Palatino Linotype" w:hAnsi="Palatino Linotype"/>
          <w:b w:val="0"/>
        </w:rPr>
        <w:t>kilowatts (</w:t>
      </w:r>
      <w:r w:rsidRPr="00511954">
        <w:rPr>
          <w:rFonts w:ascii="Palatino Linotype" w:hAnsi="Palatino Linotype"/>
          <w:b w:val="0"/>
        </w:rPr>
        <w:t>kW</w:t>
      </w:r>
      <w:r w:rsidRPr="00511954" w:rsidR="00172221">
        <w:rPr>
          <w:rFonts w:ascii="Palatino Linotype" w:hAnsi="Palatino Linotype"/>
          <w:b w:val="0"/>
        </w:rPr>
        <w:t>)</w:t>
      </w:r>
      <w:r w:rsidRPr="00511954">
        <w:rPr>
          <w:rFonts w:ascii="Palatino Linotype" w:hAnsi="Palatino Linotype"/>
          <w:b w:val="0"/>
        </w:rPr>
        <w:t>.</w:t>
      </w:r>
    </w:p>
    <w:p w:rsidRPr="00511954" w:rsidR="00DB4382" w:rsidP="00BF52AA" w:rsidRDefault="00172221" w14:paraId="24117301" w14:textId="478A9F80">
      <w:pPr>
        <w:pStyle w:val="BodyText"/>
        <w:numPr>
          <w:ilvl w:val="0"/>
          <w:numId w:val="35"/>
        </w:numPr>
        <w:spacing w:after="120"/>
        <w:rPr>
          <w:rFonts w:ascii="Palatino Linotype" w:hAnsi="Palatino Linotype"/>
          <w:b w:val="0"/>
        </w:rPr>
      </w:pPr>
      <w:r w:rsidRPr="00511954">
        <w:rPr>
          <w:rFonts w:ascii="Palatino Linotype" w:hAnsi="Palatino Linotype"/>
          <w:b w:val="0"/>
        </w:rPr>
        <w:t>The NEM DAC Decision</w:t>
      </w:r>
      <w:r w:rsidRPr="00511954" w:rsidR="00DB4382">
        <w:rPr>
          <w:rFonts w:ascii="Palatino Linotype" w:hAnsi="Palatino Linotype"/>
          <w:b w:val="0"/>
        </w:rPr>
        <w:t xml:space="preserve"> does not state any preference for a </w:t>
      </w:r>
      <w:r w:rsidRPr="00511954" w:rsidR="00486826">
        <w:rPr>
          <w:rFonts w:ascii="Palatino Linotype" w:hAnsi="Palatino Linotype"/>
          <w:b w:val="0"/>
        </w:rPr>
        <w:t>CSGT</w:t>
      </w:r>
      <w:r w:rsidR="00BA38B8">
        <w:rPr>
          <w:rFonts w:ascii="Palatino Linotype" w:hAnsi="Palatino Linotype"/>
          <w:b w:val="0"/>
        </w:rPr>
        <w:t xml:space="preserve"> </w:t>
      </w:r>
      <w:r w:rsidRPr="00511954" w:rsidR="00DB4382">
        <w:rPr>
          <w:rFonts w:ascii="Palatino Linotype" w:hAnsi="Palatino Linotype"/>
          <w:b w:val="0"/>
        </w:rPr>
        <w:t xml:space="preserve">community sponsor subscribing to </w:t>
      </w:r>
      <w:r w:rsidR="00BA38B8">
        <w:rPr>
          <w:rFonts w:ascii="Palatino Linotype" w:hAnsi="Palatino Linotype"/>
          <w:b w:val="0"/>
        </w:rPr>
        <w:t>a</w:t>
      </w:r>
      <w:r w:rsidRPr="00511954" w:rsidR="00BA38B8">
        <w:rPr>
          <w:rFonts w:ascii="Palatino Linotype" w:hAnsi="Palatino Linotype"/>
          <w:b w:val="0"/>
        </w:rPr>
        <w:t xml:space="preserve"> </w:t>
      </w:r>
      <w:r w:rsidRPr="00511954" w:rsidR="00DB4382">
        <w:rPr>
          <w:rFonts w:ascii="Palatino Linotype" w:hAnsi="Palatino Linotype"/>
          <w:b w:val="0"/>
        </w:rPr>
        <w:t>project</w:t>
      </w:r>
      <w:r w:rsidRPr="00511954" w:rsidR="00491A78">
        <w:rPr>
          <w:rFonts w:ascii="Palatino Linotype" w:hAnsi="Palatino Linotype"/>
          <w:b w:val="0"/>
        </w:rPr>
        <w:t>.</w:t>
      </w:r>
    </w:p>
    <w:p w:rsidRPr="00511954" w:rsidR="008E5E63" w:rsidP="00BF52AA" w:rsidRDefault="00C60D72" w14:paraId="4C75C3D5" w14:textId="640443B2">
      <w:pPr>
        <w:pStyle w:val="standard"/>
        <w:numPr>
          <w:ilvl w:val="0"/>
          <w:numId w:val="35"/>
        </w:numPr>
        <w:spacing w:after="120" w:line="240" w:lineRule="auto"/>
        <w:rPr>
          <w:rFonts w:ascii="Palatino Linotype" w:hAnsi="Palatino Linotype"/>
        </w:rPr>
      </w:pPr>
      <w:r w:rsidRPr="00511954">
        <w:rPr>
          <w:rFonts w:ascii="Palatino Linotype" w:hAnsi="Palatino Linotype"/>
        </w:rPr>
        <w:t xml:space="preserve"> </w:t>
      </w:r>
      <w:r w:rsidRPr="00511954" w:rsidR="00DB4382">
        <w:rPr>
          <w:rFonts w:ascii="Palatino Linotype" w:hAnsi="Palatino Linotype"/>
        </w:rPr>
        <w:t xml:space="preserve">It is consistent with Commission policy under the </w:t>
      </w:r>
      <w:r w:rsidRPr="00511954" w:rsidR="00172221">
        <w:rPr>
          <w:rFonts w:ascii="Palatino Linotype" w:hAnsi="Palatino Linotype"/>
        </w:rPr>
        <w:t>renewables portfolio standard (</w:t>
      </w:r>
      <w:r w:rsidRPr="00511954" w:rsidR="00DB4382">
        <w:rPr>
          <w:rFonts w:ascii="Palatino Linotype" w:hAnsi="Palatino Linotype"/>
        </w:rPr>
        <w:t>RPS</w:t>
      </w:r>
      <w:r w:rsidRPr="00511954" w:rsidR="00172221">
        <w:rPr>
          <w:rFonts w:ascii="Palatino Linotype" w:hAnsi="Palatino Linotype"/>
        </w:rPr>
        <w:t>)</w:t>
      </w:r>
      <w:r w:rsidRPr="00511954" w:rsidR="00DB4382">
        <w:rPr>
          <w:rFonts w:ascii="Palatino Linotype" w:hAnsi="Palatino Linotype"/>
        </w:rPr>
        <w:t xml:space="preserve"> program for DAC-GT and CSGT projects to be eligible to bid into RFOs for either </w:t>
      </w:r>
      <w:r w:rsidRPr="00511954" w:rsidR="00C04D49">
        <w:rPr>
          <w:rFonts w:ascii="Palatino Linotype" w:hAnsi="Palatino Linotype" w:cs="TimesNewRoman"/>
          <w:szCs w:val="24"/>
        </w:rPr>
        <w:t xml:space="preserve">full </w:t>
      </w:r>
      <w:r w:rsidRPr="00511954" w:rsidR="00F35F7B">
        <w:rPr>
          <w:rFonts w:ascii="Palatino Linotype" w:hAnsi="Palatino Linotype" w:cs="TimesNewRoman"/>
          <w:szCs w:val="24"/>
        </w:rPr>
        <w:t xml:space="preserve">capacity </w:t>
      </w:r>
      <w:r w:rsidRPr="00511954" w:rsidR="00C04D49">
        <w:rPr>
          <w:rFonts w:ascii="Palatino Linotype" w:hAnsi="Palatino Linotype" w:cs="TimesNewRoman"/>
          <w:szCs w:val="24"/>
        </w:rPr>
        <w:t>deliverability or energy-only</w:t>
      </w:r>
      <w:r w:rsidRPr="00511954" w:rsidR="00F35F7B">
        <w:rPr>
          <w:rFonts w:ascii="Palatino Linotype" w:hAnsi="Palatino Linotype" w:cs="TimesNewRoman"/>
          <w:szCs w:val="24"/>
        </w:rPr>
        <w:t xml:space="preserve"> status</w:t>
      </w:r>
      <w:r w:rsidRPr="00511954">
        <w:rPr>
          <w:rFonts w:ascii="Palatino Linotype" w:hAnsi="Palatino Linotype" w:cs="TimesNewRoman"/>
          <w:szCs w:val="24"/>
        </w:rPr>
        <w:t>.</w:t>
      </w:r>
    </w:p>
    <w:p w:rsidRPr="00511954" w:rsidR="00BD2BBD" w:rsidP="00BF52AA" w:rsidRDefault="00486826" w14:paraId="5CE68D61" w14:textId="2E97F735">
      <w:pPr>
        <w:pStyle w:val="BodyText"/>
        <w:numPr>
          <w:ilvl w:val="0"/>
          <w:numId w:val="35"/>
        </w:numPr>
        <w:spacing w:after="120"/>
        <w:rPr>
          <w:rFonts w:ascii="Palatino Linotype" w:hAnsi="Palatino Linotype"/>
          <w:b w:val="0"/>
        </w:rPr>
      </w:pPr>
      <w:r w:rsidRPr="00511954">
        <w:rPr>
          <w:rFonts w:ascii="Palatino Linotype" w:hAnsi="Palatino Linotype"/>
          <w:b w:val="0"/>
        </w:rPr>
        <w:t>It</w:t>
      </w:r>
      <w:r w:rsidRPr="00511954" w:rsidR="00574DAA">
        <w:rPr>
          <w:rFonts w:ascii="Palatino Linotype" w:hAnsi="Palatino Linotype"/>
          <w:b w:val="0"/>
        </w:rPr>
        <w:t xml:space="preserve"> </w:t>
      </w:r>
      <w:r w:rsidRPr="00511954" w:rsidR="00BD2BBD">
        <w:rPr>
          <w:rFonts w:ascii="Palatino Linotype" w:hAnsi="Palatino Linotype"/>
          <w:b w:val="0"/>
        </w:rPr>
        <w:t xml:space="preserve">is reasonable to serve DAC-GT customers </w:t>
      </w:r>
      <w:r w:rsidRPr="00511954" w:rsidR="002A2E03">
        <w:rPr>
          <w:rFonts w:ascii="Palatino Linotype" w:hAnsi="Palatino Linotype"/>
          <w:b w:val="0"/>
        </w:rPr>
        <w:t>on an interim basis using</w:t>
      </w:r>
      <w:r w:rsidRPr="00511954" w:rsidR="00BD2BBD">
        <w:rPr>
          <w:rFonts w:ascii="Palatino Linotype" w:hAnsi="Palatino Linotype"/>
          <w:b w:val="0"/>
        </w:rPr>
        <w:t xml:space="preserve"> existing </w:t>
      </w:r>
      <w:r w:rsidRPr="00511954" w:rsidR="002A2E03">
        <w:rPr>
          <w:rFonts w:ascii="Palatino Linotype" w:hAnsi="Palatino Linotype"/>
          <w:b w:val="0"/>
        </w:rPr>
        <w:t xml:space="preserve">renewable </w:t>
      </w:r>
      <w:r w:rsidRPr="00511954" w:rsidR="00BD2BBD">
        <w:rPr>
          <w:rFonts w:ascii="Palatino Linotype" w:hAnsi="Palatino Linotype"/>
          <w:b w:val="0"/>
        </w:rPr>
        <w:t>projects that meet all requirements for DAC-GT project</w:t>
      </w:r>
      <w:r w:rsidRPr="00511954" w:rsidR="002A2E03">
        <w:rPr>
          <w:rFonts w:ascii="Palatino Linotype" w:hAnsi="Palatino Linotype"/>
          <w:b w:val="0"/>
        </w:rPr>
        <w:t xml:space="preserve"> eligibility</w:t>
      </w:r>
      <w:r w:rsidRPr="00511954">
        <w:rPr>
          <w:rFonts w:ascii="Palatino Linotype" w:hAnsi="Palatino Linotype"/>
          <w:b w:val="0"/>
        </w:rPr>
        <w:t xml:space="preserve"> so as not to delay customers</w:t>
      </w:r>
      <w:r w:rsidRPr="00511954" w:rsidR="00EA376C">
        <w:rPr>
          <w:rFonts w:ascii="Palatino Linotype" w:hAnsi="Palatino Linotype"/>
          <w:b w:val="0"/>
        </w:rPr>
        <w:t>’</w:t>
      </w:r>
      <w:r w:rsidRPr="00511954">
        <w:rPr>
          <w:rFonts w:ascii="Palatino Linotype" w:hAnsi="Palatino Linotype"/>
          <w:b w:val="0"/>
        </w:rPr>
        <w:t xml:space="preserve"> ability to receive the benefits of the DAC-GT program while waiting for DAC-GT projects to come online</w:t>
      </w:r>
      <w:r w:rsidRPr="00511954" w:rsidR="002A2E03">
        <w:rPr>
          <w:rFonts w:ascii="Palatino Linotype" w:hAnsi="Palatino Linotype"/>
          <w:b w:val="0"/>
        </w:rPr>
        <w:t>.</w:t>
      </w:r>
    </w:p>
    <w:p w:rsidRPr="00511954" w:rsidR="00E62953" w:rsidP="00BF52AA" w:rsidRDefault="002D499E" w14:paraId="638CA67D" w14:textId="377CE8D0">
      <w:pPr>
        <w:pStyle w:val="BodyText"/>
        <w:numPr>
          <w:ilvl w:val="0"/>
          <w:numId w:val="35"/>
        </w:numPr>
        <w:spacing w:after="120"/>
        <w:rPr>
          <w:rFonts w:ascii="Palatino Linotype" w:hAnsi="Palatino Linotype"/>
          <w:b w:val="0"/>
          <w:u w:val="single"/>
        </w:rPr>
      </w:pPr>
      <w:r w:rsidRPr="00511954">
        <w:rPr>
          <w:rFonts w:ascii="Palatino Linotype" w:hAnsi="Palatino Linotype"/>
          <w:b w:val="0"/>
        </w:rPr>
        <w:t>PG&amp;E’s, SCE’s</w:t>
      </w:r>
      <w:r w:rsidRPr="00511954" w:rsidR="00342619">
        <w:rPr>
          <w:rFonts w:ascii="Palatino Linotype" w:hAnsi="Palatino Linotype"/>
          <w:b w:val="0"/>
        </w:rPr>
        <w:t>,</w:t>
      </w:r>
      <w:r w:rsidRPr="00511954">
        <w:rPr>
          <w:rFonts w:ascii="Palatino Linotype" w:hAnsi="Palatino Linotype"/>
          <w:b w:val="0"/>
        </w:rPr>
        <w:t xml:space="preserve"> and SDG&amp;E’s</w:t>
      </w:r>
      <w:r w:rsidRPr="00511954" w:rsidR="00E62953">
        <w:rPr>
          <w:rFonts w:ascii="Palatino Linotype" w:hAnsi="Palatino Linotype"/>
          <w:b w:val="0"/>
        </w:rPr>
        <w:t xml:space="preserve"> unique IT </w:t>
      </w:r>
      <w:r w:rsidRPr="00511954">
        <w:rPr>
          <w:rFonts w:ascii="Palatino Linotype" w:hAnsi="Palatino Linotype"/>
          <w:b w:val="0"/>
        </w:rPr>
        <w:t>requirements</w:t>
      </w:r>
      <w:r w:rsidRPr="00511954" w:rsidR="00E62953">
        <w:rPr>
          <w:rFonts w:ascii="Palatino Linotype" w:hAnsi="Palatino Linotype"/>
          <w:b w:val="0"/>
        </w:rPr>
        <w:t xml:space="preserve"> could result in </w:t>
      </w:r>
      <w:r w:rsidRPr="00511954">
        <w:rPr>
          <w:rFonts w:ascii="Palatino Linotype" w:hAnsi="Palatino Linotype"/>
          <w:b w:val="0"/>
        </w:rPr>
        <w:t xml:space="preserve">different timelines for </w:t>
      </w:r>
      <w:r w:rsidRPr="00511954" w:rsidR="00E62953">
        <w:rPr>
          <w:rFonts w:ascii="Palatino Linotype" w:hAnsi="Palatino Linotype"/>
          <w:b w:val="0"/>
        </w:rPr>
        <w:t>DAC customers to participate in</w:t>
      </w:r>
      <w:r w:rsidRPr="00511954">
        <w:rPr>
          <w:rFonts w:ascii="Palatino Linotype" w:hAnsi="Palatino Linotype"/>
          <w:b w:val="0"/>
        </w:rPr>
        <w:t xml:space="preserve"> </w:t>
      </w:r>
      <w:r w:rsidRPr="00511954" w:rsidR="00E62953">
        <w:rPr>
          <w:rFonts w:ascii="Palatino Linotype" w:hAnsi="Palatino Linotype"/>
          <w:b w:val="0"/>
        </w:rPr>
        <w:t>DAC-GT and CSGT</w:t>
      </w:r>
      <w:r w:rsidRPr="00511954">
        <w:rPr>
          <w:rFonts w:ascii="Palatino Linotype" w:hAnsi="Palatino Linotype"/>
          <w:b w:val="0"/>
        </w:rPr>
        <w:t xml:space="preserve">, </w:t>
      </w:r>
      <w:r w:rsidRPr="00511954" w:rsidR="00E62953">
        <w:rPr>
          <w:rFonts w:ascii="Palatino Linotype" w:hAnsi="Palatino Linotype"/>
          <w:b w:val="0"/>
        </w:rPr>
        <w:t xml:space="preserve">depending on which </w:t>
      </w:r>
      <w:r w:rsidRPr="00511954">
        <w:rPr>
          <w:rFonts w:ascii="Palatino Linotype" w:hAnsi="Palatino Linotype"/>
          <w:b w:val="0"/>
        </w:rPr>
        <w:t>utility</w:t>
      </w:r>
      <w:r w:rsidRPr="00511954" w:rsidR="00EA376C">
        <w:rPr>
          <w:rFonts w:ascii="Palatino Linotype" w:hAnsi="Palatino Linotype"/>
          <w:b w:val="0"/>
        </w:rPr>
        <w:t xml:space="preserve"> </w:t>
      </w:r>
      <w:r w:rsidRPr="00511954" w:rsidR="00E62953">
        <w:rPr>
          <w:rFonts w:ascii="Palatino Linotype" w:hAnsi="Palatino Linotype"/>
          <w:b w:val="0"/>
        </w:rPr>
        <w:t xml:space="preserve">service territory they live in. </w:t>
      </w:r>
    </w:p>
    <w:p w:rsidRPr="00511954" w:rsidR="00E62953" w:rsidP="00BF52AA" w:rsidRDefault="00574DAA" w14:paraId="25DC008C" w14:textId="118A61A7">
      <w:pPr>
        <w:pStyle w:val="BodyText"/>
        <w:numPr>
          <w:ilvl w:val="0"/>
          <w:numId w:val="35"/>
        </w:numPr>
        <w:spacing w:after="120"/>
        <w:rPr>
          <w:rFonts w:ascii="Palatino Linotype" w:hAnsi="Palatino Linotype"/>
          <w:b w:val="0"/>
        </w:rPr>
      </w:pPr>
      <w:r w:rsidRPr="00511954">
        <w:rPr>
          <w:rFonts w:ascii="Palatino Linotype" w:hAnsi="Palatino Linotype"/>
          <w:b w:val="0"/>
        </w:rPr>
        <w:t xml:space="preserve">Due to the timeline anticipated for </w:t>
      </w:r>
      <w:r w:rsidRPr="00511954" w:rsidR="002D499E">
        <w:rPr>
          <w:rFonts w:ascii="Palatino Linotype" w:hAnsi="Palatino Linotype"/>
          <w:b w:val="0"/>
        </w:rPr>
        <w:t>DAC-GT and CSGT projects to come online in SCE and SDG&amp;E’s service territories,</w:t>
      </w:r>
      <w:r w:rsidRPr="00511954">
        <w:rPr>
          <w:rFonts w:ascii="Palatino Linotype" w:hAnsi="Palatino Linotype"/>
          <w:b w:val="0"/>
        </w:rPr>
        <w:t xml:space="preserve"> i</w:t>
      </w:r>
      <w:r w:rsidRPr="00511954" w:rsidR="00E62953">
        <w:rPr>
          <w:rFonts w:ascii="Palatino Linotype" w:hAnsi="Palatino Linotype"/>
          <w:b w:val="0"/>
        </w:rPr>
        <w:t xml:space="preserve">t is reasonable to require SCE and SDG&amp;E to use manual billing to serve any customers who are eligible to sign up for DAC-GT or CSGT before SDG&amp;E’s and SCE’s new billing systems are </w:t>
      </w:r>
      <w:r w:rsidRPr="00511954" w:rsidR="00172221">
        <w:rPr>
          <w:rFonts w:ascii="Palatino Linotype" w:hAnsi="Palatino Linotype"/>
          <w:b w:val="0"/>
        </w:rPr>
        <w:t>operational</w:t>
      </w:r>
      <w:r w:rsidRPr="00511954" w:rsidR="00E62953">
        <w:rPr>
          <w:rFonts w:ascii="Palatino Linotype" w:hAnsi="Palatino Linotype"/>
          <w:b w:val="0"/>
        </w:rPr>
        <w:t xml:space="preserve">. </w:t>
      </w:r>
    </w:p>
    <w:p w:rsidRPr="00511954" w:rsidR="00E62953" w:rsidP="00BF52AA" w:rsidRDefault="00574DAA" w14:paraId="040DCD5C" w14:textId="5E69E656">
      <w:pPr>
        <w:pStyle w:val="ListParagraph"/>
        <w:numPr>
          <w:ilvl w:val="0"/>
          <w:numId w:val="35"/>
        </w:numPr>
        <w:spacing w:after="120" w:line="240" w:lineRule="auto"/>
        <w:contextualSpacing w:val="0"/>
        <w:rPr>
          <w:rFonts w:ascii="Palatino Linotype" w:hAnsi="Palatino Linotype"/>
          <w:sz w:val="26"/>
          <w:szCs w:val="20"/>
        </w:rPr>
      </w:pPr>
      <w:r w:rsidRPr="00511954">
        <w:rPr>
          <w:rFonts w:ascii="Palatino Linotype" w:hAnsi="Palatino Linotype"/>
          <w:sz w:val="26"/>
          <w:szCs w:val="20"/>
        </w:rPr>
        <w:t>Due to PG&amp;E’s ability to serve DAC-GT customers through existing resources, i</w:t>
      </w:r>
      <w:r w:rsidRPr="00511954" w:rsidR="00E62953">
        <w:rPr>
          <w:rFonts w:ascii="Palatino Linotype" w:hAnsi="Palatino Linotype"/>
          <w:sz w:val="26"/>
          <w:szCs w:val="20"/>
        </w:rPr>
        <w:t xml:space="preserve">t is reasonable to allow PG&amp;E to wait to enroll customers in the DAC-GT program until after </w:t>
      </w:r>
      <w:r w:rsidRPr="00511954" w:rsidR="00172221">
        <w:rPr>
          <w:rFonts w:ascii="Palatino Linotype" w:hAnsi="Palatino Linotype"/>
          <w:sz w:val="26"/>
          <w:szCs w:val="20"/>
        </w:rPr>
        <w:t xml:space="preserve">its </w:t>
      </w:r>
      <w:r w:rsidRPr="00511954" w:rsidR="00E62953">
        <w:rPr>
          <w:rFonts w:ascii="Palatino Linotype" w:hAnsi="Palatino Linotype"/>
          <w:sz w:val="26"/>
          <w:szCs w:val="20"/>
        </w:rPr>
        <w:t xml:space="preserve">billing system updates are completed. </w:t>
      </w:r>
    </w:p>
    <w:p w:rsidR="007F2F78" w:rsidP="00BF52AA" w:rsidRDefault="000F1A34" w14:paraId="75701BAC" w14:textId="77777777">
      <w:pPr>
        <w:pStyle w:val="standard"/>
        <w:numPr>
          <w:ilvl w:val="0"/>
          <w:numId w:val="35"/>
        </w:numPr>
        <w:spacing w:after="120" w:line="240" w:lineRule="auto"/>
        <w:rPr>
          <w:rFonts w:ascii="Palatino Linotype" w:hAnsi="Palatino Linotype"/>
        </w:rPr>
      </w:pPr>
      <w:r w:rsidRPr="00511954">
        <w:rPr>
          <w:rFonts w:ascii="Palatino Linotype" w:hAnsi="Palatino Linotype"/>
        </w:rPr>
        <w:t xml:space="preserve">It is necessary to establish an annual budget process for the DAC-GT and CSGT programs so that </w:t>
      </w:r>
      <w:r w:rsidRPr="00511954" w:rsidR="00FB3E45">
        <w:rPr>
          <w:rFonts w:ascii="Palatino Linotype" w:hAnsi="Palatino Linotype"/>
        </w:rPr>
        <w:t>PG&amp;E, SCE, and SDG&amp;E</w:t>
      </w:r>
      <w:r w:rsidRPr="00511954">
        <w:rPr>
          <w:rFonts w:ascii="Palatino Linotype" w:hAnsi="Palatino Linotype"/>
        </w:rPr>
        <w:t xml:space="preserve"> </w:t>
      </w:r>
      <w:proofErr w:type="gramStart"/>
      <w:r w:rsidRPr="00511954" w:rsidR="00ED2F6F">
        <w:rPr>
          <w:rFonts w:ascii="Palatino Linotype" w:hAnsi="Palatino Linotype"/>
        </w:rPr>
        <w:t>are able to</w:t>
      </w:r>
      <w:proofErr w:type="gramEnd"/>
      <w:r w:rsidRPr="00511954">
        <w:rPr>
          <w:rFonts w:ascii="Palatino Linotype" w:hAnsi="Palatino Linotype"/>
        </w:rPr>
        <w:t xml:space="preserve"> hold GHG revenue for these programs in their annual </w:t>
      </w:r>
      <w:r w:rsidRPr="00511954" w:rsidR="00A42FD3">
        <w:rPr>
          <w:rFonts w:ascii="Palatino Linotype" w:hAnsi="Palatino Linotype"/>
        </w:rPr>
        <w:t>Energy Resource Recovery Account (ERRA)</w:t>
      </w:r>
      <w:r w:rsidRPr="00511954">
        <w:rPr>
          <w:rFonts w:ascii="Palatino Linotype" w:hAnsi="Palatino Linotype"/>
        </w:rPr>
        <w:t xml:space="preserve"> forecast.</w:t>
      </w:r>
    </w:p>
    <w:p w:rsidR="000F1A34" w:rsidP="005C07DB" w:rsidRDefault="00AB1D6F" w14:paraId="208BF560" w14:textId="6884BC81">
      <w:pPr>
        <w:pStyle w:val="standard"/>
        <w:numPr>
          <w:ilvl w:val="0"/>
          <w:numId w:val="35"/>
        </w:numPr>
        <w:spacing w:after="120" w:line="240" w:lineRule="auto"/>
        <w:rPr>
          <w:rFonts w:ascii="Palatino Linotype" w:hAnsi="Palatino Linotype"/>
        </w:rPr>
      </w:pPr>
      <w:r>
        <w:rPr>
          <w:rFonts w:ascii="Palatino Linotype" w:hAnsi="Palatino Linotype"/>
        </w:rPr>
        <w:t>Begi</w:t>
      </w:r>
      <w:r w:rsidR="007F2F78">
        <w:rPr>
          <w:rFonts w:ascii="Palatino Linotype" w:hAnsi="Palatino Linotype"/>
        </w:rPr>
        <w:t>n</w:t>
      </w:r>
      <w:r>
        <w:rPr>
          <w:rFonts w:ascii="Palatino Linotype" w:hAnsi="Palatino Linotype"/>
        </w:rPr>
        <w:t>n</w:t>
      </w:r>
      <w:r w:rsidR="007F2F78">
        <w:rPr>
          <w:rFonts w:ascii="Palatino Linotype" w:hAnsi="Palatino Linotype"/>
        </w:rPr>
        <w:t xml:space="preserve">ing with the 2021 budgets for DAC-GT and CSGT, it is reasonable to </w:t>
      </w:r>
      <w:r w:rsidRPr="005C07DB" w:rsidR="005C07DB">
        <w:rPr>
          <w:rFonts w:ascii="Palatino Linotype" w:hAnsi="Palatino Linotype"/>
        </w:rPr>
        <w:t xml:space="preserve">adopt the same budget allocations established in the NEM DAC Decision for the DAC-SASH program: 10 percent for program administration and 4 percent for ME&amp;O. Specifically for the DAC-GT and CSGT programs, </w:t>
      </w:r>
      <w:r w:rsidR="005C07DB">
        <w:rPr>
          <w:rFonts w:ascii="Palatino Linotype" w:hAnsi="Palatino Linotype"/>
        </w:rPr>
        <w:t xml:space="preserve">it is reasonable for </w:t>
      </w:r>
      <w:r w:rsidRPr="005C07DB" w:rsidR="005C07DB">
        <w:rPr>
          <w:rFonts w:ascii="Palatino Linotype" w:hAnsi="Palatino Linotype"/>
        </w:rPr>
        <w:t xml:space="preserve">no more than 10 percent of each program’s budget in a given year </w:t>
      </w:r>
      <w:r w:rsidR="005C07DB">
        <w:rPr>
          <w:rFonts w:ascii="Palatino Linotype" w:hAnsi="Palatino Linotype"/>
        </w:rPr>
        <w:t>to</w:t>
      </w:r>
      <w:r w:rsidRPr="005C07DB" w:rsidR="005C07DB">
        <w:rPr>
          <w:rFonts w:ascii="Palatino Linotype" w:hAnsi="Palatino Linotype"/>
        </w:rPr>
        <w:t xml:space="preserve"> be allocated to program administration and no more than 4 percent of each program’s budget in a given year </w:t>
      </w:r>
      <w:r w:rsidR="005C07DB">
        <w:rPr>
          <w:rFonts w:ascii="Palatino Linotype" w:hAnsi="Palatino Linotype"/>
        </w:rPr>
        <w:t>to</w:t>
      </w:r>
      <w:r w:rsidRPr="005C07DB" w:rsidR="005C07DB">
        <w:rPr>
          <w:rFonts w:ascii="Palatino Linotype" w:hAnsi="Palatino Linotype"/>
        </w:rPr>
        <w:t xml:space="preserve"> be allocated to ME&amp;O.</w:t>
      </w:r>
      <w:r w:rsidRPr="00511954" w:rsidR="000F1A34">
        <w:rPr>
          <w:rFonts w:ascii="Palatino Linotype" w:hAnsi="Palatino Linotype"/>
        </w:rPr>
        <w:t xml:space="preserve"> </w:t>
      </w:r>
    </w:p>
    <w:p w:rsidR="00AB1D6F" w:rsidP="00AB1D6F" w:rsidRDefault="00AB1D6F" w14:paraId="6CF5B015" w14:textId="474081F8">
      <w:pPr>
        <w:pStyle w:val="standard"/>
        <w:numPr>
          <w:ilvl w:val="0"/>
          <w:numId w:val="35"/>
        </w:numPr>
        <w:spacing w:after="120" w:line="240" w:lineRule="auto"/>
        <w:rPr>
          <w:rFonts w:ascii="Palatino Linotype" w:hAnsi="Palatino Linotype"/>
        </w:rPr>
      </w:pPr>
      <w:r>
        <w:rPr>
          <w:rFonts w:ascii="Palatino Linotype" w:hAnsi="Palatino Linotype"/>
        </w:rPr>
        <w:t xml:space="preserve">It is reasonable that </w:t>
      </w:r>
      <w:r w:rsidRPr="00AB1D6F">
        <w:rPr>
          <w:rFonts w:ascii="Palatino Linotype" w:hAnsi="Palatino Linotype"/>
        </w:rPr>
        <w:t xml:space="preserve">start-up costs may be higher within </w:t>
      </w:r>
      <w:r>
        <w:rPr>
          <w:rFonts w:ascii="Palatino Linotype" w:hAnsi="Palatino Linotype"/>
        </w:rPr>
        <w:t>the first years of the program</w:t>
      </w:r>
      <w:r w:rsidR="004B7492">
        <w:rPr>
          <w:rFonts w:ascii="Palatino Linotype" w:hAnsi="Palatino Linotype"/>
        </w:rPr>
        <w:t>,</w:t>
      </w:r>
      <w:r>
        <w:rPr>
          <w:rFonts w:ascii="Palatino Linotype" w:hAnsi="Palatino Linotype"/>
        </w:rPr>
        <w:t xml:space="preserve"> thus it is appropriate to allow </w:t>
      </w:r>
      <w:r w:rsidRPr="00511954" w:rsidR="00BA38B8">
        <w:rPr>
          <w:rFonts w:ascii="Palatino Linotype" w:hAnsi="Palatino Linotype"/>
        </w:rPr>
        <w:t xml:space="preserve">PG&amp;E, SCE, and SDG&amp;E </w:t>
      </w:r>
      <w:r>
        <w:rPr>
          <w:rFonts w:ascii="Palatino Linotype" w:hAnsi="Palatino Linotype"/>
        </w:rPr>
        <w:t xml:space="preserve">to </w:t>
      </w:r>
      <w:r w:rsidRPr="00AB1D6F">
        <w:rPr>
          <w:rFonts w:ascii="Palatino Linotype" w:hAnsi="Palatino Linotype"/>
        </w:rPr>
        <w:t>propose administrative and ME&amp;O costs that are above the 10 percent and 4 percent caps established in</w:t>
      </w:r>
      <w:r>
        <w:rPr>
          <w:rFonts w:ascii="Palatino Linotype" w:hAnsi="Palatino Linotype"/>
        </w:rPr>
        <w:t xml:space="preserve"> this Resolution for </w:t>
      </w:r>
      <w:r w:rsidRPr="00AB1D6F">
        <w:rPr>
          <w:rFonts w:ascii="Palatino Linotype" w:hAnsi="Palatino Linotype"/>
        </w:rPr>
        <w:t>2019 and 2020 program costs</w:t>
      </w:r>
      <w:r>
        <w:rPr>
          <w:rFonts w:ascii="Palatino Linotype" w:hAnsi="Palatino Linotype"/>
        </w:rPr>
        <w:t xml:space="preserve"> only</w:t>
      </w:r>
      <w:r w:rsidRPr="00AB1D6F">
        <w:rPr>
          <w:rFonts w:ascii="Palatino Linotype" w:hAnsi="Palatino Linotype"/>
        </w:rPr>
        <w:t>.</w:t>
      </w:r>
    </w:p>
    <w:p w:rsidRPr="00AB1D6F" w:rsidR="00D3131D" w:rsidP="00AB1D6F" w:rsidRDefault="00D3131D" w14:paraId="5F44A5D6" w14:textId="10C6F085">
      <w:pPr>
        <w:pStyle w:val="standard"/>
        <w:numPr>
          <w:ilvl w:val="0"/>
          <w:numId w:val="35"/>
        </w:numPr>
        <w:spacing w:after="120" w:line="240" w:lineRule="auto"/>
        <w:rPr>
          <w:rFonts w:ascii="Palatino Linotype" w:hAnsi="Palatino Linotype"/>
        </w:rPr>
      </w:pPr>
      <w:r>
        <w:rPr>
          <w:rFonts w:ascii="Palatino Linotype" w:hAnsi="Palatino Linotype"/>
        </w:rPr>
        <w:t xml:space="preserve">Since program implementation needs can change over time, it is reasonable to allow </w:t>
      </w:r>
      <w:r w:rsidRPr="00511954" w:rsidR="00BA38B8">
        <w:rPr>
          <w:rFonts w:ascii="Palatino Linotype" w:hAnsi="Palatino Linotype"/>
        </w:rPr>
        <w:t xml:space="preserve">PG&amp;E, SCE, and SDG&amp;E </w:t>
      </w:r>
      <w:r>
        <w:rPr>
          <w:rFonts w:ascii="Palatino Linotype" w:hAnsi="Palatino Linotype"/>
        </w:rPr>
        <w:t>to submit a Tier 3 AL requesting an adjustment to</w:t>
      </w:r>
      <w:r w:rsidR="005C07DB">
        <w:rPr>
          <w:rFonts w:ascii="Palatino Linotype" w:hAnsi="Palatino Linotype"/>
        </w:rPr>
        <w:t xml:space="preserve"> the 10 percent</w:t>
      </w:r>
      <w:r>
        <w:rPr>
          <w:rFonts w:ascii="Palatino Linotype" w:hAnsi="Palatino Linotype"/>
        </w:rPr>
        <w:t xml:space="preserve"> administrative and</w:t>
      </w:r>
      <w:r w:rsidR="005C07DB">
        <w:rPr>
          <w:rFonts w:ascii="Palatino Linotype" w:hAnsi="Palatino Linotype"/>
        </w:rPr>
        <w:t xml:space="preserve"> 4 percent</w:t>
      </w:r>
      <w:r>
        <w:rPr>
          <w:rFonts w:ascii="Palatino Linotype" w:hAnsi="Palatino Linotype"/>
        </w:rPr>
        <w:t xml:space="preserve"> ME&amp;O budget allocations with an accompanying rationale for why the adjustment is warranted.</w:t>
      </w:r>
    </w:p>
    <w:p w:rsidRPr="00511954" w:rsidR="00263836" w:rsidP="00BF52AA" w:rsidRDefault="000F1A34" w14:paraId="34512B22" w14:textId="52D9A00B">
      <w:pPr>
        <w:pStyle w:val="standard"/>
        <w:numPr>
          <w:ilvl w:val="0"/>
          <w:numId w:val="35"/>
        </w:numPr>
        <w:spacing w:after="120" w:line="240" w:lineRule="auto"/>
        <w:rPr>
          <w:rFonts w:ascii="Palatino Linotype" w:hAnsi="Palatino Linotype"/>
        </w:rPr>
      </w:pPr>
      <w:r w:rsidRPr="00511954">
        <w:rPr>
          <w:rFonts w:ascii="Palatino Linotype" w:hAnsi="Palatino Linotype"/>
        </w:rPr>
        <w:t xml:space="preserve">It is reasonable to require each IOU to submit annual program budget estimates via a Tier </w:t>
      </w:r>
      <w:r w:rsidR="00AB1D6F">
        <w:rPr>
          <w:rFonts w:ascii="Palatino Linotype" w:hAnsi="Palatino Linotype"/>
        </w:rPr>
        <w:t>1</w:t>
      </w:r>
      <w:r w:rsidRPr="00511954">
        <w:rPr>
          <w:rFonts w:ascii="Palatino Linotype" w:hAnsi="Palatino Linotype"/>
        </w:rPr>
        <w:t xml:space="preserve"> AL by </w:t>
      </w:r>
      <w:r w:rsidRPr="00511954" w:rsidR="00574DAA">
        <w:rPr>
          <w:rFonts w:ascii="Palatino Linotype" w:hAnsi="Palatino Linotype"/>
        </w:rPr>
        <w:t xml:space="preserve">February </w:t>
      </w:r>
      <w:r w:rsidRPr="00511954">
        <w:rPr>
          <w:rFonts w:ascii="Palatino Linotype" w:hAnsi="Palatino Linotype"/>
        </w:rPr>
        <w:t>1</w:t>
      </w:r>
      <w:r w:rsidRPr="00511954">
        <w:rPr>
          <w:rFonts w:ascii="Palatino Linotype" w:hAnsi="Palatino Linotype"/>
          <w:vertAlign w:val="superscript"/>
        </w:rPr>
        <w:t>st</w:t>
      </w:r>
      <w:r w:rsidRPr="00511954">
        <w:rPr>
          <w:rFonts w:ascii="Palatino Linotype" w:hAnsi="Palatino Linotype"/>
        </w:rPr>
        <w:t xml:space="preserve"> of every year, starting in 2020, for the </w:t>
      </w:r>
      <w:r w:rsidRPr="00511954" w:rsidR="00ED2F6F">
        <w:rPr>
          <w:rFonts w:ascii="Palatino Linotype" w:hAnsi="Palatino Linotype"/>
        </w:rPr>
        <w:t>next</w:t>
      </w:r>
      <w:r w:rsidRPr="00511954">
        <w:rPr>
          <w:rFonts w:ascii="Palatino Linotype" w:hAnsi="Palatino Linotype"/>
        </w:rPr>
        <w:t xml:space="preserve"> program year.</w:t>
      </w:r>
      <w:r w:rsidRPr="00511954" w:rsidR="00ED2F6F">
        <w:rPr>
          <w:rFonts w:ascii="Palatino Linotype" w:hAnsi="Palatino Linotype"/>
        </w:rPr>
        <w:t xml:space="preserve"> The 2020 AL would provide an annual budget for program year 2021.</w:t>
      </w:r>
      <w:r w:rsidRPr="00511954">
        <w:rPr>
          <w:rFonts w:ascii="Palatino Linotype" w:hAnsi="Palatino Linotype"/>
        </w:rPr>
        <w:t xml:space="preserve"> </w:t>
      </w:r>
    </w:p>
    <w:p w:rsidRPr="00511954" w:rsidR="00FB3E45" w:rsidP="00BF52AA" w:rsidRDefault="00FB3E45" w14:paraId="28F0873A" w14:textId="4EEE89E8">
      <w:pPr>
        <w:pStyle w:val="standard"/>
        <w:numPr>
          <w:ilvl w:val="0"/>
          <w:numId w:val="35"/>
        </w:numPr>
        <w:spacing w:after="120" w:line="240" w:lineRule="auto"/>
        <w:rPr>
          <w:rFonts w:ascii="Palatino Linotype" w:hAnsi="Palatino Linotype"/>
        </w:rPr>
      </w:pPr>
      <w:r w:rsidRPr="00511954">
        <w:rPr>
          <w:rFonts w:ascii="Palatino Linotype" w:hAnsi="Palatino Linotype"/>
        </w:rPr>
        <w:t>It is appropriate to allow unspent DAC-GT and CSGT program funding to accrue in PG&amp;E’s, SCE’s</w:t>
      </w:r>
      <w:r w:rsidR="00BA38B8">
        <w:rPr>
          <w:rFonts w:ascii="Palatino Linotype" w:hAnsi="Palatino Linotype"/>
        </w:rPr>
        <w:t>,</w:t>
      </w:r>
      <w:r w:rsidRPr="00511954">
        <w:rPr>
          <w:rFonts w:ascii="Palatino Linotype" w:hAnsi="Palatino Linotype"/>
        </w:rPr>
        <w:t xml:space="preserve"> and SDG&amp;Es balancing accounts from one year until the next</w:t>
      </w:r>
      <w:r w:rsidRPr="00511954" w:rsidR="000703C9">
        <w:rPr>
          <w:rFonts w:ascii="Palatino Linotype" w:hAnsi="Palatino Linotype"/>
        </w:rPr>
        <w:t xml:space="preserve">, </w:t>
      </w:r>
      <w:proofErr w:type="gramStart"/>
      <w:r w:rsidRPr="00511954" w:rsidR="000703C9">
        <w:rPr>
          <w:rFonts w:ascii="Palatino Linotype" w:hAnsi="Palatino Linotype"/>
        </w:rPr>
        <w:t>simil</w:t>
      </w:r>
      <w:r w:rsidRPr="00511954" w:rsidR="0081425C">
        <w:rPr>
          <w:rFonts w:ascii="Palatino Linotype" w:hAnsi="Palatino Linotype"/>
        </w:rPr>
        <w:t>ar to</w:t>
      </w:r>
      <w:proofErr w:type="gramEnd"/>
      <w:r w:rsidRPr="00511954" w:rsidR="0081425C">
        <w:rPr>
          <w:rFonts w:ascii="Palatino Linotype" w:hAnsi="Palatino Linotype"/>
        </w:rPr>
        <w:t xml:space="preserve"> the process established for</w:t>
      </w:r>
      <w:r w:rsidRPr="00511954" w:rsidR="000703C9">
        <w:rPr>
          <w:rFonts w:ascii="Palatino Linotype" w:hAnsi="Palatino Linotype"/>
        </w:rPr>
        <w:t xml:space="preserve"> the DAC-SASH program.</w:t>
      </w:r>
    </w:p>
    <w:p w:rsidRPr="00511954" w:rsidR="00CB1BEA" w:rsidP="00BF52AA" w:rsidRDefault="000703C9" w14:paraId="2E8087AD" w14:textId="4C947EDA">
      <w:pPr>
        <w:pStyle w:val="BodyText"/>
        <w:numPr>
          <w:ilvl w:val="0"/>
          <w:numId w:val="35"/>
        </w:numPr>
        <w:spacing w:after="120"/>
        <w:rPr>
          <w:rFonts w:ascii="Palatino Linotype" w:hAnsi="Palatino Linotype"/>
          <w:b w:val="0"/>
        </w:rPr>
      </w:pPr>
      <w:r w:rsidRPr="00511954">
        <w:rPr>
          <w:rFonts w:ascii="Palatino Linotype" w:hAnsi="Palatino Linotype"/>
          <w:b w:val="0"/>
        </w:rPr>
        <w:t xml:space="preserve">The </w:t>
      </w:r>
      <w:r w:rsidRPr="00511954" w:rsidR="00574DAA">
        <w:rPr>
          <w:rFonts w:ascii="Palatino Linotype" w:hAnsi="Palatino Linotype"/>
          <w:b w:val="0"/>
        </w:rPr>
        <w:t xml:space="preserve">February </w:t>
      </w:r>
      <w:r w:rsidRPr="00511954">
        <w:rPr>
          <w:rFonts w:ascii="Palatino Linotype" w:hAnsi="Palatino Linotype"/>
          <w:b w:val="0"/>
        </w:rPr>
        <w:t>1</w:t>
      </w:r>
      <w:r w:rsidRPr="00511954">
        <w:rPr>
          <w:rFonts w:ascii="Palatino Linotype" w:hAnsi="Palatino Linotype"/>
          <w:b w:val="0"/>
          <w:vertAlign w:val="superscript"/>
        </w:rPr>
        <w:t>st</w:t>
      </w:r>
      <w:r w:rsidRPr="00511954">
        <w:rPr>
          <w:rFonts w:ascii="Palatino Linotype" w:hAnsi="Palatino Linotype"/>
          <w:b w:val="0"/>
        </w:rPr>
        <w:t xml:space="preserve"> </w:t>
      </w:r>
      <w:r w:rsidRPr="00511954" w:rsidR="00ED2F6F">
        <w:rPr>
          <w:rFonts w:ascii="Palatino Linotype" w:hAnsi="Palatino Linotype"/>
          <w:b w:val="0"/>
        </w:rPr>
        <w:t xml:space="preserve">annual program budget AL </w:t>
      </w:r>
      <w:r w:rsidRPr="00511954">
        <w:rPr>
          <w:rFonts w:ascii="Palatino Linotype" w:hAnsi="Palatino Linotype"/>
          <w:b w:val="0"/>
        </w:rPr>
        <w:t>deadline has already passed for the 2019 and 2020 DAC-GT and CSGT program budget submissions.</w:t>
      </w:r>
      <w:r w:rsidRPr="00511954" w:rsidR="00ED2F6F">
        <w:rPr>
          <w:rFonts w:ascii="Palatino Linotype" w:hAnsi="Palatino Linotype"/>
          <w:b w:val="0"/>
        </w:rPr>
        <w:t xml:space="preserve"> </w:t>
      </w:r>
    </w:p>
    <w:p w:rsidRPr="00511954" w:rsidR="00CB1BEA" w:rsidP="00BA38B8" w:rsidRDefault="00AB1D6F" w14:paraId="550BAE97" w14:textId="3B05E799">
      <w:pPr>
        <w:pStyle w:val="BodyText"/>
        <w:numPr>
          <w:ilvl w:val="0"/>
          <w:numId w:val="35"/>
        </w:numPr>
        <w:spacing w:after="120"/>
        <w:rPr>
          <w:rFonts w:ascii="Palatino Linotype" w:hAnsi="Palatino Linotype"/>
          <w:b w:val="0"/>
        </w:rPr>
      </w:pPr>
      <w:r>
        <w:rPr>
          <w:rFonts w:ascii="Palatino Linotype" w:hAnsi="Palatino Linotype"/>
          <w:b w:val="0"/>
        </w:rPr>
        <w:t xml:space="preserve">Since the </w:t>
      </w:r>
      <w:r w:rsidRPr="00AB1D6F">
        <w:rPr>
          <w:rFonts w:ascii="Palatino Linotype" w:hAnsi="Palatino Linotype"/>
          <w:b w:val="0"/>
        </w:rPr>
        <w:t>initial</w:t>
      </w:r>
      <w:r>
        <w:rPr>
          <w:rFonts w:ascii="Palatino Linotype" w:hAnsi="Palatino Linotype"/>
          <w:b w:val="0"/>
        </w:rPr>
        <w:t xml:space="preserve"> DAC-GT and CSGT program</w:t>
      </w:r>
      <w:r w:rsidRPr="00AB1D6F">
        <w:rPr>
          <w:rFonts w:ascii="Palatino Linotype" w:hAnsi="Palatino Linotype"/>
          <w:b w:val="0"/>
        </w:rPr>
        <w:t xml:space="preserve"> budget estimates warrant a more extensive review by Energy Division staff and will establish expectations and templates for </w:t>
      </w:r>
      <w:r w:rsidRPr="00BA38B8" w:rsidR="00BA38B8">
        <w:rPr>
          <w:rFonts w:ascii="Palatino Linotype" w:hAnsi="Palatino Linotype"/>
          <w:b w:val="0"/>
        </w:rPr>
        <w:t>PG&amp;E</w:t>
      </w:r>
      <w:r w:rsidR="00BA38B8">
        <w:rPr>
          <w:rFonts w:ascii="Palatino Linotype" w:hAnsi="Palatino Linotype"/>
          <w:b w:val="0"/>
        </w:rPr>
        <w:t>’s</w:t>
      </w:r>
      <w:r w:rsidRPr="00BA38B8" w:rsidR="00BA38B8">
        <w:rPr>
          <w:rFonts w:ascii="Palatino Linotype" w:hAnsi="Palatino Linotype"/>
          <w:b w:val="0"/>
        </w:rPr>
        <w:t>, SCE</w:t>
      </w:r>
      <w:r w:rsidR="00BA38B8">
        <w:rPr>
          <w:rFonts w:ascii="Palatino Linotype" w:hAnsi="Palatino Linotype"/>
          <w:b w:val="0"/>
        </w:rPr>
        <w:t>’s</w:t>
      </w:r>
      <w:r w:rsidRPr="00BA38B8" w:rsidR="00BA38B8">
        <w:rPr>
          <w:rFonts w:ascii="Palatino Linotype" w:hAnsi="Palatino Linotype"/>
          <w:b w:val="0"/>
        </w:rPr>
        <w:t>, and SDG&amp;E</w:t>
      </w:r>
      <w:r w:rsidR="00BA38B8">
        <w:rPr>
          <w:rFonts w:ascii="Palatino Linotype" w:hAnsi="Palatino Linotype"/>
          <w:b w:val="0"/>
        </w:rPr>
        <w:t>’s</w:t>
      </w:r>
      <w:r w:rsidRPr="00AB1D6F">
        <w:rPr>
          <w:rFonts w:ascii="Palatino Linotype" w:hAnsi="Palatino Linotype"/>
          <w:b w:val="0"/>
        </w:rPr>
        <w:t xml:space="preserve"> future budget submissions</w:t>
      </w:r>
      <w:r>
        <w:rPr>
          <w:rFonts w:ascii="Palatino Linotype" w:hAnsi="Palatino Linotype"/>
          <w:b w:val="0"/>
        </w:rPr>
        <w:t>,</w:t>
      </w:r>
      <w:r w:rsidRPr="00AB1D6F">
        <w:rPr>
          <w:rFonts w:ascii="Palatino Linotype" w:hAnsi="Palatino Linotype"/>
          <w:b w:val="0"/>
        </w:rPr>
        <w:t xml:space="preserve"> </w:t>
      </w:r>
      <w:r>
        <w:rPr>
          <w:rFonts w:ascii="Palatino Linotype" w:hAnsi="Palatino Linotype"/>
          <w:b w:val="0"/>
        </w:rPr>
        <w:t>i</w:t>
      </w:r>
      <w:r w:rsidRPr="00511954" w:rsidR="000703C9">
        <w:rPr>
          <w:rFonts w:ascii="Palatino Linotype" w:hAnsi="Palatino Linotype"/>
          <w:b w:val="0"/>
        </w:rPr>
        <w:t xml:space="preserve">t is appropriate for PG&amp;E, SCE, and SDG&amp;E to submit updated budget estimates </w:t>
      </w:r>
      <w:r w:rsidRPr="00511954" w:rsidR="00ED2F6F">
        <w:rPr>
          <w:rFonts w:ascii="Palatino Linotype" w:hAnsi="Palatino Linotype"/>
          <w:b w:val="0"/>
        </w:rPr>
        <w:t xml:space="preserve">for program years 2019 and 2020 </w:t>
      </w:r>
      <w:r w:rsidRPr="00511954" w:rsidR="000703C9">
        <w:rPr>
          <w:rFonts w:ascii="Palatino Linotype" w:hAnsi="Palatino Linotype"/>
          <w:b w:val="0"/>
        </w:rPr>
        <w:t xml:space="preserve">via a Tier 2 AL within </w:t>
      </w:r>
      <w:r w:rsidRPr="00511954" w:rsidR="00683A22">
        <w:rPr>
          <w:rFonts w:ascii="Palatino Linotype" w:hAnsi="Palatino Linotype"/>
          <w:b w:val="0"/>
        </w:rPr>
        <w:t>6</w:t>
      </w:r>
      <w:r w:rsidRPr="00511954" w:rsidR="000703C9">
        <w:rPr>
          <w:rFonts w:ascii="Palatino Linotype" w:hAnsi="Palatino Linotype"/>
          <w:b w:val="0"/>
        </w:rPr>
        <w:t>0 days of issuance of this Resolution.</w:t>
      </w:r>
    </w:p>
    <w:p w:rsidRPr="00511954" w:rsidR="00CB1BEA" w:rsidP="00BA38B8" w:rsidRDefault="00172221" w14:paraId="3C35AAA0" w14:textId="50C88271">
      <w:pPr>
        <w:pStyle w:val="BodyText"/>
        <w:numPr>
          <w:ilvl w:val="0"/>
          <w:numId w:val="35"/>
        </w:numPr>
        <w:spacing w:after="120"/>
        <w:rPr>
          <w:rFonts w:ascii="Palatino Linotype" w:hAnsi="Palatino Linotype"/>
          <w:b w:val="0"/>
        </w:rPr>
      </w:pPr>
      <w:r w:rsidRPr="00511954">
        <w:rPr>
          <w:rFonts w:ascii="Palatino Linotype" w:hAnsi="Palatino Linotype"/>
          <w:b w:val="0"/>
        </w:rPr>
        <w:t>I</w:t>
      </w:r>
      <w:r w:rsidRPr="00511954" w:rsidR="00CB1BEA">
        <w:rPr>
          <w:rFonts w:ascii="Palatino Linotype" w:hAnsi="Palatino Linotype"/>
          <w:b w:val="0"/>
        </w:rPr>
        <w:t>t is appropriate for</w:t>
      </w:r>
      <w:r w:rsidR="00BA38B8">
        <w:t xml:space="preserve"> </w:t>
      </w:r>
      <w:r w:rsidRPr="00BA38B8" w:rsidR="00BA38B8">
        <w:rPr>
          <w:rFonts w:ascii="Palatino Linotype" w:hAnsi="Palatino Linotype"/>
          <w:b w:val="0"/>
        </w:rPr>
        <w:t>PG&amp;E, SCE, and SDG&amp;E</w:t>
      </w:r>
      <w:r w:rsidRPr="00511954" w:rsidR="00CB1BEA">
        <w:rPr>
          <w:rFonts w:ascii="Palatino Linotype" w:hAnsi="Palatino Linotype"/>
          <w:b w:val="0"/>
        </w:rPr>
        <w:t xml:space="preserve"> to submit annual ME&amp;O plans by </w:t>
      </w:r>
      <w:r w:rsidRPr="00511954" w:rsidR="00574DAA">
        <w:rPr>
          <w:rFonts w:ascii="Palatino Linotype" w:hAnsi="Palatino Linotype"/>
          <w:b w:val="0"/>
        </w:rPr>
        <w:t xml:space="preserve">February </w:t>
      </w:r>
      <w:r w:rsidRPr="00511954" w:rsidR="00CB1BEA">
        <w:rPr>
          <w:rFonts w:ascii="Palatino Linotype" w:hAnsi="Palatino Linotype"/>
          <w:b w:val="0"/>
        </w:rPr>
        <w:t>1</w:t>
      </w:r>
      <w:r w:rsidRPr="00511954" w:rsidR="00CB1BEA">
        <w:rPr>
          <w:rFonts w:ascii="Palatino Linotype" w:hAnsi="Palatino Linotype"/>
          <w:b w:val="0"/>
          <w:vertAlign w:val="superscript"/>
        </w:rPr>
        <w:t>st</w:t>
      </w:r>
      <w:r w:rsidRPr="00511954" w:rsidR="00CB1BEA">
        <w:rPr>
          <w:rFonts w:ascii="Palatino Linotype" w:hAnsi="Palatino Linotype"/>
          <w:b w:val="0"/>
        </w:rPr>
        <w:t xml:space="preserve"> of every year for the </w:t>
      </w:r>
      <w:r w:rsidRPr="00511954" w:rsidR="00ED2F6F">
        <w:rPr>
          <w:rFonts w:ascii="Palatino Linotype" w:hAnsi="Palatino Linotype"/>
          <w:b w:val="0"/>
        </w:rPr>
        <w:t>next</w:t>
      </w:r>
      <w:r w:rsidRPr="00511954" w:rsidR="00CB1BEA">
        <w:rPr>
          <w:rFonts w:ascii="Palatino Linotype" w:hAnsi="Palatino Linotype"/>
          <w:b w:val="0"/>
        </w:rPr>
        <w:t xml:space="preserve"> program year as part of their annual program budget </w:t>
      </w:r>
      <w:r w:rsidRPr="00511954" w:rsidR="00ED2F6F">
        <w:rPr>
          <w:rFonts w:ascii="Palatino Linotype" w:hAnsi="Palatino Linotype"/>
          <w:b w:val="0"/>
        </w:rPr>
        <w:t xml:space="preserve">Tier </w:t>
      </w:r>
      <w:r w:rsidR="00466B23">
        <w:rPr>
          <w:rFonts w:ascii="Palatino Linotype" w:hAnsi="Palatino Linotype"/>
          <w:b w:val="0"/>
        </w:rPr>
        <w:t>1</w:t>
      </w:r>
      <w:r w:rsidRPr="00511954" w:rsidR="00ED2F6F">
        <w:rPr>
          <w:rFonts w:ascii="Palatino Linotype" w:hAnsi="Palatino Linotype"/>
          <w:b w:val="0"/>
        </w:rPr>
        <w:t xml:space="preserve"> AL </w:t>
      </w:r>
      <w:r w:rsidRPr="00511954" w:rsidR="00CB1BEA">
        <w:rPr>
          <w:rFonts w:ascii="Palatino Linotype" w:hAnsi="Palatino Linotype"/>
          <w:b w:val="0"/>
        </w:rPr>
        <w:t>filing</w:t>
      </w:r>
      <w:r w:rsidR="004B7492">
        <w:rPr>
          <w:rFonts w:ascii="Palatino Linotype" w:hAnsi="Palatino Linotype"/>
          <w:b w:val="0"/>
        </w:rPr>
        <w:t>, starting in 2020</w:t>
      </w:r>
      <w:r w:rsidRPr="00511954" w:rsidR="00CB1BEA">
        <w:rPr>
          <w:rFonts w:ascii="Palatino Linotype" w:hAnsi="Palatino Linotype"/>
          <w:b w:val="0"/>
        </w:rPr>
        <w:t xml:space="preserve">. </w:t>
      </w:r>
      <w:r w:rsidRPr="00511954" w:rsidR="00ED2F6F">
        <w:rPr>
          <w:rFonts w:ascii="Palatino Linotype" w:hAnsi="Palatino Linotype"/>
          <w:b w:val="0"/>
        </w:rPr>
        <w:t>The 2020 AL would provide an ME&amp;O plan for program year 2021.</w:t>
      </w:r>
    </w:p>
    <w:p w:rsidRPr="00511954" w:rsidR="00ED2F6F" w:rsidP="00ED2F6F" w:rsidRDefault="00ED2F6F" w14:paraId="499D629C" w14:textId="0ACAB231">
      <w:pPr>
        <w:pStyle w:val="BodyText"/>
        <w:numPr>
          <w:ilvl w:val="0"/>
          <w:numId w:val="35"/>
        </w:numPr>
        <w:spacing w:after="120"/>
        <w:rPr>
          <w:rFonts w:ascii="Palatino Linotype" w:hAnsi="Palatino Linotype"/>
          <w:b w:val="0"/>
        </w:rPr>
      </w:pPr>
      <w:r w:rsidRPr="00511954">
        <w:rPr>
          <w:rFonts w:ascii="Palatino Linotype" w:hAnsi="Palatino Linotype"/>
          <w:b w:val="0"/>
        </w:rPr>
        <w:t>The February 1</w:t>
      </w:r>
      <w:r w:rsidRPr="00511954">
        <w:rPr>
          <w:rFonts w:ascii="Palatino Linotype" w:hAnsi="Palatino Linotype"/>
          <w:b w:val="0"/>
          <w:vertAlign w:val="superscript"/>
        </w:rPr>
        <w:t>st</w:t>
      </w:r>
      <w:r w:rsidRPr="00511954">
        <w:rPr>
          <w:rFonts w:ascii="Palatino Linotype" w:hAnsi="Palatino Linotype"/>
          <w:b w:val="0"/>
        </w:rPr>
        <w:t xml:space="preserve"> annual program budget AL deadline has already passed for the 2019 and 2020 DAC-GT and CSGT ME&amp;O plan submission. </w:t>
      </w:r>
    </w:p>
    <w:p w:rsidRPr="00511954" w:rsidR="000703C9" w:rsidP="00BF52AA" w:rsidRDefault="004B7492" w14:paraId="71DF98CF" w14:textId="37084FB7">
      <w:pPr>
        <w:pStyle w:val="BodyText"/>
        <w:numPr>
          <w:ilvl w:val="0"/>
          <w:numId w:val="35"/>
        </w:numPr>
        <w:spacing w:after="120"/>
        <w:rPr>
          <w:rFonts w:ascii="Palatino Linotype" w:hAnsi="Palatino Linotype"/>
          <w:b w:val="0"/>
        </w:rPr>
      </w:pPr>
      <w:r>
        <w:rPr>
          <w:rFonts w:ascii="Palatino Linotype" w:hAnsi="Palatino Linotype"/>
          <w:b w:val="0"/>
        </w:rPr>
        <w:t xml:space="preserve">Since the initial ME&amp;O filings warrant a more extensive review by Energy Division staff and will establish expectations and templates for </w:t>
      </w:r>
      <w:r w:rsidRPr="00BA38B8" w:rsidR="00BA38B8">
        <w:rPr>
          <w:rFonts w:ascii="Palatino Linotype" w:hAnsi="Palatino Linotype"/>
          <w:b w:val="0"/>
        </w:rPr>
        <w:t>PG&amp;E</w:t>
      </w:r>
      <w:r w:rsidR="00BA38B8">
        <w:rPr>
          <w:rFonts w:ascii="Palatino Linotype" w:hAnsi="Palatino Linotype"/>
          <w:b w:val="0"/>
        </w:rPr>
        <w:t>’s</w:t>
      </w:r>
      <w:r w:rsidRPr="00BA38B8" w:rsidR="00BA38B8">
        <w:rPr>
          <w:rFonts w:ascii="Palatino Linotype" w:hAnsi="Palatino Linotype"/>
          <w:b w:val="0"/>
        </w:rPr>
        <w:t>, SCE</w:t>
      </w:r>
      <w:r w:rsidR="00BA38B8">
        <w:rPr>
          <w:rFonts w:ascii="Palatino Linotype" w:hAnsi="Palatino Linotype"/>
          <w:b w:val="0"/>
        </w:rPr>
        <w:t>’s</w:t>
      </w:r>
      <w:r w:rsidRPr="00BA38B8" w:rsidR="00BA38B8">
        <w:rPr>
          <w:rFonts w:ascii="Palatino Linotype" w:hAnsi="Palatino Linotype"/>
          <w:b w:val="0"/>
        </w:rPr>
        <w:t>, and SDG&amp;E</w:t>
      </w:r>
      <w:r w:rsidR="00BA38B8">
        <w:rPr>
          <w:rFonts w:ascii="Palatino Linotype" w:hAnsi="Palatino Linotype"/>
          <w:b w:val="0"/>
        </w:rPr>
        <w:t>’s</w:t>
      </w:r>
      <w:r>
        <w:rPr>
          <w:rFonts w:ascii="Palatino Linotype" w:hAnsi="Palatino Linotype"/>
          <w:b w:val="0"/>
        </w:rPr>
        <w:t xml:space="preserve"> future ME&amp;O plan submissions, i</w:t>
      </w:r>
      <w:r w:rsidRPr="00511954" w:rsidR="00CB1BEA">
        <w:rPr>
          <w:rFonts w:ascii="Palatino Linotype" w:hAnsi="Palatino Linotype"/>
          <w:b w:val="0"/>
        </w:rPr>
        <w:t xml:space="preserve">t is appropriate for </w:t>
      </w:r>
      <w:r w:rsidRPr="00BA38B8" w:rsidR="00BA38B8">
        <w:rPr>
          <w:rFonts w:ascii="Palatino Linotype" w:hAnsi="Palatino Linotype"/>
          <w:b w:val="0"/>
        </w:rPr>
        <w:t>PG&amp;E, SCE, and SDG&amp;E</w:t>
      </w:r>
      <w:r w:rsidRPr="00511954" w:rsidDel="00BA38B8" w:rsidR="00BA38B8">
        <w:rPr>
          <w:rFonts w:ascii="Palatino Linotype" w:hAnsi="Palatino Linotype"/>
          <w:b w:val="0"/>
        </w:rPr>
        <w:t xml:space="preserve"> </w:t>
      </w:r>
      <w:r w:rsidRPr="00511954" w:rsidR="00CB1BEA">
        <w:rPr>
          <w:rFonts w:ascii="Palatino Linotype" w:hAnsi="Palatino Linotype"/>
          <w:b w:val="0"/>
        </w:rPr>
        <w:t xml:space="preserve"> to file </w:t>
      </w:r>
      <w:r w:rsidR="00BA38B8">
        <w:rPr>
          <w:rFonts w:ascii="Palatino Linotype" w:hAnsi="Palatino Linotype"/>
          <w:b w:val="0"/>
        </w:rPr>
        <w:t>their</w:t>
      </w:r>
      <w:r w:rsidRPr="00511954" w:rsidR="00CB1BEA">
        <w:rPr>
          <w:rFonts w:ascii="Palatino Linotype" w:hAnsi="Palatino Linotype"/>
          <w:b w:val="0"/>
        </w:rPr>
        <w:t xml:space="preserve"> 2019-2020 ME&amp;O plan within </w:t>
      </w:r>
      <w:r w:rsidRPr="00511954" w:rsidR="00683A22">
        <w:rPr>
          <w:rFonts w:ascii="Palatino Linotype" w:hAnsi="Palatino Linotype"/>
          <w:b w:val="0"/>
        </w:rPr>
        <w:t>6</w:t>
      </w:r>
      <w:r w:rsidRPr="00511954" w:rsidR="00CB1BEA">
        <w:rPr>
          <w:rFonts w:ascii="Palatino Linotype" w:hAnsi="Palatino Linotype"/>
          <w:b w:val="0"/>
        </w:rPr>
        <w:t>0 days of issuance of this Resolution</w:t>
      </w:r>
      <w:r w:rsidRPr="00511954" w:rsidR="00683A22">
        <w:rPr>
          <w:rFonts w:ascii="Palatino Linotype" w:hAnsi="Palatino Linotype"/>
          <w:b w:val="0"/>
        </w:rPr>
        <w:t xml:space="preserve"> as part of its Tier 2 updated program budgets AL</w:t>
      </w:r>
      <w:r w:rsidRPr="00511954" w:rsidR="00CB1BEA">
        <w:rPr>
          <w:rFonts w:ascii="Palatino Linotype" w:hAnsi="Palatino Linotype"/>
          <w:b w:val="0"/>
        </w:rPr>
        <w:t xml:space="preserve">. </w:t>
      </w:r>
    </w:p>
    <w:p w:rsidRPr="00511954" w:rsidR="00972958" w:rsidP="00BF52AA" w:rsidRDefault="00972958" w14:paraId="29F6317D" w14:textId="77777777">
      <w:pPr>
        <w:pStyle w:val="BodyText"/>
        <w:numPr>
          <w:ilvl w:val="0"/>
          <w:numId w:val="35"/>
        </w:numPr>
        <w:spacing w:after="120"/>
        <w:rPr>
          <w:rFonts w:ascii="Palatino Linotype" w:hAnsi="Palatino Linotype"/>
          <w:b w:val="0"/>
        </w:rPr>
      </w:pPr>
      <w:r w:rsidRPr="00511954">
        <w:rPr>
          <w:rFonts w:ascii="Palatino Linotype" w:hAnsi="Palatino Linotype"/>
          <w:b w:val="0"/>
        </w:rPr>
        <w:t xml:space="preserve">It is appropriate to interpret the first year of the CSGT program as the </w:t>
      </w:r>
      <w:proofErr w:type="gramStart"/>
      <w:r w:rsidRPr="00511954">
        <w:rPr>
          <w:rFonts w:ascii="Palatino Linotype" w:hAnsi="Palatino Linotype"/>
          <w:b w:val="0"/>
        </w:rPr>
        <w:t>first year</w:t>
      </w:r>
      <w:proofErr w:type="gramEnd"/>
      <w:r w:rsidRPr="00511954">
        <w:rPr>
          <w:rFonts w:ascii="Palatino Linotype" w:hAnsi="Palatino Linotype"/>
          <w:b w:val="0"/>
        </w:rPr>
        <w:t xml:space="preserve"> customers are able to subscribe to projects, or 2021, whichever occurs first. </w:t>
      </w:r>
    </w:p>
    <w:p w:rsidR="00574DAA" w:rsidP="00BF52AA" w:rsidRDefault="00574DAA" w14:paraId="04BAC9E3" w14:textId="798FE5C4">
      <w:pPr>
        <w:pStyle w:val="BodyText"/>
        <w:numPr>
          <w:ilvl w:val="0"/>
          <w:numId w:val="35"/>
        </w:numPr>
        <w:spacing w:after="120"/>
        <w:rPr>
          <w:rFonts w:ascii="Palatino Linotype" w:hAnsi="Palatino Linotype"/>
          <w:b w:val="0"/>
        </w:rPr>
      </w:pPr>
      <w:r w:rsidRPr="00511954">
        <w:rPr>
          <w:rFonts w:ascii="Palatino Linotype" w:hAnsi="Palatino Linotype"/>
          <w:b w:val="0"/>
        </w:rPr>
        <w:t xml:space="preserve"> The NEM DAC Decision establishes a program evaluation budget of one percent of total annual funding for the DAC-SASH</w:t>
      </w:r>
      <w:r w:rsidRPr="00511954" w:rsidR="00683A22">
        <w:rPr>
          <w:rFonts w:ascii="Palatino Linotype" w:hAnsi="Palatino Linotype"/>
          <w:b w:val="0"/>
        </w:rPr>
        <w:t xml:space="preserve"> program</w:t>
      </w:r>
      <w:r w:rsidR="0039598A">
        <w:rPr>
          <w:rFonts w:ascii="Palatino Linotype" w:hAnsi="Palatino Linotype"/>
          <w:b w:val="0"/>
        </w:rPr>
        <w:t>,</w:t>
      </w:r>
      <w:r w:rsidRPr="00511954">
        <w:rPr>
          <w:rFonts w:ascii="Palatino Linotype" w:hAnsi="Palatino Linotype"/>
          <w:b w:val="0"/>
        </w:rPr>
        <w:t xml:space="preserve"> which is equal to $100,000.</w:t>
      </w:r>
    </w:p>
    <w:p w:rsidRPr="00511954" w:rsidR="004B7492" w:rsidP="00BF52AA" w:rsidRDefault="004B7492" w14:paraId="206E98E0" w14:textId="438C8534">
      <w:pPr>
        <w:pStyle w:val="BodyText"/>
        <w:numPr>
          <w:ilvl w:val="0"/>
          <w:numId w:val="35"/>
        </w:numPr>
        <w:spacing w:after="120"/>
        <w:rPr>
          <w:rFonts w:ascii="Palatino Linotype" w:hAnsi="Palatino Linotype"/>
          <w:b w:val="0"/>
        </w:rPr>
      </w:pPr>
      <w:r>
        <w:rPr>
          <w:rFonts w:ascii="Palatino Linotype" w:hAnsi="Palatino Linotype"/>
          <w:b w:val="0"/>
        </w:rPr>
        <w:t>Since there is no set budget for the DAC-GT and CSGT programs, setting an evaluation budget based on a percent of annual funding would not provide a predictable budget for program evaluation activities.</w:t>
      </w:r>
    </w:p>
    <w:p w:rsidRPr="00511954" w:rsidR="00972958" w:rsidP="00BF52AA" w:rsidRDefault="00574DAA" w14:paraId="64D55EA7" w14:textId="3165CB72">
      <w:pPr>
        <w:pStyle w:val="BodyText"/>
        <w:numPr>
          <w:ilvl w:val="0"/>
          <w:numId w:val="35"/>
        </w:numPr>
        <w:spacing w:after="120"/>
        <w:rPr>
          <w:rFonts w:ascii="Palatino Linotype" w:hAnsi="Palatino Linotype"/>
          <w:b w:val="0"/>
        </w:rPr>
      </w:pPr>
      <w:r w:rsidRPr="00511954">
        <w:rPr>
          <w:rFonts w:ascii="Palatino Linotype" w:hAnsi="Palatino Linotype"/>
          <w:b w:val="0"/>
        </w:rPr>
        <w:t xml:space="preserve">Since the DAC-GT and CSGT programs are two separate programs, it is reasonable for them to collectively have twice the annual program evaluation budget of the DAC-SASH program. Thus, </w:t>
      </w:r>
      <w:r w:rsidRPr="00511954" w:rsidR="00683A22">
        <w:rPr>
          <w:rFonts w:ascii="Palatino Linotype" w:hAnsi="Palatino Linotype"/>
          <w:b w:val="0"/>
        </w:rPr>
        <w:t>i</w:t>
      </w:r>
      <w:r w:rsidRPr="00511954" w:rsidR="00972958">
        <w:rPr>
          <w:rFonts w:ascii="Palatino Linotype" w:hAnsi="Palatino Linotype"/>
          <w:b w:val="0"/>
        </w:rPr>
        <w:t>t is appropriate to have a total of $</w:t>
      </w:r>
      <w:r w:rsidRPr="00511954">
        <w:rPr>
          <w:rFonts w:ascii="Palatino Linotype" w:hAnsi="Palatino Linotype"/>
          <w:b w:val="0"/>
        </w:rPr>
        <w:t>4</w:t>
      </w:r>
      <w:r w:rsidRPr="00511954" w:rsidR="00972958">
        <w:rPr>
          <w:rFonts w:ascii="Palatino Linotype" w:hAnsi="Palatino Linotype"/>
          <w:b w:val="0"/>
        </w:rPr>
        <w:t>00,000</w:t>
      </w:r>
      <w:r w:rsidRPr="00511954" w:rsidR="00AF2BC5">
        <w:rPr>
          <w:rFonts w:ascii="Palatino Linotype" w:hAnsi="Palatino Linotype"/>
          <w:b w:val="0"/>
        </w:rPr>
        <w:t xml:space="preserve"> in program funding</w:t>
      </w:r>
      <w:r w:rsidRPr="00511954" w:rsidR="00972958">
        <w:rPr>
          <w:rFonts w:ascii="Palatino Linotype" w:hAnsi="Palatino Linotype"/>
          <w:b w:val="0"/>
        </w:rPr>
        <w:t xml:space="preserve"> set aside by </w:t>
      </w:r>
      <w:r w:rsidRPr="00511954" w:rsidR="00683A22">
        <w:rPr>
          <w:rFonts w:ascii="Palatino Linotype" w:hAnsi="Palatino Linotype"/>
          <w:b w:val="0"/>
        </w:rPr>
        <w:t xml:space="preserve">PG&amp;E, SCE, and SDG&amp;E </w:t>
      </w:r>
      <w:r w:rsidRPr="00511954" w:rsidR="00972958">
        <w:rPr>
          <w:rFonts w:ascii="Palatino Linotype" w:hAnsi="Palatino Linotype"/>
          <w:b w:val="0"/>
        </w:rPr>
        <w:t>in 2020 to cover the costs of the first pro</w:t>
      </w:r>
      <w:r w:rsidRPr="00511954" w:rsidR="0081425C">
        <w:rPr>
          <w:rFonts w:ascii="Palatino Linotype" w:hAnsi="Palatino Linotype"/>
          <w:b w:val="0"/>
        </w:rPr>
        <w:t>gram evaluation in 2021, with</w:t>
      </w:r>
      <w:r w:rsidRPr="00511954" w:rsidR="00342619">
        <w:rPr>
          <w:rFonts w:ascii="Palatino Linotype" w:hAnsi="Palatino Linotype"/>
          <w:b w:val="0"/>
        </w:rPr>
        <w:t xml:space="preserve"> a total of</w:t>
      </w:r>
      <w:r w:rsidRPr="00511954" w:rsidR="0081425C">
        <w:rPr>
          <w:rFonts w:ascii="Palatino Linotype" w:hAnsi="Palatino Linotype"/>
          <w:b w:val="0"/>
        </w:rPr>
        <w:t xml:space="preserve"> $2</w:t>
      </w:r>
      <w:r w:rsidRPr="00511954" w:rsidR="00972958">
        <w:rPr>
          <w:rFonts w:ascii="Palatino Linotype" w:hAnsi="Palatino Linotype"/>
          <w:b w:val="0"/>
        </w:rPr>
        <w:t xml:space="preserve">00,000 to be set aside by </w:t>
      </w:r>
      <w:r w:rsidRPr="00511954" w:rsidR="00342619">
        <w:rPr>
          <w:rFonts w:ascii="Palatino Linotype" w:hAnsi="Palatino Linotype"/>
          <w:b w:val="0"/>
        </w:rPr>
        <w:t>PG&amp;E, SCE, and SDG&amp;E</w:t>
      </w:r>
      <w:r w:rsidRPr="00511954" w:rsidDel="00342619" w:rsidR="00342619">
        <w:rPr>
          <w:rFonts w:ascii="Palatino Linotype" w:hAnsi="Palatino Linotype"/>
          <w:b w:val="0"/>
        </w:rPr>
        <w:t xml:space="preserve"> </w:t>
      </w:r>
      <w:r w:rsidRPr="00511954" w:rsidR="00972958">
        <w:rPr>
          <w:rFonts w:ascii="Palatino Linotype" w:hAnsi="Palatino Linotype"/>
          <w:b w:val="0"/>
        </w:rPr>
        <w:t xml:space="preserve">for program evaluation annually thereafter. </w:t>
      </w:r>
    </w:p>
    <w:p w:rsidRPr="00511954" w:rsidR="00972958" w:rsidP="00BF52AA" w:rsidRDefault="00972958" w14:paraId="689D0921" w14:textId="055C0222">
      <w:pPr>
        <w:pStyle w:val="BodyText"/>
        <w:numPr>
          <w:ilvl w:val="0"/>
          <w:numId w:val="35"/>
        </w:numPr>
        <w:spacing w:after="120"/>
        <w:rPr>
          <w:rFonts w:ascii="Palatino Linotype" w:hAnsi="Palatino Linotype"/>
          <w:b w:val="0"/>
        </w:rPr>
      </w:pPr>
      <w:r w:rsidRPr="00511954">
        <w:rPr>
          <w:rFonts w:ascii="Palatino Linotype" w:hAnsi="Palatino Linotype"/>
          <w:b w:val="0"/>
        </w:rPr>
        <w:t xml:space="preserve">It is appropriate for funding for </w:t>
      </w:r>
      <w:r w:rsidRPr="00511954" w:rsidR="00C1456C">
        <w:rPr>
          <w:rFonts w:ascii="Palatino Linotype" w:hAnsi="Palatino Linotype"/>
          <w:b w:val="0"/>
        </w:rPr>
        <w:t xml:space="preserve">program </w:t>
      </w:r>
      <w:r w:rsidRPr="00511954">
        <w:rPr>
          <w:rFonts w:ascii="Palatino Linotype" w:hAnsi="Palatino Linotype"/>
          <w:b w:val="0"/>
        </w:rPr>
        <w:t xml:space="preserve">evaluation to be set aside by </w:t>
      </w:r>
      <w:r w:rsidRPr="00511954" w:rsidR="00C1456C">
        <w:rPr>
          <w:rFonts w:ascii="Palatino Linotype" w:hAnsi="Palatino Linotype"/>
          <w:b w:val="0"/>
        </w:rPr>
        <w:t xml:space="preserve">PG&amp;E, SCE, and SDG&amp;E </w:t>
      </w:r>
      <w:r w:rsidRPr="00511954">
        <w:rPr>
          <w:rFonts w:ascii="Palatino Linotype" w:hAnsi="Palatino Linotype"/>
          <w:b w:val="0"/>
        </w:rPr>
        <w:t>according to their proportional share of capacity for the DAC-GT and CSGT programs: 44</w:t>
      </w:r>
      <w:r w:rsidRPr="00511954" w:rsidR="00795CFD">
        <w:rPr>
          <w:rFonts w:ascii="Palatino Linotype" w:hAnsi="Palatino Linotype"/>
          <w:b w:val="0"/>
        </w:rPr>
        <w:t xml:space="preserve"> percent</w:t>
      </w:r>
      <w:r w:rsidRPr="00511954">
        <w:rPr>
          <w:rFonts w:ascii="Palatino Linotype" w:hAnsi="Palatino Linotype"/>
          <w:b w:val="0"/>
        </w:rPr>
        <w:t xml:space="preserve"> </w:t>
      </w:r>
      <w:r w:rsidRPr="00511954" w:rsidR="00A42FD3">
        <w:rPr>
          <w:rFonts w:ascii="Palatino Linotype" w:hAnsi="Palatino Linotype"/>
          <w:b w:val="0"/>
        </w:rPr>
        <w:t xml:space="preserve">for </w:t>
      </w:r>
      <w:r w:rsidRPr="00511954">
        <w:rPr>
          <w:rFonts w:ascii="Palatino Linotype" w:hAnsi="Palatino Linotype"/>
          <w:b w:val="0"/>
        </w:rPr>
        <w:t>PG&amp;E, 44</w:t>
      </w:r>
      <w:r w:rsidRPr="00511954" w:rsidR="00795CFD">
        <w:rPr>
          <w:rFonts w:ascii="Palatino Linotype" w:hAnsi="Palatino Linotype"/>
          <w:b w:val="0"/>
        </w:rPr>
        <w:t xml:space="preserve"> percent</w:t>
      </w:r>
      <w:r w:rsidRPr="00511954">
        <w:rPr>
          <w:rFonts w:ascii="Palatino Linotype" w:hAnsi="Palatino Linotype"/>
          <w:b w:val="0"/>
        </w:rPr>
        <w:t xml:space="preserve"> </w:t>
      </w:r>
      <w:r w:rsidRPr="00511954" w:rsidR="00A42FD3">
        <w:rPr>
          <w:rFonts w:ascii="Palatino Linotype" w:hAnsi="Palatino Linotype"/>
          <w:b w:val="0"/>
        </w:rPr>
        <w:t xml:space="preserve">for </w:t>
      </w:r>
      <w:r w:rsidRPr="00511954">
        <w:rPr>
          <w:rFonts w:ascii="Palatino Linotype" w:hAnsi="Palatino Linotype"/>
          <w:b w:val="0"/>
        </w:rPr>
        <w:t>SCE, and 12</w:t>
      </w:r>
      <w:r w:rsidRPr="00511954" w:rsidR="00795CFD">
        <w:rPr>
          <w:rFonts w:ascii="Palatino Linotype" w:hAnsi="Palatino Linotype"/>
          <w:b w:val="0"/>
        </w:rPr>
        <w:t xml:space="preserve"> percent</w:t>
      </w:r>
      <w:r w:rsidRPr="00511954">
        <w:rPr>
          <w:rFonts w:ascii="Palatino Linotype" w:hAnsi="Palatino Linotype"/>
          <w:b w:val="0"/>
        </w:rPr>
        <w:t xml:space="preserve"> </w:t>
      </w:r>
      <w:r w:rsidRPr="00511954" w:rsidR="00A42FD3">
        <w:rPr>
          <w:rFonts w:ascii="Palatino Linotype" w:hAnsi="Palatino Linotype"/>
          <w:b w:val="0"/>
        </w:rPr>
        <w:t xml:space="preserve">for </w:t>
      </w:r>
      <w:r w:rsidRPr="00511954">
        <w:rPr>
          <w:rFonts w:ascii="Palatino Linotype" w:hAnsi="Palatino Linotype"/>
          <w:b w:val="0"/>
        </w:rPr>
        <w:t xml:space="preserve">SDG&amp;E. </w:t>
      </w:r>
    </w:p>
    <w:p w:rsidRPr="00511954" w:rsidR="0023275A" w:rsidP="00BF52AA" w:rsidRDefault="00405AE9" w14:paraId="6B74165F" w14:textId="387998AF">
      <w:pPr>
        <w:pStyle w:val="BodyText"/>
        <w:numPr>
          <w:ilvl w:val="0"/>
          <w:numId w:val="35"/>
        </w:numPr>
        <w:spacing w:after="120"/>
        <w:rPr>
          <w:rFonts w:ascii="Palatino Linotype" w:hAnsi="Palatino Linotype"/>
          <w:b w:val="0"/>
        </w:rPr>
      </w:pPr>
      <w:r w:rsidRPr="00511954">
        <w:rPr>
          <w:rFonts w:ascii="Palatino Linotype" w:hAnsi="Palatino Linotype"/>
          <w:b w:val="0"/>
        </w:rPr>
        <w:t xml:space="preserve">It is appropriate to bring </w:t>
      </w:r>
      <w:r w:rsidRPr="00511954" w:rsidR="00C1456C">
        <w:rPr>
          <w:rFonts w:ascii="Palatino Linotype" w:hAnsi="Palatino Linotype"/>
          <w:b w:val="0"/>
        </w:rPr>
        <w:t xml:space="preserve">PG&amp;E’s, SCE’s, and SDG&amp;E’s </w:t>
      </w:r>
      <w:r w:rsidRPr="00511954">
        <w:rPr>
          <w:rFonts w:ascii="Palatino Linotype" w:hAnsi="Palatino Linotype"/>
          <w:b w:val="0"/>
        </w:rPr>
        <w:t xml:space="preserve">different processes and timelines for their DAC-GT/CSGT RFOs into closer alignment to create a more consistent experience for DAC customers </w:t>
      </w:r>
      <w:r w:rsidRPr="00511954" w:rsidR="00C1456C">
        <w:rPr>
          <w:rFonts w:ascii="Palatino Linotype" w:hAnsi="Palatino Linotype"/>
          <w:b w:val="0"/>
        </w:rPr>
        <w:t xml:space="preserve">and project developers </w:t>
      </w:r>
      <w:r w:rsidR="000220FF">
        <w:rPr>
          <w:rFonts w:ascii="Palatino Linotype" w:hAnsi="Palatino Linotype"/>
          <w:b w:val="0"/>
        </w:rPr>
        <w:t>across</w:t>
      </w:r>
      <w:r w:rsidRPr="00511954" w:rsidR="00C1456C">
        <w:rPr>
          <w:rFonts w:ascii="Palatino Linotype" w:hAnsi="Palatino Linotype"/>
          <w:b w:val="0"/>
        </w:rPr>
        <w:t xml:space="preserve"> </w:t>
      </w:r>
      <w:r w:rsidRPr="00511954">
        <w:rPr>
          <w:rFonts w:ascii="Palatino Linotype" w:hAnsi="Palatino Linotype"/>
          <w:b w:val="0"/>
        </w:rPr>
        <w:t>service territories.</w:t>
      </w:r>
    </w:p>
    <w:p w:rsidRPr="00511954" w:rsidR="00931DDD" w:rsidP="00BF52AA" w:rsidRDefault="0023275A" w14:paraId="5F8B1D1E" w14:textId="1BE6E2A4">
      <w:pPr>
        <w:pStyle w:val="BodyText"/>
        <w:numPr>
          <w:ilvl w:val="0"/>
          <w:numId w:val="35"/>
        </w:numPr>
        <w:spacing w:after="120"/>
        <w:rPr>
          <w:rFonts w:ascii="Palatino Linotype" w:hAnsi="Palatino Linotype"/>
          <w:b w:val="0"/>
        </w:rPr>
      </w:pPr>
      <w:r w:rsidRPr="00511954">
        <w:rPr>
          <w:rFonts w:ascii="Palatino Linotype" w:hAnsi="Palatino Linotype"/>
          <w:b w:val="0"/>
        </w:rPr>
        <w:t xml:space="preserve">It is </w:t>
      </w:r>
      <w:r w:rsidRPr="00511954" w:rsidR="00931DDD">
        <w:rPr>
          <w:rFonts w:ascii="Palatino Linotype" w:hAnsi="Palatino Linotype"/>
          <w:b w:val="0"/>
        </w:rPr>
        <w:t xml:space="preserve">infeasible for </w:t>
      </w:r>
      <w:r w:rsidRPr="00511954" w:rsidR="00C1456C">
        <w:rPr>
          <w:rFonts w:ascii="Palatino Linotype" w:hAnsi="Palatino Linotype"/>
          <w:b w:val="0"/>
        </w:rPr>
        <w:t xml:space="preserve">PG&amp;E, SCE, and SDG&amp;E </w:t>
      </w:r>
      <w:r w:rsidRPr="00511954">
        <w:rPr>
          <w:rFonts w:ascii="Palatino Linotype" w:hAnsi="Palatino Linotype"/>
          <w:b w:val="0"/>
        </w:rPr>
        <w:t xml:space="preserve">to release RFOs within 90 days of </w:t>
      </w:r>
      <w:r w:rsidRPr="00511954" w:rsidR="00931DDD">
        <w:rPr>
          <w:rFonts w:ascii="Palatino Linotype" w:hAnsi="Palatino Linotype"/>
          <w:b w:val="0"/>
        </w:rPr>
        <w:t xml:space="preserve">issuance this Resolution as described in </w:t>
      </w:r>
      <w:r w:rsidR="0039598A">
        <w:rPr>
          <w:rFonts w:ascii="Palatino Linotype" w:hAnsi="Palatino Linotype"/>
          <w:b w:val="0"/>
        </w:rPr>
        <w:t>D.18-12-015</w:t>
      </w:r>
      <w:r w:rsidR="000113CA">
        <w:rPr>
          <w:rFonts w:ascii="Palatino Linotype" w:hAnsi="Palatino Linotype"/>
          <w:b w:val="0"/>
        </w:rPr>
        <w:t>,</w:t>
      </w:r>
      <w:r w:rsidRPr="00511954" w:rsidR="00931DDD">
        <w:rPr>
          <w:rFonts w:ascii="Palatino Linotype" w:hAnsi="Palatino Linotype"/>
          <w:b w:val="0"/>
        </w:rPr>
        <w:t xml:space="preserve"> </w:t>
      </w:r>
      <w:r w:rsidRPr="000113CA" w:rsidR="00A165B3">
        <w:rPr>
          <w:rFonts w:ascii="Palatino Linotype" w:hAnsi="Palatino Linotype"/>
          <w:b w:val="0"/>
          <w:i/>
        </w:rPr>
        <w:t>Decision</w:t>
      </w:r>
      <w:r w:rsidRPr="000113CA" w:rsidR="00931DDD">
        <w:rPr>
          <w:rFonts w:ascii="Palatino Linotype" w:hAnsi="Palatino Linotype"/>
          <w:b w:val="0"/>
          <w:i/>
        </w:rPr>
        <w:t xml:space="preserve"> </w:t>
      </w:r>
      <w:r w:rsidRPr="000113CA" w:rsidR="00A42FD3">
        <w:rPr>
          <w:rFonts w:ascii="Palatino Linotype" w:hAnsi="Palatino Linotype"/>
          <w:b w:val="0"/>
          <w:i/>
        </w:rPr>
        <w:t>A</w:t>
      </w:r>
      <w:r w:rsidRPr="000113CA" w:rsidR="00931DDD">
        <w:rPr>
          <w:rFonts w:ascii="Palatino Linotype" w:hAnsi="Palatino Linotype"/>
          <w:b w:val="0"/>
          <w:i/>
        </w:rPr>
        <w:t>pproving San Joaquin Valley Disadvantaged Communities Pilot Projects</w:t>
      </w:r>
      <w:r w:rsidR="000113CA">
        <w:rPr>
          <w:rFonts w:ascii="Palatino Linotype" w:hAnsi="Palatino Linotype"/>
          <w:b w:val="0"/>
          <w:i/>
        </w:rPr>
        <w:t>,</w:t>
      </w:r>
      <w:r w:rsidRPr="00511954" w:rsidR="00931DDD">
        <w:rPr>
          <w:rFonts w:ascii="Palatino Linotype" w:hAnsi="Palatino Linotype"/>
          <w:b w:val="0"/>
        </w:rPr>
        <w:t xml:space="preserve"> </w:t>
      </w:r>
      <w:r w:rsidRPr="00511954" w:rsidR="0018729F">
        <w:rPr>
          <w:rFonts w:ascii="Palatino Linotype" w:hAnsi="Palatino Linotype"/>
          <w:b w:val="0"/>
        </w:rPr>
        <w:t>because the</w:t>
      </w:r>
      <w:r w:rsidRPr="00511954" w:rsidR="00C1456C">
        <w:rPr>
          <w:rFonts w:ascii="Palatino Linotype" w:hAnsi="Palatino Linotype"/>
          <w:b w:val="0"/>
        </w:rPr>
        <w:t>ir</w:t>
      </w:r>
      <w:r w:rsidRPr="00511954" w:rsidR="0018729F">
        <w:rPr>
          <w:rFonts w:ascii="Palatino Linotype" w:hAnsi="Palatino Linotype"/>
          <w:b w:val="0"/>
        </w:rPr>
        <w:t xml:space="preserve"> RFO solicitation documents must first be reviewed and approved by Commission</w:t>
      </w:r>
      <w:r w:rsidRPr="00511954" w:rsidR="00C1456C">
        <w:rPr>
          <w:rFonts w:ascii="Palatino Linotype" w:hAnsi="Palatino Linotype"/>
          <w:b w:val="0"/>
        </w:rPr>
        <w:t xml:space="preserve"> staff</w:t>
      </w:r>
      <w:r w:rsidRPr="00511954" w:rsidR="00931DDD">
        <w:rPr>
          <w:rFonts w:ascii="Palatino Linotype" w:hAnsi="Palatino Linotype"/>
          <w:b w:val="0"/>
        </w:rPr>
        <w:t>.</w:t>
      </w:r>
    </w:p>
    <w:p w:rsidRPr="00511954" w:rsidR="00931DDD" w:rsidP="00BF52AA" w:rsidRDefault="00931DDD" w14:paraId="76E8E33C" w14:textId="4658BB24">
      <w:pPr>
        <w:pStyle w:val="BodyText"/>
        <w:numPr>
          <w:ilvl w:val="0"/>
          <w:numId w:val="35"/>
        </w:numPr>
        <w:spacing w:after="120"/>
        <w:rPr>
          <w:rFonts w:ascii="Palatino Linotype" w:hAnsi="Palatino Linotype"/>
        </w:rPr>
      </w:pPr>
      <w:r w:rsidRPr="00511954">
        <w:rPr>
          <w:rFonts w:ascii="Palatino Linotype" w:hAnsi="Palatino Linotype"/>
          <w:b w:val="0"/>
        </w:rPr>
        <w:t xml:space="preserve">It is reasonable for </w:t>
      </w:r>
      <w:r w:rsidRPr="00BA38B8" w:rsidR="00BA38B8">
        <w:rPr>
          <w:rFonts w:ascii="Palatino Linotype" w:hAnsi="Palatino Linotype"/>
          <w:b w:val="0"/>
        </w:rPr>
        <w:t>PG&amp;E, SCE, and SDG&amp;</w:t>
      </w:r>
      <w:proofErr w:type="gramStart"/>
      <w:r w:rsidRPr="00BA38B8" w:rsidR="00BA38B8">
        <w:rPr>
          <w:rFonts w:ascii="Palatino Linotype" w:hAnsi="Palatino Linotype"/>
          <w:b w:val="0"/>
        </w:rPr>
        <w:t>E</w:t>
      </w:r>
      <w:r w:rsidRPr="00511954" w:rsidR="00BA38B8">
        <w:rPr>
          <w:rFonts w:ascii="Palatino Linotype" w:hAnsi="Palatino Linotype"/>
          <w:b w:val="0"/>
        </w:rPr>
        <w:t xml:space="preserve"> </w:t>
      </w:r>
      <w:r w:rsidRPr="00511954" w:rsidR="0023275A">
        <w:rPr>
          <w:rFonts w:ascii="Palatino Linotype" w:hAnsi="Palatino Linotype"/>
          <w:b w:val="0"/>
        </w:rPr>
        <w:t xml:space="preserve"> to</w:t>
      </w:r>
      <w:proofErr w:type="gramEnd"/>
      <w:r w:rsidRPr="00511954" w:rsidR="0023275A">
        <w:rPr>
          <w:rFonts w:ascii="Palatino Linotype" w:hAnsi="Palatino Linotype"/>
          <w:b w:val="0"/>
        </w:rPr>
        <w:t xml:space="preserve"> submit solicitation documents </w:t>
      </w:r>
      <w:r w:rsidRPr="00511954">
        <w:rPr>
          <w:rFonts w:ascii="Palatino Linotype" w:hAnsi="Palatino Linotype"/>
          <w:b w:val="0"/>
        </w:rPr>
        <w:t xml:space="preserve">for their first DAC-GT/CSGT RFO </w:t>
      </w:r>
      <w:r w:rsidRPr="00511954" w:rsidR="0023275A">
        <w:rPr>
          <w:rFonts w:ascii="Palatino Linotype" w:hAnsi="Palatino Linotype"/>
          <w:b w:val="0"/>
        </w:rPr>
        <w:t xml:space="preserve">within </w:t>
      </w:r>
      <w:r w:rsidRPr="00511954" w:rsidR="0018729F">
        <w:rPr>
          <w:rFonts w:ascii="Palatino Linotype" w:hAnsi="Palatino Linotype"/>
          <w:b w:val="0"/>
        </w:rPr>
        <w:t>6</w:t>
      </w:r>
      <w:r w:rsidRPr="00511954" w:rsidR="0023275A">
        <w:rPr>
          <w:rFonts w:ascii="Palatino Linotype" w:hAnsi="Palatino Linotype"/>
          <w:b w:val="0"/>
        </w:rPr>
        <w:t xml:space="preserve">0 days of </w:t>
      </w:r>
      <w:r w:rsidRPr="00511954">
        <w:rPr>
          <w:rFonts w:ascii="Palatino Linotype" w:hAnsi="Palatino Linotype"/>
          <w:b w:val="0"/>
        </w:rPr>
        <w:t>issuance of this Resolution</w:t>
      </w:r>
      <w:r w:rsidRPr="00511954" w:rsidR="0018729F">
        <w:rPr>
          <w:rFonts w:ascii="Palatino Linotype" w:hAnsi="Palatino Linotype"/>
          <w:b w:val="0"/>
        </w:rPr>
        <w:t xml:space="preserve"> and to launch their first RFO within 60 days of the Commission’s approval of their solicitation documents.</w:t>
      </w:r>
    </w:p>
    <w:p w:rsidRPr="00511954" w:rsidR="009A1B37" w:rsidP="00BF52AA" w:rsidRDefault="00FF10DA" w14:paraId="5F625EBE" w14:textId="1E196F13">
      <w:pPr>
        <w:pStyle w:val="BodyText"/>
        <w:numPr>
          <w:ilvl w:val="0"/>
          <w:numId w:val="35"/>
        </w:numPr>
        <w:spacing w:after="120"/>
        <w:rPr>
          <w:rFonts w:ascii="Palatino Linotype" w:hAnsi="Palatino Linotype"/>
        </w:rPr>
      </w:pPr>
      <w:r w:rsidRPr="00511954">
        <w:rPr>
          <w:rFonts w:ascii="Palatino Linotype" w:hAnsi="Palatino Linotype"/>
          <w:b w:val="0"/>
        </w:rPr>
        <w:t xml:space="preserve">It is appropriate to establish an auction clearing price cap for DAC-GT projects </w:t>
      </w:r>
      <w:r w:rsidRPr="00511954" w:rsidR="00C1456C">
        <w:rPr>
          <w:rFonts w:ascii="Palatino Linotype" w:hAnsi="Palatino Linotype"/>
          <w:b w:val="0"/>
        </w:rPr>
        <w:t>for consistency with the cap on CSGT and GTSR projects</w:t>
      </w:r>
      <w:r w:rsidR="0046331E">
        <w:rPr>
          <w:rFonts w:ascii="Palatino Linotype" w:hAnsi="Palatino Linotype"/>
          <w:b w:val="0"/>
        </w:rPr>
        <w:t>,</w:t>
      </w:r>
      <w:r w:rsidRPr="00511954" w:rsidR="00C1456C">
        <w:rPr>
          <w:rFonts w:ascii="Palatino Linotype" w:hAnsi="Palatino Linotype"/>
          <w:b w:val="0"/>
        </w:rPr>
        <w:t xml:space="preserve"> and in order to limit program costs</w:t>
      </w:r>
      <w:r w:rsidRPr="00511954" w:rsidR="009A1B37">
        <w:rPr>
          <w:rFonts w:ascii="Palatino Linotype" w:hAnsi="Palatino Linotype"/>
          <w:b w:val="0"/>
        </w:rPr>
        <w:t xml:space="preserve">. </w:t>
      </w:r>
    </w:p>
    <w:p w:rsidRPr="00511954" w:rsidR="00797347" w:rsidP="00BF52AA" w:rsidRDefault="00797347" w14:paraId="45D85017" w14:textId="4CD313DD">
      <w:pPr>
        <w:pStyle w:val="BodyText"/>
        <w:numPr>
          <w:ilvl w:val="0"/>
          <w:numId w:val="35"/>
        </w:numPr>
        <w:spacing w:after="120"/>
        <w:rPr>
          <w:rFonts w:ascii="Palatino Linotype" w:hAnsi="Palatino Linotype"/>
        </w:rPr>
      </w:pPr>
      <w:r w:rsidRPr="00511954">
        <w:rPr>
          <w:rFonts w:ascii="Palatino Linotype" w:hAnsi="Palatino Linotype"/>
          <w:b w:val="0"/>
        </w:rPr>
        <w:t xml:space="preserve">It is reasonable for the maximum CSGT project size </w:t>
      </w:r>
      <w:r w:rsidRPr="00511954" w:rsidR="004D0157">
        <w:rPr>
          <w:rFonts w:ascii="Palatino Linotype" w:hAnsi="Palatino Linotype"/>
          <w:b w:val="0"/>
        </w:rPr>
        <w:t xml:space="preserve">to </w:t>
      </w:r>
      <w:r w:rsidRPr="00511954">
        <w:rPr>
          <w:rFonts w:ascii="Palatino Linotype" w:hAnsi="Palatino Linotype"/>
          <w:b w:val="0"/>
        </w:rPr>
        <w:t xml:space="preserve">be a static, non-declining number up until each </w:t>
      </w:r>
      <w:r w:rsidRPr="00511954" w:rsidR="00C1456C">
        <w:rPr>
          <w:rFonts w:ascii="Palatino Linotype" w:hAnsi="Palatino Linotype"/>
          <w:b w:val="0"/>
        </w:rPr>
        <w:t xml:space="preserve">utility </w:t>
      </w:r>
      <w:r w:rsidRPr="00511954">
        <w:rPr>
          <w:rFonts w:ascii="Palatino Linotype" w:hAnsi="Palatino Linotype"/>
          <w:b w:val="0"/>
        </w:rPr>
        <w:t>has less than that capacity remaining to be procured under their CSGT program cap.</w:t>
      </w:r>
    </w:p>
    <w:p w:rsidRPr="00511954" w:rsidR="00DE29A9" w:rsidP="00BF52AA" w:rsidRDefault="00DE29A9" w14:paraId="16854C2A" w14:textId="655270BE">
      <w:pPr>
        <w:pStyle w:val="BodyText"/>
        <w:numPr>
          <w:ilvl w:val="0"/>
          <w:numId w:val="35"/>
        </w:numPr>
        <w:spacing w:after="120"/>
        <w:rPr>
          <w:rFonts w:ascii="Palatino Linotype" w:hAnsi="Palatino Linotype"/>
        </w:rPr>
      </w:pPr>
      <w:r w:rsidRPr="00511954">
        <w:rPr>
          <w:rFonts w:ascii="Palatino Linotype" w:hAnsi="Palatino Linotype"/>
          <w:b w:val="0"/>
        </w:rPr>
        <w:t xml:space="preserve">It is reasonable to apply </w:t>
      </w:r>
      <w:r w:rsidRPr="00511954" w:rsidR="00C1456C">
        <w:rPr>
          <w:rFonts w:ascii="Palatino Linotype" w:hAnsi="Palatino Linotype"/>
          <w:b w:val="0"/>
        </w:rPr>
        <w:t xml:space="preserve">a </w:t>
      </w:r>
      <w:r w:rsidRPr="00511954" w:rsidR="0081425C">
        <w:rPr>
          <w:rFonts w:ascii="Palatino Linotype" w:hAnsi="Palatino Linotype"/>
          <w:b w:val="0"/>
        </w:rPr>
        <w:t xml:space="preserve">per customer </w:t>
      </w:r>
      <w:r w:rsidRPr="00511954">
        <w:rPr>
          <w:rFonts w:ascii="Palatino Linotype" w:hAnsi="Palatino Linotype"/>
          <w:b w:val="0"/>
        </w:rPr>
        <w:t xml:space="preserve">enrollment cap </w:t>
      </w:r>
      <w:r w:rsidRPr="00511954" w:rsidR="00C1456C">
        <w:rPr>
          <w:rFonts w:ascii="Palatino Linotype" w:hAnsi="Palatino Linotype"/>
          <w:b w:val="0"/>
        </w:rPr>
        <w:t xml:space="preserve">of 2 MW </w:t>
      </w:r>
      <w:r w:rsidRPr="00511954">
        <w:rPr>
          <w:rFonts w:ascii="Palatino Linotype" w:hAnsi="Palatino Linotype"/>
          <w:b w:val="0"/>
        </w:rPr>
        <w:t>to the DAC-GT and CSGT programs</w:t>
      </w:r>
      <w:r w:rsidRPr="00511954" w:rsidR="00C1456C">
        <w:rPr>
          <w:rFonts w:ascii="Palatino Linotype" w:hAnsi="Palatino Linotype"/>
          <w:b w:val="0"/>
        </w:rPr>
        <w:t xml:space="preserve"> for consistency with the GTSR program and to maximize the number of customers that can be served by the programs</w:t>
      </w:r>
      <w:r w:rsidRPr="00511954">
        <w:rPr>
          <w:rFonts w:ascii="Palatino Linotype" w:hAnsi="Palatino Linotype"/>
          <w:b w:val="0"/>
        </w:rPr>
        <w:t>.</w:t>
      </w:r>
    </w:p>
    <w:p w:rsidRPr="00511954" w:rsidR="009A1B37" w:rsidP="00BF52AA" w:rsidRDefault="009A1B37" w14:paraId="12C79784" w14:textId="5D5CC2DF">
      <w:pPr>
        <w:pStyle w:val="BodyText"/>
        <w:numPr>
          <w:ilvl w:val="0"/>
          <w:numId w:val="35"/>
        </w:numPr>
        <w:spacing w:after="120"/>
        <w:rPr>
          <w:rFonts w:ascii="Palatino Linotype" w:hAnsi="Palatino Linotype"/>
        </w:rPr>
      </w:pPr>
      <w:r w:rsidRPr="00511954">
        <w:rPr>
          <w:rFonts w:ascii="Palatino Linotype" w:hAnsi="Palatino Linotype"/>
          <w:b w:val="0"/>
        </w:rPr>
        <w:t xml:space="preserve">It is </w:t>
      </w:r>
      <w:r w:rsidRPr="00511954" w:rsidR="00C1456C">
        <w:rPr>
          <w:rFonts w:ascii="Palatino Linotype" w:hAnsi="Palatino Linotype"/>
          <w:b w:val="0"/>
        </w:rPr>
        <w:t xml:space="preserve">reasonable to require PG&amp;E, SCE, and SDG&amp;E </w:t>
      </w:r>
      <w:r w:rsidRPr="00511954">
        <w:rPr>
          <w:rFonts w:ascii="Palatino Linotype" w:hAnsi="Palatino Linotype"/>
          <w:b w:val="0"/>
        </w:rPr>
        <w:t>to recertify the eligibility of customers participating in the DAC-GT and CSGT programs who subsequently move</w:t>
      </w:r>
      <w:r w:rsidRPr="00511954" w:rsidR="00CD7D88">
        <w:rPr>
          <w:rFonts w:ascii="Palatino Linotype" w:hAnsi="Palatino Linotype"/>
          <w:b w:val="0"/>
        </w:rPr>
        <w:t>,</w:t>
      </w:r>
      <w:r w:rsidRPr="00511954">
        <w:rPr>
          <w:rFonts w:ascii="Palatino Linotype" w:hAnsi="Palatino Linotype"/>
          <w:b w:val="0"/>
        </w:rPr>
        <w:t xml:space="preserve"> </w:t>
      </w:r>
      <w:r w:rsidRPr="00511954" w:rsidR="00F111F0">
        <w:rPr>
          <w:rFonts w:ascii="Palatino Linotype" w:hAnsi="Palatino Linotype"/>
          <w:b w:val="0"/>
        </w:rPr>
        <w:t>to ensure the programs are reaching the intended beneficiaries, and to allow the customers</w:t>
      </w:r>
      <w:r w:rsidRPr="00511954" w:rsidDel="00F111F0" w:rsidR="00F111F0">
        <w:rPr>
          <w:rFonts w:ascii="Palatino Linotype" w:hAnsi="Palatino Linotype"/>
          <w:b w:val="0"/>
        </w:rPr>
        <w:t xml:space="preserve"> </w:t>
      </w:r>
      <w:r w:rsidRPr="00511954">
        <w:rPr>
          <w:rFonts w:ascii="Palatino Linotype" w:hAnsi="Palatino Linotype"/>
          <w:b w:val="0"/>
        </w:rPr>
        <w:t>to retain their participant status if found to still be eligible.</w:t>
      </w:r>
      <w:r w:rsidRPr="00511954" w:rsidR="00664523">
        <w:rPr>
          <w:rFonts w:ascii="Palatino Linotype" w:hAnsi="Palatino Linotype"/>
          <w:b w:val="0"/>
        </w:rPr>
        <w:t xml:space="preserve"> </w:t>
      </w:r>
    </w:p>
    <w:p w:rsidRPr="00511954" w:rsidR="0049289F" w:rsidP="00BF52AA" w:rsidRDefault="004D0157" w14:paraId="0E0C5588" w14:textId="1648C6A1">
      <w:pPr>
        <w:pStyle w:val="BodyText"/>
        <w:numPr>
          <w:ilvl w:val="0"/>
          <w:numId w:val="35"/>
        </w:numPr>
        <w:spacing w:after="120"/>
        <w:rPr>
          <w:rFonts w:ascii="Palatino Linotype" w:hAnsi="Palatino Linotype"/>
        </w:rPr>
      </w:pPr>
      <w:r w:rsidRPr="00511954">
        <w:rPr>
          <w:rFonts w:ascii="Palatino Linotype" w:hAnsi="Palatino Linotype"/>
          <w:b w:val="0"/>
        </w:rPr>
        <w:t>The NEM DAC Decision</w:t>
      </w:r>
      <w:r w:rsidRPr="00511954" w:rsidR="0049289F">
        <w:rPr>
          <w:rFonts w:ascii="Palatino Linotype" w:hAnsi="Palatino Linotype"/>
          <w:b w:val="0"/>
        </w:rPr>
        <w:t xml:space="preserve"> states that program eligibility should be updated based on the latest version of </w:t>
      </w:r>
      <w:proofErr w:type="spellStart"/>
      <w:r w:rsidRPr="00511954" w:rsidR="0049289F">
        <w:rPr>
          <w:rFonts w:ascii="Palatino Linotype" w:hAnsi="Palatino Linotype"/>
          <w:b w:val="0"/>
        </w:rPr>
        <w:t>CalEnviroScreen</w:t>
      </w:r>
      <w:proofErr w:type="spellEnd"/>
      <w:r w:rsidRPr="00511954" w:rsidR="0049289F">
        <w:rPr>
          <w:rFonts w:ascii="Palatino Linotype" w:hAnsi="Palatino Linotype"/>
          <w:b w:val="0"/>
        </w:rPr>
        <w:t>. As such,</w:t>
      </w:r>
      <w:r w:rsidRPr="00511954" w:rsidR="00F111F0">
        <w:rPr>
          <w:rFonts w:ascii="Palatino Linotype" w:hAnsi="Palatino Linotype"/>
          <w:b w:val="0"/>
        </w:rPr>
        <w:t xml:space="preserve"> PG&amp;E, SCE, and SDG&amp;E</w:t>
      </w:r>
      <w:r w:rsidRPr="00511954" w:rsidR="0049289F">
        <w:rPr>
          <w:rFonts w:ascii="Palatino Linotype" w:hAnsi="Palatino Linotype"/>
          <w:b w:val="0"/>
        </w:rPr>
        <w:t xml:space="preserve"> should update program eligibility rules </w:t>
      </w:r>
      <w:r w:rsidRPr="00511954" w:rsidR="0018729F">
        <w:rPr>
          <w:rFonts w:ascii="Palatino Linotype" w:hAnsi="Palatino Linotype"/>
          <w:b w:val="0"/>
        </w:rPr>
        <w:t xml:space="preserve">and associated language in their DAC-GT and CSGT tariffs </w:t>
      </w:r>
      <w:r w:rsidRPr="00511954" w:rsidR="0049289F">
        <w:rPr>
          <w:rFonts w:ascii="Palatino Linotype" w:hAnsi="Palatino Linotype"/>
          <w:b w:val="0"/>
        </w:rPr>
        <w:t xml:space="preserve">as soon as a new version of </w:t>
      </w:r>
      <w:proofErr w:type="spellStart"/>
      <w:r w:rsidRPr="00511954" w:rsidR="0049289F">
        <w:rPr>
          <w:rFonts w:ascii="Palatino Linotype" w:hAnsi="Palatino Linotype"/>
          <w:b w:val="0"/>
        </w:rPr>
        <w:t>CalEnviroScreen</w:t>
      </w:r>
      <w:proofErr w:type="spellEnd"/>
      <w:r w:rsidRPr="00511954" w:rsidR="0049289F">
        <w:rPr>
          <w:rFonts w:ascii="Palatino Linotype" w:hAnsi="Palatino Linotype"/>
          <w:b w:val="0"/>
        </w:rPr>
        <w:t xml:space="preserve"> is released.</w:t>
      </w:r>
    </w:p>
    <w:p w:rsidRPr="00511954" w:rsidR="0049289F" w:rsidP="00BF52AA" w:rsidRDefault="0049289F" w14:paraId="0A3A0D30" w14:textId="551034E2">
      <w:pPr>
        <w:pStyle w:val="BodyText"/>
        <w:numPr>
          <w:ilvl w:val="0"/>
          <w:numId w:val="35"/>
        </w:numPr>
        <w:spacing w:after="120"/>
        <w:rPr>
          <w:rFonts w:ascii="Palatino Linotype" w:hAnsi="Palatino Linotype"/>
        </w:rPr>
      </w:pPr>
      <w:r w:rsidRPr="00511954">
        <w:rPr>
          <w:rFonts w:ascii="Palatino Linotype" w:hAnsi="Palatino Linotype"/>
          <w:b w:val="0"/>
        </w:rPr>
        <w:t xml:space="preserve">It is appropriate for customers who are already enrolled in DAC-GT to retain their eligibility even if the census tract in which </w:t>
      </w:r>
      <w:r w:rsidRPr="00511954" w:rsidR="0081425C">
        <w:rPr>
          <w:rFonts w:ascii="Palatino Linotype" w:hAnsi="Palatino Linotype"/>
          <w:b w:val="0"/>
        </w:rPr>
        <w:t>they live is no longer a</w:t>
      </w:r>
      <w:r w:rsidR="0046331E">
        <w:rPr>
          <w:rFonts w:ascii="Palatino Linotype" w:hAnsi="Palatino Linotype"/>
          <w:b w:val="0"/>
        </w:rPr>
        <w:t xml:space="preserve"> qualified</w:t>
      </w:r>
      <w:r w:rsidRPr="00511954">
        <w:rPr>
          <w:rFonts w:ascii="Palatino Linotype" w:hAnsi="Palatino Linotype"/>
          <w:b w:val="0"/>
        </w:rPr>
        <w:t xml:space="preserve"> DAC in a subsequent version of </w:t>
      </w:r>
      <w:proofErr w:type="spellStart"/>
      <w:r w:rsidRPr="00511954">
        <w:rPr>
          <w:rFonts w:ascii="Palatino Linotype" w:hAnsi="Palatino Linotype"/>
          <w:b w:val="0"/>
        </w:rPr>
        <w:t>CalEnviroScreen</w:t>
      </w:r>
      <w:proofErr w:type="spellEnd"/>
      <w:r w:rsidRPr="00511954" w:rsidR="00F111F0">
        <w:rPr>
          <w:rFonts w:ascii="Palatino Linotype" w:hAnsi="Palatino Linotype"/>
          <w:b w:val="0"/>
        </w:rPr>
        <w:t xml:space="preserve"> so as to not penalize customers who were previously eligible</w:t>
      </w:r>
      <w:r w:rsidRPr="00511954" w:rsidR="00B419A3">
        <w:rPr>
          <w:rFonts w:ascii="Palatino Linotype" w:hAnsi="Palatino Linotype"/>
          <w:b w:val="0"/>
        </w:rPr>
        <w:t xml:space="preserve"> and </w:t>
      </w:r>
      <w:r w:rsidRPr="00511954" w:rsidR="00F111F0">
        <w:rPr>
          <w:rFonts w:ascii="Palatino Linotype" w:hAnsi="Palatino Linotype"/>
          <w:b w:val="0"/>
        </w:rPr>
        <w:t>whose situation has not change</w:t>
      </w:r>
      <w:r w:rsidRPr="00511954" w:rsidR="00B419A3">
        <w:rPr>
          <w:rFonts w:ascii="Palatino Linotype" w:hAnsi="Palatino Linotype"/>
          <w:b w:val="0"/>
        </w:rPr>
        <w:t>d</w:t>
      </w:r>
      <w:r w:rsidRPr="00511954">
        <w:rPr>
          <w:rFonts w:ascii="Palatino Linotype" w:hAnsi="Palatino Linotype"/>
          <w:b w:val="0"/>
        </w:rPr>
        <w:t>. Similarly, DAC-GT projects contracted under the DAC-GT program will continue to be eligible to serve customers under the DAC-GT program, even if no longer in a top 25</w:t>
      </w:r>
      <w:r w:rsidRPr="00511954" w:rsidR="0081425C">
        <w:rPr>
          <w:rFonts w:ascii="Palatino Linotype" w:hAnsi="Palatino Linotype"/>
          <w:b w:val="0"/>
        </w:rPr>
        <w:t xml:space="preserve"> percent</w:t>
      </w:r>
      <w:r w:rsidRPr="00511954">
        <w:rPr>
          <w:rFonts w:ascii="Palatino Linotype" w:hAnsi="Palatino Linotype"/>
          <w:b w:val="0"/>
        </w:rPr>
        <w:t xml:space="preserve"> DAC in the latest version of </w:t>
      </w:r>
      <w:proofErr w:type="spellStart"/>
      <w:r w:rsidRPr="00511954">
        <w:rPr>
          <w:rFonts w:ascii="Palatino Linotype" w:hAnsi="Palatino Linotype"/>
          <w:b w:val="0"/>
        </w:rPr>
        <w:t>CalEnviroScreen</w:t>
      </w:r>
      <w:proofErr w:type="spellEnd"/>
      <w:r w:rsidRPr="00511954">
        <w:rPr>
          <w:rFonts w:ascii="Palatino Linotype" w:hAnsi="Palatino Linotype"/>
          <w:b w:val="0"/>
        </w:rPr>
        <w:t xml:space="preserve">. </w:t>
      </w:r>
    </w:p>
    <w:p w:rsidRPr="00511954" w:rsidR="00DE29A9" w:rsidP="00BF52AA" w:rsidRDefault="0018729F" w14:paraId="7018A88D" w14:textId="69C9B603">
      <w:pPr>
        <w:pStyle w:val="BodyText"/>
        <w:numPr>
          <w:ilvl w:val="0"/>
          <w:numId w:val="35"/>
        </w:numPr>
        <w:shd w:val="clear" w:color="auto" w:fill="FFFFFF"/>
        <w:spacing w:after="120"/>
        <w:textAlignment w:val="baseline"/>
        <w:rPr>
          <w:rFonts w:ascii="Palatino Linotype" w:hAnsi="Palatino Linotype"/>
          <w:b w:val="0"/>
        </w:rPr>
      </w:pPr>
      <w:r w:rsidRPr="00511954">
        <w:rPr>
          <w:rFonts w:ascii="Palatino Linotype" w:hAnsi="Palatino Linotype"/>
          <w:b w:val="0"/>
        </w:rPr>
        <w:t>In order to be eligible to subscribe to a CSGT project, customers must live in a DAC that is within 5-miles of the CSGT project. Thus,</w:t>
      </w:r>
      <w:r w:rsidRPr="00511954" w:rsidR="0049289F">
        <w:rPr>
          <w:rFonts w:ascii="Palatino Linotype" w:hAnsi="Palatino Linotype"/>
          <w:b w:val="0"/>
        </w:rPr>
        <w:t xml:space="preserve"> it is appropriate for </w:t>
      </w:r>
      <w:r w:rsidRPr="00511954">
        <w:rPr>
          <w:rFonts w:ascii="Palatino Linotype" w:hAnsi="Palatino Linotype"/>
          <w:b w:val="0"/>
        </w:rPr>
        <w:t xml:space="preserve">DACs within 5 miles of </w:t>
      </w:r>
      <w:r w:rsidRPr="00511954" w:rsidR="0049289F">
        <w:rPr>
          <w:rFonts w:ascii="Palatino Linotype" w:hAnsi="Palatino Linotype"/>
          <w:b w:val="0"/>
        </w:rPr>
        <w:t xml:space="preserve">a CSGT project that has executed a PPA with </w:t>
      </w:r>
      <w:r w:rsidR="007F519B">
        <w:rPr>
          <w:rFonts w:ascii="Palatino Linotype" w:hAnsi="Palatino Linotype"/>
          <w:b w:val="0"/>
        </w:rPr>
        <w:t>PG&amp;E, SCE, or</w:t>
      </w:r>
      <w:r w:rsidRPr="00BA38B8" w:rsidR="007F519B">
        <w:rPr>
          <w:rFonts w:ascii="Palatino Linotype" w:hAnsi="Palatino Linotype"/>
          <w:b w:val="0"/>
        </w:rPr>
        <w:t xml:space="preserve"> SDG&amp;E</w:t>
      </w:r>
      <w:r w:rsidRPr="00511954" w:rsidR="0049289F">
        <w:rPr>
          <w:rFonts w:ascii="Palatino Linotype" w:hAnsi="Palatino Linotype"/>
          <w:b w:val="0"/>
        </w:rPr>
        <w:t xml:space="preserve"> to retain </w:t>
      </w:r>
      <w:r w:rsidRPr="00511954">
        <w:rPr>
          <w:rFonts w:ascii="Palatino Linotype" w:hAnsi="Palatino Linotype"/>
          <w:b w:val="0"/>
        </w:rPr>
        <w:t xml:space="preserve">eligibility </w:t>
      </w:r>
      <w:r w:rsidRPr="00511954" w:rsidR="0049289F">
        <w:rPr>
          <w:rFonts w:ascii="Palatino Linotype" w:hAnsi="Palatino Linotype"/>
          <w:b w:val="0"/>
        </w:rPr>
        <w:t>throughout the life of that project</w:t>
      </w:r>
      <w:r w:rsidRPr="00511954">
        <w:rPr>
          <w:rFonts w:ascii="Palatino Linotype" w:hAnsi="Palatino Linotype"/>
          <w:b w:val="0"/>
        </w:rPr>
        <w:t xml:space="preserve"> to ensure that the output of that project can be fully subscribed even if the</w:t>
      </w:r>
      <w:r w:rsidRPr="00511954" w:rsidR="00B419A3">
        <w:rPr>
          <w:rFonts w:ascii="Palatino Linotype" w:hAnsi="Palatino Linotype"/>
          <w:b w:val="0"/>
        </w:rPr>
        <w:t xml:space="preserve"> local</w:t>
      </w:r>
      <w:r w:rsidRPr="00511954" w:rsidR="00CC24CA">
        <w:rPr>
          <w:rFonts w:ascii="Palatino Linotype" w:hAnsi="Palatino Linotype"/>
          <w:b w:val="0"/>
        </w:rPr>
        <w:t xml:space="preserve"> </w:t>
      </w:r>
      <w:r w:rsidRPr="00511954">
        <w:rPr>
          <w:rFonts w:ascii="Palatino Linotype" w:hAnsi="Palatino Linotype"/>
          <w:b w:val="0"/>
        </w:rPr>
        <w:t>census tract</w:t>
      </w:r>
      <w:r w:rsidRPr="00511954" w:rsidR="00CC24CA">
        <w:rPr>
          <w:rFonts w:ascii="Palatino Linotype" w:hAnsi="Palatino Linotype"/>
          <w:b w:val="0"/>
        </w:rPr>
        <w:t>s</w:t>
      </w:r>
      <w:r w:rsidRPr="00511954">
        <w:rPr>
          <w:rFonts w:ascii="Palatino Linotype" w:hAnsi="Palatino Linotype"/>
          <w:b w:val="0"/>
        </w:rPr>
        <w:t xml:space="preserve"> </w:t>
      </w:r>
      <w:r w:rsidRPr="00511954" w:rsidR="00CC24CA">
        <w:rPr>
          <w:rFonts w:ascii="Palatino Linotype" w:hAnsi="Palatino Linotype"/>
          <w:b w:val="0"/>
        </w:rPr>
        <w:t>are</w:t>
      </w:r>
      <w:r w:rsidRPr="00511954">
        <w:rPr>
          <w:rFonts w:ascii="Palatino Linotype" w:hAnsi="Palatino Linotype"/>
          <w:b w:val="0"/>
        </w:rPr>
        <w:t xml:space="preserve"> no longer designated as a</w:t>
      </w:r>
      <w:r w:rsidR="007F519B">
        <w:rPr>
          <w:rFonts w:ascii="Palatino Linotype" w:hAnsi="Palatino Linotype"/>
          <w:b w:val="0"/>
        </w:rPr>
        <w:t xml:space="preserve"> qualified</w:t>
      </w:r>
      <w:r w:rsidRPr="00511954">
        <w:rPr>
          <w:rFonts w:ascii="Palatino Linotype" w:hAnsi="Palatino Linotype"/>
          <w:b w:val="0"/>
        </w:rPr>
        <w:t xml:space="preserve"> DAC in a future iteration of </w:t>
      </w:r>
      <w:proofErr w:type="spellStart"/>
      <w:r w:rsidRPr="00511954">
        <w:rPr>
          <w:rFonts w:ascii="Palatino Linotype" w:hAnsi="Palatino Linotype"/>
          <w:b w:val="0"/>
        </w:rPr>
        <w:t>CalEnviroScreen</w:t>
      </w:r>
      <w:proofErr w:type="spellEnd"/>
      <w:r w:rsidRPr="00511954" w:rsidR="0049289F">
        <w:rPr>
          <w:rFonts w:ascii="Palatino Linotype" w:hAnsi="Palatino Linotype"/>
          <w:b w:val="0"/>
        </w:rPr>
        <w:t xml:space="preserve">.  </w:t>
      </w:r>
    </w:p>
    <w:p w:rsidRPr="00511954" w:rsidR="00DF16BB" w:rsidP="00BF52AA" w:rsidRDefault="00F111F0" w14:paraId="7D071950" w14:textId="2EEF1143">
      <w:pPr>
        <w:pStyle w:val="BodyText"/>
        <w:numPr>
          <w:ilvl w:val="0"/>
          <w:numId w:val="35"/>
        </w:numPr>
        <w:shd w:val="clear" w:color="auto" w:fill="FFFFFF"/>
        <w:spacing w:after="120"/>
        <w:textAlignment w:val="baseline"/>
        <w:rPr>
          <w:rFonts w:ascii="Palatino Linotype" w:hAnsi="Palatino Linotype"/>
          <w:b w:val="0"/>
        </w:rPr>
      </w:pPr>
      <w:r w:rsidRPr="00511954">
        <w:rPr>
          <w:rFonts w:ascii="Palatino Linotype" w:hAnsi="Palatino Linotype"/>
          <w:b w:val="0"/>
        </w:rPr>
        <w:t>To ensure that DAC-GT and CSGT customers receive 100 percent renewable energy</w:t>
      </w:r>
      <w:r w:rsidRPr="00511954" w:rsidR="00DE29A9">
        <w:rPr>
          <w:rFonts w:ascii="Palatino Linotype" w:hAnsi="Palatino Linotype"/>
          <w:b w:val="0"/>
        </w:rPr>
        <w:t>, it is reasonable to apply</w:t>
      </w:r>
      <w:r w:rsidR="007F519B">
        <w:rPr>
          <w:rFonts w:ascii="Palatino Linotype" w:hAnsi="Palatino Linotype"/>
          <w:b w:val="0"/>
        </w:rPr>
        <w:t xml:space="preserve"> the</w:t>
      </w:r>
      <w:r w:rsidRPr="00511954" w:rsidR="00DE29A9">
        <w:rPr>
          <w:rFonts w:ascii="Palatino Linotype" w:hAnsi="Palatino Linotype"/>
          <w:b w:val="0"/>
        </w:rPr>
        <w:t xml:space="preserve"> GTSR requirements regarding the retirement of </w:t>
      </w:r>
      <w:r w:rsidRPr="00511954" w:rsidR="0081425C">
        <w:rPr>
          <w:rFonts w:ascii="Palatino Linotype" w:hAnsi="Palatino Linotype"/>
          <w:b w:val="0"/>
        </w:rPr>
        <w:t>Renewable Energy Credits (</w:t>
      </w:r>
      <w:r w:rsidRPr="00511954" w:rsidR="00DE29A9">
        <w:rPr>
          <w:rFonts w:ascii="Palatino Linotype" w:hAnsi="Palatino Linotype"/>
          <w:b w:val="0"/>
        </w:rPr>
        <w:t>RECs</w:t>
      </w:r>
      <w:r w:rsidRPr="00511954" w:rsidR="0081425C">
        <w:rPr>
          <w:rFonts w:ascii="Palatino Linotype" w:hAnsi="Palatino Linotype"/>
          <w:b w:val="0"/>
        </w:rPr>
        <w:t>)</w:t>
      </w:r>
      <w:r w:rsidRPr="00511954" w:rsidR="00DE29A9">
        <w:rPr>
          <w:rFonts w:ascii="Palatino Linotype" w:hAnsi="Palatino Linotype"/>
          <w:b w:val="0"/>
        </w:rPr>
        <w:t xml:space="preserve"> to the DAC-GT and CSGT programs. </w:t>
      </w:r>
    </w:p>
    <w:p w:rsidRPr="00511954" w:rsidR="00F111F0" w:rsidP="00BA04D5" w:rsidRDefault="00F111F0" w14:paraId="6123E076" w14:textId="639DAC73">
      <w:pPr>
        <w:pStyle w:val="BodyText"/>
        <w:numPr>
          <w:ilvl w:val="0"/>
          <w:numId w:val="35"/>
        </w:numPr>
        <w:spacing w:after="120"/>
        <w:rPr>
          <w:rFonts w:ascii="Palatino Linotype" w:hAnsi="Palatino Linotype"/>
          <w:b w:val="0"/>
        </w:rPr>
      </w:pPr>
      <w:r w:rsidRPr="00511954">
        <w:rPr>
          <w:rFonts w:ascii="Palatino Linotype" w:hAnsi="Palatino Linotype"/>
          <w:b w:val="0"/>
        </w:rPr>
        <w:t>For purposes of consistency across</w:t>
      </w:r>
      <w:r w:rsidRPr="00511954">
        <w:rPr>
          <w:rFonts w:ascii="Palatino Linotype" w:hAnsi="Palatino Linotype"/>
        </w:rPr>
        <w:t xml:space="preserve"> </w:t>
      </w:r>
      <w:r w:rsidRPr="00511954">
        <w:rPr>
          <w:rFonts w:ascii="Palatino Linotype" w:hAnsi="Palatino Linotype"/>
          <w:b w:val="0"/>
        </w:rPr>
        <w:t>PG&amp;E, SCE</w:t>
      </w:r>
      <w:r w:rsidR="007F519B">
        <w:rPr>
          <w:rFonts w:ascii="Palatino Linotype" w:hAnsi="Palatino Linotype"/>
          <w:b w:val="0"/>
        </w:rPr>
        <w:t>,</w:t>
      </w:r>
      <w:r w:rsidRPr="00511954">
        <w:rPr>
          <w:rFonts w:ascii="Palatino Linotype" w:hAnsi="Palatino Linotype"/>
          <w:b w:val="0"/>
        </w:rPr>
        <w:t xml:space="preserve"> and SDG&amp;E programs, it is reasonable </w:t>
      </w:r>
      <w:r w:rsidR="007F519B">
        <w:rPr>
          <w:rFonts w:ascii="Palatino Linotype" w:hAnsi="Palatino Linotype"/>
          <w:b w:val="0"/>
        </w:rPr>
        <w:t xml:space="preserve">for </w:t>
      </w:r>
      <w:r w:rsidRPr="00BA38B8" w:rsidR="007F519B">
        <w:rPr>
          <w:rFonts w:ascii="Palatino Linotype" w:hAnsi="Palatino Linotype"/>
          <w:b w:val="0"/>
        </w:rPr>
        <w:t>PG&amp;E, SCE, and SDG&amp;E</w:t>
      </w:r>
      <w:r w:rsidRPr="00511954" w:rsidDel="007F519B" w:rsidR="007F519B">
        <w:rPr>
          <w:rFonts w:ascii="Palatino Linotype" w:hAnsi="Palatino Linotype"/>
          <w:b w:val="0"/>
        </w:rPr>
        <w:t xml:space="preserve"> </w:t>
      </w:r>
      <w:r w:rsidRPr="00511954">
        <w:rPr>
          <w:rFonts w:ascii="Palatino Linotype" w:hAnsi="Palatino Linotype"/>
          <w:b w:val="0"/>
        </w:rPr>
        <w:t xml:space="preserve">to </w:t>
      </w:r>
      <w:r w:rsidR="000220FF">
        <w:rPr>
          <w:rFonts w:ascii="Palatino Linotype" w:hAnsi="Palatino Linotype"/>
          <w:b w:val="0"/>
        </w:rPr>
        <w:t>use</w:t>
      </w:r>
      <w:r w:rsidRPr="00511954" w:rsidR="000220FF">
        <w:rPr>
          <w:rFonts w:ascii="Palatino Linotype" w:hAnsi="Palatino Linotype"/>
          <w:b w:val="0"/>
        </w:rPr>
        <w:t xml:space="preserve"> </w:t>
      </w:r>
      <w:r w:rsidRPr="00511954">
        <w:rPr>
          <w:rFonts w:ascii="Palatino Linotype" w:hAnsi="Palatino Linotype"/>
          <w:b w:val="0"/>
        </w:rPr>
        <w:t xml:space="preserve">a streamlined version of the reporting requirements for GTSR </w:t>
      </w:r>
      <w:r w:rsidR="000220FF">
        <w:rPr>
          <w:rFonts w:ascii="Palatino Linotype" w:hAnsi="Palatino Linotype"/>
          <w:b w:val="0"/>
        </w:rPr>
        <w:t>in</w:t>
      </w:r>
      <w:r w:rsidRPr="00511954">
        <w:rPr>
          <w:rFonts w:ascii="Palatino Linotype" w:hAnsi="Palatino Linotype"/>
          <w:b w:val="0"/>
        </w:rPr>
        <w:t xml:space="preserve"> the DAC-GT and CSGT programs.</w:t>
      </w:r>
    </w:p>
    <w:p w:rsidRPr="00511954" w:rsidR="00BA04D5" w:rsidP="00BA04D5" w:rsidRDefault="00F111F0" w14:paraId="0E29853F" w14:textId="14AC1351">
      <w:pPr>
        <w:pStyle w:val="BodyText"/>
        <w:numPr>
          <w:ilvl w:val="0"/>
          <w:numId w:val="35"/>
        </w:numPr>
        <w:spacing w:after="120"/>
        <w:rPr>
          <w:rFonts w:ascii="Palatino Linotype" w:hAnsi="Palatino Linotype"/>
          <w:b w:val="0"/>
        </w:rPr>
      </w:pPr>
      <w:r w:rsidRPr="00511954">
        <w:rPr>
          <w:rFonts w:ascii="Palatino Linotype" w:hAnsi="Palatino Linotype"/>
          <w:b w:val="0"/>
        </w:rPr>
        <w:t>For consistency with direction in the NEM DAC Decision, it is reasonable to require PG&amp;E, SCE</w:t>
      </w:r>
      <w:r w:rsidR="007F519B">
        <w:rPr>
          <w:rFonts w:ascii="Palatino Linotype" w:hAnsi="Palatino Linotype"/>
          <w:b w:val="0"/>
        </w:rPr>
        <w:t>,</w:t>
      </w:r>
      <w:r w:rsidRPr="00511954">
        <w:rPr>
          <w:rFonts w:ascii="Palatino Linotype" w:hAnsi="Palatino Linotype"/>
          <w:b w:val="0"/>
        </w:rPr>
        <w:t xml:space="preserve"> and SDG&amp;E to apply </w:t>
      </w:r>
      <w:r w:rsidRPr="00511954" w:rsidR="00BA04D5">
        <w:rPr>
          <w:rFonts w:ascii="Palatino Linotype" w:hAnsi="Palatino Linotype"/>
          <w:b w:val="0"/>
        </w:rPr>
        <w:t>the definition of DACs</w:t>
      </w:r>
      <w:r w:rsidRPr="00511954" w:rsidR="0081425C">
        <w:rPr>
          <w:rFonts w:ascii="Palatino Linotype" w:hAnsi="Palatino Linotype"/>
          <w:b w:val="0"/>
        </w:rPr>
        <w:t xml:space="preserve"> </w:t>
      </w:r>
      <w:r w:rsidRPr="00511954">
        <w:rPr>
          <w:rFonts w:ascii="Palatino Linotype" w:hAnsi="Palatino Linotype"/>
          <w:b w:val="0"/>
        </w:rPr>
        <w:t>as</w:t>
      </w:r>
      <w:r w:rsidRPr="00511954" w:rsidR="0081425C">
        <w:rPr>
          <w:rFonts w:ascii="Palatino Linotype" w:hAnsi="Palatino Linotype"/>
          <w:b w:val="0"/>
        </w:rPr>
        <w:t xml:space="preserve"> </w:t>
      </w:r>
      <w:r w:rsidRPr="00511954" w:rsidR="00BA04D5">
        <w:rPr>
          <w:rFonts w:ascii="Palatino Linotype" w:hAnsi="Palatino Linotype"/>
          <w:b w:val="0"/>
        </w:rPr>
        <w:t>the top 25</w:t>
      </w:r>
      <w:r w:rsidRPr="00511954" w:rsidR="00795CFD">
        <w:rPr>
          <w:rFonts w:ascii="Palatino Linotype" w:hAnsi="Palatino Linotype"/>
          <w:b w:val="0"/>
        </w:rPr>
        <w:t xml:space="preserve"> percent</w:t>
      </w:r>
      <w:r w:rsidRPr="00511954" w:rsidR="00BA04D5">
        <w:rPr>
          <w:rFonts w:ascii="Palatino Linotype" w:hAnsi="Palatino Linotype"/>
          <w:b w:val="0"/>
        </w:rPr>
        <w:t xml:space="preserve"> of census tracts statewide under </w:t>
      </w:r>
      <w:proofErr w:type="spellStart"/>
      <w:r w:rsidRPr="00511954" w:rsidR="00BA04D5">
        <w:rPr>
          <w:rFonts w:ascii="Palatino Linotype" w:hAnsi="Palatino Linotype"/>
          <w:b w:val="0"/>
        </w:rPr>
        <w:t>CalEnviroScreen</w:t>
      </w:r>
      <w:proofErr w:type="spellEnd"/>
      <w:r w:rsidRPr="00511954" w:rsidR="00BA04D5">
        <w:rPr>
          <w:rFonts w:ascii="Palatino Linotype" w:hAnsi="Palatino Linotype"/>
          <w:b w:val="0"/>
        </w:rPr>
        <w:t xml:space="preserve"> 3.0, as well as 22 census tracts in the highest 5 percent of </w:t>
      </w:r>
      <w:proofErr w:type="spellStart"/>
      <w:r w:rsidRPr="00511954" w:rsidR="00BA04D5">
        <w:rPr>
          <w:rFonts w:ascii="Palatino Linotype" w:hAnsi="Palatino Linotype"/>
          <w:b w:val="0"/>
        </w:rPr>
        <w:t>CalEnviroScreen’s</w:t>
      </w:r>
      <w:proofErr w:type="spellEnd"/>
      <w:r w:rsidRPr="00511954" w:rsidR="00BA04D5">
        <w:rPr>
          <w:rFonts w:ascii="Palatino Linotype" w:hAnsi="Palatino Linotype"/>
          <w:b w:val="0"/>
        </w:rPr>
        <w:t xml:space="preserve"> Pollution Burden but that do not have a</w:t>
      </w:r>
      <w:r w:rsidRPr="00511954" w:rsidR="0081425C">
        <w:rPr>
          <w:rFonts w:ascii="Palatino Linotype" w:hAnsi="Palatino Linotype"/>
          <w:b w:val="0"/>
        </w:rPr>
        <w:t xml:space="preserve">n overall </w:t>
      </w:r>
      <w:proofErr w:type="spellStart"/>
      <w:r w:rsidRPr="00511954" w:rsidR="0081425C">
        <w:rPr>
          <w:rFonts w:ascii="Palatino Linotype" w:hAnsi="Palatino Linotype"/>
          <w:b w:val="0"/>
        </w:rPr>
        <w:t>CalEnviroScreen</w:t>
      </w:r>
      <w:proofErr w:type="spellEnd"/>
      <w:r w:rsidRPr="00511954" w:rsidR="0081425C">
        <w:rPr>
          <w:rFonts w:ascii="Palatino Linotype" w:hAnsi="Palatino Linotype"/>
          <w:b w:val="0"/>
        </w:rPr>
        <w:t xml:space="preserve"> score</w:t>
      </w:r>
      <w:r w:rsidRPr="00511954">
        <w:rPr>
          <w:rFonts w:ascii="Palatino Linotype" w:hAnsi="Palatino Linotype"/>
          <w:b w:val="0"/>
        </w:rPr>
        <w:t>,</w:t>
      </w:r>
      <w:r w:rsidRPr="00511954" w:rsidR="00BA04D5">
        <w:rPr>
          <w:rFonts w:ascii="Palatino Linotype" w:hAnsi="Palatino Linotype"/>
          <w:b w:val="0"/>
        </w:rPr>
        <w:t xml:space="preserve"> </w:t>
      </w:r>
      <w:r w:rsidRPr="00511954">
        <w:rPr>
          <w:rFonts w:ascii="Palatino Linotype" w:hAnsi="Palatino Linotype"/>
          <w:b w:val="0"/>
        </w:rPr>
        <w:t xml:space="preserve">throughout </w:t>
      </w:r>
      <w:r w:rsidRPr="00511954" w:rsidR="00BA04D5">
        <w:rPr>
          <w:rFonts w:ascii="Palatino Linotype" w:hAnsi="Palatino Linotype"/>
          <w:b w:val="0"/>
        </w:rPr>
        <w:t>the</w:t>
      </w:r>
      <w:r w:rsidRPr="00511954">
        <w:rPr>
          <w:rFonts w:ascii="Palatino Linotype" w:hAnsi="Palatino Linotype"/>
          <w:b w:val="0"/>
        </w:rPr>
        <w:t>ir</w:t>
      </w:r>
      <w:r w:rsidRPr="00511954" w:rsidR="00BA04D5">
        <w:rPr>
          <w:rFonts w:ascii="Palatino Linotype" w:hAnsi="Palatino Linotype"/>
          <w:b w:val="0"/>
        </w:rPr>
        <w:t xml:space="preserve"> tariffs.</w:t>
      </w:r>
    </w:p>
    <w:p w:rsidRPr="00511954" w:rsidR="00BA04D5" w:rsidP="008C1338" w:rsidRDefault="00BA04D5" w14:paraId="69E97A3B" w14:textId="0C81EC97">
      <w:pPr>
        <w:pStyle w:val="BodyText"/>
        <w:numPr>
          <w:ilvl w:val="0"/>
          <w:numId w:val="35"/>
        </w:numPr>
        <w:spacing w:after="120"/>
        <w:rPr>
          <w:rFonts w:ascii="Palatino Linotype" w:hAnsi="Palatino Linotype"/>
          <w:b w:val="0"/>
        </w:rPr>
      </w:pPr>
      <w:r w:rsidRPr="00511954">
        <w:rPr>
          <w:rFonts w:ascii="Palatino Linotype" w:hAnsi="Palatino Linotype"/>
          <w:b w:val="0"/>
        </w:rPr>
        <w:t xml:space="preserve">Since the programs created in </w:t>
      </w:r>
      <w:r w:rsidRPr="00511954" w:rsidR="004D0157">
        <w:rPr>
          <w:rFonts w:ascii="Palatino Linotype" w:hAnsi="Palatino Linotype"/>
          <w:b w:val="0"/>
        </w:rPr>
        <w:t>the NEM DAC Decision</w:t>
      </w:r>
      <w:r w:rsidRPr="00511954">
        <w:rPr>
          <w:rFonts w:ascii="Palatino Linotype" w:hAnsi="Palatino Linotype"/>
          <w:b w:val="0"/>
        </w:rPr>
        <w:t xml:space="preserve"> were designed as alternatives to</w:t>
      </w:r>
      <w:r w:rsidRPr="00511954" w:rsidR="004D0157">
        <w:rPr>
          <w:rFonts w:ascii="Palatino Linotype" w:hAnsi="Palatino Linotype"/>
          <w:b w:val="0"/>
        </w:rPr>
        <w:t xml:space="preserve"> </w:t>
      </w:r>
      <w:r w:rsidRPr="00511954">
        <w:rPr>
          <w:rFonts w:ascii="Palatino Linotype" w:hAnsi="Palatino Linotype"/>
          <w:b w:val="0"/>
        </w:rPr>
        <w:t xml:space="preserve">NEM it is reasonable for customers </w:t>
      </w:r>
      <w:r w:rsidRPr="00511954" w:rsidR="00F111F0">
        <w:rPr>
          <w:rFonts w:ascii="Palatino Linotype" w:hAnsi="Palatino Linotype"/>
          <w:b w:val="0"/>
        </w:rPr>
        <w:t xml:space="preserve">already taking service under a NEM tariff to be ineligible for the </w:t>
      </w:r>
      <w:r w:rsidRPr="00511954">
        <w:rPr>
          <w:rFonts w:ascii="Palatino Linotype" w:hAnsi="Palatino Linotype"/>
          <w:b w:val="0"/>
        </w:rPr>
        <w:t>DAC-GT and CSGT</w:t>
      </w:r>
      <w:r w:rsidRPr="00511954" w:rsidR="00F111F0">
        <w:rPr>
          <w:rFonts w:ascii="Palatino Linotype" w:hAnsi="Palatino Linotype"/>
          <w:b w:val="0"/>
        </w:rPr>
        <w:t xml:space="preserve"> programs</w:t>
      </w:r>
      <w:r w:rsidRPr="00511954">
        <w:rPr>
          <w:rFonts w:ascii="Palatino Linotype" w:hAnsi="Palatino Linotype"/>
          <w:b w:val="0"/>
        </w:rPr>
        <w:t>.</w:t>
      </w:r>
    </w:p>
    <w:p w:rsidRPr="00511954" w:rsidR="008C1338" w:rsidP="008C1338" w:rsidRDefault="008C1338" w14:paraId="3D031A0D" w14:textId="669422A2">
      <w:pPr>
        <w:pStyle w:val="BodyText"/>
        <w:numPr>
          <w:ilvl w:val="0"/>
          <w:numId w:val="35"/>
        </w:numPr>
        <w:spacing w:after="120"/>
        <w:rPr>
          <w:rFonts w:ascii="Palatino Linotype" w:hAnsi="Palatino Linotype"/>
          <w:b w:val="0"/>
        </w:rPr>
      </w:pPr>
      <w:r w:rsidRPr="00511954">
        <w:rPr>
          <w:rFonts w:ascii="Palatino Linotype" w:hAnsi="Palatino Linotype"/>
          <w:b w:val="0"/>
        </w:rPr>
        <w:t xml:space="preserve">It is consistent with </w:t>
      </w:r>
      <w:r w:rsidRPr="00511954" w:rsidR="004D0157">
        <w:rPr>
          <w:rFonts w:ascii="Palatino Linotype" w:hAnsi="Palatino Linotype"/>
          <w:b w:val="0"/>
        </w:rPr>
        <w:t>the NEM DAC Decision</w:t>
      </w:r>
      <w:r w:rsidRPr="00511954">
        <w:rPr>
          <w:rFonts w:ascii="Palatino Linotype" w:hAnsi="Palatino Linotype"/>
          <w:b w:val="0"/>
        </w:rPr>
        <w:t xml:space="preserve"> for all </w:t>
      </w:r>
      <w:r w:rsidR="007F519B">
        <w:rPr>
          <w:rFonts w:ascii="Palatino Linotype" w:hAnsi="Palatino Linotype"/>
          <w:b w:val="0"/>
        </w:rPr>
        <w:t xml:space="preserve">DAC-GT and </w:t>
      </w:r>
      <w:r w:rsidRPr="00511954">
        <w:rPr>
          <w:rFonts w:ascii="Palatino Linotype" w:hAnsi="Palatino Linotype"/>
          <w:b w:val="0"/>
        </w:rPr>
        <w:t xml:space="preserve">CSGT projects to </w:t>
      </w:r>
      <w:proofErr w:type="gramStart"/>
      <w:r w:rsidRPr="00511954">
        <w:rPr>
          <w:rFonts w:ascii="Palatino Linotype" w:hAnsi="Palatino Linotype"/>
          <w:b w:val="0"/>
        </w:rPr>
        <w:t>be located in</w:t>
      </w:r>
      <w:proofErr w:type="gramEnd"/>
      <w:r w:rsidRPr="00511954">
        <w:rPr>
          <w:rFonts w:ascii="Palatino Linotype" w:hAnsi="Palatino Linotype"/>
          <w:b w:val="0"/>
        </w:rPr>
        <w:t xml:space="preserve"> DACs, as defined in </w:t>
      </w:r>
      <w:r w:rsidRPr="00511954" w:rsidR="004D0157">
        <w:rPr>
          <w:rFonts w:ascii="Palatino Linotype" w:hAnsi="Palatino Linotype"/>
          <w:b w:val="0"/>
        </w:rPr>
        <w:t>that Decision</w:t>
      </w:r>
      <w:r w:rsidRPr="00511954">
        <w:rPr>
          <w:rFonts w:ascii="Palatino Linotype" w:hAnsi="Palatino Linotype"/>
          <w:b w:val="0"/>
        </w:rPr>
        <w:t xml:space="preserve">. </w:t>
      </w:r>
    </w:p>
    <w:p w:rsidRPr="00511954" w:rsidR="006A7070" w:rsidP="0054353F" w:rsidRDefault="00A165B3" w14:paraId="3B0B3EC9" w14:textId="0BEAB1C3">
      <w:pPr>
        <w:pStyle w:val="BodyText"/>
        <w:numPr>
          <w:ilvl w:val="0"/>
          <w:numId w:val="35"/>
        </w:numPr>
        <w:spacing w:after="120"/>
        <w:rPr>
          <w:rFonts w:ascii="Palatino Linotype" w:hAnsi="Palatino Linotype"/>
          <w:b w:val="0"/>
        </w:rPr>
      </w:pPr>
      <w:r w:rsidRPr="00511954">
        <w:rPr>
          <w:rFonts w:ascii="Palatino Linotype" w:hAnsi="Palatino Linotype"/>
          <w:b w:val="0"/>
        </w:rPr>
        <w:t>D</w:t>
      </w:r>
      <w:r w:rsidRPr="00511954" w:rsidR="004D0157">
        <w:rPr>
          <w:rFonts w:ascii="Palatino Linotype" w:hAnsi="Palatino Linotype"/>
          <w:b w:val="0"/>
        </w:rPr>
        <w:t>.</w:t>
      </w:r>
      <w:r w:rsidRPr="00511954" w:rsidR="006A7070">
        <w:rPr>
          <w:rFonts w:ascii="Palatino Linotype" w:hAnsi="Palatino Linotype"/>
          <w:b w:val="0"/>
        </w:rPr>
        <w:t>18-12-015</w:t>
      </w:r>
      <w:r w:rsidRPr="00511954" w:rsidR="00531A46">
        <w:rPr>
          <w:rFonts w:ascii="Palatino Linotype" w:hAnsi="Palatino Linotype"/>
          <w:b w:val="0"/>
        </w:rPr>
        <w:t xml:space="preserve"> </w:t>
      </w:r>
      <w:r w:rsidRPr="00511954" w:rsidR="00843708">
        <w:rPr>
          <w:rFonts w:ascii="Palatino Linotype" w:hAnsi="Palatino Linotype"/>
          <w:b w:val="0"/>
        </w:rPr>
        <w:t>provided that</w:t>
      </w:r>
      <w:r w:rsidRPr="00511954" w:rsidR="006A7070">
        <w:rPr>
          <w:rFonts w:ascii="Palatino Linotype" w:hAnsi="Palatino Linotype"/>
          <w:b w:val="0"/>
        </w:rPr>
        <w:t xml:space="preserve"> CSGT projects in SJV pilot communities </w:t>
      </w:r>
      <w:r w:rsidRPr="00511954" w:rsidR="00843708">
        <w:rPr>
          <w:rFonts w:ascii="Palatino Linotype" w:hAnsi="Palatino Linotype"/>
          <w:b w:val="0"/>
        </w:rPr>
        <w:t>can</w:t>
      </w:r>
      <w:r w:rsidRPr="00511954" w:rsidR="006A7070">
        <w:rPr>
          <w:rFonts w:ascii="Palatino Linotype" w:hAnsi="Palatino Linotype"/>
          <w:b w:val="0"/>
        </w:rPr>
        <w:t xml:space="preserve"> be within a 40</w:t>
      </w:r>
      <w:r w:rsidRPr="00511954" w:rsidR="00AA646D">
        <w:rPr>
          <w:rFonts w:ascii="Palatino Linotype" w:hAnsi="Palatino Linotype"/>
          <w:b w:val="0"/>
        </w:rPr>
        <w:t>-</w:t>
      </w:r>
      <w:r w:rsidRPr="00511954" w:rsidR="006A7070">
        <w:rPr>
          <w:rFonts w:ascii="Palatino Linotype" w:hAnsi="Palatino Linotype"/>
          <w:b w:val="0"/>
        </w:rPr>
        <w:t xml:space="preserve">mile radius of the </w:t>
      </w:r>
      <w:r w:rsidRPr="00511954" w:rsidR="00CE7BB6">
        <w:rPr>
          <w:rFonts w:ascii="Palatino Linotype" w:hAnsi="Palatino Linotype"/>
          <w:b w:val="0"/>
        </w:rPr>
        <w:t xml:space="preserve">SJV </w:t>
      </w:r>
      <w:r w:rsidRPr="00511954" w:rsidR="006A7070">
        <w:rPr>
          <w:rFonts w:ascii="Palatino Linotype" w:hAnsi="Palatino Linotype"/>
          <w:b w:val="0"/>
        </w:rPr>
        <w:t>pilot communities they serve, rather than within a 5</w:t>
      </w:r>
      <w:r w:rsidRPr="00511954" w:rsidR="00AA646D">
        <w:rPr>
          <w:rFonts w:ascii="Palatino Linotype" w:hAnsi="Palatino Linotype"/>
          <w:b w:val="0"/>
        </w:rPr>
        <w:t>-</w:t>
      </w:r>
      <w:r w:rsidRPr="00511954" w:rsidR="006A7070">
        <w:rPr>
          <w:rFonts w:ascii="Palatino Linotype" w:hAnsi="Palatino Linotype"/>
          <w:b w:val="0"/>
        </w:rPr>
        <w:t>mile radius.</w:t>
      </w:r>
    </w:p>
    <w:p w:rsidRPr="00511954" w:rsidR="0054353F" w:rsidP="0054353F" w:rsidRDefault="00A165B3" w14:paraId="39748B99" w14:textId="46E598A6">
      <w:pPr>
        <w:pStyle w:val="BodyText"/>
        <w:numPr>
          <w:ilvl w:val="0"/>
          <w:numId w:val="35"/>
        </w:numPr>
        <w:spacing w:after="120"/>
        <w:rPr>
          <w:rFonts w:ascii="Palatino Linotype" w:hAnsi="Palatino Linotype"/>
          <w:b w:val="0"/>
        </w:rPr>
      </w:pPr>
      <w:r w:rsidRPr="00511954">
        <w:rPr>
          <w:rFonts w:ascii="Palatino Linotype" w:hAnsi="Palatino Linotype"/>
          <w:b w:val="0"/>
        </w:rPr>
        <w:t>D</w:t>
      </w:r>
      <w:r w:rsidRPr="00511954" w:rsidR="004D0157">
        <w:rPr>
          <w:rFonts w:ascii="Palatino Linotype" w:hAnsi="Palatino Linotype"/>
          <w:b w:val="0"/>
        </w:rPr>
        <w:t>.</w:t>
      </w:r>
      <w:r w:rsidRPr="00511954" w:rsidR="0054353F">
        <w:rPr>
          <w:rFonts w:ascii="Palatino Linotype" w:hAnsi="Palatino Linotype"/>
          <w:b w:val="0"/>
        </w:rPr>
        <w:t>18-10-007 clarified that CSGT projects must be within 5 miles of the</w:t>
      </w:r>
      <w:r w:rsidRPr="00511954" w:rsidR="004D0157">
        <w:rPr>
          <w:rFonts w:ascii="Palatino Linotype" w:hAnsi="Palatino Linotype"/>
          <w:b w:val="0"/>
        </w:rPr>
        <w:t xml:space="preserve"> census tract</w:t>
      </w:r>
      <w:r w:rsidRPr="00511954" w:rsidR="0054353F">
        <w:rPr>
          <w:rFonts w:ascii="Palatino Linotype" w:hAnsi="Palatino Linotype"/>
          <w:b w:val="0"/>
        </w:rPr>
        <w:t xml:space="preserve"> in which subscribing customers reside</w:t>
      </w:r>
      <w:r w:rsidRPr="00511954" w:rsidR="0034047C">
        <w:rPr>
          <w:rFonts w:ascii="Palatino Linotype" w:hAnsi="Palatino Linotype"/>
          <w:b w:val="0"/>
        </w:rPr>
        <w:t>, not within 5 miles of each subscribing customer’s address</w:t>
      </w:r>
      <w:r w:rsidRPr="00511954" w:rsidR="0054353F">
        <w:rPr>
          <w:rFonts w:ascii="Palatino Linotype" w:hAnsi="Palatino Linotype"/>
          <w:b w:val="0"/>
        </w:rPr>
        <w:t xml:space="preserve">. </w:t>
      </w:r>
    </w:p>
    <w:p w:rsidRPr="00511954" w:rsidR="0025218B" w:rsidP="0025218B" w:rsidRDefault="004D0157" w14:paraId="471C399C" w14:textId="0980840A">
      <w:pPr>
        <w:pStyle w:val="BodyText"/>
        <w:numPr>
          <w:ilvl w:val="0"/>
          <w:numId w:val="35"/>
        </w:numPr>
        <w:spacing w:after="120"/>
        <w:rPr>
          <w:rFonts w:ascii="Palatino Linotype" w:hAnsi="Palatino Linotype"/>
          <w:b w:val="0"/>
        </w:rPr>
      </w:pPr>
      <w:r w:rsidRPr="00511954">
        <w:rPr>
          <w:rFonts w:ascii="Palatino Linotype" w:hAnsi="Palatino Linotype"/>
          <w:b w:val="0"/>
        </w:rPr>
        <w:t>The NEM DAC Decision</w:t>
      </w:r>
      <w:r w:rsidRPr="00511954" w:rsidR="0025218B">
        <w:rPr>
          <w:rFonts w:ascii="Palatino Linotype" w:hAnsi="Palatino Linotype"/>
          <w:b w:val="0"/>
        </w:rPr>
        <w:t xml:space="preserve"> does not place any requirements on the </w:t>
      </w:r>
      <w:r w:rsidRPr="00511954" w:rsidR="00CE7BB6">
        <w:rPr>
          <w:rFonts w:ascii="Palatino Linotype" w:hAnsi="Palatino Linotype"/>
          <w:b w:val="0"/>
        </w:rPr>
        <w:t xml:space="preserve">CSGT </w:t>
      </w:r>
      <w:r w:rsidRPr="00511954" w:rsidR="0025218B">
        <w:rPr>
          <w:rFonts w:ascii="Palatino Linotype" w:hAnsi="Palatino Linotype"/>
          <w:b w:val="0"/>
        </w:rPr>
        <w:t>community sponsor after a letter of commitment has been submitted that enables a CSGT project to bid into an RFO.</w:t>
      </w:r>
    </w:p>
    <w:p w:rsidRPr="00511954" w:rsidR="008C1338" w:rsidP="00BF52AA" w:rsidRDefault="00084C3B" w14:paraId="20DAE506" w14:textId="52684C41">
      <w:pPr>
        <w:pStyle w:val="BodyText"/>
        <w:numPr>
          <w:ilvl w:val="0"/>
          <w:numId w:val="35"/>
        </w:numPr>
        <w:spacing w:after="120"/>
        <w:rPr>
          <w:rFonts w:ascii="Palatino Linotype" w:hAnsi="Palatino Linotype"/>
          <w:b w:val="0"/>
        </w:rPr>
      </w:pPr>
      <w:r w:rsidRPr="00511954">
        <w:rPr>
          <w:rFonts w:ascii="Palatino Linotype" w:hAnsi="Palatino Linotype"/>
          <w:b w:val="0"/>
        </w:rPr>
        <w:t xml:space="preserve">It is consistent with </w:t>
      </w:r>
      <w:r w:rsidRPr="00511954" w:rsidR="004D0157">
        <w:rPr>
          <w:rFonts w:ascii="Palatino Linotype" w:hAnsi="Palatino Linotype"/>
          <w:b w:val="0"/>
        </w:rPr>
        <w:t>the NEM DAC Decision</w:t>
      </w:r>
      <w:r w:rsidRPr="00511954">
        <w:rPr>
          <w:rFonts w:ascii="Palatino Linotype" w:hAnsi="Palatino Linotype"/>
          <w:b w:val="0"/>
        </w:rPr>
        <w:t xml:space="preserve"> for there to be no minimum term for community sponsors to participate in a CSGT tariff.</w:t>
      </w:r>
    </w:p>
    <w:p w:rsidRPr="00511954" w:rsidR="00DF3601" w:rsidP="00FB4E7F" w:rsidRDefault="00F639BB" w14:paraId="0890D85F" w14:textId="06423315">
      <w:pPr>
        <w:pStyle w:val="BodyText"/>
        <w:numPr>
          <w:ilvl w:val="0"/>
          <w:numId w:val="35"/>
        </w:numPr>
        <w:spacing w:after="120"/>
        <w:rPr>
          <w:rFonts w:ascii="Palatino Linotype" w:hAnsi="Palatino Linotype"/>
          <w:b w:val="0"/>
        </w:rPr>
      </w:pPr>
      <w:r w:rsidRPr="00511954">
        <w:rPr>
          <w:rFonts w:ascii="Palatino Linotype" w:hAnsi="Palatino Linotype"/>
          <w:b w:val="0"/>
        </w:rPr>
        <w:t xml:space="preserve">It is consistent with </w:t>
      </w:r>
      <w:r w:rsidRPr="00511954" w:rsidR="004D0157">
        <w:rPr>
          <w:rFonts w:ascii="Palatino Linotype" w:hAnsi="Palatino Linotype"/>
          <w:b w:val="0"/>
        </w:rPr>
        <w:t>the NEM DAC Decision</w:t>
      </w:r>
      <w:r w:rsidRPr="00511954" w:rsidR="00AA646D">
        <w:rPr>
          <w:rFonts w:ascii="Palatino Linotype" w:hAnsi="Palatino Linotype"/>
          <w:b w:val="0"/>
        </w:rPr>
        <w:t xml:space="preserve"> </w:t>
      </w:r>
      <w:r w:rsidRPr="00511954">
        <w:rPr>
          <w:rFonts w:ascii="Palatino Linotype" w:hAnsi="Palatino Linotype"/>
          <w:b w:val="0"/>
        </w:rPr>
        <w:t xml:space="preserve">for multiple community sponsors, if eligible, to be able to share the 20 percent bill credit for up to 25 percent of a CSGT project’s output. </w:t>
      </w:r>
    </w:p>
    <w:p w:rsidRPr="00511954" w:rsidR="00A71DC6" w:rsidP="001F2AC5" w:rsidRDefault="001C538D" w14:paraId="37C9690A" w14:textId="77777777">
      <w:pPr>
        <w:pStyle w:val="Heading1"/>
        <w:spacing w:before="0" w:after="0"/>
        <w:jc w:val="both"/>
        <w:rPr>
          <w:rFonts w:ascii="Palatino Linotype" w:hAnsi="Palatino Linotype"/>
        </w:rPr>
      </w:pPr>
      <w:proofErr w:type="gramStart"/>
      <w:r w:rsidRPr="00511954">
        <w:rPr>
          <w:rFonts w:ascii="Palatino Linotype" w:hAnsi="Palatino Linotype"/>
        </w:rPr>
        <w:t>Therefore</w:t>
      </w:r>
      <w:proofErr w:type="gramEnd"/>
      <w:r w:rsidRPr="00511954">
        <w:rPr>
          <w:rFonts w:ascii="Palatino Linotype" w:hAnsi="Palatino Linotype"/>
        </w:rPr>
        <w:t xml:space="preserve"> it is ordered that:</w:t>
      </w:r>
    </w:p>
    <w:p w:rsidRPr="00511954" w:rsidR="00A17B2D" w:rsidP="00A17B2D" w:rsidRDefault="00A17B2D" w14:paraId="4CA5BEBE" w14:textId="6FFBF973">
      <w:pPr>
        <w:numPr>
          <w:ilvl w:val="0"/>
          <w:numId w:val="5"/>
        </w:numPr>
        <w:spacing w:after="120"/>
        <w:jc w:val="both"/>
        <w:rPr>
          <w:rFonts w:ascii="Palatino Linotype" w:hAnsi="Palatino Linotype"/>
        </w:rPr>
      </w:pPr>
      <w:r w:rsidRPr="00511954">
        <w:rPr>
          <w:rFonts w:ascii="Palatino Linotype" w:hAnsi="Palatino Linotype"/>
        </w:rPr>
        <w:t xml:space="preserve">Pacific Gas and Electric Company (PG&amp;E) Advice Letters 5362-E/E-A, Southern California Edison (SCE) Advice Letters 3851-E/E-A, and San Diego Gas </w:t>
      </w:r>
      <w:r w:rsidRPr="00511954" w:rsidR="004873BD">
        <w:rPr>
          <w:rFonts w:ascii="Palatino Linotype" w:hAnsi="Palatino Linotype"/>
        </w:rPr>
        <w:t xml:space="preserve">&amp; </w:t>
      </w:r>
      <w:r w:rsidRPr="00511954">
        <w:rPr>
          <w:rFonts w:ascii="Palatino Linotype" w:hAnsi="Palatino Linotype"/>
        </w:rPr>
        <w:t>Electric Company (SDG&amp;E) Advice Letters 3262-E/E-A/E-B are approved</w:t>
      </w:r>
      <w:r w:rsidRPr="00511954" w:rsidR="003205F0">
        <w:rPr>
          <w:rFonts w:ascii="Palatino Linotype" w:hAnsi="Palatino Linotype"/>
        </w:rPr>
        <w:t xml:space="preserve"> </w:t>
      </w:r>
      <w:r w:rsidRPr="00511954" w:rsidR="00CE7BB6">
        <w:rPr>
          <w:rFonts w:ascii="Palatino Linotype" w:hAnsi="Palatino Linotype"/>
        </w:rPr>
        <w:t xml:space="preserve">with the modifications </w:t>
      </w:r>
      <w:r w:rsidR="00A008BF">
        <w:rPr>
          <w:rFonts w:ascii="Palatino Linotype" w:hAnsi="Palatino Linotype"/>
        </w:rPr>
        <w:t>set forth</w:t>
      </w:r>
      <w:r w:rsidRPr="00511954" w:rsidR="00A008BF">
        <w:rPr>
          <w:rFonts w:ascii="Palatino Linotype" w:hAnsi="Palatino Linotype"/>
        </w:rPr>
        <w:t xml:space="preserve"> </w:t>
      </w:r>
      <w:r w:rsidRPr="00511954">
        <w:rPr>
          <w:rFonts w:ascii="Palatino Linotype" w:hAnsi="Palatino Linotype"/>
        </w:rPr>
        <w:t>below</w:t>
      </w:r>
      <w:r w:rsidR="00A008BF">
        <w:rPr>
          <w:rFonts w:ascii="Palatino Linotype" w:hAnsi="Palatino Linotype"/>
        </w:rPr>
        <w:t xml:space="preserve"> and otherwise specified herein</w:t>
      </w:r>
      <w:r w:rsidRPr="00511954">
        <w:rPr>
          <w:rFonts w:ascii="Palatino Linotype" w:hAnsi="Palatino Linotype"/>
        </w:rPr>
        <w:t>. PG&amp;E, SCE, and SDG&amp;</w:t>
      </w:r>
      <w:r w:rsidRPr="00511954" w:rsidR="00CE7BB6">
        <w:rPr>
          <w:rFonts w:ascii="Palatino Linotype" w:hAnsi="Palatino Linotype"/>
        </w:rPr>
        <w:t>E</w:t>
      </w:r>
      <w:r w:rsidRPr="00511954">
        <w:rPr>
          <w:rFonts w:ascii="Palatino Linotype" w:hAnsi="Palatino Linotype"/>
        </w:rPr>
        <w:t xml:space="preserve"> shall each submit </w:t>
      </w:r>
      <w:r w:rsidR="00A008BF">
        <w:rPr>
          <w:rFonts w:ascii="Palatino Linotype" w:hAnsi="Palatino Linotype"/>
        </w:rPr>
        <w:t xml:space="preserve">supplemental compliance </w:t>
      </w:r>
      <w:r w:rsidRPr="00511954">
        <w:rPr>
          <w:rFonts w:ascii="Palatino Linotype" w:hAnsi="Palatino Linotype"/>
        </w:rPr>
        <w:t xml:space="preserve">Advice Letters within 30 days of the issuance of this </w:t>
      </w:r>
      <w:r w:rsidR="007F519B">
        <w:rPr>
          <w:rFonts w:ascii="Palatino Linotype" w:hAnsi="Palatino Linotype"/>
        </w:rPr>
        <w:t>R</w:t>
      </w:r>
      <w:r w:rsidRPr="00511954">
        <w:rPr>
          <w:rFonts w:ascii="Palatino Linotype" w:hAnsi="Palatino Linotype"/>
        </w:rPr>
        <w:t>esolution with revised Disadvantaged Communit</w:t>
      </w:r>
      <w:r w:rsidRPr="00511954" w:rsidR="00317196">
        <w:rPr>
          <w:rFonts w:ascii="Palatino Linotype" w:hAnsi="Palatino Linotype"/>
        </w:rPr>
        <w:t>ies</w:t>
      </w:r>
      <w:r w:rsidRPr="00511954">
        <w:rPr>
          <w:rFonts w:ascii="Palatino Linotype" w:hAnsi="Palatino Linotype"/>
        </w:rPr>
        <w:t xml:space="preserve"> Green Tariff (DAC-GT) and Community Solar Green Tariff (CSGT) tariffs that reflect the changes to the tariffs directed below:</w:t>
      </w:r>
    </w:p>
    <w:p w:rsidRPr="00511954" w:rsidR="00A17B2D" w:rsidP="00A17B2D" w:rsidRDefault="00A17B2D" w14:paraId="0D9367B4" w14:textId="77777777">
      <w:pPr>
        <w:numPr>
          <w:ilvl w:val="1"/>
          <w:numId w:val="5"/>
        </w:numPr>
        <w:spacing w:after="120"/>
        <w:jc w:val="both"/>
        <w:rPr>
          <w:rFonts w:ascii="Palatino Linotype" w:hAnsi="Palatino Linotype"/>
        </w:rPr>
      </w:pPr>
      <w:r w:rsidRPr="00511954">
        <w:rPr>
          <w:rFonts w:ascii="Palatino Linotype" w:hAnsi="Palatino Linotype"/>
        </w:rPr>
        <w:t>SCE shall update its CSGT tariff to provide the 20 percent bill discount to non-low income, as well as income qualified, customers.</w:t>
      </w:r>
    </w:p>
    <w:p w:rsidRPr="00511954" w:rsidR="00A17B2D" w:rsidP="00A17B2D" w:rsidRDefault="00A17B2D" w14:paraId="6AFE0E59" w14:textId="099D5652">
      <w:pPr>
        <w:pStyle w:val="BodyText"/>
        <w:numPr>
          <w:ilvl w:val="1"/>
          <w:numId w:val="5"/>
        </w:numPr>
        <w:spacing w:after="120"/>
        <w:rPr>
          <w:rFonts w:ascii="Palatino Linotype" w:hAnsi="Palatino Linotype"/>
          <w:b w:val="0"/>
        </w:rPr>
      </w:pPr>
      <w:r w:rsidRPr="00511954">
        <w:rPr>
          <w:rFonts w:ascii="Palatino Linotype" w:hAnsi="Palatino Linotype"/>
          <w:b w:val="0"/>
        </w:rPr>
        <w:t xml:space="preserve">SCE shall update its DAC-GT and CSGT tariffs to allow customers who are eligible for the California Alternate Rates for Energy (CARE) program or the Family Electric Rate Assistance (FERA) program to participate in DAC-GT and CSGT as income-qualified customers, even if they </w:t>
      </w:r>
      <w:r w:rsidRPr="00511954" w:rsidR="00CE7BB6">
        <w:rPr>
          <w:rFonts w:ascii="Palatino Linotype" w:hAnsi="Palatino Linotype"/>
          <w:b w:val="0"/>
        </w:rPr>
        <w:t xml:space="preserve">are </w:t>
      </w:r>
      <w:r w:rsidRPr="00511954">
        <w:rPr>
          <w:rFonts w:ascii="Palatino Linotype" w:hAnsi="Palatino Linotype"/>
          <w:b w:val="0"/>
        </w:rPr>
        <w:t>not enrolled in CARE or FERA.</w:t>
      </w:r>
    </w:p>
    <w:p w:rsidRPr="00511954" w:rsidR="00A17B2D" w:rsidP="00A17B2D" w:rsidRDefault="00A17B2D" w14:paraId="2F7961BF" w14:textId="075AD5E8">
      <w:pPr>
        <w:numPr>
          <w:ilvl w:val="1"/>
          <w:numId w:val="5"/>
        </w:numPr>
        <w:spacing w:after="120"/>
        <w:jc w:val="both"/>
        <w:rPr>
          <w:rFonts w:ascii="Palatino Linotype" w:hAnsi="Palatino Linotype"/>
        </w:rPr>
      </w:pPr>
      <w:r w:rsidRPr="00511954">
        <w:rPr>
          <w:rFonts w:ascii="Palatino Linotype" w:hAnsi="Palatino Linotype"/>
        </w:rPr>
        <w:t>PG&amp;E, SCE</w:t>
      </w:r>
      <w:r w:rsidRPr="00511954" w:rsidR="007D4DCB">
        <w:rPr>
          <w:rFonts w:ascii="Palatino Linotype" w:hAnsi="Palatino Linotype"/>
        </w:rPr>
        <w:t>,</w:t>
      </w:r>
      <w:r w:rsidRPr="00511954">
        <w:rPr>
          <w:rFonts w:ascii="Palatino Linotype" w:hAnsi="Palatino Linotype"/>
        </w:rPr>
        <w:t xml:space="preserve"> and SDG&amp;E shall apply the 20 percent DAC-GT or CSGT discount to </w:t>
      </w:r>
      <w:r w:rsidRPr="00511954" w:rsidR="00CE7BB6">
        <w:rPr>
          <w:rFonts w:ascii="Palatino Linotype" w:hAnsi="Palatino Linotype"/>
        </w:rPr>
        <w:t xml:space="preserve">a </w:t>
      </w:r>
      <w:r w:rsidRPr="00511954">
        <w:rPr>
          <w:rFonts w:ascii="Palatino Linotype" w:hAnsi="Palatino Linotype"/>
        </w:rPr>
        <w:t>customer</w:t>
      </w:r>
      <w:r w:rsidRPr="00511954" w:rsidR="00CE7BB6">
        <w:rPr>
          <w:rFonts w:ascii="Palatino Linotype" w:hAnsi="Palatino Linotype"/>
        </w:rPr>
        <w:t>’</w:t>
      </w:r>
      <w:r w:rsidRPr="00511954">
        <w:rPr>
          <w:rFonts w:ascii="Palatino Linotype" w:hAnsi="Palatino Linotype"/>
        </w:rPr>
        <w:t>s new CARE or FERA rate, if th</w:t>
      </w:r>
      <w:r w:rsidRPr="00511954" w:rsidR="00CE7BB6">
        <w:rPr>
          <w:rFonts w:ascii="Palatino Linotype" w:hAnsi="Palatino Linotype"/>
        </w:rPr>
        <w:t>at customer</w:t>
      </w:r>
      <w:r w:rsidRPr="00511954">
        <w:rPr>
          <w:rFonts w:ascii="Palatino Linotype" w:hAnsi="Palatino Linotype"/>
        </w:rPr>
        <w:t xml:space="preserve"> enroll</w:t>
      </w:r>
      <w:r w:rsidRPr="00511954" w:rsidR="00CE7BB6">
        <w:rPr>
          <w:rFonts w:ascii="Palatino Linotype" w:hAnsi="Palatino Linotype"/>
        </w:rPr>
        <w:t>s</w:t>
      </w:r>
      <w:r w:rsidRPr="00511954">
        <w:rPr>
          <w:rFonts w:ascii="Palatino Linotype" w:hAnsi="Palatino Linotype"/>
        </w:rPr>
        <w:t xml:space="preserve"> in CARE or FERA in the process of signing up for the DAC-GT or CSGT programs. </w:t>
      </w:r>
    </w:p>
    <w:p w:rsidRPr="00511954" w:rsidR="00A17B2D" w:rsidP="00A17B2D" w:rsidRDefault="00A17B2D" w14:paraId="5EA7A823" w14:textId="32ED98BC">
      <w:pPr>
        <w:numPr>
          <w:ilvl w:val="1"/>
          <w:numId w:val="5"/>
        </w:numPr>
        <w:spacing w:after="120"/>
        <w:jc w:val="both"/>
        <w:rPr>
          <w:rFonts w:ascii="Palatino Linotype" w:hAnsi="Palatino Linotype"/>
        </w:rPr>
      </w:pPr>
      <w:r w:rsidRPr="00511954">
        <w:rPr>
          <w:rFonts w:ascii="Palatino Linotype" w:hAnsi="Palatino Linotype"/>
        </w:rPr>
        <w:t xml:space="preserve">SCE and SDG&amp;E shall revise their CSGT tariffs to enable master-metered </w:t>
      </w:r>
      <w:r w:rsidR="007F519B">
        <w:rPr>
          <w:rFonts w:ascii="Palatino Linotype" w:hAnsi="Palatino Linotype"/>
        </w:rPr>
        <w:t>accounts that are on residential rates</w:t>
      </w:r>
      <w:r w:rsidRPr="00511954">
        <w:rPr>
          <w:rFonts w:ascii="Palatino Linotype" w:hAnsi="Palatino Linotype"/>
        </w:rPr>
        <w:t xml:space="preserve"> to participate</w:t>
      </w:r>
      <w:r w:rsidRPr="00511954" w:rsidR="00CE7BB6">
        <w:rPr>
          <w:rFonts w:ascii="Palatino Linotype" w:hAnsi="Palatino Linotype"/>
        </w:rPr>
        <w:t xml:space="preserve"> after the requirement that 50 percent of the project’s capacity is subscribed to low-income customers is met</w:t>
      </w:r>
      <w:r w:rsidRPr="00511954">
        <w:rPr>
          <w:rFonts w:ascii="Palatino Linotype" w:hAnsi="Palatino Linotype"/>
        </w:rPr>
        <w:t xml:space="preserve">.  </w:t>
      </w:r>
    </w:p>
    <w:p w:rsidRPr="00511954" w:rsidR="008A0DE7" w:rsidP="00A17B2D" w:rsidRDefault="008A0DE7" w14:paraId="63C71A11" w14:textId="1F13B181">
      <w:pPr>
        <w:numPr>
          <w:ilvl w:val="1"/>
          <w:numId w:val="5"/>
        </w:numPr>
        <w:spacing w:after="120"/>
        <w:jc w:val="both"/>
        <w:rPr>
          <w:rFonts w:ascii="Palatino Linotype" w:hAnsi="Palatino Linotype"/>
        </w:rPr>
      </w:pPr>
      <w:r w:rsidRPr="00511954">
        <w:rPr>
          <w:rFonts w:ascii="Palatino Linotype" w:hAnsi="Palatino Linotype"/>
        </w:rPr>
        <w:t xml:space="preserve">SDG&amp;E shall revise its </w:t>
      </w:r>
      <w:r w:rsidRPr="00511954" w:rsidR="008E67D5">
        <w:rPr>
          <w:rFonts w:ascii="Palatino Linotype" w:hAnsi="Palatino Linotype"/>
        </w:rPr>
        <w:t xml:space="preserve">CSGT </w:t>
      </w:r>
      <w:r w:rsidRPr="00511954">
        <w:rPr>
          <w:rFonts w:ascii="Palatino Linotype" w:hAnsi="Palatino Linotype"/>
        </w:rPr>
        <w:t xml:space="preserve">tariff to </w:t>
      </w:r>
      <w:r w:rsidRPr="00511954" w:rsidR="008E67D5">
        <w:rPr>
          <w:rFonts w:ascii="Palatino Linotype" w:hAnsi="Palatino Linotype"/>
        </w:rPr>
        <w:t>state</w:t>
      </w:r>
      <w:r w:rsidRPr="00511954">
        <w:rPr>
          <w:rFonts w:ascii="Palatino Linotype" w:hAnsi="Palatino Linotype"/>
        </w:rPr>
        <w:t xml:space="preserve"> that 50 percent of a CSGT project’s capacity must be subscribed to low-income customers before a community sponsor </w:t>
      </w:r>
      <w:r w:rsidRPr="00511954" w:rsidR="008E67D5">
        <w:rPr>
          <w:rFonts w:ascii="Palatino Linotype" w:hAnsi="Palatino Linotype"/>
        </w:rPr>
        <w:t xml:space="preserve">is eligible to </w:t>
      </w:r>
      <w:r w:rsidRPr="00511954">
        <w:rPr>
          <w:rFonts w:ascii="Palatino Linotype" w:hAnsi="Palatino Linotype"/>
        </w:rPr>
        <w:t xml:space="preserve">receive </w:t>
      </w:r>
      <w:r w:rsidRPr="00511954" w:rsidR="008E67D5">
        <w:rPr>
          <w:rFonts w:ascii="Palatino Linotype" w:hAnsi="Palatino Linotype"/>
        </w:rPr>
        <w:t xml:space="preserve">any </w:t>
      </w:r>
      <w:r w:rsidRPr="00511954">
        <w:rPr>
          <w:rFonts w:ascii="Palatino Linotype" w:hAnsi="Palatino Linotype"/>
        </w:rPr>
        <w:t>bill discounts and to enable community sponsors to retain bill discounts for the life of the project once this condition is met.</w:t>
      </w:r>
    </w:p>
    <w:p w:rsidRPr="00511954" w:rsidR="00A17B2D" w:rsidP="00A17B2D" w:rsidRDefault="003205F0" w14:paraId="60EA390E" w14:textId="5DE0D38A">
      <w:pPr>
        <w:pStyle w:val="BodyText"/>
        <w:numPr>
          <w:ilvl w:val="1"/>
          <w:numId w:val="5"/>
        </w:numPr>
        <w:spacing w:after="120"/>
        <w:rPr>
          <w:rFonts w:ascii="Palatino Linotype" w:hAnsi="Palatino Linotype"/>
          <w:b w:val="0"/>
        </w:rPr>
      </w:pPr>
      <w:r w:rsidRPr="00511954">
        <w:rPr>
          <w:rFonts w:ascii="Palatino Linotype" w:hAnsi="Palatino Linotype"/>
          <w:b w:val="0"/>
        </w:rPr>
        <w:t xml:space="preserve">Within </w:t>
      </w:r>
      <w:r w:rsidRPr="00511954">
        <w:rPr>
          <w:rFonts w:ascii="Palatino Linotype" w:hAnsi="Palatino Linotype"/>
          <w:b w:val="0"/>
          <w:szCs w:val="24"/>
        </w:rPr>
        <w:t>30 Calendar Days after the end of each calendar quarter</w:t>
      </w:r>
      <w:r w:rsidRPr="00511954">
        <w:rPr>
          <w:rFonts w:ascii="Palatino Linotype" w:hAnsi="Palatino Linotype"/>
          <w:b w:val="0"/>
        </w:rPr>
        <w:t xml:space="preserve">, </w:t>
      </w:r>
      <w:r w:rsidRPr="00511954" w:rsidR="00A17B2D">
        <w:rPr>
          <w:rFonts w:ascii="Palatino Linotype" w:hAnsi="Palatino Linotype"/>
          <w:b w:val="0"/>
        </w:rPr>
        <w:t>PG&amp;E, SCE</w:t>
      </w:r>
      <w:r w:rsidR="007F519B">
        <w:rPr>
          <w:rFonts w:ascii="Palatino Linotype" w:hAnsi="Palatino Linotype"/>
          <w:b w:val="0"/>
        </w:rPr>
        <w:t>,</w:t>
      </w:r>
      <w:r w:rsidRPr="00511954" w:rsidR="00A17B2D">
        <w:rPr>
          <w:rFonts w:ascii="Palatino Linotype" w:hAnsi="Palatino Linotype"/>
          <w:b w:val="0"/>
        </w:rPr>
        <w:t xml:space="preserve"> and SDG&amp;E shall </w:t>
      </w:r>
      <w:r w:rsidR="00446A5B">
        <w:rPr>
          <w:rFonts w:ascii="Palatino Linotype" w:hAnsi="Palatino Linotype"/>
          <w:b w:val="0"/>
        </w:rPr>
        <w:t xml:space="preserve">file a </w:t>
      </w:r>
      <w:r w:rsidRPr="00511954" w:rsidR="00A17B2D">
        <w:rPr>
          <w:rFonts w:ascii="Palatino Linotype" w:hAnsi="Palatino Linotype"/>
          <w:b w:val="0"/>
        </w:rPr>
        <w:t>report</w:t>
      </w:r>
      <w:r w:rsidR="00446A5B">
        <w:rPr>
          <w:rFonts w:ascii="Palatino Linotype" w:hAnsi="Palatino Linotype"/>
          <w:b w:val="0"/>
        </w:rPr>
        <w:t xml:space="preserve"> in R.14-07-002, or a successor proceeding, and serve the same report on</w:t>
      </w:r>
      <w:r w:rsidRPr="00511954" w:rsidR="00A17B2D">
        <w:rPr>
          <w:rFonts w:ascii="Palatino Linotype" w:hAnsi="Palatino Linotype"/>
          <w:b w:val="0"/>
        </w:rPr>
        <w:t xml:space="preserve"> th</w:t>
      </w:r>
      <w:r w:rsidR="00446A5B">
        <w:rPr>
          <w:rFonts w:ascii="Palatino Linotype" w:hAnsi="Palatino Linotype"/>
          <w:b w:val="0"/>
        </w:rPr>
        <w:t>at</w:t>
      </w:r>
      <w:r w:rsidRPr="00511954" w:rsidR="00A17B2D">
        <w:rPr>
          <w:rFonts w:ascii="Palatino Linotype" w:hAnsi="Palatino Linotype"/>
          <w:b w:val="0"/>
        </w:rPr>
        <w:t xml:space="preserve"> service list</w:t>
      </w:r>
      <w:r w:rsidRPr="00511954" w:rsidR="00CE7BB6">
        <w:rPr>
          <w:rFonts w:ascii="Palatino Linotype" w:hAnsi="Palatino Linotype"/>
          <w:b w:val="0"/>
        </w:rPr>
        <w:t xml:space="preserve">, </w:t>
      </w:r>
      <w:r w:rsidRPr="00511954" w:rsidR="004A28F9">
        <w:rPr>
          <w:rFonts w:ascii="Palatino Linotype" w:hAnsi="Palatino Linotype"/>
          <w:b w:val="0"/>
        </w:rPr>
        <w:t>for the previous quarter and cumulatively,</w:t>
      </w:r>
      <w:r w:rsidR="007F519B">
        <w:rPr>
          <w:rFonts w:ascii="Palatino Linotype" w:hAnsi="Palatino Linotype"/>
          <w:b w:val="0"/>
        </w:rPr>
        <w:t xml:space="preserve"> with</w:t>
      </w:r>
      <w:r w:rsidRPr="00511954" w:rsidR="004A28F9">
        <w:rPr>
          <w:rFonts w:ascii="Palatino Linotype" w:hAnsi="Palatino Linotype"/>
          <w:b w:val="0"/>
        </w:rPr>
        <w:t xml:space="preserve"> the following</w:t>
      </w:r>
      <w:r w:rsidR="007F519B">
        <w:rPr>
          <w:rFonts w:ascii="Palatino Linotype" w:hAnsi="Palatino Linotype"/>
          <w:b w:val="0"/>
        </w:rPr>
        <w:t xml:space="preserve"> minimum</w:t>
      </w:r>
      <w:r w:rsidRPr="00511954" w:rsidR="004A28F9">
        <w:rPr>
          <w:rFonts w:ascii="Palatino Linotype" w:hAnsi="Palatino Linotype"/>
          <w:b w:val="0"/>
        </w:rPr>
        <w:t xml:space="preserve"> information for the DAC-GT and CSGT program</w:t>
      </w:r>
      <w:r w:rsidRPr="00511954" w:rsidR="00CE7BB6">
        <w:rPr>
          <w:rFonts w:ascii="Palatino Linotype" w:hAnsi="Palatino Linotype"/>
          <w:b w:val="0"/>
        </w:rPr>
        <w:t>s</w:t>
      </w:r>
      <w:r w:rsidRPr="00511954" w:rsidR="004A28F9">
        <w:rPr>
          <w:rFonts w:ascii="Palatino Linotype" w:hAnsi="Palatino Linotype"/>
          <w:b w:val="0"/>
        </w:rPr>
        <w:t>:</w:t>
      </w:r>
      <w:r w:rsidRPr="00511954" w:rsidR="00A17B2D">
        <w:rPr>
          <w:rFonts w:ascii="Palatino Linotype" w:hAnsi="Palatino Linotype"/>
          <w:b w:val="0"/>
        </w:rPr>
        <w:t xml:space="preserve"> capacity procured, capacity online, and customers subscribed. The quarterly reports should also identify the DACs in which </w:t>
      </w:r>
      <w:r w:rsidR="007F519B">
        <w:rPr>
          <w:rFonts w:ascii="Palatino Linotype" w:hAnsi="Palatino Linotype"/>
          <w:b w:val="0"/>
        </w:rPr>
        <w:t>DAC-GT or CSGT</w:t>
      </w:r>
      <w:r w:rsidRPr="00511954" w:rsidR="004A28F9">
        <w:rPr>
          <w:rFonts w:ascii="Palatino Linotype" w:hAnsi="Palatino Linotype"/>
          <w:b w:val="0"/>
        </w:rPr>
        <w:t xml:space="preserve"> </w:t>
      </w:r>
      <w:r w:rsidRPr="00511954" w:rsidR="00A17B2D">
        <w:rPr>
          <w:rFonts w:ascii="Palatino Linotype" w:hAnsi="Palatino Linotype"/>
          <w:b w:val="0"/>
        </w:rPr>
        <w:t>project</w:t>
      </w:r>
      <w:r w:rsidRPr="00511954" w:rsidR="004A28F9">
        <w:rPr>
          <w:rFonts w:ascii="Palatino Linotype" w:hAnsi="Palatino Linotype"/>
          <w:b w:val="0"/>
        </w:rPr>
        <w:t xml:space="preserve"> is</w:t>
      </w:r>
      <w:r w:rsidRPr="00511954" w:rsidR="00A17B2D">
        <w:rPr>
          <w:rFonts w:ascii="Palatino Linotype" w:hAnsi="Palatino Linotype"/>
          <w:b w:val="0"/>
        </w:rPr>
        <w:t xml:space="preserve"> located and list the number of customers </w:t>
      </w:r>
      <w:r w:rsidRPr="00511954" w:rsidR="004A28F9">
        <w:rPr>
          <w:rFonts w:ascii="Palatino Linotype" w:hAnsi="Palatino Linotype"/>
          <w:b w:val="0"/>
        </w:rPr>
        <w:t xml:space="preserve">participating in each program </w:t>
      </w:r>
      <w:r w:rsidRPr="00511954" w:rsidR="00A17B2D">
        <w:rPr>
          <w:rFonts w:ascii="Palatino Linotype" w:hAnsi="Palatino Linotype"/>
          <w:b w:val="0"/>
        </w:rPr>
        <w:t xml:space="preserve">in each DAC within </w:t>
      </w:r>
      <w:r w:rsidR="007F519B">
        <w:rPr>
          <w:rFonts w:ascii="Palatino Linotype" w:hAnsi="Palatino Linotype"/>
          <w:b w:val="0"/>
        </w:rPr>
        <w:t>a</w:t>
      </w:r>
      <w:r w:rsidRPr="00511954" w:rsidR="007F519B">
        <w:rPr>
          <w:rFonts w:ascii="Palatino Linotype" w:hAnsi="Palatino Linotype"/>
          <w:b w:val="0"/>
        </w:rPr>
        <w:t xml:space="preserve"> </w:t>
      </w:r>
      <w:r w:rsidRPr="00511954" w:rsidR="00CE7BB6">
        <w:rPr>
          <w:rFonts w:ascii="Palatino Linotype" w:hAnsi="Palatino Linotype"/>
          <w:b w:val="0"/>
        </w:rPr>
        <w:t>utility’s</w:t>
      </w:r>
      <w:r w:rsidRPr="00511954" w:rsidR="00A17B2D">
        <w:rPr>
          <w:rFonts w:ascii="Palatino Linotype" w:hAnsi="Palatino Linotype"/>
          <w:b w:val="0"/>
        </w:rPr>
        <w:t xml:space="preserve"> service territory. </w:t>
      </w:r>
      <w:r w:rsidRPr="00511954" w:rsidR="00D562DE">
        <w:rPr>
          <w:rFonts w:ascii="Palatino Linotype" w:hAnsi="Palatino Linotype"/>
          <w:b w:val="0"/>
        </w:rPr>
        <w:t xml:space="preserve">Finally, the quarterly reports must include the number of customers who have successfully enrolled in CARE and FERA </w:t>
      </w:r>
      <w:r w:rsidRPr="00511954" w:rsidR="00CE7BB6">
        <w:rPr>
          <w:rFonts w:ascii="Palatino Linotype" w:hAnsi="Palatino Linotype"/>
          <w:b w:val="0"/>
        </w:rPr>
        <w:t xml:space="preserve">in the process </w:t>
      </w:r>
      <w:r w:rsidRPr="00511954" w:rsidR="00D562DE">
        <w:rPr>
          <w:rFonts w:ascii="Palatino Linotype" w:hAnsi="Palatino Linotype"/>
          <w:b w:val="0"/>
        </w:rPr>
        <w:t>of signing up for the DAC-GT or CSGT programs.</w:t>
      </w:r>
    </w:p>
    <w:p w:rsidRPr="00511954" w:rsidR="00965E55" w:rsidP="00D562DE" w:rsidRDefault="004A28F9" w14:paraId="6E804F95" w14:textId="04F9D92E">
      <w:pPr>
        <w:pStyle w:val="BodyText"/>
        <w:numPr>
          <w:ilvl w:val="1"/>
          <w:numId w:val="5"/>
        </w:numPr>
        <w:spacing w:after="120"/>
        <w:rPr>
          <w:rFonts w:ascii="Palatino Linotype" w:hAnsi="Palatino Linotype"/>
          <w:b w:val="0"/>
        </w:rPr>
      </w:pPr>
      <w:r w:rsidRPr="00511954">
        <w:rPr>
          <w:rFonts w:ascii="Palatino Linotype" w:hAnsi="Palatino Linotype"/>
          <w:b w:val="0"/>
        </w:rPr>
        <w:t xml:space="preserve">Semi-annually, within </w:t>
      </w:r>
      <w:r w:rsidRPr="00511954">
        <w:rPr>
          <w:rFonts w:ascii="Palatino Linotype" w:hAnsi="Palatino Linotype"/>
          <w:b w:val="0"/>
          <w:szCs w:val="24"/>
        </w:rPr>
        <w:t xml:space="preserve">30 Calendar Days after the end of </w:t>
      </w:r>
      <w:r w:rsidRPr="00511954" w:rsidR="00CE7BB6">
        <w:rPr>
          <w:rFonts w:ascii="Palatino Linotype" w:hAnsi="Palatino Linotype"/>
          <w:b w:val="0"/>
          <w:szCs w:val="24"/>
        </w:rPr>
        <w:t xml:space="preserve">the second quarter of the year and the fourth quarter of the </w:t>
      </w:r>
      <w:r w:rsidRPr="00511954">
        <w:rPr>
          <w:rFonts w:ascii="Palatino Linotype" w:hAnsi="Palatino Linotype"/>
          <w:b w:val="0"/>
          <w:szCs w:val="24"/>
        </w:rPr>
        <w:t>year,</w:t>
      </w:r>
      <w:r w:rsidRPr="00511954">
        <w:rPr>
          <w:rFonts w:ascii="Palatino Linotype" w:hAnsi="Palatino Linotype"/>
          <w:b w:val="0"/>
        </w:rPr>
        <w:t xml:space="preserve"> </w:t>
      </w:r>
      <w:r w:rsidRPr="00511954" w:rsidR="00A17B2D">
        <w:rPr>
          <w:rFonts w:ascii="Palatino Linotype" w:hAnsi="Palatino Linotype"/>
          <w:b w:val="0"/>
        </w:rPr>
        <w:t>PG&amp;E, SCE</w:t>
      </w:r>
      <w:r w:rsidR="007F519B">
        <w:rPr>
          <w:rFonts w:ascii="Palatino Linotype" w:hAnsi="Palatino Linotype"/>
          <w:b w:val="0"/>
        </w:rPr>
        <w:t>,</w:t>
      </w:r>
      <w:r w:rsidRPr="00511954" w:rsidR="00A17B2D">
        <w:rPr>
          <w:rFonts w:ascii="Palatino Linotype" w:hAnsi="Palatino Linotype"/>
          <w:b w:val="0"/>
        </w:rPr>
        <w:t xml:space="preserve"> and SDG&amp;E shall report to Energy Division </w:t>
      </w:r>
      <w:r w:rsidR="00A008BF">
        <w:rPr>
          <w:rFonts w:ascii="Palatino Linotype" w:hAnsi="Palatino Linotype"/>
          <w:b w:val="0"/>
        </w:rPr>
        <w:t>Central Files</w:t>
      </w:r>
      <w:r w:rsidRPr="00511954" w:rsidR="00A008BF">
        <w:rPr>
          <w:rFonts w:ascii="Palatino Linotype" w:hAnsi="Palatino Linotype"/>
          <w:b w:val="0"/>
        </w:rPr>
        <w:t xml:space="preserve"> </w:t>
      </w:r>
      <w:r w:rsidRPr="00511954" w:rsidR="00A17B2D">
        <w:rPr>
          <w:rFonts w:ascii="Palatino Linotype" w:hAnsi="Palatino Linotype"/>
          <w:b w:val="0"/>
        </w:rPr>
        <w:t>the number of income-qualified customers subscribed to each CSGT project and the capacity allocated to those customers, whether a waitlist of non-income-qualified customers exists and the size of that list, and if project sponsors are receiving bill credits under CSGT projects, the size of each sponsor’s subscription.</w:t>
      </w:r>
      <w:r w:rsidRPr="00511954">
        <w:rPr>
          <w:rFonts w:ascii="Palatino Linotype" w:hAnsi="Palatino Linotype"/>
          <w:b w:val="0"/>
        </w:rPr>
        <w:t xml:space="preserve"> In these semi-annual reports </w:t>
      </w:r>
      <w:r w:rsidRPr="00511954" w:rsidR="00A17B2D">
        <w:rPr>
          <w:rFonts w:ascii="Palatino Linotype" w:hAnsi="Palatino Linotype"/>
          <w:b w:val="0"/>
        </w:rPr>
        <w:t>PG&amp;E, SCE</w:t>
      </w:r>
      <w:r w:rsidR="007F519B">
        <w:rPr>
          <w:rFonts w:ascii="Palatino Linotype" w:hAnsi="Palatino Linotype"/>
          <w:b w:val="0"/>
        </w:rPr>
        <w:t>,</w:t>
      </w:r>
      <w:r w:rsidRPr="00511954" w:rsidR="00A17B2D">
        <w:rPr>
          <w:rFonts w:ascii="Palatino Linotype" w:hAnsi="Palatino Linotype"/>
          <w:b w:val="0"/>
        </w:rPr>
        <w:t xml:space="preserve"> and SDG&amp;E shall </w:t>
      </w:r>
      <w:r w:rsidRPr="00511954">
        <w:rPr>
          <w:rFonts w:ascii="Palatino Linotype" w:hAnsi="Palatino Linotype"/>
          <w:b w:val="0"/>
        </w:rPr>
        <w:t xml:space="preserve">also include </w:t>
      </w:r>
      <w:r w:rsidRPr="00511954" w:rsidR="00A17B2D">
        <w:rPr>
          <w:rFonts w:ascii="Palatino Linotype" w:hAnsi="Palatino Linotype"/>
          <w:b w:val="0"/>
        </w:rPr>
        <w:t xml:space="preserve">the number of master-metered </w:t>
      </w:r>
      <w:r w:rsidRPr="00511954">
        <w:rPr>
          <w:rFonts w:ascii="Palatino Linotype" w:hAnsi="Palatino Linotype"/>
          <w:b w:val="0"/>
        </w:rPr>
        <w:t xml:space="preserve">accounts </w:t>
      </w:r>
      <w:r w:rsidRPr="00511954" w:rsidR="00A17B2D">
        <w:rPr>
          <w:rFonts w:ascii="Palatino Linotype" w:hAnsi="Palatino Linotype"/>
          <w:b w:val="0"/>
        </w:rPr>
        <w:t>participating in the CSGT program</w:t>
      </w:r>
      <w:r w:rsidRPr="00511954">
        <w:rPr>
          <w:rFonts w:ascii="Palatino Linotype" w:hAnsi="Palatino Linotype"/>
          <w:b w:val="0"/>
        </w:rPr>
        <w:t>, and the total program capacity allocated to those master-metered accounts.</w:t>
      </w:r>
    </w:p>
    <w:p w:rsidRPr="00511954" w:rsidR="00A17B2D" w:rsidP="00A17B2D" w:rsidRDefault="00A17B2D" w14:paraId="57B340AD" w14:textId="20A94FCA">
      <w:pPr>
        <w:numPr>
          <w:ilvl w:val="1"/>
          <w:numId w:val="5"/>
        </w:numPr>
        <w:spacing w:after="120"/>
        <w:jc w:val="both"/>
        <w:rPr>
          <w:rFonts w:ascii="Palatino Linotype" w:hAnsi="Palatino Linotype"/>
        </w:rPr>
      </w:pPr>
      <w:r w:rsidRPr="00511954">
        <w:rPr>
          <w:rFonts w:ascii="Palatino Linotype" w:hAnsi="Palatino Linotype"/>
        </w:rPr>
        <w:t xml:space="preserve">SCE shall amend its CSGT tariff so to not </w:t>
      </w:r>
      <w:r w:rsidRPr="00511954" w:rsidR="004A28F9">
        <w:rPr>
          <w:rFonts w:ascii="Palatino Linotype" w:hAnsi="Palatino Linotype"/>
        </w:rPr>
        <w:t>require CSGT projects that are smaller than 500 kilowatts to be proportionally responsible for SCE’s costs associated with aggregation.</w:t>
      </w:r>
      <w:r w:rsidRPr="00511954">
        <w:rPr>
          <w:rFonts w:ascii="Palatino Linotype" w:hAnsi="Palatino Linotype"/>
        </w:rPr>
        <w:t xml:space="preserve"> </w:t>
      </w:r>
    </w:p>
    <w:p w:rsidRPr="00511954" w:rsidR="00A17B2D" w:rsidP="00A17B2D" w:rsidRDefault="00A17B2D" w14:paraId="12C51E4B" w14:textId="49F951CC">
      <w:pPr>
        <w:pStyle w:val="BodyText"/>
        <w:numPr>
          <w:ilvl w:val="1"/>
          <w:numId w:val="5"/>
        </w:numPr>
        <w:spacing w:after="120"/>
        <w:rPr>
          <w:rFonts w:ascii="Palatino Linotype" w:hAnsi="Palatino Linotype"/>
          <w:b w:val="0"/>
        </w:rPr>
      </w:pPr>
      <w:r w:rsidRPr="00511954">
        <w:rPr>
          <w:rFonts w:ascii="Palatino Linotype" w:hAnsi="Palatino Linotype"/>
          <w:b w:val="0"/>
        </w:rPr>
        <w:t xml:space="preserve">PG&amp;E, SCE, and SDG&amp;E may only serve DAC-GT customers through existing RPS </w:t>
      </w:r>
      <w:r w:rsidRPr="00511954" w:rsidR="00E93593">
        <w:rPr>
          <w:rFonts w:ascii="Palatino Linotype" w:hAnsi="Palatino Linotype"/>
          <w:b w:val="0"/>
        </w:rPr>
        <w:t xml:space="preserve">or Green Tariff (GT) </w:t>
      </w:r>
      <w:r w:rsidRPr="00511954">
        <w:rPr>
          <w:rFonts w:ascii="Palatino Linotype" w:hAnsi="Palatino Linotype"/>
          <w:b w:val="0"/>
        </w:rPr>
        <w:t>eligible resources that meet all program rules for DAC-GT projects and only on an interim basis. Once new DAC-GT projects are interconnected</w:t>
      </w:r>
      <w:r w:rsidRPr="00511954" w:rsidR="00E93593">
        <w:rPr>
          <w:rFonts w:ascii="Palatino Linotype" w:hAnsi="Palatino Linotype"/>
          <w:b w:val="0"/>
        </w:rPr>
        <w:t xml:space="preserve"> in a utility’s service territory, that utility</w:t>
      </w:r>
      <w:r w:rsidRPr="00511954">
        <w:rPr>
          <w:rFonts w:ascii="Palatino Linotype" w:hAnsi="Palatino Linotype"/>
          <w:b w:val="0"/>
        </w:rPr>
        <w:t xml:space="preserve"> must transfer DAC-GT customers to these projects and unsubscribed RPS </w:t>
      </w:r>
      <w:r w:rsidRPr="00511954" w:rsidR="00E93593">
        <w:rPr>
          <w:rFonts w:ascii="Palatino Linotype" w:hAnsi="Palatino Linotype"/>
          <w:b w:val="0"/>
        </w:rPr>
        <w:t xml:space="preserve">or GT </w:t>
      </w:r>
      <w:r w:rsidRPr="00511954">
        <w:rPr>
          <w:rFonts w:ascii="Palatino Linotype" w:hAnsi="Palatino Linotype"/>
          <w:b w:val="0"/>
        </w:rPr>
        <w:t xml:space="preserve">capacity must be reallocated to the RPS </w:t>
      </w:r>
      <w:r w:rsidRPr="00511954" w:rsidR="00E93593">
        <w:rPr>
          <w:rFonts w:ascii="Palatino Linotype" w:hAnsi="Palatino Linotype"/>
          <w:b w:val="0"/>
        </w:rPr>
        <w:t xml:space="preserve">or GT </w:t>
      </w:r>
      <w:r w:rsidRPr="00511954">
        <w:rPr>
          <w:rFonts w:ascii="Palatino Linotype" w:hAnsi="Palatino Linotype"/>
          <w:b w:val="0"/>
        </w:rPr>
        <w:t>program.</w:t>
      </w:r>
    </w:p>
    <w:p w:rsidRPr="00511954" w:rsidR="00A17B2D" w:rsidP="00A17B2D" w:rsidRDefault="00A17B2D" w14:paraId="266B089F" w14:textId="77777777">
      <w:pPr>
        <w:pStyle w:val="BodyText"/>
        <w:numPr>
          <w:ilvl w:val="1"/>
          <w:numId w:val="5"/>
        </w:numPr>
        <w:spacing w:after="120"/>
        <w:rPr>
          <w:rFonts w:ascii="Palatino Linotype" w:hAnsi="Palatino Linotype"/>
          <w:b w:val="0"/>
        </w:rPr>
      </w:pPr>
      <w:r w:rsidRPr="00511954">
        <w:rPr>
          <w:rFonts w:ascii="Palatino Linotype" w:hAnsi="Palatino Linotype"/>
          <w:b w:val="0"/>
        </w:rPr>
        <w:t xml:space="preserve">SCE shall amend its DAC-GT tariff to explicitly define DAC-Green Facility as a renewable energy project that </w:t>
      </w:r>
      <w:proofErr w:type="gramStart"/>
      <w:r w:rsidRPr="00511954">
        <w:rPr>
          <w:rFonts w:ascii="Palatino Linotype" w:hAnsi="Palatino Linotype"/>
          <w:b w:val="0"/>
        </w:rPr>
        <w:t>is located in</w:t>
      </w:r>
      <w:proofErr w:type="gramEnd"/>
      <w:r w:rsidRPr="00511954">
        <w:rPr>
          <w:rFonts w:ascii="Palatino Linotype" w:hAnsi="Palatino Linotype"/>
          <w:b w:val="0"/>
        </w:rPr>
        <w:t xml:space="preserve"> a DAC, as defined in Decision 18-06-027.</w:t>
      </w:r>
    </w:p>
    <w:p w:rsidRPr="00511954" w:rsidR="00A17B2D" w:rsidP="00A17B2D" w:rsidRDefault="00A17B2D" w14:paraId="73368CE8" w14:textId="77777777">
      <w:pPr>
        <w:pStyle w:val="BodyText"/>
        <w:numPr>
          <w:ilvl w:val="1"/>
          <w:numId w:val="5"/>
        </w:numPr>
        <w:spacing w:after="120"/>
        <w:rPr>
          <w:rFonts w:ascii="Palatino Linotype" w:hAnsi="Palatino Linotype"/>
          <w:b w:val="0"/>
        </w:rPr>
      </w:pPr>
      <w:r w:rsidRPr="00511954">
        <w:rPr>
          <w:rFonts w:ascii="Palatino Linotype" w:hAnsi="Palatino Linotype"/>
          <w:b w:val="0"/>
        </w:rPr>
        <w:t xml:space="preserve">SCE and SDG&amp;E shall use manual billing to serve any customers who are eligible to sign up for DAC-GT or CSGT before SDG&amp;E’s and SCE’s new billing systems are live. </w:t>
      </w:r>
    </w:p>
    <w:p w:rsidRPr="00511954" w:rsidR="00A17B2D" w:rsidP="00A17B2D" w:rsidRDefault="00A17B2D" w14:paraId="0EC8959F" w14:textId="7C27D9FC">
      <w:pPr>
        <w:pStyle w:val="ListParagraph"/>
        <w:numPr>
          <w:ilvl w:val="1"/>
          <w:numId w:val="5"/>
        </w:numPr>
        <w:rPr>
          <w:rFonts w:ascii="Palatino Linotype" w:hAnsi="Palatino Linotype"/>
          <w:sz w:val="26"/>
          <w:szCs w:val="20"/>
        </w:rPr>
      </w:pPr>
      <w:r w:rsidRPr="00511954">
        <w:rPr>
          <w:rFonts w:ascii="Palatino Linotype" w:hAnsi="Palatino Linotype"/>
          <w:sz w:val="26"/>
          <w:szCs w:val="20"/>
        </w:rPr>
        <w:t>PG&amp;E may wait to enroll customers in the DAC-GT program until after its billing system updates are completed</w:t>
      </w:r>
      <w:r w:rsidRPr="00511954" w:rsidR="002E1F1B">
        <w:rPr>
          <w:rFonts w:ascii="Palatino Linotype" w:hAnsi="Palatino Linotype"/>
          <w:sz w:val="26"/>
          <w:szCs w:val="20"/>
        </w:rPr>
        <w:t>,</w:t>
      </w:r>
      <w:r w:rsidRPr="00511954">
        <w:rPr>
          <w:rFonts w:ascii="Palatino Linotype" w:hAnsi="Palatino Linotype"/>
          <w:sz w:val="26"/>
          <w:szCs w:val="20"/>
        </w:rPr>
        <w:t xml:space="preserve"> but PG&amp;E must prioritize the DAC-GT IT project and enroll eligible customers in DAC-GT within 9 months of issuance of this Resolution. </w:t>
      </w:r>
    </w:p>
    <w:p w:rsidRPr="00511954" w:rsidR="00A17B2D" w:rsidP="00A17B2D" w:rsidRDefault="00A17B2D" w14:paraId="4020B99F" w14:textId="028FA1D7">
      <w:pPr>
        <w:pStyle w:val="BodyText"/>
        <w:numPr>
          <w:ilvl w:val="1"/>
          <w:numId w:val="5"/>
        </w:numPr>
        <w:spacing w:after="120"/>
        <w:rPr>
          <w:rFonts w:ascii="Palatino Linotype" w:hAnsi="Palatino Linotype"/>
          <w:b w:val="0"/>
        </w:rPr>
      </w:pPr>
      <w:r w:rsidRPr="00511954">
        <w:rPr>
          <w:rFonts w:ascii="Palatino Linotype" w:hAnsi="Palatino Linotype"/>
          <w:b w:val="0"/>
        </w:rPr>
        <w:t>PG&amp;E, SCE</w:t>
      </w:r>
      <w:r w:rsidRPr="00511954" w:rsidR="007D4DCB">
        <w:rPr>
          <w:rFonts w:ascii="Palatino Linotype" w:hAnsi="Palatino Linotype"/>
          <w:b w:val="0"/>
        </w:rPr>
        <w:t>,</w:t>
      </w:r>
      <w:r w:rsidRPr="00511954">
        <w:rPr>
          <w:rFonts w:ascii="Palatino Linotype" w:hAnsi="Palatino Linotype"/>
          <w:b w:val="0"/>
        </w:rPr>
        <w:t xml:space="preserve"> and SDG&amp;E shall use a static, non-declining number for the maximum CSGT project size, up until </w:t>
      </w:r>
      <w:r w:rsidRPr="00511954" w:rsidR="002E1F1B">
        <w:rPr>
          <w:rFonts w:ascii="Palatino Linotype" w:hAnsi="Palatino Linotype"/>
          <w:b w:val="0"/>
        </w:rPr>
        <w:t xml:space="preserve">each utility has </w:t>
      </w:r>
      <w:r w:rsidRPr="00511954">
        <w:rPr>
          <w:rFonts w:ascii="Palatino Linotype" w:hAnsi="Palatino Linotype"/>
          <w:b w:val="0"/>
        </w:rPr>
        <w:t>less than that</w:t>
      </w:r>
      <w:r w:rsidR="007F519B">
        <w:rPr>
          <w:rFonts w:ascii="Palatino Linotype" w:hAnsi="Palatino Linotype"/>
          <w:b w:val="0"/>
        </w:rPr>
        <w:t xml:space="preserve"> amount of</w:t>
      </w:r>
      <w:r w:rsidRPr="00511954">
        <w:rPr>
          <w:rFonts w:ascii="Palatino Linotype" w:hAnsi="Palatino Linotype"/>
          <w:b w:val="0"/>
        </w:rPr>
        <w:t xml:space="preserve"> capacity remaining to be procured under </w:t>
      </w:r>
      <w:r w:rsidRPr="00511954" w:rsidR="002E1F1B">
        <w:rPr>
          <w:rFonts w:ascii="Palatino Linotype" w:hAnsi="Palatino Linotype"/>
          <w:b w:val="0"/>
        </w:rPr>
        <w:t xml:space="preserve">its </w:t>
      </w:r>
      <w:r w:rsidRPr="00511954">
        <w:rPr>
          <w:rFonts w:ascii="Palatino Linotype" w:hAnsi="Palatino Linotype"/>
          <w:b w:val="0"/>
        </w:rPr>
        <w:t>CSGT program cap.</w:t>
      </w:r>
    </w:p>
    <w:p w:rsidRPr="00511954" w:rsidR="00A17B2D" w:rsidP="00A17B2D" w:rsidRDefault="00A17B2D" w14:paraId="427DDFD4" w14:textId="77777777">
      <w:pPr>
        <w:pStyle w:val="BodyText"/>
        <w:numPr>
          <w:ilvl w:val="1"/>
          <w:numId w:val="5"/>
        </w:numPr>
        <w:spacing w:after="120"/>
        <w:rPr>
          <w:rFonts w:ascii="Palatino Linotype" w:hAnsi="Palatino Linotype"/>
          <w:b w:val="0"/>
        </w:rPr>
      </w:pPr>
      <w:r w:rsidRPr="00511954">
        <w:rPr>
          <w:rFonts w:ascii="Palatino Linotype" w:hAnsi="Palatino Linotype"/>
          <w:b w:val="0"/>
        </w:rPr>
        <w:t xml:space="preserve">SCE and SDG&amp;E shall update their DAC-GT and CSGT tariffs to impose a 2 MW cap on a single customer’s subscription to either program. </w:t>
      </w:r>
    </w:p>
    <w:p w:rsidRPr="00511954" w:rsidR="00A17B2D" w:rsidP="00A17B2D" w:rsidRDefault="007F519B" w14:paraId="7200A466" w14:textId="4F2E0D10">
      <w:pPr>
        <w:pStyle w:val="BodyText"/>
        <w:numPr>
          <w:ilvl w:val="1"/>
          <w:numId w:val="5"/>
        </w:numPr>
        <w:spacing w:after="120"/>
        <w:rPr>
          <w:rFonts w:ascii="Palatino Linotype" w:hAnsi="Palatino Linotype"/>
          <w:b w:val="0"/>
        </w:rPr>
      </w:pPr>
      <w:r w:rsidRPr="00511954">
        <w:rPr>
          <w:rFonts w:ascii="Palatino Linotype" w:hAnsi="Palatino Linotype"/>
          <w:b w:val="0"/>
        </w:rPr>
        <w:t xml:space="preserve">PG&amp;E, SCE, and SDG&amp;E </w:t>
      </w:r>
      <w:r>
        <w:rPr>
          <w:rFonts w:ascii="Palatino Linotype" w:hAnsi="Palatino Linotype"/>
          <w:b w:val="0"/>
        </w:rPr>
        <w:t>shall</w:t>
      </w:r>
      <w:r w:rsidRPr="00511954">
        <w:rPr>
          <w:rFonts w:ascii="Palatino Linotype" w:hAnsi="Palatino Linotype"/>
          <w:b w:val="0"/>
        </w:rPr>
        <w:t xml:space="preserve"> recertify the eligibility of customers participating in the DAC-GT and CSGT programs </w:t>
      </w:r>
      <w:r>
        <w:rPr>
          <w:rFonts w:ascii="Palatino Linotype" w:hAnsi="Palatino Linotype"/>
          <w:b w:val="0"/>
        </w:rPr>
        <w:t>after moving to a new residence</w:t>
      </w:r>
      <w:r w:rsidRPr="00511954">
        <w:rPr>
          <w:rFonts w:ascii="Palatino Linotype" w:hAnsi="Palatino Linotype"/>
          <w:b w:val="0"/>
        </w:rPr>
        <w:t>, to ensure the programs are reaching the intended beneficiaries</w:t>
      </w:r>
      <w:r>
        <w:rPr>
          <w:rFonts w:ascii="Palatino Linotype" w:hAnsi="Palatino Linotype"/>
          <w:b w:val="0"/>
        </w:rPr>
        <w:t xml:space="preserve"> but</w:t>
      </w:r>
      <w:r w:rsidRPr="00511954">
        <w:rPr>
          <w:rFonts w:ascii="Palatino Linotype" w:hAnsi="Palatino Linotype"/>
          <w:b w:val="0"/>
        </w:rPr>
        <w:t xml:space="preserve"> </w:t>
      </w:r>
      <w:r w:rsidRPr="00511954" w:rsidR="00A17B2D">
        <w:rPr>
          <w:rFonts w:ascii="Palatino Linotype" w:hAnsi="Palatino Linotype"/>
          <w:b w:val="0"/>
        </w:rPr>
        <w:t>shall allow customers who are found to still be eligible for the DAC-GT or CSGT program to retain their status as program participants and shall not put these customers on a waitlist.</w:t>
      </w:r>
    </w:p>
    <w:p w:rsidRPr="00511954" w:rsidR="00A17B2D" w:rsidP="00A17B2D" w:rsidRDefault="00A17B2D" w14:paraId="1DAFDBD6" w14:textId="3848F509">
      <w:pPr>
        <w:pStyle w:val="BodyText"/>
        <w:numPr>
          <w:ilvl w:val="1"/>
          <w:numId w:val="5"/>
        </w:numPr>
        <w:spacing w:after="120"/>
        <w:rPr>
          <w:rFonts w:ascii="Palatino Linotype" w:hAnsi="Palatino Linotype"/>
          <w:b w:val="0"/>
        </w:rPr>
      </w:pPr>
      <w:r w:rsidRPr="00511954">
        <w:rPr>
          <w:rFonts w:ascii="Palatino Linotype" w:hAnsi="Palatino Linotype"/>
          <w:b w:val="0"/>
        </w:rPr>
        <w:t>PG&amp;E, SCE</w:t>
      </w:r>
      <w:r w:rsidRPr="00511954" w:rsidR="007D4DCB">
        <w:rPr>
          <w:rFonts w:ascii="Palatino Linotype" w:hAnsi="Palatino Linotype"/>
          <w:b w:val="0"/>
        </w:rPr>
        <w:t>,</w:t>
      </w:r>
      <w:r w:rsidRPr="00511954">
        <w:rPr>
          <w:rFonts w:ascii="Palatino Linotype" w:hAnsi="Palatino Linotype"/>
          <w:b w:val="0"/>
        </w:rPr>
        <w:t xml:space="preserve"> and SDG&amp;E shall update their DAC-GT and CSGT tariffs as soon as a new version of </w:t>
      </w:r>
      <w:proofErr w:type="spellStart"/>
      <w:r w:rsidRPr="00511954">
        <w:rPr>
          <w:rFonts w:ascii="Palatino Linotype" w:hAnsi="Palatino Linotype"/>
          <w:b w:val="0"/>
        </w:rPr>
        <w:t>CalEnviroScreen</w:t>
      </w:r>
      <w:proofErr w:type="spellEnd"/>
      <w:r w:rsidRPr="00511954">
        <w:rPr>
          <w:rFonts w:ascii="Palatino Linotype" w:hAnsi="Palatino Linotype"/>
          <w:b w:val="0"/>
        </w:rPr>
        <w:t xml:space="preserve"> is released in order to reflect the latest program eligibility rules</w:t>
      </w:r>
      <w:r w:rsidRPr="00511954" w:rsidR="002E1F1B">
        <w:rPr>
          <w:rFonts w:ascii="Palatino Linotype" w:hAnsi="Palatino Linotype"/>
          <w:b w:val="0"/>
        </w:rPr>
        <w:t xml:space="preserve"> by filing a Tier </w:t>
      </w:r>
      <w:r w:rsidR="00710921">
        <w:rPr>
          <w:rFonts w:ascii="Palatino Linotype" w:hAnsi="Palatino Linotype"/>
          <w:b w:val="0"/>
        </w:rPr>
        <w:t>1</w:t>
      </w:r>
      <w:r w:rsidRPr="00511954" w:rsidR="002E1F1B">
        <w:rPr>
          <w:rFonts w:ascii="Palatino Linotype" w:hAnsi="Palatino Linotype"/>
          <w:b w:val="0"/>
        </w:rPr>
        <w:t xml:space="preserve"> advice letter within 30 days of the release of the new version</w:t>
      </w:r>
      <w:r w:rsidRPr="00511954">
        <w:rPr>
          <w:rFonts w:ascii="Palatino Linotype" w:hAnsi="Palatino Linotype"/>
          <w:b w:val="0"/>
        </w:rPr>
        <w:t xml:space="preserve">. </w:t>
      </w:r>
    </w:p>
    <w:p w:rsidRPr="00511954" w:rsidR="00A17B2D" w:rsidP="00A17B2D" w:rsidRDefault="00A17B2D" w14:paraId="7E91611A" w14:textId="352B063A">
      <w:pPr>
        <w:pStyle w:val="BodyText"/>
        <w:numPr>
          <w:ilvl w:val="1"/>
          <w:numId w:val="5"/>
        </w:numPr>
        <w:spacing w:after="120"/>
        <w:rPr>
          <w:rFonts w:ascii="Palatino Linotype" w:hAnsi="Palatino Linotype"/>
        </w:rPr>
      </w:pPr>
      <w:r w:rsidRPr="00511954">
        <w:rPr>
          <w:rFonts w:ascii="Palatino Linotype" w:hAnsi="Palatino Linotype"/>
          <w:b w:val="0"/>
        </w:rPr>
        <w:t>PG&amp;E, SCE</w:t>
      </w:r>
      <w:r w:rsidRPr="00511954" w:rsidR="007D4DCB">
        <w:rPr>
          <w:rFonts w:ascii="Palatino Linotype" w:hAnsi="Palatino Linotype"/>
          <w:b w:val="0"/>
        </w:rPr>
        <w:t>,</w:t>
      </w:r>
      <w:r w:rsidRPr="00511954">
        <w:rPr>
          <w:rFonts w:ascii="Palatino Linotype" w:hAnsi="Palatino Linotype"/>
          <w:b w:val="0"/>
        </w:rPr>
        <w:t xml:space="preserve"> and SDG&amp;E </w:t>
      </w:r>
      <w:r w:rsidRPr="00511954" w:rsidR="002E1F1B">
        <w:rPr>
          <w:rFonts w:ascii="Palatino Linotype" w:hAnsi="Palatino Linotype"/>
          <w:b w:val="0"/>
        </w:rPr>
        <w:t xml:space="preserve">shall </w:t>
      </w:r>
      <w:r w:rsidRPr="00511954">
        <w:rPr>
          <w:rFonts w:ascii="Palatino Linotype" w:hAnsi="Palatino Linotype"/>
          <w:b w:val="0"/>
        </w:rPr>
        <w:t xml:space="preserve">allow customers enrolled in DAC-GT to retain their eligibility even if the census tract in which they live is not scored as a top 25 percent DAC in a subsequent version of </w:t>
      </w:r>
      <w:proofErr w:type="spellStart"/>
      <w:r w:rsidRPr="00511954">
        <w:rPr>
          <w:rFonts w:ascii="Palatino Linotype" w:hAnsi="Palatino Linotype"/>
          <w:b w:val="0"/>
        </w:rPr>
        <w:t>CalEnviroScreen</w:t>
      </w:r>
      <w:proofErr w:type="spellEnd"/>
      <w:r w:rsidRPr="00511954">
        <w:rPr>
          <w:rFonts w:ascii="Palatino Linotype" w:hAnsi="Palatino Linotype"/>
          <w:b w:val="0"/>
        </w:rPr>
        <w:t xml:space="preserve">. Similarly, </w:t>
      </w:r>
      <w:r w:rsidRPr="00511954" w:rsidR="00DA1834">
        <w:rPr>
          <w:rFonts w:ascii="Palatino Linotype" w:hAnsi="Palatino Linotype"/>
          <w:b w:val="0"/>
        </w:rPr>
        <w:t xml:space="preserve">PG&amp;E, SCE, and SDG&amp;E </w:t>
      </w:r>
      <w:r w:rsidRPr="00511954" w:rsidR="002E1F1B">
        <w:rPr>
          <w:rFonts w:ascii="Palatino Linotype" w:hAnsi="Palatino Linotype"/>
          <w:b w:val="0"/>
        </w:rPr>
        <w:t>shall</w:t>
      </w:r>
      <w:r w:rsidRPr="00511954">
        <w:rPr>
          <w:rFonts w:ascii="Palatino Linotype" w:hAnsi="Palatino Linotype"/>
          <w:b w:val="0"/>
        </w:rPr>
        <w:t xml:space="preserve"> allow DAC-GT projects contracted under the DAC-GT program to continue to be eligible to serve customers under the DAC-GT program, even if no longer in a </w:t>
      </w:r>
      <w:r w:rsidR="00DA1834">
        <w:rPr>
          <w:rFonts w:ascii="Palatino Linotype" w:hAnsi="Palatino Linotype"/>
          <w:b w:val="0"/>
        </w:rPr>
        <w:t>qualified</w:t>
      </w:r>
      <w:r w:rsidRPr="00511954">
        <w:rPr>
          <w:rFonts w:ascii="Palatino Linotype" w:hAnsi="Palatino Linotype"/>
          <w:b w:val="0"/>
        </w:rPr>
        <w:t xml:space="preserve"> DAC in the latest version of </w:t>
      </w:r>
      <w:proofErr w:type="spellStart"/>
      <w:r w:rsidRPr="00511954">
        <w:rPr>
          <w:rFonts w:ascii="Palatino Linotype" w:hAnsi="Palatino Linotype"/>
          <w:b w:val="0"/>
        </w:rPr>
        <w:t>CalEnviroScreen</w:t>
      </w:r>
      <w:proofErr w:type="spellEnd"/>
      <w:r w:rsidRPr="00511954">
        <w:rPr>
          <w:rFonts w:ascii="Palatino Linotype" w:hAnsi="Palatino Linotype"/>
          <w:b w:val="0"/>
        </w:rPr>
        <w:t xml:space="preserve">. </w:t>
      </w:r>
    </w:p>
    <w:p w:rsidRPr="00511954" w:rsidR="00A17B2D" w:rsidP="00A17B2D" w:rsidRDefault="00A17B2D" w14:paraId="2A4723C6" w14:textId="0ADA606A">
      <w:pPr>
        <w:pStyle w:val="BodyText"/>
        <w:numPr>
          <w:ilvl w:val="1"/>
          <w:numId w:val="5"/>
        </w:numPr>
        <w:spacing w:after="120"/>
        <w:rPr>
          <w:rFonts w:ascii="Palatino Linotype" w:hAnsi="Palatino Linotype"/>
        </w:rPr>
      </w:pPr>
      <w:r w:rsidRPr="00511954">
        <w:rPr>
          <w:rFonts w:ascii="Palatino Linotype" w:hAnsi="Palatino Linotype"/>
          <w:b w:val="0"/>
        </w:rPr>
        <w:t>PG&amp;E, SCE</w:t>
      </w:r>
      <w:r w:rsidRPr="00511954" w:rsidR="007D4DCB">
        <w:rPr>
          <w:rFonts w:ascii="Palatino Linotype" w:hAnsi="Palatino Linotype"/>
          <w:b w:val="0"/>
        </w:rPr>
        <w:t>,</w:t>
      </w:r>
      <w:r w:rsidRPr="00511954">
        <w:rPr>
          <w:rFonts w:ascii="Palatino Linotype" w:hAnsi="Palatino Linotype"/>
          <w:b w:val="0"/>
        </w:rPr>
        <w:t xml:space="preserve"> and SDG&amp;</w:t>
      </w:r>
      <w:r w:rsidRPr="00511954" w:rsidR="002E1F1B">
        <w:rPr>
          <w:rFonts w:ascii="Palatino Linotype" w:hAnsi="Palatino Linotype"/>
          <w:b w:val="0"/>
        </w:rPr>
        <w:t>E</w:t>
      </w:r>
      <w:r w:rsidRPr="00511954">
        <w:rPr>
          <w:rFonts w:ascii="Palatino Linotype" w:hAnsi="Palatino Linotype"/>
          <w:b w:val="0"/>
        </w:rPr>
        <w:t xml:space="preserve"> </w:t>
      </w:r>
      <w:r w:rsidRPr="00511954" w:rsidR="002E1F1B">
        <w:rPr>
          <w:rFonts w:ascii="Palatino Linotype" w:hAnsi="Palatino Linotype"/>
          <w:b w:val="0"/>
        </w:rPr>
        <w:t xml:space="preserve">shall </w:t>
      </w:r>
      <w:r w:rsidRPr="00511954">
        <w:rPr>
          <w:rFonts w:ascii="Palatino Linotype" w:hAnsi="Palatino Linotype"/>
          <w:b w:val="0"/>
        </w:rPr>
        <w:t xml:space="preserve">allow a CSGT project </w:t>
      </w:r>
      <w:r w:rsidR="000220FF">
        <w:rPr>
          <w:rFonts w:ascii="Palatino Linotype" w:hAnsi="Palatino Linotype"/>
          <w:b w:val="0"/>
        </w:rPr>
        <w:t xml:space="preserve">with which </w:t>
      </w:r>
      <w:r w:rsidRPr="00511954" w:rsidR="002E1F1B">
        <w:rPr>
          <w:rFonts w:ascii="Palatino Linotype" w:hAnsi="Palatino Linotype"/>
          <w:b w:val="0"/>
        </w:rPr>
        <w:t xml:space="preserve">it </w:t>
      </w:r>
      <w:r w:rsidRPr="00511954">
        <w:rPr>
          <w:rFonts w:ascii="Palatino Linotype" w:hAnsi="Palatino Linotype"/>
          <w:b w:val="0"/>
        </w:rPr>
        <w:t>has executed a P</w:t>
      </w:r>
      <w:r w:rsidRPr="00511954" w:rsidR="007D4DCB">
        <w:rPr>
          <w:rFonts w:ascii="Palatino Linotype" w:hAnsi="Palatino Linotype"/>
          <w:b w:val="0"/>
        </w:rPr>
        <w:t>ower Purchase Agreement (P</w:t>
      </w:r>
      <w:r w:rsidRPr="00511954">
        <w:rPr>
          <w:rFonts w:ascii="Palatino Linotype" w:hAnsi="Palatino Linotype"/>
          <w:b w:val="0"/>
        </w:rPr>
        <w:t>PA</w:t>
      </w:r>
      <w:r w:rsidRPr="00511954" w:rsidR="007D4DCB">
        <w:rPr>
          <w:rFonts w:ascii="Palatino Linotype" w:hAnsi="Palatino Linotype"/>
          <w:b w:val="0"/>
        </w:rPr>
        <w:t>)</w:t>
      </w:r>
      <w:r w:rsidRPr="00511954" w:rsidR="002E1F1B">
        <w:rPr>
          <w:rFonts w:ascii="Palatino Linotype" w:hAnsi="Palatino Linotype"/>
          <w:b w:val="0"/>
        </w:rPr>
        <w:t xml:space="preserve"> </w:t>
      </w:r>
      <w:r w:rsidRPr="00511954">
        <w:rPr>
          <w:rFonts w:ascii="Palatino Linotype" w:hAnsi="Palatino Linotype"/>
          <w:b w:val="0"/>
        </w:rPr>
        <w:t xml:space="preserve">to retain its original customer eligibility </w:t>
      </w:r>
      <w:r w:rsidRPr="00511954" w:rsidR="007D4DCB">
        <w:rPr>
          <w:rFonts w:ascii="Palatino Linotype" w:hAnsi="Palatino Linotype"/>
          <w:b w:val="0"/>
        </w:rPr>
        <w:t xml:space="preserve">rules </w:t>
      </w:r>
      <w:r w:rsidRPr="00511954">
        <w:rPr>
          <w:rFonts w:ascii="Palatino Linotype" w:hAnsi="Palatino Linotype"/>
          <w:b w:val="0"/>
        </w:rPr>
        <w:t xml:space="preserve">throughout the life of that project, even if the local </w:t>
      </w:r>
      <w:r w:rsidR="00DA1834">
        <w:rPr>
          <w:rFonts w:ascii="Palatino Linotype" w:hAnsi="Palatino Linotype"/>
          <w:b w:val="0"/>
        </w:rPr>
        <w:t>qualified</w:t>
      </w:r>
      <w:r w:rsidRPr="00511954">
        <w:rPr>
          <w:rFonts w:ascii="Palatino Linotype" w:hAnsi="Palatino Linotype"/>
          <w:b w:val="0"/>
        </w:rPr>
        <w:t xml:space="preserve"> DAC designations change in subsequent iterations of </w:t>
      </w:r>
      <w:proofErr w:type="spellStart"/>
      <w:r w:rsidRPr="00511954">
        <w:rPr>
          <w:rFonts w:ascii="Palatino Linotype" w:hAnsi="Palatino Linotype"/>
          <w:b w:val="0"/>
        </w:rPr>
        <w:t>CalEnviroScreen</w:t>
      </w:r>
      <w:proofErr w:type="spellEnd"/>
      <w:r w:rsidRPr="00511954">
        <w:rPr>
          <w:rFonts w:ascii="Palatino Linotype" w:hAnsi="Palatino Linotype"/>
          <w:b w:val="0"/>
        </w:rPr>
        <w:t xml:space="preserve">.  </w:t>
      </w:r>
    </w:p>
    <w:p w:rsidRPr="00511954" w:rsidR="00A17B2D" w:rsidP="00A17B2D" w:rsidRDefault="00A17B2D" w14:paraId="06342A31" w14:textId="7B35CDAE">
      <w:pPr>
        <w:pStyle w:val="BodyText"/>
        <w:numPr>
          <w:ilvl w:val="1"/>
          <w:numId w:val="5"/>
        </w:numPr>
        <w:shd w:val="clear" w:color="auto" w:fill="FFFFFF"/>
        <w:spacing w:after="120"/>
        <w:textAlignment w:val="baseline"/>
        <w:rPr>
          <w:rFonts w:ascii="Palatino Linotype" w:hAnsi="Palatino Linotype"/>
          <w:b w:val="0"/>
        </w:rPr>
      </w:pPr>
      <w:r w:rsidRPr="00511954">
        <w:rPr>
          <w:rFonts w:ascii="Palatino Linotype" w:hAnsi="Palatino Linotype"/>
          <w:b w:val="0"/>
        </w:rPr>
        <w:t>PG&amp;E, SCE</w:t>
      </w:r>
      <w:r w:rsidRPr="00511954" w:rsidR="007D4DCB">
        <w:rPr>
          <w:rFonts w:ascii="Palatino Linotype" w:hAnsi="Palatino Linotype"/>
          <w:b w:val="0"/>
        </w:rPr>
        <w:t>,</w:t>
      </w:r>
      <w:r w:rsidRPr="00511954">
        <w:rPr>
          <w:rFonts w:ascii="Palatino Linotype" w:hAnsi="Palatino Linotype"/>
          <w:b w:val="0"/>
        </w:rPr>
        <w:t xml:space="preserve"> and SDG&amp;E will ensure that all renewable energy resources procured on behalf of customers participating in the DAC-GT and CSGT programs comply with the </w:t>
      </w:r>
      <w:r w:rsidRPr="00511954" w:rsidR="007672D5">
        <w:rPr>
          <w:rFonts w:ascii="Palatino Linotype" w:hAnsi="Palatino Linotype"/>
          <w:b w:val="0"/>
        </w:rPr>
        <w:t xml:space="preserve">California </w:t>
      </w:r>
      <w:r w:rsidRPr="00511954">
        <w:rPr>
          <w:rFonts w:ascii="Palatino Linotype" w:hAnsi="Palatino Linotype"/>
          <w:b w:val="0"/>
        </w:rPr>
        <w:t>Air Resources Board’s Voluntary Renewable Electricity Program. PG&amp;E, SCE</w:t>
      </w:r>
      <w:r w:rsidRPr="00511954" w:rsidR="007D4DCB">
        <w:rPr>
          <w:rFonts w:ascii="Palatino Linotype" w:hAnsi="Palatino Linotype"/>
          <w:b w:val="0"/>
        </w:rPr>
        <w:t>,</w:t>
      </w:r>
      <w:r w:rsidRPr="00511954">
        <w:rPr>
          <w:rFonts w:ascii="Palatino Linotype" w:hAnsi="Palatino Linotype"/>
          <w:b w:val="0"/>
        </w:rPr>
        <w:t xml:space="preserve"> and SDG&amp;E will retire California-eligible greenhouse gas allowances associated with these purchases on behalf of participating customers as part of the </w:t>
      </w:r>
      <w:r w:rsidRPr="00511954" w:rsidR="00086CC2">
        <w:rPr>
          <w:rFonts w:ascii="Palatino Linotype" w:hAnsi="Palatino Linotype"/>
          <w:b w:val="0"/>
        </w:rPr>
        <w:t>California Air Resources Board’s</w:t>
      </w:r>
      <w:r w:rsidRPr="00511954" w:rsidDel="00086CC2" w:rsidR="00086CC2">
        <w:rPr>
          <w:rFonts w:ascii="Palatino Linotype" w:hAnsi="Palatino Linotype"/>
          <w:b w:val="0"/>
        </w:rPr>
        <w:t xml:space="preserve"> </w:t>
      </w:r>
      <w:r w:rsidRPr="00511954">
        <w:rPr>
          <w:rFonts w:ascii="Palatino Linotype" w:hAnsi="Palatino Linotype"/>
          <w:b w:val="0"/>
        </w:rPr>
        <w:t>Voluntary Renewable Electricity Program.</w:t>
      </w:r>
    </w:p>
    <w:p w:rsidRPr="00511954" w:rsidR="00A17B2D" w:rsidP="00A17B2D" w:rsidRDefault="00A17B2D" w14:paraId="1A434350" w14:textId="77777777">
      <w:pPr>
        <w:pStyle w:val="BodyText"/>
        <w:numPr>
          <w:ilvl w:val="1"/>
          <w:numId w:val="5"/>
        </w:numPr>
        <w:spacing w:after="120"/>
        <w:rPr>
          <w:rFonts w:ascii="Palatino Linotype" w:hAnsi="Palatino Linotype"/>
          <w:b w:val="0"/>
        </w:rPr>
      </w:pPr>
      <w:r w:rsidRPr="00511954">
        <w:rPr>
          <w:rFonts w:ascii="Palatino Linotype" w:hAnsi="Palatino Linotype"/>
          <w:b w:val="0"/>
        </w:rPr>
        <w:t xml:space="preserve">SCE shall revise its DAC-GT and CSGT tariffs to apply the definition of DACs – the top 25 percent of census tracts under </w:t>
      </w:r>
      <w:proofErr w:type="spellStart"/>
      <w:r w:rsidRPr="00511954">
        <w:rPr>
          <w:rFonts w:ascii="Palatino Linotype" w:hAnsi="Palatino Linotype"/>
          <w:b w:val="0"/>
        </w:rPr>
        <w:t>CalEnviroScreen</w:t>
      </w:r>
      <w:proofErr w:type="spellEnd"/>
      <w:r w:rsidRPr="00511954">
        <w:rPr>
          <w:rFonts w:ascii="Palatino Linotype" w:hAnsi="Palatino Linotype"/>
          <w:b w:val="0"/>
        </w:rPr>
        <w:t xml:space="preserve"> and 22 census tracts in the top 5 percent of pollution burden that do not have an overall </w:t>
      </w:r>
      <w:proofErr w:type="spellStart"/>
      <w:r w:rsidRPr="00511954">
        <w:rPr>
          <w:rFonts w:ascii="Palatino Linotype" w:hAnsi="Palatino Linotype"/>
          <w:b w:val="0"/>
        </w:rPr>
        <w:t>CalEnviroScreen</w:t>
      </w:r>
      <w:proofErr w:type="spellEnd"/>
      <w:r w:rsidRPr="00511954">
        <w:rPr>
          <w:rFonts w:ascii="Palatino Linotype" w:hAnsi="Palatino Linotype"/>
          <w:b w:val="0"/>
        </w:rPr>
        <w:t xml:space="preserve"> score – consistently throughout its tariffs.</w:t>
      </w:r>
    </w:p>
    <w:p w:rsidRPr="00511954" w:rsidR="00A17B2D" w:rsidP="00A17B2D" w:rsidRDefault="00A17B2D" w14:paraId="217A1FAB" w14:textId="151F4BE0">
      <w:pPr>
        <w:pStyle w:val="BodyText"/>
        <w:numPr>
          <w:ilvl w:val="1"/>
          <w:numId w:val="5"/>
        </w:numPr>
        <w:spacing w:after="120"/>
        <w:rPr>
          <w:rFonts w:ascii="Palatino Linotype" w:hAnsi="Palatino Linotype"/>
          <w:b w:val="0"/>
        </w:rPr>
      </w:pPr>
      <w:r w:rsidRPr="00511954">
        <w:rPr>
          <w:rFonts w:ascii="Palatino Linotype" w:hAnsi="Palatino Linotype"/>
          <w:b w:val="0"/>
        </w:rPr>
        <w:t xml:space="preserve">SCE shall revise its DAC-GT tariff to state that </w:t>
      </w:r>
      <w:r w:rsidR="00DA1834">
        <w:rPr>
          <w:rFonts w:ascii="Palatino Linotype" w:hAnsi="Palatino Linotype"/>
          <w:b w:val="0"/>
        </w:rPr>
        <w:t>net energy metering (</w:t>
      </w:r>
      <w:r w:rsidRPr="00511954">
        <w:rPr>
          <w:rFonts w:ascii="Palatino Linotype" w:hAnsi="Palatino Linotype"/>
          <w:b w:val="0"/>
        </w:rPr>
        <w:t>NEM</w:t>
      </w:r>
      <w:r w:rsidR="00DA1834">
        <w:rPr>
          <w:rFonts w:ascii="Palatino Linotype" w:hAnsi="Palatino Linotype"/>
          <w:b w:val="0"/>
        </w:rPr>
        <w:t>)</w:t>
      </w:r>
      <w:r w:rsidRPr="00511954">
        <w:rPr>
          <w:rFonts w:ascii="Palatino Linotype" w:hAnsi="Palatino Linotype"/>
          <w:b w:val="0"/>
        </w:rPr>
        <w:t xml:space="preserve"> customers are not eligible to participate in DAC-GT.</w:t>
      </w:r>
    </w:p>
    <w:p w:rsidRPr="00511954" w:rsidR="00A17B2D" w:rsidP="00537E1E" w:rsidRDefault="00A17B2D" w14:paraId="3CBC8B05" w14:textId="5A208D76">
      <w:pPr>
        <w:pStyle w:val="BodyText"/>
        <w:numPr>
          <w:ilvl w:val="1"/>
          <w:numId w:val="5"/>
        </w:numPr>
        <w:spacing w:after="120"/>
        <w:rPr>
          <w:rFonts w:ascii="Palatino Linotype" w:hAnsi="Palatino Linotype"/>
          <w:b w:val="0"/>
        </w:rPr>
      </w:pPr>
      <w:r w:rsidRPr="00511954">
        <w:rPr>
          <w:rFonts w:ascii="Palatino Linotype" w:hAnsi="Palatino Linotype"/>
          <w:b w:val="0"/>
        </w:rPr>
        <w:t>PG&amp;E shall modify its CSGT tariff to ensure that all projects are located in DACs as defined by the Decision and that the projects are sited within 5 miles of the DACs in which subscribing customers reside</w:t>
      </w:r>
      <w:r w:rsidRPr="00511954" w:rsidR="00537E1E">
        <w:rPr>
          <w:rFonts w:ascii="Palatino Linotype" w:hAnsi="Palatino Linotype"/>
          <w:b w:val="0"/>
        </w:rPr>
        <w:t xml:space="preserve">, except for </w:t>
      </w:r>
      <w:r w:rsidRPr="00511954">
        <w:rPr>
          <w:rFonts w:ascii="Palatino Linotype" w:hAnsi="Palatino Linotype"/>
          <w:b w:val="0"/>
        </w:rPr>
        <w:t xml:space="preserve">SJV CSGT projects </w:t>
      </w:r>
      <w:r w:rsidRPr="00511954" w:rsidR="00537E1E">
        <w:rPr>
          <w:rFonts w:ascii="Palatino Linotype" w:hAnsi="Palatino Linotype"/>
          <w:b w:val="0"/>
        </w:rPr>
        <w:t xml:space="preserve">which can </w:t>
      </w:r>
      <w:r w:rsidRPr="00511954">
        <w:rPr>
          <w:rFonts w:ascii="Palatino Linotype" w:hAnsi="Palatino Linotype"/>
          <w:b w:val="0"/>
        </w:rPr>
        <w:t>be located in DACs or SJV pilot communities that are located within 40 miles of the SJV pilot communities that they serve.</w:t>
      </w:r>
    </w:p>
    <w:p w:rsidRPr="00511954" w:rsidR="00A17B2D" w:rsidP="00A17B2D" w:rsidRDefault="00A17B2D" w14:paraId="282E1297" w14:textId="3F85C875">
      <w:pPr>
        <w:pStyle w:val="BodyText"/>
        <w:numPr>
          <w:ilvl w:val="1"/>
          <w:numId w:val="5"/>
        </w:numPr>
        <w:spacing w:after="120"/>
        <w:rPr>
          <w:rFonts w:ascii="Palatino Linotype" w:hAnsi="Palatino Linotype"/>
          <w:b w:val="0"/>
        </w:rPr>
      </w:pPr>
      <w:r w:rsidRPr="00511954">
        <w:rPr>
          <w:rFonts w:ascii="Palatino Linotype" w:hAnsi="Palatino Linotype"/>
          <w:b w:val="0"/>
        </w:rPr>
        <w:t xml:space="preserve">SCE shall modify its CSGT tariff to clarify that a </w:t>
      </w:r>
      <w:r w:rsidR="000220FF">
        <w:rPr>
          <w:rFonts w:ascii="Palatino Linotype" w:hAnsi="Palatino Linotype"/>
          <w:b w:val="0"/>
        </w:rPr>
        <w:t xml:space="preserve">qualifying </w:t>
      </w:r>
      <w:r w:rsidRPr="00511954">
        <w:rPr>
          <w:rFonts w:ascii="Palatino Linotype" w:hAnsi="Palatino Linotype"/>
          <w:b w:val="0"/>
        </w:rPr>
        <w:t>customer’s census tract, not the customer’s address, must be within 5 miles of a CSGT project.</w:t>
      </w:r>
      <w:r w:rsidRPr="00511954" w:rsidR="00537E1E">
        <w:rPr>
          <w:rFonts w:ascii="Palatino Linotype" w:hAnsi="Palatino Linotype"/>
          <w:b w:val="0"/>
        </w:rPr>
        <w:t xml:space="preserve"> SCE shall also modify its CSGT tariff to clarify that the census tract of qualifying customers can be located within 40 miles of a CSGT project </w:t>
      </w:r>
      <w:r w:rsidRPr="00511954" w:rsidR="002E1F1B">
        <w:rPr>
          <w:rFonts w:ascii="Palatino Linotype" w:hAnsi="Palatino Linotype"/>
          <w:b w:val="0"/>
        </w:rPr>
        <w:t xml:space="preserve">for </w:t>
      </w:r>
      <w:r w:rsidRPr="00511954" w:rsidR="00537E1E">
        <w:rPr>
          <w:rFonts w:ascii="Palatino Linotype" w:hAnsi="Palatino Linotype"/>
          <w:b w:val="0"/>
        </w:rPr>
        <w:t xml:space="preserve">SJV pilot communities. </w:t>
      </w:r>
    </w:p>
    <w:p w:rsidRPr="00511954" w:rsidR="00A17B2D" w:rsidP="00A17B2D" w:rsidRDefault="00A17B2D" w14:paraId="0A8BE12F" w14:textId="2BC070BE">
      <w:pPr>
        <w:pStyle w:val="BodyText"/>
        <w:numPr>
          <w:ilvl w:val="1"/>
          <w:numId w:val="5"/>
        </w:numPr>
        <w:spacing w:after="120"/>
        <w:rPr>
          <w:rFonts w:ascii="Palatino Linotype" w:hAnsi="Palatino Linotype"/>
          <w:b w:val="0"/>
        </w:rPr>
      </w:pPr>
      <w:r w:rsidRPr="00511954">
        <w:rPr>
          <w:rFonts w:ascii="Palatino Linotype" w:hAnsi="Palatino Linotype"/>
          <w:b w:val="0"/>
        </w:rPr>
        <w:t xml:space="preserve">SDG&amp;E shall revise its CSGT tariff to clarify that customers in the 22 additional census tracts defined as DACs in the Decision are qualified for the CSGT program and to clarify that a </w:t>
      </w:r>
      <w:r w:rsidR="000220FF">
        <w:rPr>
          <w:rFonts w:ascii="Palatino Linotype" w:hAnsi="Palatino Linotype"/>
          <w:b w:val="0"/>
        </w:rPr>
        <w:t xml:space="preserve">qualifying </w:t>
      </w:r>
      <w:r w:rsidRPr="00511954">
        <w:rPr>
          <w:rFonts w:ascii="Palatino Linotype" w:hAnsi="Palatino Linotype"/>
          <w:b w:val="0"/>
        </w:rPr>
        <w:t>customer’s census tract, not the customer’s address, must be within 5 miles of a CSGT project.</w:t>
      </w:r>
    </w:p>
    <w:p w:rsidRPr="00511954" w:rsidR="00A17B2D" w:rsidP="00A17B2D" w:rsidRDefault="00A17B2D" w14:paraId="334A6FA3" w14:textId="77777777">
      <w:pPr>
        <w:pStyle w:val="BodyText"/>
        <w:numPr>
          <w:ilvl w:val="1"/>
          <w:numId w:val="5"/>
        </w:numPr>
        <w:spacing w:after="120"/>
        <w:rPr>
          <w:rFonts w:ascii="Palatino Linotype" w:hAnsi="Palatino Linotype"/>
          <w:b w:val="0"/>
        </w:rPr>
      </w:pPr>
      <w:r w:rsidRPr="00511954">
        <w:rPr>
          <w:rFonts w:ascii="Palatino Linotype" w:hAnsi="Palatino Linotype"/>
          <w:b w:val="0"/>
        </w:rPr>
        <w:t>SCE shall revise its CSGT tariff to remove the requirements that a community sponsor screen customer eligibility and assist customers with enrollment and remove the community sponsor term section.</w:t>
      </w:r>
    </w:p>
    <w:p w:rsidRPr="00511954" w:rsidR="00A17B2D" w:rsidP="00A17B2D" w:rsidRDefault="00A17B2D" w14:paraId="49A99675" w14:textId="77777777">
      <w:pPr>
        <w:pStyle w:val="BodyText"/>
        <w:numPr>
          <w:ilvl w:val="1"/>
          <w:numId w:val="5"/>
        </w:numPr>
        <w:spacing w:after="120"/>
        <w:rPr>
          <w:rFonts w:ascii="Palatino Linotype" w:hAnsi="Palatino Linotype"/>
          <w:b w:val="0"/>
        </w:rPr>
      </w:pPr>
      <w:r w:rsidRPr="00511954">
        <w:rPr>
          <w:rFonts w:ascii="Palatino Linotype" w:hAnsi="Palatino Linotype"/>
          <w:b w:val="0"/>
        </w:rPr>
        <w:t>SCE and SDG&amp;E shall update their CSGT tariffs to enable multiple community sponsors, if eligible, to share the 20 percent bill credit for up to 25 percent of a CSGT project’s output.</w:t>
      </w:r>
    </w:p>
    <w:p w:rsidRPr="00511954" w:rsidR="00537E1E" w:rsidP="00A17B2D" w:rsidRDefault="00A17B2D" w14:paraId="77B74983" w14:textId="325CBFBB">
      <w:pPr>
        <w:pStyle w:val="BodyText"/>
        <w:numPr>
          <w:ilvl w:val="1"/>
          <w:numId w:val="5"/>
        </w:numPr>
        <w:spacing w:after="120"/>
        <w:rPr>
          <w:rFonts w:ascii="Palatino Linotype" w:hAnsi="Palatino Linotype"/>
          <w:b w:val="0"/>
        </w:rPr>
      </w:pPr>
      <w:r w:rsidRPr="00511954">
        <w:rPr>
          <w:rFonts w:ascii="Palatino Linotype" w:hAnsi="Palatino Linotype"/>
          <w:b w:val="0"/>
        </w:rPr>
        <w:t>PG&amp;E, SCE</w:t>
      </w:r>
      <w:r w:rsidR="00DA1834">
        <w:rPr>
          <w:rFonts w:ascii="Palatino Linotype" w:hAnsi="Palatino Linotype"/>
          <w:b w:val="0"/>
        </w:rPr>
        <w:t>,</w:t>
      </w:r>
      <w:r w:rsidRPr="00511954">
        <w:rPr>
          <w:rFonts w:ascii="Palatino Linotype" w:hAnsi="Palatino Linotype"/>
          <w:b w:val="0"/>
        </w:rPr>
        <w:t xml:space="preserve"> and SDG&amp;E must not include in their </w:t>
      </w:r>
      <w:r w:rsidRPr="00511954" w:rsidR="002E1F1B">
        <w:rPr>
          <w:rFonts w:ascii="Palatino Linotype" w:hAnsi="Palatino Linotype"/>
          <w:b w:val="0"/>
        </w:rPr>
        <w:t>Request for Offers (</w:t>
      </w:r>
      <w:r w:rsidRPr="00511954">
        <w:rPr>
          <w:rFonts w:ascii="Palatino Linotype" w:hAnsi="Palatino Linotype"/>
          <w:b w:val="0"/>
        </w:rPr>
        <w:t>RFO</w:t>
      </w:r>
      <w:r w:rsidRPr="00511954" w:rsidR="002E1F1B">
        <w:rPr>
          <w:rFonts w:ascii="Palatino Linotype" w:hAnsi="Palatino Linotype"/>
          <w:b w:val="0"/>
        </w:rPr>
        <w:t>)</w:t>
      </w:r>
      <w:r w:rsidRPr="00511954">
        <w:rPr>
          <w:rFonts w:ascii="Palatino Linotype" w:hAnsi="Palatino Linotype"/>
          <w:b w:val="0"/>
        </w:rPr>
        <w:t xml:space="preserve"> solicitation scoring, any qualitative benefits for projects that are able to demonstrate that they have a local sponsor that is eligible to absorb up to 25 percent of the project’s capacity</w:t>
      </w:r>
      <w:r w:rsidRPr="00511954" w:rsidR="00537E1E">
        <w:rPr>
          <w:rFonts w:ascii="Palatino Linotype" w:hAnsi="Palatino Linotype"/>
          <w:b w:val="0"/>
        </w:rPr>
        <w:t xml:space="preserve">. PG&amp;E, SCE, and SDG&amp;E </w:t>
      </w:r>
      <w:r w:rsidRPr="00511954">
        <w:rPr>
          <w:rFonts w:ascii="Palatino Linotype" w:hAnsi="Palatino Linotype"/>
          <w:b w:val="0"/>
        </w:rPr>
        <w:t xml:space="preserve">shall </w:t>
      </w:r>
      <w:r w:rsidRPr="00511954">
        <w:rPr>
          <w:rFonts w:ascii="Palatino Linotype" w:hAnsi="Palatino Linotype" w:cs="TimesNewRoman"/>
          <w:b w:val="0"/>
          <w:szCs w:val="24"/>
        </w:rPr>
        <w:t>consider both full capacity deliverability and energy-only</w:t>
      </w:r>
      <w:r w:rsidRPr="00511954">
        <w:rPr>
          <w:rFonts w:ascii="Palatino Linotype" w:hAnsi="Palatino Linotype"/>
          <w:b w:val="0"/>
        </w:rPr>
        <w:t xml:space="preserve"> status projects in their DAC-GT and CSGT RFOs</w:t>
      </w:r>
      <w:r w:rsidRPr="00511954">
        <w:rPr>
          <w:rFonts w:ascii="Palatino Linotype" w:hAnsi="Palatino Linotype" w:cs="TimesNewRoman"/>
          <w:b w:val="0"/>
          <w:szCs w:val="24"/>
        </w:rPr>
        <w:t>.</w:t>
      </w:r>
      <w:r w:rsidRPr="00511954">
        <w:rPr>
          <w:rFonts w:ascii="Palatino Linotype" w:hAnsi="Palatino Linotype"/>
          <w:b w:val="0"/>
        </w:rPr>
        <w:t xml:space="preserve"> </w:t>
      </w:r>
    </w:p>
    <w:p w:rsidR="008F31D5" w:rsidP="00F23666" w:rsidRDefault="00A17B2D" w14:paraId="22A96DBC" w14:textId="424CFFDD">
      <w:pPr>
        <w:pStyle w:val="BodyText"/>
        <w:numPr>
          <w:ilvl w:val="1"/>
          <w:numId w:val="5"/>
        </w:numPr>
        <w:spacing w:after="120"/>
        <w:rPr>
          <w:rFonts w:ascii="Palatino Linotype" w:hAnsi="Palatino Linotype"/>
          <w:b w:val="0"/>
        </w:rPr>
      </w:pPr>
      <w:r w:rsidRPr="008F31D5">
        <w:rPr>
          <w:rFonts w:ascii="Palatino Linotype" w:hAnsi="Palatino Linotype"/>
          <w:b w:val="0"/>
        </w:rPr>
        <w:t>SCE’s initial RFO may include a</w:t>
      </w:r>
      <w:r w:rsidRPr="008F31D5" w:rsidR="002E1F1B">
        <w:rPr>
          <w:rFonts w:ascii="Palatino Linotype" w:hAnsi="Palatino Linotype"/>
          <w:b w:val="0"/>
        </w:rPr>
        <w:t xml:space="preserve"> Request for Information</w:t>
      </w:r>
      <w:r w:rsidRPr="008F31D5">
        <w:rPr>
          <w:rFonts w:ascii="Palatino Linotype" w:hAnsi="Palatino Linotype"/>
          <w:b w:val="0"/>
        </w:rPr>
        <w:t xml:space="preserve"> </w:t>
      </w:r>
      <w:r w:rsidRPr="008F31D5" w:rsidR="002E1F1B">
        <w:rPr>
          <w:rFonts w:ascii="Palatino Linotype" w:hAnsi="Palatino Linotype"/>
          <w:b w:val="0"/>
        </w:rPr>
        <w:t>(</w:t>
      </w:r>
      <w:r w:rsidRPr="008F31D5">
        <w:rPr>
          <w:rFonts w:ascii="Palatino Linotype" w:hAnsi="Palatino Linotype"/>
          <w:b w:val="0"/>
        </w:rPr>
        <w:t>RFI</w:t>
      </w:r>
      <w:r w:rsidRPr="008F31D5" w:rsidR="002E1F1B">
        <w:rPr>
          <w:rFonts w:ascii="Palatino Linotype" w:hAnsi="Palatino Linotype"/>
          <w:b w:val="0"/>
        </w:rPr>
        <w:t>)</w:t>
      </w:r>
      <w:r w:rsidRPr="008F31D5">
        <w:rPr>
          <w:rFonts w:ascii="Palatino Linotype" w:hAnsi="Palatino Linotype"/>
          <w:b w:val="0"/>
        </w:rPr>
        <w:t xml:space="preserve"> but must also seek to procure CSGT resources.</w:t>
      </w:r>
    </w:p>
    <w:p w:rsidRPr="0010120C" w:rsidR="0010120C" w:rsidP="007C4BDD" w:rsidRDefault="00DA1834" w14:paraId="7AF566B0" w14:textId="6ACED828">
      <w:pPr>
        <w:pStyle w:val="BodyText"/>
        <w:numPr>
          <w:ilvl w:val="1"/>
          <w:numId w:val="43"/>
        </w:numPr>
        <w:spacing w:after="120"/>
        <w:rPr>
          <w:rFonts w:ascii="Palatino Linotype" w:hAnsi="Palatino Linotype"/>
          <w:b w:val="0"/>
        </w:rPr>
      </w:pPr>
      <w:r>
        <w:rPr>
          <w:rFonts w:ascii="Palatino Linotype" w:hAnsi="Palatino Linotype"/>
          <w:b w:val="0"/>
        </w:rPr>
        <w:t xml:space="preserve">As </w:t>
      </w:r>
      <w:r w:rsidRPr="00511954">
        <w:rPr>
          <w:rFonts w:ascii="Palatino Linotype" w:hAnsi="Palatino Linotype"/>
          <w:b w:val="0"/>
        </w:rPr>
        <w:t xml:space="preserve">PG&amp;E will </w:t>
      </w:r>
      <w:r>
        <w:rPr>
          <w:rFonts w:ascii="Palatino Linotype" w:hAnsi="Palatino Linotype"/>
          <w:b w:val="0"/>
        </w:rPr>
        <w:t xml:space="preserve">only </w:t>
      </w:r>
      <w:r w:rsidRPr="00511954">
        <w:rPr>
          <w:rFonts w:ascii="Palatino Linotype" w:hAnsi="Palatino Linotype"/>
          <w:b w:val="0"/>
        </w:rPr>
        <w:t xml:space="preserve">be allowed to serve DAC-GT customers with existing GT projects </w:t>
      </w:r>
      <w:r>
        <w:rPr>
          <w:rFonts w:ascii="Palatino Linotype" w:hAnsi="Palatino Linotype"/>
          <w:b w:val="0"/>
        </w:rPr>
        <w:t xml:space="preserve">that meet all program rules for DAC-GT projects </w:t>
      </w:r>
      <w:r w:rsidRPr="00511954">
        <w:rPr>
          <w:rFonts w:ascii="Palatino Linotype" w:hAnsi="Palatino Linotype"/>
          <w:b w:val="0"/>
        </w:rPr>
        <w:t>on an interim basis</w:t>
      </w:r>
      <w:r>
        <w:rPr>
          <w:rFonts w:ascii="Palatino Linotype" w:hAnsi="Palatino Linotype"/>
          <w:b w:val="0"/>
        </w:rPr>
        <w:t xml:space="preserve">, </w:t>
      </w:r>
      <w:r w:rsidRPr="00511954">
        <w:rPr>
          <w:rFonts w:ascii="Palatino Linotype" w:hAnsi="Palatino Linotype"/>
          <w:b w:val="0"/>
        </w:rPr>
        <w:t>PG&amp;E must solicit new DAC-GT projects, as well as CSGT projects</w:t>
      </w:r>
      <w:r>
        <w:rPr>
          <w:rFonts w:ascii="Palatino Linotype" w:hAnsi="Palatino Linotype"/>
          <w:b w:val="0"/>
        </w:rPr>
        <w:t>,</w:t>
      </w:r>
      <w:r w:rsidRPr="00511954">
        <w:rPr>
          <w:rFonts w:ascii="Palatino Linotype" w:hAnsi="Palatino Linotype"/>
          <w:b w:val="0"/>
        </w:rPr>
        <w:t xml:space="preserve"> in its first RFO.</w:t>
      </w:r>
    </w:p>
    <w:p w:rsidRPr="0010120C" w:rsidR="00F56D1C" w:rsidP="007C4BDD" w:rsidRDefault="00A17B2D" w14:paraId="367DC359" w14:textId="6A1358F1">
      <w:pPr>
        <w:pStyle w:val="BodyText"/>
        <w:numPr>
          <w:ilvl w:val="1"/>
          <w:numId w:val="45"/>
        </w:numPr>
        <w:spacing w:after="120"/>
        <w:rPr>
          <w:rFonts w:ascii="Palatino Linotype" w:hAnsi="Palatino Linotype"/>
          <w:b w:val="0"/>
        </w:rPr>
      </w:pPr>
      <w:r w:rsidRPr="0010120C">
        <w:rPr>
          <w:rFonts w:ascii="Palatino Linotype" w:hAnsi="Palatino Linotype"/>
          <w:b w:val="0"/>
        </w:rPr>
        <w:t>PG&amp;E, SCE, and SDG&amp;E shall include a cost containment mechanism for the DAC-GT program in their RFO solicitation documents that is 2</w:t>
      </w:r>
      <w:r w:rsidRPr="0010120C" w:rsidR="00537E1E">
        <w:rPr>
          <w:rFonts w:ascii="Palatino Linotype" w:hAnsi="Palatino Linotype"/>
          <w:b w:val="0"/>
        </w:rPr>
        <w:t>0</w:t>
      </w:r>
      <w:r w:rsidRPr="0010120C">
        <w:rPr>
          <w:rFonts w:ascii="Palatino Linotype" w:hAnsi="Palatino Linotype"/>
          <w:b w:val="0"/>
        </w:rPr>
        <w:t xml:space="preserve">0 percent of the maximum executed contract price in the </w:t>
      </w:r>
      <w:r w:rsidRPr="0010120C" w:rsidR="00F56D1C">
        <w:rPr>
          <w:rFonts w:ascii="Palatino Linotype" w:hAnsi="Palatino Linotype"/>
          <w:b w:val="0"/>
        </w:rPr>
        <w:t xml:space="preserve">previous </w:t>
      </w:r>
      <w:r w:rsidRPr="0010120C">
        <w:rPr>
          <w:rFonts w:ascii="Palatino Linotype" w:hAnsi="Palatino Linotype"/>
          <w:b w:val="0"/>
        </w:rPr>
        <w:t xml:space="preserve">Renewable Auction Mechanism’s as-available peaking category or the </w:t>
      </w:r>
      <w:r w:rsidRPr="0010120C" w:rsidR="00F56D1C">
        <w:rPr>
          <w:rFonts w:ascii="Palatino Linotype" w:hAnsi="Palatino Linotype"/>
          <w:b w:val="0"/>
        </w:rPr>
        <w:t xml:space="preserve">previous </w:t>
      </w:r>
      <w:r w:rsidRPr="0010120C">
        <w:rPr>
          <w:rFonts w:ascii="Palatino Linotype" w:hAnsi="Palatino Linotype"/>
          <w:b w:val="0"/>
        </w:rPr>
        <w:t>Green Tariff, whichever is higher.</w:t>
      </w:r>
    </w:p>
    <w:p w:rsidRPr="00F56D1C" w:rsidR="00A17B2D" w:rsidP="00F56D1C" w:rsidRDefault="00A17B2D" w14:paraId="4CD95075" w14:textId="29732298">
      <w:pPr>
        <w:pStyle w:val="BodyText"/>
        <w:numPr>
          <w:ilvl w:val="1"/>
          <w:numId w:val="40"/>
        </w:numPr>
        <w:spacing w:after="120"/>
        <w:rPr>
          <w:rFonts w:ascii="Palatino Linotype" w:hAnsi="Palatino Linotype"/>
          <w:b w:val="0"/>
        </w:rPr>
      </w:pPr>
      <w:r w:rsidRPr="00F56D1C">
        <w:rPr>
          <w:rFonts w:ascii="Palatino Linotype" w:hAnsi="Palatino Linotype"/>
          <w:b w:val="0"/>
        </w:rPr>
        <w:t>SCE shall include the correct language for the cost containment mechanism for the CSGT program in its RFO solicitation documents which is the maximum executed contract price in the</w:t>
      </w:r>
      <w:r w:rsidR="00F56D1C">
        <w:rPr>
          <w:rFonts w:ascii="Palatino Linotype" w:hAnsi="Palatino Linotype"/>
          <w:b w:val="0"/>
        </w:rPr>
        <w:t xml:space="preserve"> previous</w:t>
      </w:r>
      <w:r w:rsidRPr="00F56D1C">
        <w:rPr>
          <w:rFonts w:ascii="Palatino Linotype" w:hAnsi="Palatino Linotype"/>
          <w:b w:val="0"/>
        </w:rPr>
        <w:t xml:space="preserve"> Renewable Auction Mechanism’s as-available peaking category or the</w:t>
      </w:r>
      <w:r w:rsidR="00F56D1C">
        <w:rPr>
          <w:rFonts w:ascii="Palatino Linotype" w:hAnsi="Palatino Linotype"/>
          <w:b w:val="0"/>
        </w:rPr>
        <w:t xml:space="preserve"> previous</w:t>
      </w:r>
      <w:r w:rsidRPr="00F56D1C">
        <w:rPr>
          <w:rFonts w:ascii="Palatino Linotype" w:hAnsi="Palatino Linotype"/>
          <w:b w:val="0"/>
        </w:rPr>
        <w:t xml:space="preserve"> Green Tariff, whichever is higher.</w:t>
      </w:r>
    </w:p>
    <w:p w:rsidRPr="004C5B71" w:rsidR="00D3131D" w:rsidP="0010120C" w:rsidRDefault="00A17B2D" w14:paraId="3F7B0AD1" w14:textId="4102F643">
      <w:pPr>
        <w:pStyle w:val="standard"/>
        <w:numPr>
          <w:ilvl w:val="0"/>
          <w:numId w:val="5"/>
        </w:numPr>
        <w:spacing w:after="120" w:line="240" w:lineRule="auto"/>
        <w:jc w:val="both"/>
        <w:rPr>
          <w:rFonts w:ascii="Palatino Linotype" w:hAnsi="Palatino Linotype"/>
        </w:rPr>
      </w:pPr>
      <w:r w:rsidRPr="00511954">
        <w:rPr>
          <w:rFonts w:ascii="Palatino Linotype" w:hAnsi="Palatino Linotype"/>
        </w:rPr>
        <w:t>Pacific Gas and Electric Company</w:t>
      </w:r>
      <w:r w:rsidR="004E474B">
        <w:rPr>
          <w:rFonts w:ascii="Palatino Linotype" w:hAnsi="Palatino Linotype"/>
        </w:rPr>
        <w:t xml:space="preserve"> (PG&amp;E)</w:t>
      </w:r>
      <w:r w:rsidRPr="00511954">
        <w:rPr>
          <w:rFonts w:ascii="Palatino Linotype" w:hAnsi="Palatino Linotype"/>
        </w:rPr>
        <w:t>, Southern California Edison</w:t>
      </w:r>
      <w:r w:rsidR="004E474B">
        <w:rPr>
          <w:rFonts w:ascii="Palatino Linotype" w:hAnsi="Palatino Linotype"/>
        </w:rPr>
        <w:t xml:space="preserve"> (SCE)</w:t>
      </w:r>
      <w:r w:rsidRPr="00511954" w:rsidR="002E1F1B">
        <w:rPr>
          <w:rFonts w:ascii="Palatino Linotype" w:hAnsi="Palatino Linotype"/>
        </w:rPr>
        <w:t>,</w:t>
      </w:r>
      <w:r w:rsidRPr="00511954">
        <w:rPr>
          <w:rFonts w:ascii="Palatino Linotype" w:hAnsi="Palatino Linotype"/>
        </w:rPr>
        <w:t xml:space="preserve"> and San Diego Gas </w:t>
      </w:r>
      <w:r w:rsidRPr="00511954" w:rsidR="004873BD">
        <w:rPr>
          <w:rFonts w:ascii="Palatino Linotype" w:hAnsi="Palatino Linotype"/>
        </w:rPr>
        <w:t xml:space="preserve">&amp; </w:t>
      </w:r>
      <w:r w:rsidRPr="00511954">
        <w:rPr>
          <w:rFonts w:ascii="Palatino Linotype" w:hAnsi="Palatino Linotype"/>
        </w:rPr>
        <w:t>Electric Company</w:t>
      </w:r>
      <w:r w:rsidR="004E474B">
        <w:rPr>
          <w:rFonts w:ascii="Palatino Linotype" w:hAnsi="Palatino Linotype"/>
        </w:rPr>
        <w:t xml:space="preserve"> (SDG&amp;E)</w:t>
      </w:r>
      <w:r w:rsidRPr="00511954">
        <w:rPr>
          <w:rFonts w:ascii="Palatino Linotype" w:hAnsi="Palatino Linotype"/>
        </w:rPr>
        <w:t xml:space="preserve"> shall submit an annual program budget estimate</w:t>
      </w:r>
      <w:r w:rsidR="001A0544">
        <w:rPr>
          <w:rFonts w:ascii="Palatino Linotype" w:hAnsi="Palatino Linotype"/>
        </w:rPr>
        <w:t xml:space="preserve"> and an annual </w:t>
      </w:r>
      <w:r w:rsidRPr="00AB1D6F" w:rsidR="001A0544">
        <w:rPr>
          <w:rFonts w:ascii="Palatino Linotype" w:hAnsi="Palatino Linotype"/>
        </w:rPr>
        <w:t>Marketing, Education, and Outreach</w:t>
      </w:r>
      <w:r w:rsidR="001A0544">
        <w:rPr>
          <w:rFonts w:ascii="Palatino Linotype" w:hAnsi="Palatino Linotype"/>
        </w:rPr>
        <w:t xml:space="preserve"> (ME&amp;O) plan</w:t>
      </w:r>
      <w:r w:rsidRPr="00511954">
        <w:rPr>
          <w:rFonts w:ascii="Palatino Linotype" w:hAnsi="Palatino Linotype"/>
        </w:rPr>
        <w:t xml:space="preserve"> via a Tier </w:t>
      </w:r>
      <w:r w:rsidR="00AB1D6F">
        <w:rPr>
          <w:rFonts w:ascii="Palatino Linotype" w:hAnsi="Palatino Linotype"/>
        </w:rPr>
        <w:t>1</w:t>
      </w:r>
      <w:r w:rsidRPr="00511954">
        <w:rPr>
          <w:rFonts w:ascii="Palatino Linotype" w:hAnsi="Palatino Linotype"/>
        </w:rPr>
        <w:t xml:space="preserve"> Advice Letter by </w:t>
      </w:r>
      <w:r w:rsidRPr="00511954" w:rsidR="00537E1E">
        <w:rPr>
          <w:rFonts w:ascii="Palatino Linotype" w:hAnsi="Palatino Linotype"/>
        </w:rPr>
        <w:t xml:space="preserve">February </w:t>
      </w:r>
      <w:r w:rsidRPr="00511954">
        <w:rPr>
          <w:rFonts w:ascii="Palatino Linotype" w:hAnsi="Palatino Linotype"/>
        </w:rPr>
        <w:t>1</w:t>
      </w:r>
      <w:r w:rsidRPr="00511954">
        <w:rPr>
          <w:rFonts w:ascii="Palatino Linotype" w:hAnsi="Palatino Linotype"/>
          <w:vertAlign w:val="superscript"/>
        </w:rPr>
        <w:t>st</w:t>
      </w:r>
      <w:r w:rsidRPr="00511954">
        <w:rPr>
          <w:rFonts w:ascii="Palatino Linotype" w:hAnsi="Palatino Linotype"/>
        </w:rPr>
        <w:t xml:space="preserve"> of every year, starting in 2020, for the </w:t>
      </w:r>
      <w:r w:rsidRPr="00511954" w:rsidR="002E1F1B">
        <w:rPr>
          <w:rFonts w:ascii="Palatino Linotype" w:hAnsi="Palatino Linotype"/>
        </w:rPr>
        <w:t xml:space="preserve">next </w:t>
      </w:r>
      <w:r w:rsidRPr="00511954">
        <w:rPr>
          <w:rFonts w:ascii="Palatino Linotype" w:hAnsi="Palatino Linotype"/>
        </w:rPr>
        <w:t xml:space="preserve">program year. Each utility’s Tier </w:t>
      </w:r>
      <w:r w:rsidR="00AB1D6F">
        <w:rPr>
          <w:rFonts w:ascii="Palatino Linotype" w:hAnsi="Palatino Linotype"/>
        </w:rPr>
        <w:t>1</w:t>
      </w:r>
      <w:r w:rsidRPr="00511954">
        <w:rPr>
          <w:rFonts w:ascii="Palatino Linotype" w:hAnsi="Palatino Linotype"/>
        </w:rPr>
        <w:t xml:space="preserve"> Advice Letter must include separate program budget estimates for </w:t>
      </w:r>
      <w:r w:rsidR="00DA1834">
        <w:rPr>
          <w:rFonts w:ascii="Palatino Linotype" w:hAnsi="Palatino Linotype"/>
        </w:rPr>
        <w:t xml:space="preserve">the </w:t>
      </w:r>
      <w:r w:rsidRPr="00511954">
        <w:rPr>
          <w:rFonts w:ascii="Palatino Linotype" w:hAnsi="Palatino Linotype"/>
        </w:rPr>
        <w:t>Disadvantaged Communities Green Tariff and Community Solar Green Tariff</w:t>
      </w:r>
      <w:r w:rsidR="00DA1834">
        <w:rPr>
          <w:rFonts w:ascii="Palatino Linotype" w:hAnsi="Palatino Linotype"/>
        </w:rPr>
        <w:t xml:space="preserve"> programs</w:t>
      </w:r>
      <w:r w:rsidRPr="00511954">
        <w:rPr>
          <w:rFonts w:ascii="Palatino Linotype" w:hAnsi="Palatino Linotype"/>
        </w:rPr>
        <w:t xml:space="preserve"> and clearly identify any costs that are shared between the two programs. </w:t>
      </w:r>
      <w:r w:rsidRPr="00AB1D6F">
        <w:rPr>
          <w:rFonts w:ascii="Palatino Linotype" w:hAnsi="Palatino Linotype"/>
        </w:rPr>
        <w:t xml:space="preserve">At a minimum, the annual program budgets must include line items for any above market generation costs, the 20 percent bill discount, program administration, and </w:t>
      </w:r>
      <w:r w:rsidR="004C5B71">
        <w:rPr>
          <w:rFonts w:ascii="Palatino Linotype" w:hAnsi="Palatino Linotype"/>
        </w:rPr>
        <w:t>ME&amp;O</w:t>
      </w:r>
      <w:r w:rsidRPr="00AB1D6F">
        <w:rPr>
          <w:rFonts w:ascii="Palatino Linotype" w:hAnsi="Palatino Linotype"/>
        </w:rPr>
        <w:t>. Budget submissions must adhere to all requirements described in this Resolution.</w:t>
      </w:r>
      <w:r w:rsidR="00D3131D">
        <w:rPr>
          <w:rFonts w:ascii="Palatino Linotype" w:hAnsi="Palatino Linotype"/>
        </w:rPr>
        <w:t xml:space="preserve"> </w:t>
      </w:r>
      <w:r w:rsidRPr="00AB1D6F" w:rsidR="00D3131D">
        <w:rPr>
          <w:rFonts w:ascii="Palatino Linotype" w:hAnsi="Palatino Linotype"/>
        </w:rPr>
        <w:t>Beginning with the 2021</w:t>
      </w:r>
      <w:r w:rsidR="00D3131D">
        <w:rPr>
          <w:rFonts w:ascii="Palatino Linotype" w:hAnsi="Palatino Linotype"/>
        </w:rPr>
        <w:t xml:space="preserve"> program</w:t>
      </w:r>
      <w:r w:rsidRPr="00AB1D6F" w:rsidR="00D3131D">
        <w:rPr>
          <w:rFonts w:ascii="Palatino Linotype" w:hAnsi="Palatino Linotype"/>
        </w:rPr>
        <w:t xml:space="preserve"> budgets</w:t>
      </w:r>
      <w:r w:rsidR="00DA1834">
        <w:rPr>
          <w:rFonts w:ascii="Palatino Linotype" w:hAnsi="Palatino Linotype"/>
        </w:rPr>
        <w:t xml:space="preserve"> that are to be submitted by February 1, 2020</w:t>
      </w:r>
      <w:r w:rsidR="00D3131D">
        <w:rPr>
          <w:rFonts w:ascii="Palatino Linotype" w:hAnsi="Palatino Linotype"/>
        </w:rPr>
        <w:t xml:space="preserve">, </w:t>
      </w:r>
      <w:r w:rsidR="004E474B">
        <w:rPr>
          <w:rFonts w:ascii="Palatino Linotype" w:hAnsi="Palatino Linotype"/>
        </w:rPr>
        <w:t xml:space="preserve">PG&amp;E, SCE, and SDG&amp;E </w:t>
      </w:r>
      <w:r w:rsidR="00D3131D">
        <w:rPr>
          <w:rFonts w:ascii="Palatino Linotype" w:hAnsi="Palatino Linotype"/>
        </w:rPr>
        <w:t xml:space="preserve">shall allocate no more than </w:t>
      </w:r>
      <w:r w:rsidRPr="00AB1D6F" w:rsidR="00D3131D">
        <w:rPr>
          <w:rFonts w:ascii="Palatino Linotype" w:hAnsi="Palatino Linotype"/>
        </w:rPr>
        <w:t xml:space="preserve">10 percent of each program's budget in a given year for program administration and no more than 4 percent of each program's budget in a given year for ME&amp;O. </w:t>
      </w:r>
      <w:r w:rsidR="004E474B">
        <w:rPr>
          <w:rFonts w:ascii="Palatino Linotype" w:hAnsi="Palatino Linotype"/>
        </w:rPr>
        <w:t>PG&amp;E, SCE, and SDG&amp;E</w:t>
      </w:r>
      <w:r w:rsidDel="004E474B" w:rsidR="004E474B">
        <w:rPr>
          <w:rFonts w:ascii="Palatino Linotype" w:hAnsi="Palatino Linotype"/>
        </w:rPr>
        <w:t xml:space="preserve"> </w:t>
      </w:r>
      <w:r w:rsidR="00D3131D">
        <w:rPr>
          <w:rFonts w:ascii="Palatino Linotype" w:hAnsi="Palatino Linotype"/>
        </w:rPr>
        <w:t xml:space="preserve">may propose </w:t>
      </w:r>
      <w:r w:rsidRPr="00AB1D6F" w:rsidR="00D3131D">
        <w:rPr>
          <w:rFonts w:ascii="Palatino Linotype" w:hAnsi="Palatino Linotype"/>
        </w:rPr>
        <w:t>administrative and ME&amp;O costs that are above the 10 percent and 4 percent caps established in this Resolution for 2019 and 2020 program costs only</w:t>
      </w:r>
      <w:r w:rsidR="00D3131D">
        <w:rPr>
          <w:rFonts w:ascii="Palatino Linotype" w:hAnsi="Palatino Linotype"/>
        </w:rPr>
        <w:t xml:space="preserve">, to account for any </w:t>
      </w:r>
      <w:r w:rsidRPr="00AB1D6F" w:rsidR="00D3131D">
        <w:rPr>
          <w:rFonts w:ascii="Palatino Linotype" w:hAnsi="Palatino Linotype"/>
        </w:rPr>
        <w:t xml:space="preserve">start-up costs </w:t>
      </w:r>
      <w:r w:rsidR="00D3131D">
        <w:rPr>
          <w:rFonts w:ascii="Palatino Linotype" w:hAnsi="Palatino Linotype"/>
        </w:rPr>
        <w:t xml:space="preserve">that </w:t>
      </w:r>
      <w:r w:rsidRPr="00AB1D6F" w:rsidR="00D3131D">
        <w:rPr>
          <w:rFonts w:ascii="Palatino Linotype" w:hAnsi="Palatino Linotype"/>
        </w:rPr>
        <w:t>may be higher in the first years of the program.</w:t>
      </w:r>
      <w:r w:rsidR="004C5B71">
        <w:rPr>
          <w:rFonts w:ascii="Palatino Linotype" w:hAnsi="Palatino Linotype"/>
        </w:rPr>
        <w:t xml:space="preserve"> In addition, </w:t>
      </w:r>
      <w:r w:rsidR="004E474B">
        <w:rPr>
          <w:rFonts w:ascii="Palatino Linotype" w:hAnsi="Palatino Linotype"/>
        </w:rPr>
        <w:t xml:space="preserve">PG&amp;E, SCE, and SDG&amp;E </w:t>
      </w:r>
      <w:r w:rsidRPr="004E474B" w:rsidR="00D3131D">
        <w:rPr>
          <w:rFonts w:ascii="Palatino Linotype" w:hAnsi="Palatino Linotype"/>
        </w:rPr>
        <w:t>are authorized to submit a Tier 3 A</w:t>
      </w:r>
      <w:r w:rsidR="004C5B71">
        <w:rPr>
          <w:rFonts w:ascii="Palatino Linotype" w:hAnsi="Palatino Linotype"/>
        </w:rPr>
        <w:t xml:space="preserve">dvice </w:t>
      </w:r>
      <w:r w:rsidRPr="004E474B" w:rsidR="00D3131D">
        <w:rPr>
          <w:rFonts w:ascii="Palatino Linotype" w:hAnsi="Palatino Linotype"/>
        </w:rPr>
        <w:t>L</w:t>
      </w:r>
      <w:r w:rsidR="004C5B71">
        <w:rPr>
          <w:rFonts w:ascii="Palatino Linotype" w:hAnsi="Palatino Linotype"/>
        </w:rPr>
        <w:t>etter</w:t>
      </w:r>
      <w:r w:rsidRPr="004E474B" w:rsidR="00D3131D">
        <w:rPr>
          <w:rFonts w:ascii="Palatino Linotype" w:hAnsi="Palatino Linotype"/>
        </w:rPr>
        <w:t xml:space="preserve"> requesting an adjustment to the </w:t>
      </w:r>
      <w:r w:rsidR="005C07DB">
        <w:rPr>
          <w:rFonts w:ascii="Palatino Linotype" w:hAnsi="Palatino Linotype"/>
        </w:rPr>
        <w:t xml:space="preserve">10 percent </w:t>
      </w:r>
      <w:r w:rsidR="004C5B71">
        <w:rPr>
          <w:rFonts w:ascii="Palatino Linotype" w:hAnsi="Palatino Linotype"/>
        </w:rPr>
        <w:t xml:space="preserve">administrative and </w:t>
      </w:r>
      <w:r w:rsidR="005C07DB">
        <w:rPr>
          <w:rFonts w:ascii="Palatino Linotype" w:hAnsi="Palatino Linotype"/>
        </w:rPr>
        <w:t xml:space="preserve">4 percent </w:t>
      </w:r>
      <w:r w:rsidR="004C5B71">
        <w:rPr>
          <w:rFonts w:ascii="Palatino Linotype" w:hAnsi="Palatino Linotype"/>
        </w:rPr>
        <w:t xml:space="preserve">ME&amp;O </w:t>
      </w:r>
      <w:r w:rsidRPr="004E474B" w:rsidR="00D3131D">
        <w:rPr>
          <w:rFonts w:ascii="Palatino Linotype" w:hAnsi="Palatino Linotype"/>
        </w:rPr>
        <w:t>budget allocations with an accompanying rationale for why the adjustment is warranted.</w:t>
      </w:r>
    </w:p>
    <w:p w:rsidRPr="00511954" w:rsidR="00A17B2D" w:rsidP="0010120C" w:rsidRDefault="00537E1E" w14:paraId="6D73B63E" w14:textId="5CE2681A">
      <w:pPr>
        <w:pStyle w:val="standard"/>
        <w:numPr>
          <w:ilvl w:val="0"/>
          <w:numId w:val="5"/>
        </w:numPr>
        <w:spacing w:after="120" w:line="240" w:lineRule="auto"/>
        <w:rPr>
          <w:rFonts w:ascii="Palatino Linotype" w:hAnsi="Palatino Linotype"/>
        </w:rPr>
      </w:pPr>
      <w:r w:rsidRPr="00511954">
        <w:rPr>
          <w:rFonts w:ascii="Palatino Linotype" w:hAnsi="Palatino Linotype"/>
        </w:rPr>
        <w:t xml:space="preserve">Pacific Gas and Electric Company, Southern California Edison, and San Diego Gas </w:t>
      </w:r>
      <w:r w:rsidRPr="00511954" w:rsidR="004873BD">
        <w:rPr>
          <w:rFonts w:ascii="Palatino Linotype" w:hAnsi="Palatino Linotype"/>
        </w:rPr>
        <w:t xml:space="preserve">&amp; </w:t>
      </w:r>
      <w:r w:rsidRPr="00511954">
        <w:rPr>
          <w:rFonts w:ascii="Palatino Linotype" w:hAnsi="Palatino Linotype"/>
        </w:rPr>
        <w:t xml:space="preserve">Electric Company </w:t>
      </w:r>
      <w:r w:rsidRPr="00511954" w:rsidR="00A17B2D">
        <w:rPr>
          <w:rFonts w:ascii="Palatino Linotype" w:hAnsi="Palatino Linotype"/>
        </w:rPr>
        <w:t xml:space="preserve">shall retain unspent </w:t>
      </w:r>
      <w:r w:rsidRPr="00511954" w:rsidR="000937A7">
        <w:rPr>
          <w:rFonts w:ascii="Palatino Linotype" w:hAnsi="Palatino Linotype"/>
        </w:rPr>
        <w:t xml:space="preserve">Disadvantaged Communities Green Tariff and Community Solar Green Tariff </w:t>
      </w:r>
      <w:r w:rsidRPr="00511954" w:rsidR="00A17B2D">
        <w:rPr>
          <w:rFonts w:ascii="Palatino Linotype" w:hAnsi="Palatino Linotype"/>
        </w:rPr>
        <w:t>program funding in their balancing accounts from one year until the next, subject to review</w:t>
      </w:r>
      <w:r w:rsidR="00DA1834">
        <w:rPr>
          <w:rFonts w:ascii="Palatino Linotype" w:hAnsi="Palatino Linotype"/>
        </w:rPr>
        <w:t xml:space="preserve"> in</w:t>
      </w:r>
      <w:r w:rsidRPr="00511954" w:rsidR="00A17B2D">
        <w:rPr>
          <w:rFonts w:ascii="Palatino Linotype" w:hAnsi="Palatino Linotype"/>
        </w:rPr>
        <w:t xml:space="preserve"> each </w:t>
      </w:r>
      <w:r w:rsidRPr="00511954" w:rsidR="002E1F1B">
        <w:rPr>
          <w:rFonts w:ascii="Palatino Linotype" w:hAnsi="Palatino Linotype"/>
        </w:rPr>
        <w:t xml:space="preserve">utility’s </w:t>
      </w:r>
      <w:r w:rsidRPr="00511954" w:rsidR="00A17B2D">
        <w:rPr>
          <w:rFonts w:ascii="Palatino Linotype" w:hAnsi="Palatino Linotype"/>
        </w:rPr>
        <w:t>annual Energy Resource Recovery Account (ERRA) proceeding.</w:t>
      </w:r>
    </w:p>
    <w:p w:rsidRPr="0010120C" w:rsidR="00A17B2D" w:rsidP="0010120C" w:rsidRDefault="00A17B2D" w14:paraId="674A86C4" w14:textId="25C7E332">
      <w:pPr>
        <w:numPr>
          <w:ilvl w:val="0"/>
          <w:numId w:val="5"/>
        </w:numPr>
        <w:spacing w:after="120"/>
        <w:jc w:val="both"/>
        <w:rPr>
          <w:rFonts w:ascii="Palatino Linotype" w:hAnsi="Palatino Linotype"/>
        </w:rPr>
      </w:pPr>
      <w:r w:rsidRPr="00511954">
        <w:rPr>
          <w:rFonts w:ascii="Palatino Linotype" w:hAnsi="Palatino Linotype"/>
        </w:rPr>
        <w:t xml:space="preserve">Every year </w:t>
      </w:r>
      <w:r w:rsidRPr="00511954" w:rsidR="00537E1E">
        <w:rPr>
          <w:rFonts w:ascii="Palatino Linotype" w:hAnsi="Palatino Linotype"/>
        </w:rPr>
        <w:t xml:space="preserve">Pacific Gas and Electric Company, Southern California Edison, and San Diego Gas </w:t>
      </w:r>
      <w:r w:rsidRPr="00511954" w:rsidR="004873BD">
        <w:rPr>
          <w:rFonts w:ascii="Palatino Linotype" w:hAnsi="Palatino Linotype"/>
        </w:rPr>
        <w:t xml:space="preserve">&amp; </w:t>
      </w:r>
      <w:r w:rsidRPr="00511954" w:rsidR="00537E1E">
        <w:rPr>
          <w:rFonts w:ascii="Palatino Linotype" w:hAnsi="Palatino Linotype"/>
        </w:rPr>
        <w:t xml:space="preserve">Electric Company </w:t>
      </w:r>
      <w:r w:rsidRPr="00511954">
        <w:rPr>
          <w:rFonts w:ascii="Palatino Linotype" w:hAnsi="Palatino Linotype"/>
        </w:rPr>
        <w:t>shall reconcile prior year budget estimates and expenditures in their annual budget advice letter filing</w:t>
      </w:r>
      <w:r w:rsidR="00DA1834">
        <w:rPr>
          <w:rFonts w:ascii="Palatino Linotype" w:hAnsi="Palatino Linotype"/>
        </w:rPr>
        <w:t>s</w:t>
      </w:r>
      <w:r w:rsidRPr="00511954">
        <w:rPr>
          <w:rFonts w:ascii="Palatino Linotype" w:hAnsi="Palatino Linotype"/>
        </w:rPr>
        <w:t xml:space="preserve"> for the next program year. </w:t>
      </w:r>
      <w:r w:rsidRPr="00FE2DE9" w:rsidR="00FE2DE9">
        <w:rPr>
          <w:rFonts w:ascii="Palatino Linotype" w:hAnsi="Palatino Linotype"/>
        </w:rPr>
        <w:t xml:space="preserve">For a given utility, any unspent balance from the prior year is to be applied to the requested program funding, thereby reducing the amount of </w:t>
      </w:r>
      <w:r w:rsidR="00DA1834">
        <w:rPr>
          <w:rFonts w:ascii="Palatino Linotype" w:hAnsi="Palatino Linotype"/>
        </w:rPr>
        <w:t>g</w:t>
      </w:r>
      <w:r w:rsidR="00FE2DE9">
        <w:rPr>
          <w:rFonts w:ascii="Palatino Linotype" w:hAnsi="Palatino Linotype"/>
        </w:rPr>
        <w:t>reen</w:t>
      </w:r>
      <w:r w:rsidR="00DA1834">
        <w:rPr>
          <w:rFonts w:ascii="Palatino Linotype" w:hAnsi="Palatino Linotype"/>
        </w:rPr>
        <w:t>ho</w:t>
      </w:r>
      <w:r w:rsidR="00FE2DE9">
        <w:rPr>
          <w:rFonts w:ascii="Palatino Linotype" w:hAnsi="Palatino Linotype"/>
        </w:rPr>
        <w:t xml:space="preserve">use </w:t>
      </w:r>
      <w:r w:rsidR="00DA1834">
        <w:rPr>
          <w:rFonts w:ascii="Palatino Linotype" w:hAnsi="Palatino Linotype"/>
        </w:rPr>
        <w:t>g</w:t>
      </w:r>
      <w:r w:rsidR="00FE2DE9">
        <w:rPr>
          <w:rFonts w:ascii="Palatino Linotype" w:hAnsi="Palatino Linotype"/>
        </w:rPr>
        <w:t>as (GHG)</w:t>
      </w:r>
      <w:r w:rsidRPr="00FE2DE9" w:rsidR="00FE2DE9">
        <w:rPr>
          <w:rFonts w:ascii="Palatino Linotype" w:hAnsi="Palatino Linotype"/>
        </w:rPr>
        <w:t xml:space="preserve"> allowance proceeds or public purpose program funds that may be set aside by that </w:t>
      </w:r>
      <w:r w:rsidR="00FE2DE9">
        <w:rPr>
          <w:rFonts w:ascii="Palatino Linotype" w:hAnsi="Palatino Linotype"/>
        </w:rPr>
        <w:t xml:space="preserve">utility </w:t>
      </w:r>
      <w:r w:rsidRPr="00FE2DE9" w:rsidR="00FE2DE9">
        <w:rPr>
          <w:rFonts w:ascii="Palatino Linotype" w:hAnsi="Palatino Linotype"/>
        </w:rPr>
        <w:t xml:space="preserve">in its next </w:t>
      </w:r>
      <w:r w:rsidRPr="00511954" w:rsidR="00FE2DE9">
        <w:rPr>
          <w:rFonts w:ascii="Palatino Linotype" w:hAnsi="Palatino Linotype"/>
        </w:rPr>
        <w:t xml:space="preserve">Energy Resource Recovery Account </w:t>
      </w:r>
      <w:r w:rsidR="00FE2DE9">
        <w:rPr>
          <w:rFonts w:ascii="Palatino Linotype" w:hAnsi="Palatino Linotype"/>
        </w:rPr>
        <w:t>(</w:t>
      </w:r>
      <w:r w:rsidRPr="00FE2DE9" w:rsidR="00FE2DE9">
        <w:rPr>
          <w:rFonts w:ascii="Palatino Linotype" w:hAnsi="Palatino Linotype"/>
        </w:rPr>
        <w:t>ERRA</w:t>
      </w:r>
      <w:r w:rsidR="00FE2DE9">
        <w:rPr>
          <w:rFonts w:ascii="Palatino Linotype" w:hAnsi="Palatino Linotype"/>
        </w:rPr>
        <w:t>)</w:t>
      </w:r>
      <w:r w:rsidRPr="00FE2DE9" w:rsidR="00FE2DE9">
        <w:rPr>
          <w:rFonts w:ascii="Palatino Linotype" w:hAnsi="Palatino Linotype"/>
        </w:rPr>
        <w:t xml:space="preserve"> Forecast</w:t>
      </w:r>
      <w:r w:rsidR="00FE2DE9">
        <w:rPr>
          <w:rFonts w:ascii="Palatino Linotype" w:hAnsi="Palatino Linotype"/>
        </w:rPr>
        <w:t xml:space="preserve">. </w:t>
      </w:r>
      <w:r w:rsidRPr="00511954">
        <w:rPr>
          <w:rFonts w:ascii="Palatino Linotype" w:hAnsi="Palatino Linotype"/>
        </w:rPr>
        <w:t xml:space="preserve">If a </w:t>
      </w:r>
      <w:r w:rsidRPr="00511954" w:rsidR="002E1F1B">
        <w:rPr>
          <w:rFonts w:ascii="Palatino Linotype" w:hAnsi="Palatino Linotype"/>
        </w:rPr>
        <w:t xml:space="preserve">utility’s </w:t>
      </w:r>
      <w:r w:rsidRPr="00511954">
        <w:rPr>
          <w:rFonts w:ascii="Palatino Linotype" w:hAnsi="Palatino Linotype"/>
        </w:rPr>
        <w:t xml:space="preserve">preceding </w:t>
      </w:r>
      <w:r w:rsidRPr="00511954" w:rsidR="00537E1E">
        <w:rPr>
          <w:rFonts w:ascii="Palatino Linotype" w:hAnsi="Palatino Linotype"/>
        </w:rPr>
        <w:t>ERRA</w:t>
      </w:r>
      <w:r w:rsidRPr="00511954">
        <w:rPr>
          <w:rFonts w:ascii="Palatino Linotype" w:hAnsi="Palatino Linotype"/>
        </w:rPr>
        <w:t xml:space="preserve"> Compliance proceeding is not yet decided at the time that </w:t>
      </w:r>
      <w:r w:rsidRPr="00511954" w:rsidR="002E1F1B">
        <w:rPr>
          <w:rFonts w:ascii="Palatino Linotype" w:hAnsi="Palatino Linotype"/>
        </w:rPr>
        <w:t xml:space="preserve">its </w:t>
      </w:r>
      <w:r w:rsidRPr="00511954">
        <w:rPr>
          <w:rFonts w:ascii="Palatino Linotype" w:hAnsi="Palatino Linotype"/>
        </w:rPr>
        <w:t xml:space="preserve">next ERRA Forecast application is filed, </w:t>
      </w:r>
      <w:r w:rsidRPr="00511954" w:rsidR="002E1F1B">
        <w:rPr>
          <w:rFonts w:ascii="Palatino Linotype" w:hAnsi="Palatino Linotype"/>
        </w:rPr>
        <w:t xml:space="preserve">it </w:t>
      </w:r>
      <w:r w:rsidRPr="00511954">
        <w:rPr>
          <w:rFonts w:ascii="Palatino Linotype" w:hAnsi="Palatino Linotype"/>
        </w:rPr>
        <w:t xml:space="preserve">shall use its </w:t>
      </w:r>
      <w:r w:rsidRPr="00511954" w:rsidR="000937A7">
        <w:rPr>
          <w:rFonts w:ascii="Palatino Linotype" w:hAnsi="Palatino Linotype"/>
        </w:rPr>
        <w:t>Disadvantaged Communities Green Tariff (DAC-GT) and Community Solar Green Tariff (</w:t>
      </w:r>
      <w:r w:rsidRPr="00511954">
        <w:rPr>
          <w:rFonts w:ascii="Palatino Linotype" w:hAnsi="Palatino Linotype"/>
        </w:rPr>
        <w:t>CSGT</w:t>
      </w:r>
      <w:r w:rsidRPr="00511954" w:rsidR="000937A7">
        <w:rPr>
          <w:rFonts w:ascii="Palatino Linotype" w:hAnsi="Palatino Linotype"/>
        </w:rPr>
        <w:t>)</w:t>
      </w:r>
      <w:r w:rsidRPr="00511954">
        <w:rPr>
          <w:rFonts w:ascii="Palatino Linotype" w:hAnsi="Palatino Linotype"/>
        </w:rPr>
        <w:t xml:space="preserve"> program budget estimates</w:t>
      </w:r>
      <w:r w:rsidR="00C4025F">
        <w:rPr>
          <w:rFonts w:ascii="Palatino Linotype" w:hAnsi="Palatino Linotype"/>
        </w:rPr>
        <w:t xml:space="preserve"> for the next program year</w:t>
      </w:r>
      <w:r w:rsidRPr="00511954">
        <w:rPr>
          <w:rFonts w:ascii="Palatino Linotype" w:hAnsi="Palatino Linotype"/>
        </w:rPr>
        <w:t xml:space="preserve">, </w:t>
      </w:r>
      <w:r w:rsidR="00FE2DE9">
        <w:rPr>
          <w:rFonts w:ascii="Palatino Linotype" w:hAnsi="Palatino Linotype"/>
        </w:rPr>
        <w:t>reduced by any balance remaining in its balancing account after accounting</w:t>
      </w:r>
      <w:r w:rsidR="004E474B">
        <w:rPr>
          <w:rFonts w:ascii="Palatino Linotype" w:hAnsi="Palatino Linotype"/>
        </w:rPr>
        <w:t xml:space="preserve"> for</w:t>
      </w:r>
      <w:r w:rsidRPr="00511954" w:rsidR="00537E1E">
        <w:rPr>
          <w:rFonts w:ascii="Palatino Linotype" w:hAnsi="Palatino Linotype"/>
        </w:rPr>
        <w:t xml:space="preserve"> prior year expenditures</w:t>
      </w:r>
      <w:r w:rsidRPr="00511954">
        <w:rPr>
          <w:rFonts w:ascii="Palatino Linotype" w:hAnsi="Palatino Linotype"/>
        </w:rPr>
        <w:t xml:space="preserve">, in its ERRA Forecast. If a </w:t>
      </w:r>
      <w:r w:rsidRPr="00511954" w:rsidR="002E1F1B">
        <w:rPr>
          <w:rFonts w:ascii="Palatino Linotype" w:hAnsi="Palatino Linotype"/>
        </w:rPr>
        <w:t xml:space="preserve">utility </w:t>
      </w:r>
      <w:r w:rsidRPr="00511954">
        <w:rPr>
          <w:rFonts w:ascii="Palatino Linotype" w:hAnsi="Palatino Linotype"/>
        </w:rPr>
        <w:t xml:space="preserve">proceeds in this manner, it must submit </w:t>
      </w:r>
      <w:r w:rsidR="00FE2DE9">
        <w:rPr>
          <w:rFonts w:ascii="Palatino Linotype" w:hAnsi="Palatino Linotype"/>
        </w:rPr>
        <w:t>a revision to the amount of GHG allowance proceeds and public purpose program funds to be set aside for DAC-GT and CSGT</w:t>
      </w:r>
      <w:r w:rsidRPr="00511954">
        <w:rPr>
          <w:rFonts w:ascii="Palatino Linotype" w:hAnsi="Palatino Linotype"/>
        </w:rPr>
        <w:t xml:space="preserve"> no later than the November</w:t>
      </w:r>
      <w:r w:rsidRPr="00511954" w:rsidR="00537E1E">
        <w:rPr>
          <w:rFonts w:ascii="Palatino Linotype" w:hAnsi="Palatino Linotype"/>
        </w:rPr>
        <w:t xml:space="preserve"> ERRA Forecast</w:t>
      </w:r>
      <w:r w:rsidRPr="00511954">
        <w:rPr>
          <w:rFonts w:ascii="Palatino Linotype" w:hAnsi="Palatino Linotype"/>
        </w:rPr>
        <w:t xml:space="preserve"> update based on the eventual </w:t>
      </w:r>
      <w:r w:rsidRPr="00511954" w:rsidR="00537E1E">
        <w:rPr>
          <w:rFonts w:ascii="Palatino Linotype" w:hAnsi="Palatino Linotype"/>
        </w:rPr>
        <w:t xml:space="preserve">ERRA </w:t>
      </w:r>
      <w:r w:rsidRPr="00511954">
        <w:rPr>
          <w:rFonts w:ascii="Palatino Linotype" w:hAnsi="Palatino Linotype"/>
        </w:rPr>
        <w:t xml:space="preserve">Compliance Decision that determines prior year DAC-GT and CSGT program expenditures. </w:t>
      </w:r>
    </w:p>
    <w:p w:rsidRPr="00511954" w:rsidR="0097118C" w:rsidP="00997B00" w:rsidRDefault="004873BD" w14:paraId="1F3A3011" w14:textId="583D4098">
      <w:pPr>
        <w:pStyle w:val="BodyText"/>
        <w:numPr>
          <w:ilvl w:val="0"/>
          <w:numId w:val="5"/>
        </w:numPr>
        <w:spacing w:after="120"/>
        <w:rPr>
          <w:rFonts w:ascii="Palatino Linotype" w:hAnsi="Palatino Linotype"/>
          <w:b w:val="0"/>
        </w:rPr>
      </w:pPr>
      <w:r w:rsidRPr="00511954">
        <w:rPr>
          <w:rFonts w:ascii="Palatino Linotype" w:hAnsi="Palatino Linotype"/>
          <w:b w:val="0"/>
        </w:rPr>
        <w:t>Pacific Gas and Electric Company</w:t>
      </w:r>
      <w:r w:rsidRPr="00511954" w:rsidR="00997B00">
        <w:rPr>
          <w:rFonts w:ascii="Palatino Linotype" w:hAnsi="Palatino Linotype"/>
          <w:b w:val="0"/>
        </w:rPr>
        <w:t xml:space="preserve"> (PG&amp;E)</w:t>
      </w:r>
      <w:r w:rsidRPr="00511954">
        <w:rPr>
          <w:rFonts w:ascii="Palatino Linotype" w:hAnsi="Palatino Linotype"/>
          <w:b w:val="0"/>
        </w:rPr>
        <w:t>, Southern California Edison</w:t>
      </w:r>
      <w:r w:rsidRPr="00511954" w:rsidR="00997B00">
        <w:rPr>
          <w:rFonts w:ascii="Palatino Linotype" w:hAnsi="Palatino Linotype"/>
          <w:b w:val="0"/>
        </w:rPr>
        <w:t xml:space="preserve"> (SCE)</w:t>
      </w:r>
      <w:r w:rsidRPr="00511954">
        <w:rPr>
          <w:rFonts w:ascii="Palatino Linotype" w:hAnsi="Palatino Linotype"/>
          <w:b w:val="0"/>
        </w:rPr>
        <w:t xml:space="preserve">, and San Diego Gas &amp; Electric Company </w:t>
      </w:r>
      <w:r w:rsidRPr="00511954" w:rsidR="00997B00">
        <w:rPr>
          <w:rFonts w:ascii="Palatino Linotype" w:hAnsi="Palatino Linotype"/>
          <w:b w:val="0"/>
        </w:rPr>
        <w:t xml:space="preserve">(SDG&amp;E) </w:t>
      </w:r>
      <w:r w:rsidRPr="00511954" w:rsidR="00A17B2D">
        <w:rPr>
          <w:rFonts w:ascii="Palatino Linotype" w:hAnsi="Palatino Linotype"/>
          <w:b w:val="0"/>
        </w:rPr>
        <w:t>shall submit updated program budget estimates for the Disadvantaged Communities Green Tariff (DAC</w:t>
      </w:r>
      <w:r w:rsidRPr="00511954">
        <w:rPr>
          <w:rFonts w:ascii="Palatino Linotype" w:hAnsi="Palatino Linotype"/>
          <w:b w:val="0"/>
        </w:rPr>
        <w:t>-</w:t>
      </w:r>
      <w:r w:rsidRPr="00511954" w:rsidR="00A17B2D">
        <w:rPr>
          <w:rFonts w:ascii="Palatino Linotype" w:hAnsi="Palatino Linotype"/>
          <w:b w:val="0"/>
        </w:rPr>
        <w:t>GT) and Community Solar Green Tariff (CSGT) programs via Tier 2 DAC</w:t>
      </w:r>
      <w:r w:rsidRPr="00511954">
        <w:rPr>
          <w:rFonts w:ascii="Palatino Linotype" w:hAnsi="Palatino Linotype"/>
          <w:b w:val="0"/>
        </w:rPr>
        <w:t>-</w:t>
      </w:r>
      <w:r w:rsidRPr="00511954" w:rsidR="00A17B2D">
        <w:rPr>
          <w:rFonts w:ascii="Palatino Linotype" w:hAnsi="Palatino Linotype"/>
          <w:b w:val="0"/>
        </w:rPr>
        <w:t xml:space="preserve">GT and CSGT Program Budget Advice Letters within </w:t>
      </w:r>
      <w:r w:rsidRPr="00511954" w:rsidR="00D5725C">
        <w:rPr>
          <w:rFonts w:ascii="Palatino Linotype" w:hAnsi="Palatino Linotype"/>
          <w:b w:val="0"/>
        </w:rPr>
        <w:t>6</w:t>
      </w:r>
      <w:r w:rsidRPr="00511954" w:rsidR="00A17B2D">
        <w:rPr>
          <w:rFonts w:ascii="Palatino Linotype" w:hAnsi="Palatino Linotype"/>
          <w:b w:val="0"/>
        </w:rPr>
        <w:t xml:space="preserve">0 days of issuance of this Resolution. These program budgets must cover </w:t>
      </w:r>
      <w:r w:rsidRPr="00511954">
        <w:rPr>
          <w:rFonts w:ascii="Palatino Linotype" w:hAnsi="Palatino Linotype"/>
          <w:b w:val="0"/>
        </w:rPr>
        <w:t xml:space="preserve">programmatic </w:t>
      </w:r>
      <w:r w:rsidRPr="00511954" w:rsidR="00A17B2D">
        <w:rPr>
          <w:rFonts w:ascii="Palatino Linotype" w:hAnsi="Palatino Linotype"/>
          <w:b w:val="0"/>
        </w:rPr>
        <w:t xml:space="preserve">costs </w:t>
      </w:r>
      <w:r w:rsidRPr="00511954">
        <w:rPr>
          <w:rFonts w:ascii="Palatino Linotype" w:hAnsi="Palatino Linotype"/>
          <w:b w:val="0"/>
        </w:rPr>
        <w:t xml:space="preserve">for 2019 and 2020 </w:t>
      </w:r>
      <w:r w:rsidRPr="00511954" w:rsidR="00A17B2D">
        <w:rPr>
          <w:rFonts w:ascii="Palatino Linotype" w:hAnsi="Palatino Linotype"/>
          <w:b w:val="0"/>
        </w:rPr>
        <w:t xml:space="preserve">and must reflect all changes required to be made to </w:t>
      </w:r>
      <w:r w:rsidRPr="00511954" w:rsidR="00D5725C">
        <w:rPr>
          <w:rFonts w:ascii="Palatino Linotype" w:hAnsi="Palatino Linotype"/>
          <w:b w:val="0"/>
        </w:rPr>
        <w:t xml:space="preserve">each utility’s </w:t>
      </w:r>
      <w:r w:rsidRPr="00511954" w:rsidR="00A17B2D">
        <w:rPr>
          <w:rFonts w:ascii="Palatino Linotype" w:hAnsi="Palatino Linotype"/>
          <w:b w:val="0"/>
        </w:rPr>
        <w:t xml:space="preserve">program implementation plans in this Resolution. </w:t>
      </w:r>
      <w:r w:rsidRPr="00511954">
        <w:rPr>
          <w:rFonts w:ascii="Palatino Linotype" w:hAnsi="Palatino Linotype"/>
          <w:b w:val="0"/>
        </w:rPr>
        <w:t xml:space="preserve">The revised budgets must include funding for the independent evaluator </w:t>
      </w:r>
      <w:r w:rsidRPr="00511954" w:rsidR="00C32EC1">
        <w:rPr>
          <w:rFonts w:ascii="Palatino Linotype" w:hAnsi="Palatino Linotype"/>
          <w:b w:val="0"/>
        </w:rPr>
        <w:t xml:space="preserve">for 2019-2020 </w:t>
      </w:r>
      <w:r w:rsidRPr="00511954">
        <w:rPr>
          <w:rFonts w:ascii="Palatino Linotype" w:hAnsi="Palatino Linotype"/>
          <w:b w:val="0"/>
        </w:rPr>
        <w:t>as specified in this Resolution ($176,000 each for PG&amp;E and</w:t>
      </w:r>
      <w:r w:rsidRPr="00511954" w:rsidR="00086CC2">
        <w:rPr>
          <w:rFonts w:ascii="Palatino Linotype" w:hAnsi="Palatino Linotype"/>
          <w:b w:val="0"/>
        </w:rPr>
        <w:t xml:space="preserve"> SCE and</w:t>
      </w:r>
      <w:r w:rsidRPr="00511954">
        <w:rPr>
          <w:rFonts w:ascii="Palatino Linotype" w:hAnsi="Palatino Linotype"/>
          <w:b w:val="0"/>
        </w:rPr>
        <w:t xml:space="preserve"> $48,000 for SDG&amp;E).</w:t>
      </w:r>
      <w:r w:rsidRPr="00511954" w:rsidR="00D5725C">
        <w:rPr>
          <w:rFonts w:ascii="Palatino Linotype" w:hAnsi="Palatino Linotype"/>
          <w:b w:val="0"/>
        </w:rPr>
        <w:t xml:space="preserve"> </w:t>
      </w:r>
      <w:r w:rsidRPr="00511954" w:rsidR="00A17B2D">
        <w:rPr>
          <w:rFonts w:ascii="Palatino Linotype" w:hAnsi="Palatino Linotype"/>
          <w:b w:val="0"/>
        </w:rPr>
        <w:t xml:space="preserve">In addition, the revised budgets must reflect any </w:t>
      </w:r>
      <w:r w:rsidRPr="00511954" w:rsidR="00D5725C">
        <w:rPr>
          <w:rFonts w:ascii="Palatino Linotype" w:hAnsi="Palatino Linotype"/>
          <w:b w:val="0"/>
        </w:rPr>
        <w:t>greenhouse gas (</w:t>
      </w:r>
      <w:r w:rsidRPr="00511954" w:rsidR="00A17B2D">
        <w:rPr>
          <w:rFonts w:ascii="Palatino Linotype" w:hAnsi="Palatino Linotype"/>
          <w:b w:val="0"/>
        </w:rPr>
        <w:t>GHG</w:t>
      </w:r>
      <w:r w:rsidRPr="00511954" w:rsidR="00D5725C">
        <w:rPr>
          <w:rFonts w:ascii="Palatino Linotype" w:hAnsi="Palatino Linotype"/>
          <w:b w:val="0"/>
        </w:rPr>
        <w:t>)</w:t>
      </w:r>
      <w:r w:rsidRPr="00511954" w:rsidR="00A17B2D">
        <w:rPr>
          <w:rFonts w:ascii="Palatino Linotype" w:hAnsi="Palatino Linotype"/>
          <w:b w:val="0"/>
        </w:rPr>
        <w:t xml:space="preserve"> revenue approved to be set aside by each </w:t>
      </w:r>
      <w:r w:rsidRPr="00511954" w:rsidR="00D5725C">
        <w:rPr>
          <w:rFonts w:ascii="Palatino Linotype" w:hAnsi="Palatino Linotype"/>
          <w:b w:val="0"/>
        </w:rPr>
        <w:t xml:space="preserve">utility </w:t>
      </w:r>
      <w:r w:rsidRPr="00511954" w:rsidR="00A17B2D">
        <w:rPr>
          <w:rFonts w:ascii="Palatino Linotype" w:hAnsi="Palatino Linotype"/>
          <w:b w:val="0"/>
        </w:rPr>
        <w:t xml:space="preserve">for DAC-GT and CSGT in its 2019 </w:t>
      </w:r>
      <w:r w:rsidRPr="00511954">
        <w:rPr>
          <w:rFonts w:ascii="Palatino Linotype" w:hAnsi="Palatino Linotype"/>
          <w:b w:val="0"/>
        </w:rPr>
        <w:t>Energy Resource Recovery Account (ERRA)</w:t>
      </w:r>
      <w:r w:rsidRPr="00511954" w:rsidDel="004873BD">
        <w:rPr>
          <w:rFonts w:ascii="Palatino Linotype" w:hAnsi="Palatino Linotype"/>
          <w:b w:val="0"/>
        </w:rPr>
        <w:t xml:space="preserve"> </w:t>
      </w:r>
      <w:r w:rsidRPr="00511954" w:rsidR="00A17B2D">
        <w:rPr>
          <w:rFonts w:ascii="Palatino Linotype" w:hAnsi="Palatino Linotype"/>
          <w:b w:val="0"/>
        </w:rPr>
        <w:t>Forecast Decision.</w:t>
      </w:r>
      <w:r w:rsidRPr="00511954" w:rsidR="0097118C">
        <w:rPr>
          <w:rFonts w:ascii="Palatino Linotype" w:hAnsi="Palatino Linotype"/>
          <w:b w:val="0"/>
        </w:rPr>
        <w:t xml:space="preserve"> Since </w:t>
      </w:r>
      <w:r w:rsidRPr="00511954" w:rsidR="00997B00">
        <w:rPr>
          <w:rFonts w:ascii="Palatino Linotype" w:hAnsi="Palatino Linotype"/>
          <w:b w:val="0"/>
        </w:rPr>
        <w:t xml:space="preserve">each utility’s </w:t>
      </w:r>
      <w:r w:rsidRPr="00511954" w:rsidR="0097118C">
        <w:rPr>
          <w:rFonts w:ascii="Palatino Linotype" w:hAnsi="Palatino Linotype"/>
          <w:b w:val="0"/>
        </w:rPr>
        <w:t>revised program budget</w:t>
      </w:r>
      <w:r w:rsidRPr="00511954" w:rsidR="00997B00">
        <w:rPr>
          <w:rFonts w:ascii="Palatino Linotype" w:hAnsi="Palatino Linotype"/>
          <w:b w:val="0"/>
        </w:rPr>
        <w:t>s</w:t>
      </w:r>
      <w:r w:rsidRPr="00511954" w:rsidR="0097118C">
        <w:rPr>
          <w:rFonts w:ascii="Palatino Linotype" w:hAnsi="Palatino Linotype"/>
          <w:b w:val="0"/>
        </w:rPr>
        <w:t xml:space="preserve"> will not have been submitted prior to when </w:t>
      </w:r>
      <w:r w:rsidRPr="00511954" w:rsidR="00997B00">
        <w:rPr>
          <w:rFonts w:ascii="Palatino Linotype" w:hAnsi="Palatino Linotype"/>
          <w:b w:val="0"/>
        </w:rPr>
        <w:t>it</w:t>
      </w:r>
      <w:r w:rsidRPr="00511954" w:rsidR="0097118C">
        <w:rPr>
          <w:rFonts w:ascii="Palatino Linotype" w:hAnsi="Palatino Linotype"/>
          <w:b w:val="0"/>
        </w:rPr>
        <w:t xml:space="preserve"> must submit </w:t>
      </w:r>
      <w:r w:rsidRPr="00511954" w:rsidR="00997B00">
        <w:rPr>
          <w:rFonts w:ascii="Palatino Linotype" w:hAnsi="Palatino Linotype"/>
          <w:b w:val="0"/>
        </w:rPr>
        <w:t>its</w:t>
      </w:r>
      <w:r w:rsidRPr="00511954" w:rsidR="0097118C">
        <w:rPr>
          <w:rFonts w:ascii="Palatino Linotype" w:hAnsi="Palatino Linotype"/>
          <w:b w:val="0"/>
        </w:rPr>
        <w:t xml:space="preserve"> 2020 ERRA Forecast filing, </w:t>
      </w:r>
      <w:r w:rsidRPr="00511954" w:rsidR="00997B00">
        <w:rPr>
          <w:rFonts w:ascii="Palatino Linotype" w:hAnsi="Palatino Linotype"/>
          <w:b w:val="0"/>
        </w:rPr>
        <w:t xml:space="preserve">each utility </w:t>
      </w:r>
      <w:r w:rsidRPr="00511954" w:rsidR="008C4B7B">
        <w:rPr>
          <w:rFonts w:ascii="Palatino Linotype" w:hAnsi="Palatino Linotype"/>
          <w:b w:val="0"/>
        </w:rPr>
        <w:t>should</w:t>
      </w:r>
      <w:r w:rsidRPr="00511954" w:rsidR="00997B00">
        <w:rPr>
          <w:rFonts w:ascii="Palatino Linotype" w:hAnsi="Palatino Linotype"/>
          <w:b w:val="0"/>
        </w:rPr>
        <w:t xml:space="preserve"> </w:t>
      </w:r>
      <w:r w:rsidRPr="00511954" w:rsidR="0097118C">
        <w:rPr>
          <w:rFonts w:ascii="Palatino Linotype" w:hAnsi="Palatino Linotype"/>
          <w:b w:val="0"/>
        </w:rPr>
        <w:t xml:space="preserve">set aside the 2019-2020 program funding requested in </w:t>
      </w:r>
      <w:r w:rsidRPr="00511954" w:rsidR="00997B00">
        <w:rPr>
          <w:rFonts w:ascii="Palatino Linotype" w:hAnsi="Palatino Linotype"/>
          <w:b w:val="0"/>
        </w:rPr>
        <w:t>its</w:t>
      </w:r>
      <w:r w:rsidRPr="00511954" w:rsidR="0097118C">
        <w:rPr>
          <w:rFonts w:ascii="Palatino Linotype" w:hAnsi="Palatino Linotype"/>
          <w:b w:val="0"/>
        </w:rPr>
        <w:t xml:space="preserve"> implementation AL, adjusted by </w:t>
      </w:r>
      <w:r w:rsidRPr="00511954" w:rsidR="00997B00">
        <w:rPr>
          <w:rFonts w:ascii="Palatino Linotype" w:hAnsi="Palatino Linotype"/>
          <w:b w:val="0"/>
        </w:rPr>
        <w:t>the</w:t>
      </w:r>
      <w:r w:rsidRPr="00511954" w:rsidR="0097118C">
        <w:rPr>
          <w:rFonts w:ascii="Palatino Linotype" w:hAnsi="Palatino Linotype"/>
          <w:b w:val="0"/>
        </w:rPr>
        <w:t xml:space="preserve"> 2019 GHG allowance revenue</w:t>
      </w:r>
      <w:r w:rsidRPr="00511954" w:rsidR="00997B00">
        <w:rPr>
          <w:rFonts w:ascii="Palatino Linotype" w:hAnsi="Palatino Linotype"/>
          <w:b w:val="0"/>
        </w:rPr>
        <w:t xml:space="preserve"> approved for that utility’s DAC-GT and CSGT programs</w:t>
      </w:r>
      <w:r w:rsidRPr="00511954" w:rsidR="0097118C">
        <w:rPr>
          <w:rFonts w:ascii="Palatino Linotype" w:hAnsi="Palatino Linotype"/>
          <w:b w:val="0"/>
        </w:rPr>
        <w:t xml:space="preserve">. </w:t>
      </w:r>
      <w:r w:rsidRPr="00511954" w:rsidR="00997B00">
        <w:rPr>
          <w:rFonts w:ascii="Palatino Linotype" w:hAnsi="Palatino Linotype"/>
          <w:b w:val="0"/>
        </w:rPr>
        <w:t>PG&amp;E, SCE, and SDG&amp;E</w:t>
      </w:r>
      <w:r w:rsidRPr="00511954" w:rsidR="0097118C">
        <w:rPr>
          <w:rFonts w:ascii="Palatino Linotype" w:hAnsi="Palatino Linotype"/>
          <w:b w:val="0"/>
        </w:rPr>
        <w:t xml:space="preserve"> must submit a revision to their ERRA forecast filing</w:t>
      </w:r>
      <w:r w:rsidRPr="00511954" w:rsidR="00997B00">
        <w:rPr>
          <w:rFonts w:ascii="Palatino Linotype" w:hAnsi="Palatino Linotype"/>
          <w:b w:val="0"/>
        </w:rPr>
        <w:t>s</w:t>
      </w:r>
      <w:r w:rsidRPr="00511954" w:rsidR="0097118C">
        <w:rPr>
          <w:rFonts w:ascii="Palatino Linotype" w:hAnsi="Palatino Linotype"/>
          <w:b w:val="0"/>
        </w:rPr>
        <w:t xml:space="preserve"> no later than the November Update once updated 2019-2020 program budget amount</w:t>
      </w:r>
      <w:r w:rsidR="00DA1834">
        <w:rPr>
          <w:rFonts w:ascii="Palatino Linotype" w:hAnsi="Palatino Linotype"/>
          <w:b w:val="0"/>
        </w:rPr>
        <w:t>s</w:t>
      </w:r>
      <w:r w:rsidRPr="00511954" w:rsidR="0097118C">
        <w:rPr>
          <w:rFonts w:ascii="Palatino Linotype" w:hAnsi="Palatino Linotype"/>
          <w:b w:val="0"/>
        </w:rPr>
        <w:t xml:space="preserve"> </w:t>
      </w:r>
      <w:r w:rsidR="00DA1834">
        <w:rPr>
          <w:rFonts w:ascii="Palatino Linotype" w:hAnsi="Palatino Linotype"/>
          <w:b w:val="0"/>
        </w:rPr>
        <w:t>are</w:t>
      </w:r>
      <w:r w:rsidRPr="00511954" w:rsidR="0097118C">
        <w:rPr>
          <w:rFonts w:ascii="Palatino Linotype" w:hAnsi="Palatino Linotype"/>
          <w:b w:val="0"/>
        </w:rPr>
        <w:t xml:space="preserve"> approved by the Energy Division. </w:t>
      </w:r>
    </w:p>
    <w:p w:rsidRPr="00511954" w:rsidR="00A17B2D" w:rsidP="00A17B2D" w:rsidRDefault="004873BD" w14:paraId="58436C09" w14:textId="06C457FB">
      <w:pPr>
        <w:pStyle w:val="BodyText"/>
        <w:numPr>
          <w:ilvl w:val="0"/>
          <w:numId w:val="5"/>
        </w:numPr>
        <w:spacing w:after="120"/>
        <w:rPr>
          <w:rFonts w:ascii="Palatino Linotype" w:hAnsi="Palatino Linotype"/>
          <w:b w:val="0"/>
        </w:rPr>
      </w:pPr>
      <w:r w:rsidRPr="00511954">
        <w:rPr>
          <w:rFonts w:ascii="Palatino Linotype" w:hAnsi="Palatino Linotype"/>
          <w:b w:val="0"/>
        </w:rPr>
        <w:t>Pacific Gas and Electric Company, Southern California Edison, and San Diego Gas &amp; Electric Company</w:t>
      </w:r>
      <w:r w:rsidRPr="00511954">
        <w:rPr>
          <w:rFonts w:ascii="Palatino Linotype" w:hAnsi="Palatino Linotype"/>
        </w:rPr>
        <w:t xml:space="preserve"> </w:t>
      </w:r>
      <w:r w:rsidRPr="00511954" w:rsidR="00A17B2D">
        <w:rPr>
          <w:rFonts w:ascii="Palatino Linotype" w:hAnsi="Palatino Linotype"/>
          <w:b w:val="0"/>
        </w:rPr>
        <w:t>shall submit</w:t>
      </w:r>
      <w:r w:rsidRPr="00511954" w:rsidR="00D5725C">
        <w:rPr>
          <w:rFonts w:ascii="Palatino Linotype" w:hAnsi="Palatino Linotype"/>
          <w:b w:val="0"/>
        </w:rPr>
        <w:t>,</w:t>
      </w:r>
      <w:r w:rsidRPr="00511954" w:rsidR="00A17B2D">
        <w:rPr>
          <w:rFonts w:ascii="Palatino Linotype" w:hAnsi="Palatino Linotype"/>
          <w:b w:val="0"/>
        </w:rPr>
        <w:t xml:space="preserve"> within </w:t>
      </w:r>
      <w:r w:rsidRPr="00511954" w:rsidR="00D5725C">
        <w:rPr>
          <w:rFonts w:ascii="Palatino Linotype" w:hAnsi="Palatino Linotype"/>
          <w:b w:val="0"/>
        </w:rPr>
        <w:t>6</w:t>
      </w:r>
      <w:r w:rsidRPr="00511954" w:rsidR="00A17B2D">
        <w:rPr>
          <w:rFonts w:ascii="Palatino Linotype" w:hAnsi="Palatino Linotype"/>
          <w:b w:val="0"/>
        </w:rPr>
        <w:t>0 days of issuance of this Resolution</w:t>
      </w:r>
      <w:r w:rsidRPr="00511954" w:rsidR="00D5725C">
        <w:rPr>
          <w:rFonts w:ascii="Palatino Linotype" w:hAnsi="Palatino Linotype"/>
          <w:b w:val="0"/>
        </w:rPr>
        <w:t>,</w:t>
      </w:r>
      <w:r w:rsidRPr="00511954" w:rsidR="00A17B2D">
        <w:rPr>
          <w:rFonts w:ascii="Palatino Linotype" w:hAnsi="Palatino Linotype"/>
          <w:b w:val="0"/>
        </w:rPr>
        <w:t xml:space="preserve"> their 2019-2020 Marketing Education and Outreach (ME&amp;O) plans</w:t>
      </w:r>
      <w:r w:rsidRPr="00511954" w:rsidR="00D5725C">
        <w:rPr>
          <w:rFonts w:ascii="Palatino Linotype" w:hAnsi="Palatino Linotype"/>
          <w:b w:val="0"/>
        </w:rPr>
        <w:t>, as part of their Tier 2 Advice Letter submitting updated budgets</w:t>
      </w:r>
      <w:r w:rsidRPr="00511954" w:rsidR="00A17B2D">
        <w:rPr>
          <w:rFonts w:ascii="Palatino Linotype" w:hAnsi="Palatino Linotype"/>
          <w:b w:val="0"/>
        </w:rPr>
        <w:t xml:space="preserve">. Each IOU’s ME&amp;O plan should include separate sections on the </w:t>
      </w:r>
      <w:r w:rsidRPr="00511954">
        <w:rPr>
          <w:rFonts w:ascii="Palatino Linotype" w:hAnsi="Palatino Linotype"/>
          <w:b w:val="0"/>
        </w:rPr>
        <w:t>Disadvantaged Communit</w:t>
      </w:r>
      <w:r w:rsidRPr="00511954" w:rsidR="00317196">
        <w:rPr>
          <w:rFonts w:ascii="Palatino Linotype" w:hAnsi="Palatino Linotype"/>
          <w:b w:val="0"/>
        </w:rPr>
        <w:t>ies</w:t>
      </w:r>
      <w:r w:rsidRPr="00511954">
        <w:rPr>
          <w:rFonts w:ascii="Palatino Linotype" w:hAnsi="Palatino Linotype"/>
          <w:b w:val="0"/>
        </w:rPr>
        <w:t xml:space="preserve"> Green Tariff and Community Solar Green Tariff </w:t>
      </w:r>
      <w:r w:rsidRPr="00511954" w:rsidR="00A17B2D">
        <w:rPr>
          <w:rFonts w:ascii="Palatino Linotype" w:hAnsi="Palatino Linotype"/>
          <w:b w:val="0"/>
        </w:rPr>
        <w:t xml:space="preserve">programs and discuss specific timelines and methods for customer outreach, including coordination with </w:t>
      </w:r>
      <w:r w:rsidRPr="00511954">
        <w:rPr>
          <w:rFonts w:ascii="Palatino Linotype" w:hAnsi="Palatino Linotype"/>
          <w:b w:val="0"/>
        </w:rPr>
        <w:t>community-based organization</w:t>
      </w:r>
      <w:r w:rsidRPr="00511954" w:rsidR="00A17B2D">
        <w:rPr>
          <w:rFonts w:ascii="Palatino Linotype" w:hAnsi="Palatino Linotype"/>
          <w:b w:val="0"/>
        </w:rPr>
        <w:t>s and community sponsors.</w:t>
      </w:r>
    </w:p>
    <w:p w:rsidRPr="00511954" w:rsidR="00A17B2D" w:rsidP="00A17B2D" w:rsidRDefault="00A17B2D" w14:paraId="338E2A4D" w14:textId="6DF8E3B3">
      <w:pPr>
        <w:pStyle w:val="BodyText"/>
        <w:numPr>
          <w:ilvl w:val="0"/>
          <w:numId w:val="5"/>
        </w:numPr>
        <w:spacing w:after="120"/>
        <w:rPr>
          <w:rFonts w:ascii="Palatino Linotype" w:hAnsi="Palatino Linotype"/>
          <w:b w:val="0"/>
        </w:rPr>
      </w:pPr>
      <w:r w:rsidRPr="00511954">
        <w:rPr>
          <w:rFonts w:ascii="Palatino Linotype" w:hAnsi="Palatino Linotype"/>
          <w:b w:val="0"/>
        </w:rPr>
        <w:t xml:space="preserve">Starting with the 2021 </w:t>
      </w:r>
      <w:r w:rsidRPr="00511954" w:rsidR="00C32EC1">
        <w:rPr>
          <w:rFonts w:ascii="Palatino Linotype" w:hAnsi="Palatino Linotype"/>
          <w:b w:val="0"/>
        </w:rPr>
        <w:t>Energy Resource Recovery Account</w:t>
      </w:r>
      <w:r w:rsidRPr="00511954" w:rsidR="00C32EC1">
        <w:rPr>
          <w:rFonts w:ascii="Palatino Linotype" w:hAnsi="Palatino Linotype"/>
        </w:rPr>
        <w:t xml:space="preserve"> </w:t>
      </w:r>
      <w:r w:rsidRPr="00511954" w:rsidR="00C32EC1">
        <w:rPr>
          <w:rFonts w:ascii="Palatino Linotype" w:hAnsi="Palatino Linotype"/>
          <w:b w:val="0"/>
        </w:rPr>
        <w:t>(</w:t>
      </w:r>
      <w:r w:rsidRPr="00511954">
        <w:rPr>
          <w:rFonts w:ascii="Palatino Linotype" w:hAnsi="Palatino Linotype"/>
          <w:b w:val="0"/>
        </w:rPr>
        <w:t>ERRA</w:t>
      </w:r>
      <w:r w:rsidRPr="00511954" w:rsidR="00C32EC1">
        <w:rPr>
          <w:rFonts w:ascii="Palatino Linotype" w:hAnsi="Palatino Linotype"/>
          <w:b w:val="0"/>
        </w:rPr>
        <w:t xml:space="preserve">) </w:t>
      </w:r>
      <w:r w:rsidRPr="00511954">
        <w:rPr>
          <w:rFonts w:ascii="Palatino Linotype" w:hAnsi="Palatino Linotype"/>
          <w:b w:val="0"/>
        </w:rPr>
        <w:t xml:space="preserve">Forecast </w:t>
      </w:r>
      <w:r w:rsidRPr="00511954" w:rsidR="00C42021">
        <w:rPr>
          <w:rFonts w:ascii="Palatino Linotype" w:hAnsi="Palatino Linotype"/>
          <w:b w:val="0"/>
        </w:rPr>
        <w:t xml:space="preserve">and Greenhouse Gas (GHG) Revenue Forecast </w:t>
      </w:r>
      <w:r w:rsidRPr="00511954">
        <w:rPr>
          <w:rFonts w:ascii="Palatino Linotype" w:hAnsi="Palatino Linotype"/>
          <w:b w:val="0"/>
        </w:rPr>
        <w:t xml:space="preserve">filing and every year thereafter, </w:t>
      </w:r>
      <w:r w:rsidRPr="00511954" w:rsidR="00C32EC1">
        <w:rPr>
          <w:rFonts w:ascii="Palatino Linotype" w:hAnsi="Palatino Linotype"/>
          <w:b w:val="0"/>
        </w:rPr>
        <w:t xml:space="preserve">Pacific Gas and Electric Company (PG&amp;E), Southern California Edison (SCE), and San Diego Gas &amp; Electric Company (SDG&amp;E) </w:t>
      </w:r>
      <w:r w:rsidRPr="00511954">
        <w:rPr>
          <w:rFonts w:ascii="Palatino Linotype" w:hAnsi="Palatino Linotype"/>
          <w:b w:val="0"/>
        </w:rPr>
        <w:t xml:space="preserve">shall include funding for independent evaluation of the </w:t>
      </w:r>
      <w:r w:rsidRPr="00511954" w:rsidR="00C32EC1">
        <w:rPr>
          <w:rFonts w:ascii="Palatino Linotype" w:hAnsi="Palatino Linotype"/>
          <w:b w:val="0"/>
        </w:rPr>
        <w:t>Disadvantaged Communit</w:t>
      </w:r>
      <w:r w:rsidRPr="00511954" w:rsidR="00317196">
        <w:rPr>
          <w:rFonts w:ascii="Palatino Linotype" w:hAnsi="Palatino Linotype"/>
          <w:b w:val="0"/>
        </w:rPr>
        <w:t>ies</w:t>
      </w:r>
      <w:r w:rsidRPr="00511954" w:rsidR="00C32EC1">
        <w:rPr>
          <w:rFonts w:ascii="Palatino Linotype" w:hAnsi="Palatino Linotype"/>
          <w:b w:val="0"/>
        </w:rPr>
        <w:t xml:space="preserve"> Green Tariff and Community Solar Green Tariff </w:t>
      </w:r>
      <w:r w:rsidRPr="00511954">
        <w:rPr>
          <w:rFonts w:ascii="Palatino Linotype" w:hAnsi="Palatino Linotype"/>
          <w:b w:val="0"/>
        </w:rPr>
        <w:t>programs as follows: PG&amp;E $88,000, SCE $88,000, and SDG&amp;E $24,000.</w:t>
      </w:r>
    </w:p>
    <w:p w:rsidRPr="00511954" w:rsidR="00347F53" w:rsidP="00C32EC1" w:rsidRDefault="00C32EC1" w14:paraId="7F136C18" w14:textId="1B16993E">
      <w:pPr>
        <w:pStyle w:val="ListParagraph"/>
        <w:numPr>
          <w:ilvl w:val="0"/>
          <w:numId w:val="5"/>
        </w:numPr>
        <w:spacing w:after="120" w:line="240" w:lineRule="auto"/>
        <w:jc w:val="both"/>
        <w:rPr>
          <w:rFonts w:ascii="Palatino Linotype" w:hAnsi="Palatino Linotype"/>
        </w:rPr>
      </w:pPr>
      <w:r w:rsidRPr="00511954">
        <w:rPr>
          <w:rFonts w:ascii="Palatino Linotype" w:hAnsi="Palatino Linotype"/>
          <w:sz w:val="26"/>
          <w:szCs w:val="20"/>
        </w:rPr>
        <w:t xml:space="preserve">Pacific Gas and Electric Company, Southern California Edison, and San Diego Gas &amp; Electric Company </w:t>
      </w:r>
      <w:r w:rsidRPr="00511954" w:rsidR="00A17B2D">
        <w:rPr>
          <w:rFonts w:ascii="Palatino Linotype" w:hAnsi="Palatino Linotype"/>
          <w:sz w:val="26"/>
          <w:szCs w:val="20"/>
        </w:rPr>
        <w:t xml:space="preserve">shall submit Tier 2 </w:t>
      </w:r>
      <w:r w:rsidR="00DA1834">
        <w:rPr>
          <w:rFonts w:ascii="Palatino Linotype" w:hAnsi="Palatino Linotype"/>
          <w:sz w:val="26"/>
          <w:szCs w:val="20"/>
        </w:rPr>
        <w:t>A</w:t>
      </w:r>
      <w:r w:rsidRPr="00511954" w:rsidR="00D5725C">
        <w:rPr>
          <w:rFonts w:ascii="Palatino Linotype" w:hAnsi="Palatino Linotype"/>
          <w:sz w:val="26"/>
          <w:szCs w:val="20"/>
        </w:rPr>
        <w:t xml:space="preserve">dvice </w:t>
      </w:r>
      <w:r w:rsidR="00DA1834">
        <w:rPr>
          <w:rFonts w:ascii="Palatino Linotype" w:hAnsi="Palatino Linotype"/>
          <w:sz w:val="26"/>
          <w:szCs w:val="20"/>
        </w:rPr>
        <w:t>L</w:t>
      </w:r>
      <w:r w:rsidRPr="00511954" w:rsidR="00D5725C">
        <w:rPr>
          <w:rFonts w:ascii="Palatino Linotype" w:hAnsi="Palatino Linotype"/>
          <w:sz w:val="26"/>
          <w:szCs w:val="20"/>
        </w:rPr>
        <w:t xml:space="preserve">etters </w:t>
      </w:r>
      <w:r w:rsidRPr="00511954" w:rsidR="00A17B2D">
        <w:rPr>
          <w:rFonts w:ascii="Palatino Linotype" w:hAnsi="Palatino Linotype"/>
          <w:sz w:val="26"/>
          <w:szCs w:val="20"/>
        </w:rPr>
        <w:t xml:space="preserve">with their solicitation documents for their first </w:t>
      </w:r>
      <w:r w:rsidRPr="00511954">
        <w:rPr>
          <w:rFonts w:ascii="Palatino Linotype" w:hAnsi="Palatino Linotype"/>
          <w:sz w:val="26"/>
          <w:szCs w:val="20"/>
        </w:rPr>
        <w:t>Disadvantaged Communit</w:t>
      </w:r>
      <w:r w:rsidRPr="00511954" w:rsidR="00317196">
        <w:rPr>
          <w:rFonts w:ascii="Palatino Linotype" w:hAnsi="Palatino Linotype"/>
          <w:sz w:val="26"/>
          <w:szCs w:val="20"/>
        </w:rPr>
        <w:t>ies</w:t>
      </w:r>
      <w:r w:rsidRPr="00511954">
        <w:rPr>
          <w:rFonts w:ascii="Palatino Linotype" w:hAnsi="Palatino Linotype"/>
          <w:sz w:val="26"/>
          <w:szCs w:val="20"/>
        </w:rPr>
        <w:t xml:space="preserve"> Green Tariff (DAC-GT) and Community Solar Green Tariff (CSGT) Request for Offers (RFOs)</w:t>
      </w:r>
      <w:r w:rsidRPr="00511954" w:rsidR="00A17B2D">
        <w:rPr>
          <w:rFonts w:ascii="Palatino Linotype" w:hAnsi="Palatino Linotype"/>
          <w:sz w:val="26"/>
          <w:szCs w:val="20"/>
        </w:rPr>
        <w:t xml:space="preserve"> within </w:t>
      </w:r>
      <w:r w:rsidRPr="00511954">
        <w:rPr>
          <w:rFonts w:ascii="Palatino Linotype" w:hAnsi="Palatino Linotype"/>
          <w:sz w:val="26"/>
          <w:szCs w:val="20"/>
        </w:rPr>
        <w:t>6</w:t>
      </w:r>
      <w:r w:rsidRPr="00511954" w:rsidR="00A17B2D">
        <w:rPr>
          <w:rFonts w:ascii="Palatino Linotype" w:hAnsi="Palatino Linotype"/>
          <w:sz w:val="26"/>
          <w:szCs w:val="20"/>
        </w:rPr>
        <w:t>0 days of issuance of this Resolution.</w:t>
      </w:r>
      <w:r w:rsidRPr="00511954">
        <w:rPr>
          <w:rFonts w:ascii="Palatino Linotype" w:hAnsi="Palatino Linotype"/>
        </w:rPr>
        <w:t xml:space="preserve"> </w:t>
      </w:r>
      <w:r w:rsidRPr="00511954" w:rsidR="00C42021">
        <w:rPr>
          <w:rFonts w:ascii="Palatino Linotype" w:hAnsi="Palatino Linotype"/>
          <w:sz w:val="26"/>
          <w:szCs w:val="20"/>
        </w:rPr>
        <w:t>Each utility</w:t>
      </w:r>
      <w:r w:rsidRPr="00511954">
        <w:rPr>
          <w:rFonts w:ascii="Palatino Linotype" w:hAnsi="Palatino Linotype"/>
          <w:sz w:val="26"/>
          <w:szCs w:val="20"/>
        </w:rPr>
        <w:t xml:space="preserve"> shall </w:t>
      </w:r>
      <w:r w:rsidRPr="00511954" w:rsidR="00C42021">
        <w:rPr>
          <w:rFonts w:ascii="Palatino Linotype" w:hAnsi="Palatino Linotype"/>
          <w:sz w:val="26"/>
          <w:szCs w:val="20"/>
        </w:rPr>
        <w:t>issue its</w:t>
      </w:r>
      <w:r w:rsidRPr="00511954">
        <w:rPr>
          <w:rFonts w:ascii="Palatino Linotype" w:hAnsi="Palatino Linotype"/>
          <w:sz w:val="26"/>
          <w:szCs w:val="20"/>
        </w:rPr>
        <w:t xml:space="preserve"> first RFO within 60 days of the Commission’s approval of </w:t>
      </w:r>
      <w:r w:rsidRPr="00511954" w:rsidR="00C42021">
        <w:rPr>
          <w:rFonts w:ascii="Palatino Linotype" w:hAnsi="Palatino Linotype"/>
          <w:sz w:val="26"/>
          <w:szCs w:val="20"/>
        </w:rPr>
        <w:t xml:space="preserve">its </w:t>
      </w:r>
      <w:r w:rsidRPr="00511954">
        <w:rPr>
          <w:rFonts w:ascii="Palatino Linotype" w:hAnsi="Palatino Linotype"/>
          <w:sz w:val="26"/>
          <w:szCs w:val="20"/>
        </w:rPr>
        <w:t xml:space="preserve">solicitation documents. After the first solicitation, </w:t>
      </w:r>
      <w:r w:rsidRPr="00511954" w:rsidR="00C42021">
        <w:rPr>
          <w:rFonts w:ascii="Palatino Linotype" w:hAnsi="Palatino Linotype"/>
          <w:sz w:val="26"/>
          <w:szCs w:val="20"/>
        </w:rPr>
        <w:t xml:space="preserve">each utility </w:t>
      </w:r>
      <w:r w:rsidRPr="00511954">
        <w:rPr>
          <w:rFonts w:ascii="Palatino Linotype" w:hAnsi="Palatino Linotype"/>
          <w:sz w:val="26"/>
          <w:szCs w:val="20"/>
        </w:rPr>
        <w:t>must align future DAC-GT and CSGT solicitations with Green Tariff Shared Renewables (GTSR) solicitation</w:t>
      </w:r>
      <w:r w:rsidR="00DA1834">
        <w:rPr>
          <w:rFonts w:ascii="Palatino Linotype" w:hAnsi="Palatino Linotype"/>
          <w:sz w:val="26"/>
          <w:szCs w:val="20"/>
        </w:rPr>
        <w:t>s</w:t>
      </w:r>
      <w:r w:rsidRPr="00511954">
        <w:rPr>
          <w:rFonts w:ascii="Palatino Linotype" w:hAnsi="Palatino Linotype"/>
          <w:sz w:val="26"/>
          <w:szCs w:val="20"/>
        </w:rPr>
        <w:t xml:space="preserve"> and ensure that such solicitations occur biannually.</w:t>
      </w:r>
      <w:r w:rsidRPr="00511954" w:rsidDel="00C32EC1">
        <w:rPr>
          <w:rFonts w:ascii="Palatino Linotype" w:hAnsi="Palatino Linotype"/>
          <w:sz w:val="26"/>
          <w:szCs w:val="20"/>
        </w:rPr>
        <w:t xml:space="preserve"> </w:t>
      </w:r>
      <w:r w:rsidRPr="00511954">
        <w:rPr>
          <w:rFonts w:ascii="Palatino Linotype" w:hAnsi="Palatino Linotype"/>
          <w:sz w:val="26"/>
          <w:szCs w:val="20"/>
        </w:rPr>
        <w:t xml:space="preserve">   </w:t>
      </w:r>
    </w:p>
    <w:p w:rsidRPr="00511954" w:rsidR="003E17B7" w:rsidP="003E17B7" w:rsidRDefault="003E17B7" w14:paraId="2726D1C7" w14:textId="77777777">
      <w:pPr>
        <w:tabs>
          <w:tab w:val="left" w:pos="720"/>
          <w:tab w:val="left" w:pos="1296"/>
          <w:tab w:val="left" w:pos="2016"/>
          <w:tab w:val="left" w:pos="2736"/>
          <w:tab w:val="left" w:pos="3456"/>
          <w:tab w:val="left" w:pos="4176"/>
          <w:tab w:val="left" w:pos="5760"/>
        </w:tabs>
        <w:rPr>
          <w:rFonts w:ascii="Palatino Linotype" w:hAnsi="Palatino Linotype"/>
        </w:rPr>
      </w:pPr>
      <w:r w:rsidRPr="00511954">
        <w:rPr>
          <w:rFonts w:ascii="Palatino Linotype" w:hAnsi="Palatino Linotype"/>
        </w:rPr>
        <w:t>This Resolution is effective today.</w:t>
      </w:r>
    </w:p>
    <w:p w:rsidRPr="00511954" w:rsidR="003E17B7" w:rsidP="003E17B7" w:rsidRDefault="003E17B7" w14:paraId="174A78EA" w14:textId="77777777">
      <w:pPr>
        <w:tabs>
          <w:tab w:val="left" w:pos="720"/>
          <w:tab w:val="left" w:pos="1296"/>
          <w:tab w:val="left" w:pos="2016"/>
          <w:tab w:val="left" w:pos="2736"/>
          <w:tab w:val="left" w:pos="3456"/>
          <w:tab w:val="left" w:pos="4176"/>
          <w:tab w:val="left" w:pos="5760"/>
        </w:tabs>
        <w:rPr>
          <w:rFonts w:ascii="Palatino Linotype" w:hAnsi="Palatino Linotype"/>
        </w:rPr>
      </w:pPr>
    </w:p>
    <w:p w:rsidRPr="00511954" w:rsidR="003E17B7" w:rsidP="003E17B7" w:rsidRDefault="003E17B7" w14:paraId="1F0D76A3" w14:textId="4B2E6222">
      <w:pPr>
        <w:rPr>
          <w:rFonts w:ascii="Palatino Linotype" w:hAnsi="Palatino Linotype"/>
          <w:snapToGrid w:val="0"/>
        </w:rPr>
      </w:pPr>
      <w:r w:rsidRPr="00511954">
        <w:rPr>
          <w:rFonts w:ascii="Palatino Linotype" w:hAnsi="Palatino Linotype"/>
          <w:snapToGrid w:val="0"/>
        </w:rPr>
        <w:t xml:space="preserve">I certify that the foregoing resolution was duly introduced, passed and adopted at a conference of the Public Utilities Commission of the State of California held on </w:t>
      </w:r>
      <w:r w:rsidR="0010120C">
        <w:rPr>
          <w:rFonts w:ascii="Palatino Linotype" w:hAnsi="Palatino Linotype"/>
          <w:snapToGrid w:val="0"/>
        </w:rPr>
        <w:t>May 30, 2019</w:t>
      </w:r>
      <w:r w:rsidRPr="0010120C">
        <w:rPr>
          <w:rFonts w:ascii="Palatino Linotype" w:hAnsi="Palatino Linotype"/>
          <w:snapToGrid w:val="0"/>
        </w:rPr>
        <w:t>;</w:t>
      </w:r>
      <w:r w:rsidRPr="00511954">
        <w:rPr>
          <w:rFonts w:ascii="Palatino Linotype" w:hAnsi="Palatino Linotype"/>
          <w:snapToGrid w:val="0"/>
        </w:rPr>
        <w:t xml:space="preserve"> the following Commissioners voting favorably thereon:</w:t>
      </w:r>
    </w:p>
    <w:p w:rsidRPr="00511954" w:rsidR="005B1EB6" w:rsidP="003E17B7" w:rsidRDefault="005B1EB6" w14:paraId="08AA2E58" w14:textId="77777777">
      <w:pPr>
        <w:tabs>
          <w:tab w:val="left" w:pos="720"/>
          <w:tab w:val="left" w:pos="1152"/>
          <w:tab w:val="left" w:pos="1728"/>
          <w:tab w:val="left" w:pos="3168"/>
          <w:tab w:val="left" w:pos="5040"/>
        </w:tabs>
        <w:ind w:right="144"/>
        <w:rPr>
          <w:rFonts w:ascii="Palatino Linotype" w:hAnsi="Palatino Linotype"/>
        </w:rPr>
      </w:pPr>
    </w:p>
    <w:p w:rsidRPr="00511954" w:rsidR="003E17B7" w:rsidP="003E17B7" w:rsidRDefault="003E17B7" w14:paraId="51384FB6" w14:textId="77777777">
      <w:pPr>
        <w:tabs>
          <w:tab w:val="left" w:pos="720"/>
          <w:tab w:val="left" w:pos="1152"/>
          <w:tab w:val="left" w:pos="1728"/>
          <w:tab w:val="left" w:pos="3168"/>
          <w:tab w:val="left" w:pos="5040"/>
        </w:tabs>
        <w:ind w:right="144"/>
        <w:rPr>
          <w:rFonts w:ascii="Palatino Linotype" w:hAnsi="Palatino Linotype"/>
        </w:rPr>
      </w:pPr>
    </w:p>
    <w:p w:rsidRPr="00511954" w:rsidR="003E17B7" w:rsidP="003E17B7" w:rsidRDefault="003E17B7" w14:paraId="7856DA25" w14:textId="77777777">
      <w:pPr>
        <w:tabs>
          <w:tab w:val="left" w:pos="720"/>
          <w:tab w:val="left" w:pos="1152"/>
          <w:tab w:val="left" w:pos="1728"/>
          <w:tab w:val="left" w:pos="3168"/>
          <w:tab w:val="left" w:pos="5040"/>
        </w:tabs>
        <w:ind w:right="144"/>
        <w:rPr>
          <w:rFonts w:ascii="Palatino Linotype" w:hAnsi="Palatino Linotype"/>
        </w:rPr>
      </w:pPr>
      <w:r w:rsidRPr="00511954">
        <w:rPr>
          <w:rFonts w:ascii="Palatino Linotype" w:hAnsi="Palatino Linotype"/>
        </w:rPr>
        <w:tab/>
      </w:r>
      <w:r w:rsidRPr="00511954">
        <w:rPr>
          <w:rFonts w:ascii="Palatino Linotype" w:hAnsi="Palatino Linotype"/>
        </w:rPr>
        <w:tab/>
      </w:r>
      <w:r w:rsidRPr="00511954">
        <w:rPr>
          <w:rFonts w:ascii="Palatino Linotype" w:hAnsi="Palatino Linotype"/>
        </w:rPr>
        <w:tab/>
      </w:r>
      <w:r w:rsidRPr="00511954">
        <w:rPr>
          <w:rFonts w:ascii="Palatino Linotype" w:hAnsi="Palatino Linotype"/>
        </w:rPr>
        <w:tab/>
      </w:r>
      <w:r w:rsidRPr="00511954">
        <w:rPr>
          <w:rFonts w:ascii="Palatino Linotype" w:hAnsi="Palatino Linotype"/>
        </w:rPr>
        <w:tab/>
      </w:r>
      <w:r w:rsidRPr="00511954">
        <w:rPr>
          <w:rFonts w:ascii="Palatino Linotype" w:hAnsi="Palatino Linotype"/>
        </w:rPr>
        <w:tab/>
        <w:t>_____________________</w:t>
      </w:r>
    </w:p>
    <w:p w:rsidRPr="00511954" w:rsidR="003E17B7" w:rsidP="003E17B7" w:rsidRDefault="003E17B7" w14:paraId="36FBC643" w14:textId="77777777">
      <w:pPr>
        <w:rPr>
          <w:rFonts w:ascii="Palatino Linotype" w:hAnsi="Palatino Linotype"/>
        </w:rPr>
      </w:pPr>
      <w:r w:rsidRPr="00511954">
        <w:rPr>
          <w:rFonts w:ascii="Palatino Linotype" w:hAnsi="Palatino Linotype"/>
        </w:rPr>
        <w:tab/>
      </w:r>
      <w:r w:rsidRPr="00511954">
        <w:rPr>
          <w:rFonts w:ascii="Palatino Linotype" w:hAnsi="Palatino Linotype"/>
        </w:rPr>
        <w:tab/>
      </w:r>
      <w:r w:rsidRPr="00511954">
        <w:rPr>
          <w:rFonts w:ascii="Palatino Linotype" w:hAnsi="Palatino Linotype"/>
        </w:rPr>
        <w:tab/>
      </w:r>
      <w:r w:rsidRPr="00511954">
        <w:rPr>
          <w:rFonts w:ascii="Palatino Linotype" w:hAnsi="Palatino Linotype"/>
        </w:rPr>
        <w:tab/>
      </w:r>
      <w:r w:rsidRPr="00511954">
        <w:rPr>
          <w:rFonts w:ascii="Palatino Linotype" w:hAnsi="Palatino Linotype"/>
        </w:rPr>
        <w:tab/>
      </w:r>
      <w:r w:rsidRPr="00511954">
        <w:rPr>
          <w:rFonts w:ascii="Palatino Linotype" w:hAnsi="Palatino Linotype"/>
        </w:rPr>
        <w:tab/>
      </w:r>
      <w:r w:rsidRPr="00511954">
        <w:rPr>
          <w:rFonts w:ascii="Palatino Linotype" w:hAnsi="Palatino Linotype"/>
        </w:rPr>
        <w:tab/>
      </w:r>
      <w:r w:rsidRPr="00511954">
        <w:rPr>
          <w:rFonts w:ascii="Palatino Linotype" w:hAnsi="Palatino Linotype"/>
        </w:rPr>
        <w:tab/>
        <w:t>ALICE STEBBINS</w:t>
      </w:r>
    </w:p>
    <w:p w:rsidRPr="00511954" w:rsidR="00D45A75" w:rsidP="00972958" w:rsidRDefault="003E17B7" w14:paraId="73F1C5E3" w14:textId="77777777">
      <w:pPr>
        <w:rPr>
          <w:rFonts w:ascii="Palatino Linotype" w:hAnsi="Palatino Linotype"/>
          <w:sz w:val="20"/>
        </w:rPr>
      </w:pPr>
      <w:r w:rsidRPr="00511954">
        <w:rPr>
          <w:rFonts w:ascii="Palatino Linotype" w:hAnsi="Palatino Linotype"/>
        </w:rPr>
        <w:tab/>
      </w:r>
      <w:r w:rsidRPr="00511954">
        <w:rPr>
          <w:rFonts w:ascii="Palatino Linotype" w:hAnsi="Palatino Linotype"/>
        </w:rPr>
        <w:tab/>
      </w:r>
      <w:r w:rsidRPr="00511954">
        <w:rPr>
          <w:rFonts w:ascii="Palatino Linotype" w:hAnsi="Palatino Linotype"/>
        </w:rPr>
        <w:tab/>
      </w:r>
      <w:r w:rsidRPr="00511954">
        <w:rPr>
          <w:rFonts w:ascii="Palatino Linotype" w:hAnsi="Palatino Linotype"/>
        </w:rPr>
        <w:tab/>
      </w:r>
      <w:r w:rsidRPr="00511954">
        <w:rPr>
          <w:rFonts w:ascii="Palatino Linotype" w:hAnsi="Palatino Linotype"/>
        </w:rPr>
        <w:tab/>
      </w:r>
      <w:r w:rsidRPr="00511954">
        <w:rPr>
          <w:rFonts w:ascii="Palatino Linotype" w:hAnsi="Palatino Linotype"/>
        </w:rPr>
        <w:tab/>
      </w:r>
      <w:r w:rsidRPr="00511954">
        <w:rPr>
          <w:rFonts w:ascii="Palatino Linotype" w:hAnsi="Palatino Linotype"/>
        </w:rPr>
        <w:tab/>
      </w:r>
      <w:r w:rsidRPr="00511954">
        <w:rPr>
          <w:rFonts w:ascii="Palatino Linotype" w:hAnsi="Palatino Linotype"/>
        </w:rPr>
        <w:tab/>
        <w:t>Executive Director</w:t>
      </w:r>
    </w:p>
    <w:sectPr w:rsidRPr="00511954" w:rsidR="00D45A75" w:rsidSect="00177766">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5AA07" w14:textId="77777777" w:rsidR="00046D03" w:rsidRDefault="00046D03">
      <w:r>
        <w:separator/>
      </w:r>
    </w:p>
  </w:endnote>
  <w:endnote w:type="continuationSeparator" w:id="0">
    <w:p w14:paraId="135ADA17" w14:textId="77777777" w:rsidR="00046D03" w:rsidRDefault="0004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Palatino">
    <w:altName w:val="Book Antiqua"/>
    <w:panose1 w:val="02020500000000000000"/>
    <w:charset w:val="00"/>
    <w:family w:val="roman"/>
    <w:pitch w:val="variable"/>
    <w:sig w:usb0="00000007" w:usb1="00000000" w:usb2="00000000" w:usb3="00000000" w:csb0="00000093"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3F09" w14:textId="461A9EBF" w:rsidR="00786345" w:rsidRDefault="00786345">
    <w:pPr>
      <w:pStyle w:val="Footer"/>
    </w:pPr>
    <w:r>
      <w:fldChar w:fldCharType="begin"/>
    </w:r>
    <w:r>
      <w:instrText xml:space="preserve"> PAGE   \* MERGEFORMAT </w:instrText>
    </w:r>
    <w:r>
      <w:fldChar w:fldCharType="separate"/>
    </w:r>
    <w:r>
      <w:rPr>
        <w:noProof/>
      </w:rPr>
      <w:t>36</w:t>
    </w:r>
    <w:r>
      <w:rPr>
        <w:noProof/>
      </w:rPr>
      <w:fldChar w:fldCharType="end"/>
    </w:r>
  </w:p>
  <w:p w14:paraId="372426E5" w14:textId="5198C0DE" w:rsidR="00786345" w:rsidRPr="002E2F06" w:rsidRDefault="00786345" w:rsidP="00FD236A">
    <w:pPr>
      <w:pStyle w:val="Footer"/>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C1DAD" w14:textId="2C7E7EBA" w:rsidR="00786345" w:rsidRPr="00612E9A" w:rsidRDefault="00771B27" w:rsidP="00FD236A">
    <w:pPr>
      <w:pStyle w:val="Footer"/>
      <w:jc w:val="left"/>
    </w:pPr>
    <w:r w:rsidRPr="00771B27">
      <w:rPr>
        <w:rFonts w:ascii="Tahoma" w:hAnsi="Tahoma" w:cs="Tahoma"/>
        <w:sz w:val="24"/>
        <w:szCs w:val="17"/>
      </w:rPr>
      <w:t>284823676</w:t>
    </w:r>
    <w:r w:rsidR="00786345">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732E1" w14:textId="77777777" w:rsidR="00046D03" w:rsidRDefault="00046D03">
      <w:r>
        <w:separator/>
      </w:r>
    </w:p>
  </w:footnote>
  <w:footnote w:type="continuationSeparator" w:id="0">
    <w:p w14:paraId="677FEA4C" w14:textId="77777777" w:rsidR="00046D03" w:rsidRDefault="00046D03">
      <w:r>
        <w:continuationSeparator/>
      </w:r>
    </w:p>
  </w:footnote>
  <w:footnote w:type="continuationNotice" w:id="1">
    <w:p w14:paraId="58558BFA" w14:textId="77777777" w:rsidR="00046D03" w:rsidRPr="00E10E03" w:rsidRDefault="00046D03" w:rsidP="00E10E03">
      <w:pPr>
        <w:pStyle w:val="Footer"/>
        <w:jc w:val="left"/>
      </w:pPr>
    </w:p>
  </w:footnote>
  <w:footnote w:id="2">
    <w:p w14:paraId="2D027D9C" w14:textId="774DFE38"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Pub. Util. Code § 2827.1 (b)(1). AB 327 required the Commission to develop specific alternatives designed to increase adoption of renewable generation by residential customers in DAC</w:t>
      </w:r>
      <w:r>
        <w:rPr>
          <w:rFonts w:ascii="Palatino Linotype" w:hAnsi="Palatino Linotype"/>
          <w:szCs w:val="24"/>
        </w:rPr>
        <w:t>s.</w:t>
      </w:r>
    </w:p>
  </w:footnote>
  <w:footnote w:id="3">
    <w:p w14:paraId="698A1634"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D.18-06-027 at Conclusions of Law (COL) 3.</w:t>
      </w:r>
    </w:p>
  </w:footnote>
  <w:footnote w:id="4">
    <w:p w14:paraId="7182A786"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11954">
        <w:rPr>
          <w:rFonts w:ascii="Palatino Linotype" w:hAnsi="Palatino Linotype"/>
          <w:i/>
          <w:szCs w:val="24"/>
        </w:rPr>
        <w:t>Id.</w:t>
      </w:r>
      <w:r w:rsidRPr="00511954">
        <w:rPr>
          <w:rFonts w:ascii="Palatino Linotype" w:hAnsi="Palatino Linotype"/>
          <w:szCs w:val="24"/>
        </w:rPr>
        <w:t xml:space="preserve"> </w:t>
      </w:r>
    </w:p>
  </w:footnote>
  <w:footnote w:id="5">
    <w:p w14:paraId="3C61A954"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DAC-SASH is a solar installation incentive program for owner-occupied, single-family homes, based on the existing SASH program. DAC-SASH will be run by a statewide program administrator. The DAC-SASH program is not discussed in this Resolution.</w:t>
      </w:r>
    </w:p>
  </w:footnote>
  <w:footnote w:id="6">
    <w:p w14:paraId="09A9D9DB"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D.18-06-027 at Ordering Paragraph (OP) 14.</w:t>
      </w:r>
    </w:p>
  </w:footnote>
  <w:footnote w:id="7">
    <w:p w14:paraId="54174DF8"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11954">
        <w:rPr>
          <w:rFonts w:ascii="Palatino Linotype" w:hAnsi="Palatino Linotype"/>
          <w:i/>
          <w:szCs w:val="24"/>
        </w:rPr>
        <w:t>Id.</w:t>
      </w:r>
      <w:r w:rsidRPr="00511954">
        <w:rPr>
          <w:rFonts w:ascii="Palatino Linotype" w:hAnsi="Palatino Linotype"/>
          <w:szCs w:val="24"/>
        </w:rPr>
        <w:t xml:space="preserve"> at COL 14, 22.</w:t>
      </w:r>
    </w:p>
  </w:footnote>
  <w:footnote w:id="8">
    <w:p w14:paraId="1D1711C4"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11954">
        <w:rPr>
          <w:rFonts w:ascii="Palatino Linotype" w:hAnsi="Palatino Linotype"/>
          <w:i/>
          <w:szCs w:val="24"/>
        </w:rPr>
        <w:t>Id</w:t>
      </w:r>
      <w:r w:rsidRPr="00511954">
        <w:rPr>
          <w:rFonts w:ascii="Palatino Linotype" w:hAnsi="Palatino Linotype"/>
          <w:szCs w:val="24"/>
        </w:rPr>
        <w:t>. at COL 26.</w:t>
      </w:r>
    </w:p>
  </w:footnote>
  <w:footnote w:id="9">
    <w:p w14:paraId="19114A8C"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11954">
        <w:rPr>
          <w:rFonts w:ascii="Palatino Linotype" w:hAnsi="Palatino Linotype"/>
          <w:i/>
          <w:szCs w:val="24"/>
        </w:rPr>
        <w:t>Id</w:t>
      </w:r>
      <w:r w:rsidRPr="00511954">
        <w:rPr>
          <w:rFonts w:ascii="Palatino Linotype" w:hAnsi="Palatino Linotype"/>
          <w:szCs w:val="24"/>
        </w:rPr>
        <w:t>. at 51.</w:t>
      </w:r>
    </w:p>
  </w:footnote>
  <w:footnote w:id="10">
    <w:p w14:paraId="47659521"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i/>
          <w:szCs w:val="24"/>
        </w:rPr>
        <w:t xml:space="preserve"> Id</w:t>
      </w:r>
      <w:r w:rsidRPr="00511954">
        <w:rPr>
          <w:rFonts w:ascii="Palatino Linotype" w:hAnsi="Palatino Linotype"/>
          <w:szCs w:val="24"/>
        </w:rPr>
        <w:t>. at COL 23-25.</w:t>
      </w:r>
    </w:p>
  </w:footnote>
  <w:footnote w:id="11">
    <w:p w14:paraId="1F16FCA4"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11954">
        <w:rPr>
          <w:rFonts w:ascii="Palatino Linotype" w:hAnsi="Palatino Linotype"/>
          <w:i/>
          <w:szCs w:val="24"/>
        </w:rPr>
        <w:t>Id</w:t>
      </w:r>
      <w:r w:rsidRPr="00511954">
        <w:rPr>
          <w:rFonts w:ascii="Palatino Linotype" w:hAnsi="Palatino Linotype"/>
          <w:szCs w:val="24"/>
        </w:rPr>
        <w:t>. at COL 13.</w:t>
      </w:r>
    </w:p>
  </w:footnote>
  <w:footnote w:id="12">
    <w:p w14:paraId="4FE6D766"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11954">
        <w:rPr>
          <w:rFonts w:ascii="Palatino Linotype" w:hAnsi="Palatino Linotype"/>
          <w:i/>
          <w:szCs w:val="24"/>
        </w:rPr>
        <w:t>Id</w:t>
      </w:r>
      <w:r w:rsidRPr="00511954">
        <w:rPr>
          <w:rFonts w:ascii="Palatino Linotype" w:hAnsi="Palatino Linotype"/>
          <w:szCs w:val="24"/>
        </w:rPr>
        <w:t>. at OP 13.</w:t>
      </w:r>
    </w:p>
  </w:footnote>
  <w:footnote w:id="13">
    <w:p w14:paraId="65E24A41"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D.18-12-015 at OP 19(a). </w:t>
      </w:r>
    </w:p>
  </w:footnote>
  <w:footnote w:id="14">
    <w:p w14:paraId="35479687"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D.18-06-027 at OP 17.</w:t>
      </w:r>
    </w:p>
  </w:footnote>
  <w:footnote w:id="15">
    <w:p w14:paraId="166676A3"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11954">
        <w:rPr>
          <w:rFonts w:ascii="Palatino Linotype" w:hAnsi="Palatino Linotype"/>
          <w:i/>
          <w:szCs w:val="24"/>
        </w:rPr>
        <w:t>Id</w:t>
      </w:r>
      <w:r w:rsidRPr="00511954">
        <w:rPr>
          <w:rFonts w:ascii="Palatino Linotype" w:hAnsi="Palatino Linotype"/>
          <w:szCs w:val="24"/>
        </w:rPr>
        <w:t>. at 53 and 65.</w:t>
      </w:r>
    </w:p>
  </w:footnote>
  <w:footnote w:id="16">
    <w:p w14:paraId="73E20A87"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11954">
        <w:rPr>
          <w:rFonts w:ascii="Palatino Linotype" w:hAnsi="Palatino Linotype"/>
          <w:i/>
          <w:szCs w:val="24"/>
        </w:rPr>
        <w:t>Protesting CCAs Protest of PG&amp;E’s AL 5362-E and SCE’s AL 3851-E to Establish and Implement the DAC-GT Program Rate and the CSGT Program Rate</w:t>
      </w:r>
      <w:r w:rsidRPr="00511954">
        <w:rPr>
          <w:rFonts w:ascii="Palatino Linotype" w:hAnsi="Palatino Linotype"/>
          <w:szCs w:val="24"/>
        </w:rPr>
        <w:t xml:space="preserve"> (September 10, 2018) at 4.</w:t>
      </w:r>
    </w:p>
  </w:footnote>
  <w:footnote w:id="17">
    <w:p w14:paraId="41BAC98A"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11954">
        <w:rPr>
          <w:rFonts w:ascii="Palatino Linotype" w:hAnsi="Palatino Linotype"/>
          <w:i/>
          <w:szCs w:val="24"/>
        </w:rPr>
        <w:t>PG&amp;E Reply to Protests from: (1) Peninsula Clean Energy, Marin Clean Energy, Sonoma Clean Power and Lancaster Choice Energy, and (2) The Interstate Renewable Energy Council and the Sustainable Economies Law Center to Advice Letter 5362-E</w:t>
      </w:r>
      <w:r w:rsidRPr="00511954">
        <w:rPr>
          <w:rFonts w:ascii="Palatino Linotype" w:hAnsi="Palatino Linotype"/>
          <w:szCs w:val="24"/>
        </w:rPr>
        <w:t xml:space="preserve"> (September 17, 2018) (PG&amp;E Reply) at 2. </w:t>
      </w:r>
    </w:p>
  </w:footnote>
  <w:footnote w:id="18">
    <w:p w14:paraId="35D28D92"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PG&amp;E AL 5362-E (August 20, 2018) at 16. </w:t>
      </w:r>
    </w:p>
  </w:footnote>
  <w:footnote w:id="19">
    <w:p w14:paraId="698DFD18"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D.18-06-027 at 73.</w:t>
      </w:r>
    </w:p>
  </w:footnote>
  <w:footnote w:id="20">
    <w:p w14:paraId="07336082"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D.18-06-027 allocated 18 MW each to PG&amp;E and SCE under the CSGT program so the 30 percent of total capacity metric would allow PG&amp;E and SCE to each solicit a maximum project size of 5.4 MW. Any decrement to the IOUs’ program caps to allocate capacity to CCA CSGT programs would decrease the maximum project size accordingly, until the 3 MW threshold was reached.</w:t>
      </w:r>
    </w:p>
  </w:footnote>
  <w:footnote w:id="21">
    <w:p w14:paraId="70984FEF" w14:textId="516240FE"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A06C9">
        <w:rPr>
          <w:i/>
        </w:rPr>
        <w:t>Response of Interstate Renewable Energy Council and the Sustainable Economies Law Center to Advice Letters 5362-E, 3851-E, 3262-E</w:t>
      </w:r>
      <w:r>
        <w:t>. (September 10, 2018) (IREC/SELC Response) at 2.</w:t>
      </w:r>
    </w:p>
  </w:footnote>
  <w:footnote w:id="22">
    <w:p w14:paraId="1E3F6AC7"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11954">
        <w:rPr>
          <w:rFonts w:ascii="Palatino Linotype" w:hAnsi="Palatino Linotype"/>
          <w:i/>
          <w:szCs w:val="24"/>
        </w:rPr>
        <w:t>Id</w:t>
      </w:r>
      <w:r w:rsidRPr="00511954">
        <w:rPr>
          <w:rFonts w:ascii="Palatino Linotype" w:hAnsi="Palatino Linotype"/>
          <w:szCs w:val="24"/>
        </w:rPr>
        <w:t xml:space="preserve">. at 2-3. </w:t>
      </w:r>
    </w:p>
  </w:footnote>
  <w:footnote w:id="23">
    <w:p w14:paraId="01F01DF4"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11954">
        <w:rPr>
          <w:rFonts w:ascii="Palatino Linotype" w:hAnsi="Palatino Linotype"/>
          <w:i/>
          <w:szCs w:val="24"/>
        </w:rPr>
        <w:t>Id</w:t>
      </w:r>
      <w:r w:rsidRPr="00511954">
        <w:rPr>
          <w:rFonts w:ascii="Palatino Linotype" w:hAnsi="Palatino Linotype"/>
          <w:szCs w:val="24"/>
        </w:rPr>
        <w:t>. at 4.</w:t>
      </w:r>
    </w:p>
  </w:footnote>
  <w:footnote w:id="24">
    <w:p w14:paraId="73B9BBF4" w14:textId="322C11EB" w:rsidR="00786345" w:rsidRPr="00263349"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11954">
        <w:rPr>
          <w:rFonts w:ascii="Palatino Linotype" w:hAnsi="Palatino Linotype"/>
          <w:i/>
          <w:szCs w:val="24"/>
        </w:rPr>
        <w:t>Id</w:t>
      </w:r>
      <w:r w:rsidRPr="00511954">
        <w:rPr>
          <w:rFonts w:ascii="Palatino Linotype" w:hAnsi="Palatino Linotype"/>
          <w:szCs w:val="24"/>
        </w:rPr>
        <w:t>.</w:t>
      </w:r>
    </w:p>
  </w:footnote>
  <w:footnote w:id="25">
    <w:p w14:paraId="376C8730"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11954">
        <w:rPr>
          <w:rFonts w:ascii="Palatino Linotype" w:hAnsi="Palatino Linotype"/>
          <w:i/>
          <w:szCs w:val="24"/>
        </w:rPr>
        <w:t>Southern California Edison Company’s Reply to Protest to SCE Advice 3851-E</w:t>
      </w:r>
      <w:r w:rsidRPr="00511954">
        <w:rPr>
          <w:rFonts w:ascii="Palatino Linotype" w:hAnsi="Palatino Linotype"/>
          <w:szCs w:val="24"/>
        </w:rPr>
        <w:t xml:space="preserve"> (September 17, 2018) (SCE Reply) at 4.</w:t>
      </w:r>
    </w:p>
  </w:footnote>
  <w:footnote w:id="26">
    <w:p w14:paraId="598B1D78"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11954">
        <w:rPr>
          <w:rFonts w:ascii="Palatino Linotype" w:hAnsi="Palatino Linotype"/>
          <w:i/>
          <w:szCs w:val="24"/>
        </w:rPr>
        <w:t xml:space="preserve">SDG&amp;E’s Reply to the Interstate Renewable Energy Council and the Sustainable Economies Law Center’s Joint Response to Advice Letter 3262-E </w:t>
      </w:r>
      <w:r w:rsidRPr="00511954">
        <w:rPr>
          <w:rFonts w:ascii="Palatino Linotype" w:hAnsi="Palatino Linotype"/>
          <w:szCs w:val="24"/>
        </w:rPr>
        <w:t>(September 17, 2018) (SDG&amp;E Reply) at 4.</w:t>
      </w:r>
    </w:p>
  </w:footnote>
  <w:footnote w:id="27">
    <w:p w14:paraId="662DE342" w14:textId="5449AE30" w:rsidR="00786345" w:rsidRPr="00511954" w:rsidRDefault="00786345" w:rsidP="00787705">
      <w:pPr>
        <w:pStyle w:val="CommentText"/>
        <w:contextualSpacing/>
        <w:rPr>
          <w:rFonts w:ascii="Palatino Linotype" w:hAnsi="Palatino Linotype"/>
          <w:sz w:val="24"/>
          <w:szCs w:val="24"/>
        </w:rPr>
      </w:pPr>
      <w:r w:rsidRPr="00511954">
        <w:rPr>
          <w:rStyle w:val="FootnoteReference"/>
          <w:rFonts w:ascii="Palatino Linotype" w:hAnsi="Palatino Linotype"/>
          <w:sz w:val="24"/>
          <w:szCs w:val="24"/>
        </w:rPr>
        <w:footnoteRef/>
      </w:r>
      <w:r w:rsidRPr="00511954">
        <w:rPr>
          <w:rFonts w:ascii="Palatino Linotype" w:hAnsi="Palatino Linotype"/>
          <w:sz w:val="24"/>
          <w:szCs w:val="24"/>
        </w:rPr>
        <w:t xml:space="preserve"> See Decision 18-08-008, Decision Granting Authority to Implement Customer Information System Replacement Program and Approving Settlement Agreement. </w:t>
      </w:r>
    </w:p>
  </w:footnote>
  <w:footnote w:id="28">
    <w:p w14:paraId="48F6670D" w14:textId="3690802F"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SDG&amp;E Reply at 5. </w:t>
      </w:r>
    </w:p>
  </w:footnote>
  <w:footnote w:id="29">
    <w:p w14:paraId="2FDC2B20"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SCE Reply at 4.</w:t>
      </w:r>
    </w:p>
  </w:footnote>
  <w:footnote w:id="30">
    <w:p w14:paraId="27D6E467" w14:textId="6C6E7D80"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SDG&amp;E Reply at 6.</w:t>
      </w:r>
    </w:p>
  </w:footnote>
  <w:footnote w:id="31">
    <w:p w14:paraId="193E2948"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D.18-06-027 at OP 17.</w:t>
      </w:r>
    </w:p>
  </w:footnote>
  <w:footnote w:id="32">
    <w:p w14:paraId="2C6F3674"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RFO timing is discussed further in subsequent sections of this Resolution. </w:t>
      </w:r>
    </w:p>
  </w:footnote>
  <w:footnote w:id="33">
    <w:p w14:paraId="6B29860F" w14:textId="487DA5EB"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Based on the CSGT capacity caps established for the IOUs in Table 1 and Table 2, the maximum size of CSGT projects that PG&amp;E and SCE can solicit are 4.37 MW for PG&amp;E </w:t>
      </w:r>
      <w:r w:rsidRPr="002F40D7">
        <w:rPr>
          <w:rFonts w:ascii="Palatino Linotype" w:hAnsi="Palatino Linotype"/>
          <w:szCs w:val="24"/>
        </w:rPr>
        <w:t>and 4.39 MW for</w:t>
      </w:r>
      <w:r w:rsidRPr="00511954">
        <w:rPr>
          <w:rFonts w:ascii="Palatino Linotype" w:hAnsi="Palatino Linotype"/>
          <w:szCs w:val="24"/>
        </w:rPr>
        <w:t xml:space="preserve"> SCE.</w:t>
      </w:r>
    </w:p>
  </w:footnote>
  <w:footnote w:id="34">
    <w:p w14:paraId="3916CFC1"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D.18-06-027 at OP 16. </w:t>
      </w:r>
    </w:p>
  </w:footnote>
  <w:footnote w:id="35">
    <w:p w14:paraId="4699C2D9"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11954">
        <w:rPr>
          <w:rFonts w:ascii="Palatino Linotype" w:hAnsi="Palatino Linotype"/>
          <w:i/>
          <w:szCs w:val="24"/>
        </w:rPr>
        <w:t>Id</w:t>
      </w:r>
      <w:r w:rsidRPr="00511954">
        <w:rPr>
          <w:rFonts w:ascii="Palatino Linotype" w:hAnsi="Palatino Linotype"/>
          <w:szCs w:val="24"/>
        </w:rPr>
        <w:t xml:space="preserve">. at OP 18. </w:t>
      </w:r>
    </w:p>
  </w:footnote>
  <w:footnote w:id="36">
    <w:p w14:paraId="13D4DBAC"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11954">
        <w:rPr>
          <w:rFonts w:ascii="Palatino Linotype" w:hAnsi="Palatino Linotype"/>
          <w:i/>
          <w:szCs w:val="24"/>
        </w:rPr>
        <w:t>Id</w:t>
      </w:r>
      <w:r w:rsidRPr="00511954">
        <w:rPr>
          <w:rFonts w:ascii="Palatino Linotype" w:hAnsi="Palatino Linotype"/>
          <w:szCs w:val="24"/>
        </w:rPr>
        <w:t>. at 54.</w:t>
      </w:r>
    </w:p>
  </w:footnote>
  <w:footnote w:id="37">
    <w:p w14:paraId="73101510" w14:textId="26ED6CFD"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As established in the NEM DAC Decision, CCAs will have access to funding to implement their own DAC-GT and CSGT programs. The decision clarifies that “[t]o access GHG allowance revenues or public purpose program funds, the CCA must establish a mechanism for tracking discounts provided through its DAC-Green Tariff and Community Solar Green Tariff program[s]” at OP 17.  We encourage the IOUs and CCAs to discuss the process for transferring program funding to CCAs. If CCAs elect to offer their own DAC-GT and CSGT programs, this process can be discussed in the resolution approving the CCAs’ Tier 3 AL filing.</w:t>
      </w:r>
    </w:p>
  </w:footnote>
  <w:footnote w:id="38">
    <w:p w14:paraId="2C4C5F12"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D.18-06-027 at 71.</w:t>
      </w:r>
    </w:p>
  </w:footnote>
  <w:footnote w:id="39">
    <w:p w14:paraId="08E80DE2"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11954">
        <w:rPr>
          <w:rFonts w:ascii="Palatino Linotype" w:hAnsi="Palatino Linotype"/>
          <w:i/>
          <w:szCs w:val="24"/>
        </w:rPr>
        <w:t>Id</w:t>
      </w:r>
      <w:r w:rsidRPr="00511954">
        <w:rPr>
          <w:rFonts w:ascii="Palatino Linotype" w:hAnsi="Palatino Linotype"/>
          <w:szCs w:val="24"/>
        </w:rPr>
        <w:t>. at COL 13.</w:t>
      </w:r>
    </w:p>
  </w:footnote>
  <w:footnote w:id="40">
    <w:p w14:paraId="4969507F"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See also D.18-06-027 at Findings of Fact (FOF) 35 (“To obtain the benefits of the Community Solar Green Tariff program, low-income customer participants – </w:t>
      </w:r>
      <w:r w:rsidRPr="00511954">
        <w:rPr>
          <w:rFonts w:ascii="Palatino Linotype" w:hAnsi="Palatino Linotype"/>
          <w:szCs w:val="24"/>
          <w:u w:val="single"/>
        </w:rPr>
        <w:t>as well as other participants</w:t>
      </w:r>
      <w:r w:rsidRPr="00511954">
        <w:rPr>
          <w:rFonts w:ascii="Palatino Linotype" w:hAnsi="Palatino Linotype"/>
          <w:szCs w:val="24"/>
        </w:rPr>
        <w:t xml:space="preserve"> (including sponsors) who are needed to promote project viability – </w:t>
      </w:r>
      <w:r w:rsidRPr="00511954">
        <w:rPr>
          <w:rFonts w:ascii="Palatino Linotype" w:hAnsi="Palatino Linotype"/>
          <w:szCs w:val="24"/>
          <w:u w:val="single"/>
        </w:rPr>
        <w:t>need to experience overall electricity cost reductions</w:t>
      </w:r>
      <w:r w:rsidRPr="00511954">
        <w:rPr>
          <w:rFonts w:ascii="Palatino Linotype" w:hAnsi="Palatino Linotype"/>
          <w:szCs w:val="24"/>
        </w:rPr>
        <w:t>”) (emphasis added.)</w:t>
      </w:r>
    </w:p>
  </w:footnote>
  <w:footnote w:id="41">
    <w:p w14:paraId="6841F738"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Decision 18-06-027 at 51 states that the DAC-GT program “will be available only to low-income residential customers in DACs, defined as those meeting the qualifications for CARE and FERA.” The Decision at 72 further states “[f]or the purposes of the Community Solar Green Tariff program, we define low-income customers as CARE-eligible and FERA- eligible customers.”  </w:t>
      </w:r>
    </w:p>
  </w:footnote>
  <w:footnote w:id="42">
    <w:p w14:paraId="45B60C70"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D.18-06-027 at COL 13.</w:t>
      </w:r>
    </w:p>
  </w:footnote>
  <w:footnote w:id="43">
    <w:p w14:paraId="3A3672BD" w14:textId="519CB14A" w:rsidR="00786345" w:rsidRDefault="00786345" w:rsidP="00787705">
      <w:pPr>
        <w:pStyle w:val="FootnoteText"/>
        <w:spacing w:after="0"/>
        <w:contextualSpacing/>
      </w:pPr>
      <w:r w:rsidRPr="006A5D4F">
        <w:rPr>
          <w:rStyle w:val="FootnoteReference"/>
          <w:rFonts w:ascii="Palatino Linotype" w:hAnsi="Palatino Linotype"/>
          <w:szCs w:val="24"/>
        </w:rPr>
        <w:footnoteRef/>
      </w:r>
      <w:r w:rsidRPr="006A5D4F">
        <w:rPr>
          <w:rStyle w:val="FootnoteReference"/>
          <w:rFonts w:ascii="Palatino Linotype" w:hAnsi="Palatino Linotype"/>
          <w:szCs w:val="24"/>
        </w:rPr>
        <w:t xml:space="preserve"> </w:t>
      </w:r>
      <w:r w:rsidRPr="00115581">
        <w:rPr>
          <w:rFonts w:ascii="Palatino Linotype" w:hAnsi="Palatino Linotype"/>
          <w:szCs w:val="24"/>
        </w:rPr>
        <w:t xml:space="preserve">At a minimum the information should be sent via email to: </w:t>
      </w:r>
      <w:r w:rsidRPr="00F56D1C">
        <w:rPr>
          <w:rFonts w:ascii="Palatino Linotype" w:hAnsi="Palatino Linotype"/>
          <w:szCs w:val="24"/>
        </w:rPr>
        <w:t xml:space="preserve">EnergyDivisionCentralFiles@cpuc.ca.gov </w:t>
      </w:r>
    </w:p>
  </w:footnote>
  <w:footnote w:id="44">
    <w:p w14:paraId="74081082"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SCE Reply at 4.</w:t>
      </w:r>
    </w:p>
  </w:footnote>
  <w:footnote w:id="45">
    <w:p w14:paraId="746E33AC"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D.18-06-027 at 81-82. </w:t>
      </w:r>
    </w:p>
  </w:footnote>
  <w:footnote w:id="46">
    <w:p w14:paraId="42C155C7"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11954">
        <w:rPr>
          <w:rFonts w:ascii="Palatino Linotype" w:hAnsi="Palatino Linotype"/>
          <w:i/>
          <w:szCs w:val="24"/>
        </w:rPr>
        <w:t>Id</w:t>
      </w:r>
      <w:r w:rsidRPr="00511954">
        <w:rPr>
          <w:rFonts w:ascii="Palatino Linotype" w:hAnsi="Palatino Linotype"/>
          <w:szCs w:val="24"/>
        </w:rPr>
        <w:t xml:space="preserve">. at 73. </w:t>
      </w:r>
    </w:p>
  </w:footnote>
  <w:footnote w:id="47">
    <w:p w14:paraId="0E049CB8"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PG&amp;E AL 5362-E at 9.</w:t>
      </w:r>
    </w:p>
  </w:footnote>
  <w:footnote w:id="48">
    <w:p w14:paraId="61FD081F" w14:textId="2F744BDD"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Pr>
          <w:rFonts w:ascii="Palatino Linotype" w:hAnsi="Palatino Linotype"/>
          <w:szCs w:val="24"/>
        </w:rPr>
        <w:t xml:space="preserve">Application (A.) 12-01-008 et al. </w:t>
      </w:r>
      <w:r w:rsidRPr="006F7EAF">
        <w:rPr>
          <w:rFonts w:ascii="Palatino Linotype" w:hAnsi="Palatino Linotype"/>
          <w:i/>
          <w:szCs w:val="24"/>
        </w:rPr>
        <w:t>Application of San Diego Gas &amp; Electric Company (U902E) for Authority to Implement Optional Pilot Program to Increase Customer Access to Solar Generated Electricity; And Related Matters</w:t>
      </w:r>
      <w:r w:rsidRPr="003A0B61">
        <w:rPr>
          <w:rFonts w:ascii="Palatino Linotype" w:hAnsi="Palatino Linotype"/>
          <w:szCs w:val="24"/>
        </w:rPr>
        <w:t xml:space="preserve">. </w:t>
      </w:r>
      <w:r w:rsidRPr="006940AB">
        <w:rPr>
          <w:rFonts w:ascii="Palatino Linotype" w:hAnsi="Palatino Linotype"/>
          <w:i/>
          <w:szCs w:val="24"/>
        </w:rPr>
        <w:t xml:space="preserve">2018 Annual Green Tariff Shared Renewables Program Report of Pacific Gas and Electric Company (U 39 </w:t>
      </w:r>
      <w:proofErr w:type="gramStart"/>
      <w:r w:rsidRPr="006940AB">
        <w:rPr>
          <w:rFonts w:ascii="Palatino Linotype" w:hAnsi="Palatino Linotype"/>
          <w:i/>
          <w:szCs w:val="24"/>
        </w:rPr>
        <w:t>E)</w:t>
      </w:r>
      <w:r w:rsidRPr="00511954">
        <w:rPr>
          <w:rFonts w:ascii="Palatino Linotype" w:hAnsi="Palatino Linotype"/>
          <w:szCs w:val="24"/>
        </w:rPr>
        <w:t xml:space="preserve">  </w:t>
      </w:r>
      <w:r>
        <w:rPr>
          <w:rFonts w:ascii="Palatino Linotype" w:hAnsi="Palatino Linotype"/>
          <w:szCs w:val="24"/>
        </w:rPr>
        <w:t>filed</w:t>
      </w:r>
      <w:proofErr w:type="gramEnd"/>
      <w:r>
        <w:rPr>
          <w:rFonts w:ascii="Palatino Linotype" w:hAnsi="Palatino Linotype"/>
          <w:szCs w:val="24"/>
        </w:rPr>
        <w:t xml:space="preserve"> </w:t>
      </w:r>
      <w:r w:rsidRPr="00511954">
        <w:rPr>
          <w:rFonts w:ascii="Palatino Linotype" w:hAnsi="Palatino Linotype"/>
          <w:szCs w:val="24"/>
        </w:rPr>
        <w:t xml:space="preserve">March 15, 2019 </w:t>
      </w:r>
      <w:r>
        <w:rPr>
          <w:rFonts w:ascii="Palatino Linotype" w:hAnsi="Palatino Linotype"/>
          <w:szCs w:val="24"/>
        </w:rPr>
        <w:t>(</w:t>
      </w:r>
      <w:r w:rsidRPr="00511954">
        <w:rPr>
          <w:rFonts w:ascii="Palatino Linotype" w:hAnsi="Palatino Linotype"/>
          <w:szCs w:val="24"/>
        </w:rPr>
        <w:t>PG&amp;E 2018 GTSR Report</w:t>
      </w:r>
      <w:r>
        <w:rPr>
          <w:rFonts w:ascii="Palatino Linotype" w:hAnsi="Palatino Linotype"/>
          <w:szCs w:val="24"/>
        </w:rPr>
        <w:t xml:space="preserve">), </w:t>
      </w:r>
      <w:r w:rsidRPr="00511954">
        <w:rPr>
          <w:rFonts w:ascii="Palatino Linotype" w:hAnsi="Palatino Linotype"/>
          <w:szCs w:val="24"/>
        </w:rPr>
        <w:t>at attachment 1 pages 3-4.</w:t>
      </w:r>
    </w:p>
  </w:footnote>
  <w:footnote w:id="49">
    <w:p w14:paraId="432D7FD4"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PG&amp;E AL 5362-E-A at 6 (February 13, 2019).</w:t>
      </w:r>
    </w:p>
  </w:footnote>
  <w:footnote w:id="50">
    <w:p w14:paraId="438DB771"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PG&amp;E AL 5362-E-A at 3.</w:t>
      </w:r>
    </w:p>
  </w:footnote>
  <w:footnote w:id="51">
    <w:p w14:paraId="40F81620"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SCE AL 3851-E at 8 (August 20, 2018). </w:t>
      </w:r>
    </w:p>
  </w:footnote>
  <w:footnote w:id="52">
    <w:p w14:paraId="2EC33235" w14:textId="2C268792"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D.18-06-027 at 2.</w:t>
      </w:r>
      <w:r>
        <w:rPr>
          <w:rFonts w:ascii="Palatino Linotype" w:hAnsi="Palatino Linotype"/>
          <w:szCs w:val="24"/>
        </w:rPr>
        <w:t xml:space="preserve"> Emphasis added.</w:t>
      </w:r>
    </w:p>
  </w:footnote>
  <w:footnote w:id="53">
    <w:p w14:paraId="1169F206" w14:textId="77777777" w:rsidR="00786345" w:rsidRPr="00511954" w:rsidRDefault="00786345" w:rsidP="00787705">
      <w:pPr>
        <w:pStyle w:val="FootnoteText"/>
        <w:spacing w:after="0"/>
        <w:contextualSpacing/>
        <w:rPr>
          <w:rFonts w:ascii="Palatino Linotype" w:hAnsi="Palatino Linotype"/>
          <w:szCs w:val="24"/>
        </w:rPr>
      </w:pPr>
      <w:r w:rsidRPr="00511954">
        <w:rPr>
          <w:rFonts w:ascii="Palatino Linotype" w:hAnsi="Palatino Linotype"/>
          <w:szCs w:val="24"/>
          <w:vertAlign w:val="superscript"/>
        </w:rPr>
        <w:footnoteRef/>
      </w:r>
      <w:r w:rsidRPr="00511954">
        <w:rPr>
          <w:rFonts w:ascii="Palatino Linotype" w:hAnsi="Palatino Linotype"/>
          <w:szCs w:val="24"/>
        </w:rPr>
        <w:t xml:space="preserve"> PG&amp;E 2018 GTSR Report at attachment 1, page 1. </w:t>
      </w:r>
    </w:p>
  </w:footnote>
  <w:footnote w:id="54">
    <w:p w14:paraId="287690B2"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11954">
        <w:rPr>
          <w:rFonts w:ascii="Palatino Linotype" w:hAnsi="Palatino Linotype"/>
          <w:i/>
          <w:szCs w:val="24"/>
        </w:rPr>
        <w:t>Id</w:t>
      </w:r>
      <w:r w:rsidRPr="00511954">
        <w:rPr>
          <w:rFonts w:ascii="Palatino Linotype" w:hAnsi="Palatino Linotype"/>
          <w:szCs w:val="24"/>
        </w:rPr>
        <w:t>. at 51.</w:t>
      </w:r>
    </w:p>
  </w:footnote>
  <w:footnote w:id="55">
    <w:p w14:paraId="68FDA4B5" w14:textId="4AD92ECE"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This is </w:t>
      </w:r>
      <w:proofErr w:type="gramStart"/>
      <w:r w:rsidRPr="00511954">
        <w:rPr>
          <w:rFonts w:ascii="Palatino Linotype" w:hAnsi="Palatino Linotype"/>
          <w:szCs w:val="24"/>
        </w:rPr>
        <w:t>similar to</w:t>
      </w:r>
      <w:proofErr w:type="gramEnd"/>
      <w:r w:rsidRPr="00511954">
        <w:rPr>
          <w:rFonts w:ascii="Palatino Linotype" w:hAnsi="Palatino Linotype"/>
          <w:szCs w:val="24"/>
        </w:rPr>
        <w:t xml:space="preserve"> the approach taken by the Commission for the GTSR program, which is the basis for the DAC-GT program. In Decision 15-01-051, the Commission allowed the IOUs to use existing RPS resources that were eligible for GTSR to serve initial customers on an interim basis. The decision states, “[o]</w:t>
      </w:r>
      <w:proofErr w:type="spellStart"/>
      <w:r w:rsidRPr="00511954">
        <w:rPr>
          <w:rFonts w:ascii="Palatino Linotype" w:hAnsi="Palatino Linotype"/>
          <w:szCs w:val="24"/>
        </w:rPr>
        <w:t>nce</w:t>
      </w:r>
      <w:proofErr w:type="spellEnd"/>
      <w:r w:rsidRPr="00511954">
        <w:rPr>
          <w:rFonts w:ascii="Palatino Linotype" w:hAnsi="Palatino Linotype"/>
          <w:szCs w:val="24"/>
        </w:rPr>
        <w:t xml:space="preserve"> the projects procured specifically for the GTSR Program come online, the participating customers will be served exclusively from those resources and any subsequent incremental GTSR procurement” at 43.</w:t>
      </w:r>
    </w:p>
  </w:footnote>
  <w:footnote w:id="56">
    <w:p w14:paraId="1048ECC2" w14:textId="656775F1"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SCE AL 3851-E at 8 (August 20, 2018).  </w:t>
      </w:r>
    </w:p>
  </w:footnote>
  <w:footnote w:id="57">
    <w:p w14:paraId="58AF9129"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Style w:val="FootnoteReference"/>
          <w:rFonts w:ascii="Palatino Linotype" w:hAnsi="Palatino Linotype"/>
          <w:szCs w:val="24"/>
        </w:rPr>
        <w:t xml:space="preserve"> </w:t>
      </w:r>
      <w:r w:rsidRPr="00511954">
        <w:rPr>
          <w:rFonts w:ascii="Palatino Linotype" w:hAnsi="Palatino Linotype"/>
          <w:szCs w:val="24"/>
        </w:rPr>
        <w:t>D.18-06-027 at 53, COL 14.</w:t>
      </w:r>
    </w:p>
  </w:footnote>
  <w:footnote w:id="58">
    <w:p w14:paraId="6260C50F" w14:textId="77777777" w:rsidR="00786345" w:rsidRPr="00511954" w:rsidRDefault="00786345" w:rsidP="00787705">
      <w:pPr>
        <w:pStyle w:val="FootnoteText"/>
        <w:spacing w:after="0"/>
        <w:contextualSpacing/>
        <w:rPr>
          <w:rStyle w:val="FootnoteReference"/>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SCE AL 3851-E at 7. SDG&amp;E AL 3262-E-B at 2 (January 24, 2019).</w:t>
      </w:r>
    </w:p>
  </w:footnote>
  <w:footnote w:id="59">
    <w:p w14:paraId="3574B142"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PG&amp;E AL 5362-E-A at 3.</w:t>
      </w:r>
    </w:p>
  </w:footnote>
  <w:footnote w:id="60">
    <w:p w14:paraId="58C0FE87"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PG&amp;E AL 5362-E-A at 2-3.</w:t>
      </w:r>
    </w:p>
  </w:footnote>
  <w:footnote w:id="61">
    <w:p w14:paraId="7EF15ACE"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SDG&amp;E AL 3262-E-A (August 24, 2018) at 6.</w:t>
      </w:r>
    </w:p>
  </w:footnote>
  <w:footnote w:id="62">
    <w:p w14:paraId="3C55DB9C" w14:textId="4DB9593A"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Above market generation cost should include net renewable resource costs in excess of the otherwise applicable class average generation rate that will be used to calculate DAC-GT and CSGT customers’ bills. </w:t>
      </w:r>
    </w:p>
  </w:footnote>
  <w:footnote w:id="63">
    <w:p w14:paraId="0C3581E8" w14:textId="1CAAB934"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The NEM DAC Decision supports the suggestion from commenters to ensure that “project sponsors are able to secure a share of ME&amp;O funds so they are able to accomplish the outreach and recruitment envision” and directs, “utilities should include this component in their proposed ME&amp;O budgets.” D. 18-06-027 at 84.</w:t>
      </w:r>
    </w:p>
  </w:footnote>
  <w:footnote w:id="64">
    <w:p w14:paraId="7DD04D9D" w14:textId="09305B6F" w:rsidR="00786345" w:rsidRPr="00971163" w:rsidRDefault="00786345" w:rsidP="00787705">
      <w:pPr>
        <w:pStyle w:val="FootnoteText"/>
        <w:spacing w:after="0"/>
        <w:contextualSpacing/>
      </w:pPr>
      <w:r>
        <w:rPr>
          <w:rStyle w:val="FootnoteReference"/>
        </w:rPr>
        <w:footnoteRef/>
      </w:r>
      <w:r>
        <w:t xml:space="preserve"> D.18-06-027 at OP 15.</w:t>
      </w:r>
    </w:p>
  </w:footnote>
  <w:footnote w:id="65">
    <w:p w14:paraId="7BC55880" w14:textId="5648F25E"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11954">
        <w:rPr>
          <w:rFonts w:ascii="Palatino Linotype" w:hAnsi="Palatino Linotype"/>
          <w:i/>
          <w:szCs w:val="24"/>
        </w:rPr>
        <w:t>Id</w:t>
      </w:r>
      <w:r w:rsidRPr="00511954">
        <w:rPr>
          <w:rFonts w:ascii="Palatino Linotype" w:hAnsi="Palatino Linotype"/>
          <w:szCs w:val="24"/>
        </w:rPr>
        <w:t>. at OP 8.</w:t>
      </w:r>
    </w:p>
  </w:footnote>
  <w:footnote w:id="66">
    <w:p w14:paraId="5CE121AE" w14:textId="7777777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sidRPr="00511954">
        <w:rPr>
          <w:rFonts w:ascii="Palatino Linotype" w:hAnsi="Palatino Linotype"/>
          <w:i/>
          <w:szCs w:val="24"/>
        </w:rPr>
        <w:t>Id</w:t>
      </w:r>
      <w:r w:rsidRPr="00511954">
        <w:rPr>
          <w:rFonts w:ascii="Palatino Linotype" w:hAnsi="Palatino Linotype"/>
          <w:szCs w:val="24"/>
        </w:rPr>
        <w:t>. at OP 15.</w:t>
      </w:r>
    </w:p>
  </w:footnote>
  <w:footnote w:id="67">
    <w:p w14:paraId="77898E98" w14:textId="2477EC35"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For example, on February 1, 2021, the IOUs would provide their program budgets for 2022, including actual program expenditures for 2020.</w:t>
      </w:r>
    </w:p>
  </w:footnote>
  <w:footnote w:id="68">
    <w:p w14:paraId="43D601BA" w14:textId="77777777" w:rsidR="00786345" w:rsidRPr="00511954" w:rsidRDefault="00786345" w:rsidP="00787705">
      <w:pPr>
        <w:pStyle w:val="BodyText"/>
        <w:contextualSpacing/>
        <w:rPr>
          <w:rFonts w:ascii="Palatino Linotype" w:hAnsi="Palatino Linotype"/>
          <w:b w:val="0"/>
          <w:sz w:val="24"/>
          <w:szCs w:val="24"/>
        </w:rPr>
      </w:pPr>
      <w:r w:rsidRPr="00511954">
        <w:rPr>
          <w:rStyle w:val="FootnoteReference"/>
          <w:rFonts w:ascii="Palatino Linotype" w:hAnsi="Palatino Linotype"/>
          <w:b w:val="0"/>
          <w:sz w:val="24"/>
          <w:szCs w:val="24"/>
        </w:rPr>
        <w:footnoteRef/>
      </w:r>
      <w:r w:rsidRPr="00511954">
        <w:rPr>
          <w:rFonts w:ascii="Palatino Linotype" w:hAnsi="Palatino Linotype"/>
          <w:b w:val="0"/>
          <w:sz w:val="24"/>
          <w:szCs w:val="24"/>
        </w:rPr>
        <w:t xml:space="preserve"> For example, we expect PG&amp;E to include costs for procuring new DAC-GT resources in its revised budget and SCE to remove costs from its budget that were associated with serving DAC-GT customers using resources that do not meet all program eligibility rules for DAC-GT.</w:t>
      </w:r>
    </w:p>
  </w:footnote>
  <w:footnote w:id="69">
    <w:p w14:paraId="5ED83766" w14:textId="468DFD71"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For example, SDG&amp;E filed its 2020 ERRA Forecast and GHG Revenue Forecast with the Commission on April 15, 2019. </w:t>
      </w:r>
    </w:p>
  </w:footnote>
  <w:footnote w:id="70">
    <w:p w14:paraId="040D1D88"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D.18-06-027 at 83. </w:t>
      </w:r>
    </w:p>
  </w:footnote>
  <w:footnote w:id="71">
    <w:p w14:paraId="06329F89"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D.18-10-007 at 12.</w:t>
      </w:r>
    </w:p>
  </w:footnote>
  <w:footnote w:id="72">
    <w:p w14:paraId="5F1EF5ED"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w:t>
      </w:r>
      <w:r w:rsidRPr="00263349">
        <w:rPr>
          <w:rFonts w:ascii="Palatino Linotype" w:hAnsi="Palatino Linotype"/>
          <w:i/>
          <w:szCs w:val="24"/>
        </w:rPr>
        <w:t>Id</w:t>
      </w:r>
      <w:r w:rsidRPr="00263349">
        <w:rPr>
          <w:rFonts w:ascii="Palatino Linotype" w:hAnsi="Palatino Linotype"/>
          <w:szCs w:val="24"/>
        </w:rPr>
        <w:t>. at OP 18.</w:t>
      </w:r>
    </w:p>
  </w:footnote>
  <w:footnote w:id="73">
    <w:p w14:paraId="41CD76EA"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w:t>
      </w:r>
      <w:r w:rsidRPr="00263349">
        <w:rPr>
          <w:rFonts w:ascii="Palatino Linotype" w:hAnsi="Palatino Linotype"/>
          <w:i/>
          <w:szCs w:val="24"/>
        </w:rPr>
        <w:t>Id</w:t>
      </w:r>
      <w:r w:rsidRPr="00263349">
        <w:rPr>
          <w:rFonts w:ascii="Palatino Linotype" w:hAnsi="Palatino Linotype"/>
          <w:szCs w:val="24"/>
        </w:rPr>
        <w:t>. at 84.</w:t>
      </w:r>
    </w:p>
  </w:footnote>
  <w:footnote w:id="74">
    <w:p w14:paraId="44DCD9D9" w14:textId="2CBD21B4"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w:t>
      </w:r>
      <w:r w:rsidRPr="00263349">
        <w:rPr>
          <w:rFonts w:ascii="Palatino Linotype" w:hAnsi="Palatino Linotype"/>
          <w:i/>
          <w:szCs w:val="24"/>
        </w:rPr>
        <w:t>Id</w:t>
      </w:r>
      <w:r w:rsidRPr="00263349">
        <w:rPr>
          <w:rFonts w:ascii="Palatino Linotype" w:hAnsi="Palatino Linotype"/>
          <w:szCs w:val="24"/>
        </w:rPr>
        <w:t>. at Appendix A.</w:t>
      </w:r>
    </w:p>
  </w:footnote>
  <w:footnote w:id="75">
    <w:p w14:paraId="0257C57B"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SDG&amp;E AL 3262-E at 7 (August 20, 2018). SDG&amp;E AL 3262-E-A at 6 (August 24, 2018).</w:t>
      </w:r>
    </w:p>
  </w:footnote>
  <w:footnote w:id="76">
    <w:p w14:paraId="7C3FA452"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SCE AL 3851-E at 11.</w:t>
      </w:r>
    </w:p>
  </w:footnote>
  <w:footnote w:id="77">
    <w:p w14:paraId="308FD72D"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PG&amp;E 5362-E-A (February 13, 2019) at 5-6.</w:t>
      </w:r>
    </w:p>
  </w:footnote>
  <w:footnote w:id="78">
    <w:p w14:paraId="193EADCB"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D.18-12-015 at 111.</w:t>
      </w:r>
    </w:p>
  </w:footnote>
  <w:footnote w:id="79">
    <w:p w14:paraId="031A783B" w14:textId="2DF7861E"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D.18-06-027 at 85.</w:t>
      </w:r>
    </w:p>
  </w:footnote>
  <w:footnote w:id="80">
    <w:p w14:paraId="149E136C" w14:textId="44B7EF7B"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w:t>
      </w:r>
      <w:r>
        <w:rPr>
          <w:rFonts w:ascii="Palatino Linotype" w:hAnsi="Palatino Linotype"/>
          <w:i/>
          <w:szCs w:val="24"/>
        </w:rPr>
        <w:t>Id.</w:t>
      </w:r>
      <w:r w:rsidRPr="00263349">
        <w:rPr>
          <w:rFonts w:ascii="Palatino Linotype" w:hAnsi="Palatino Linotype"/>
          <w:szCs w:val="24"/>
        </w:rPr>
        <w:t xml:space="preserve"> at 86-87 and COL 29.</w:t>
      </w:r>
    </w:p>
  </w:footnote>
  <w:footnote w:id="81">
    <w:p w14:paraId="0F5BE570"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w:t>
      </w:r>
      <w:r w:rsidRPr="00263349">
        <w:rPr>
          <w:rFonts w:ascii="Palatino Linotype" w:hAnsi="Palatino Linotype"/>
          <w:i/>
          <w:szCs w:val="24"/>
        </w:rPr>
        <w:t>Id</w:t>
      </w:r>
      <w:r w:rsidRPr="00263349">
        <w:rPr>
          <w:rFonts w:ascii="Palatino Linotype" w:hAnsi="Palatino Linotype"/>
          <w:szCs w:val="24"/>
        </w:rPr>
        <w:t>. at 82.</w:t>
      </w:r>
    </w:p>
  </w:footnote>
  <w:footnote w:id="82">
    <w:p w14:paraId="537DACF0"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SCE AL 3851 at 6.</w:t>
      </w:r>
    </w:p>
  </w:footnote>
  <w:footnote w:id="83">
    <w:p w14:paraId="17605652"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IREC/SELC Response at 4.</w:t>
      </w:r>
    </w:p>
  </w:footnote>
  <w:footnote w:id="84">
    <w:p w14:paraId="65DC472D"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See, e.g., D.11-04-030 at 20-22; D. 13-11-024 at 51: (“We continue to require utilities to accept energy-only bids.”).</w:t>
      </w:r>
    </w:p>
  </w:footnote>
  <w:footnote w:id="85">
    <w:p w14:paraId="4EA37CD0" w14:textId="77777777" w:rsidR="00786345" w:rsidRPr="00263349" w:rsidRDefault="00786345" w:rsidP="00787705">
      <w:pPr>
        <w:pStyle w:val="FootnoteText"/>
        <w:spacing w:after="0"/>
        <w:contextualSpacing/>
        <w:rPr>
          <w:rFonts w:ascii="Palatino Linotype" w:hAnsi="Palatino Linotype"/>
          <w:szCs w:val="24"/>
        </w:rPr>
      </w:pPr>
      <w:r w:rsidRPr="00263349">
        <w:rPr>
          <w:rFonts w:ascii="Palatino Linotype" w:hAnsi="Palatino Linotype"/>
          <w:szCs w:val="24"/>
          <w:vertAlign w:val="superscript"/>
        </w:rPr>
        <w:footnoteRef/>
      </w:r>
      <w:bookmarkStart w:id="8" w:name="_Hlk2850154"/>
      <w:r w:rsidRPr="00263349">
        <w:rPr>
          <w:rFonts w:ascii="Palatino Linotype" w:hAnsi="Palatino Linotype"/>
          <w:szCs w:val="24"/>
        </w:rPr>
        <w:t xml:space="preserve"> The Decision states, “SCE in comments on the revised APD recommends the Commission give the utilities the option to be directly involved in the project conceptualization stage by exercising an option to utilize a RFI process</w:t>
      </w:r>
      <w:proofErr w:type="gramStart"/>
      <w:r w:rsidRPr="00263349">
        <w:rPr>
          <w:rFonts w:ascii="Palatino Linotype" w:hAnsi="Palatino Linotype"/>
          <w:szCs w:val="24"/>
        </w:rPr>
        <w:t>. . . .</w:t>
      </w:r>
      <w:proofErr w:type="gramEnd"/>
      <w:r w:rsidRPr="00263349">
        <w:rPr>
          <w:rFonts w:ascii="Palatino Linotype" w:hAnsi="Palatino Linotype"/>
          <w:szCs w:val="24"/>
        </w:rPr>
        <w:t xml:space="preserve"> This utility-directed process would occur prior to the RFP process described in the Revised APD. SCE’s suggestion is </w:t>
      </w:r>
      <w:proofErr w:type="gramStart"/>
      <w:r w:rsidRPr="00263349">
        <w:rPr>
          <w:rFonts w:ascii="Palatino Linotype" w:hAnsi="Palatino Linotype"/>
          <w:szCs w:val="24"/>
        </w:rPr>
        <w:t>reasonable</w:t>
      </w:r>
      <w:proofErr w:type="gramEnd"/>
      <w:r w:rsidRPr="00263349">
        <w:rPr>
          <w:rFonts w:ascii="Palatino Linotype" w:hAnsi="Palatino Linotype"/>
          <w:szCs w:val="24"/>
        </w:rPr>
        <w:t xml:space="preserve"> and we will allow (but not require) SCE to use this process. Any other utility may also use this process as well.”</w:t>
      </w:r>
      <w:r w:rsidRPr="00263349">
        <w:rPr>
          <w:rFonts w:ascii="Palatino Linotype" w:hAnsi="Palatino Linotype"/>
          <w:i/>
          <w:szCs w:val="24"/>
        </w:rPr>
        <w:tab/>
        <w:t>Id</w:t>
      </w:r>
      <w:r w:rsidRPr="00263349">
        <w:rPr>
          <w:rFonts w:ascii="Palatino Linotype" w:hAnsi="Palatino Linotype"/>
          <w:szCs w:val="24"/>
        </w:rPr>
        <w:t>. at 82-83. While the Decision allows SCE to run an RFI, it does not give the utility permission to delay solicitation of CSGT projects.</w:t>
      </w:r>
      <w:bookmarkEnd w:id="8"/>
      <w:r w:rsidRPr="00263349">
        <w:rPr>
          <w:rFonts w:ascii="Palatino Linotype" w:hAnsi="Palatino Linotype"/>
          <w:szCs w:val="24"/>
        </w:rPr>
        <w:t xml:space="preserve"> </w:t>
      </w:r>
    </w:p>
  </w:footnote>
  <w:footnote w:id="86">
    <w:p w14:paraId="2B877313"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SCE AL 3851-E at 11.</w:t>
      </w:r>
    </w:p>
  </w:footnote>
  <w:footnote w:id="87">
    <w:p w14:paraId="70F80DE1"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D.18-06-027 at 84.</w:t>
      </w:r>
    </w:p>
  </w:footnote>
  <w:footnote w:id="88">
    <w:p w14:paraId="7739542A"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SCE AL 3851-E at 5-6.</w:t>
      </w:r>
    </w:p>
  </w:footnote>
  <w:footnote w:id="89">
    <w:p w14:paraId="6D5ED0F5" w14:textId="77777777" w:rsidR="00786345" w:rsidRPr="00263349" w:rsidRDefault="00786345" w:rsidP="00787705">
      <w:pPr>
        <w:pStyle w:val="Default"/>
        <w:contextualSpacing/>
        <w:rPr>
          <w:rFonts w:ascii="Palatino Linotype" w:hAnsi="Palatino Linotype" w:cs="Times New Roman"/>
          <w:color w:val="auto"/>
        </w:rPr>
      </w:pPr>
      <w:r w:rsidRPr="00263349">
        <w:rPr>
          <w:rStyle w:val="FootnoteReference"/>
          <w:rFonts w:ascii="Palatino Linotype" w:hAnsi="Palatino Linotype" w:cs="Times New Roman"/>
          <w:color w:val="auto"/>
        </w:rPr>
        <w:footnoteRef/>
      </w:r>
      <w:r w:rsidRPr="00263349">
        <w:rPr>
          <w:rStyle w:val="FootnoteReference"/>
          <w:rFonts w:ascii="Palatino Linotype" w:hAnsi="Palatino Linotype" w:cs="Times New Roman"/>
          <w:color w:val="auto"/>
        </w:rPr>
        <w:t xml:space="preserve"> </w:t>
      </w:r>
      <w:r w:rsidRPr="00263349">
        <w:rPr>
          <w:rStyle w:val="FootnoteReference"/>
          <w:rFonts w:ascii="Palatino Linotype" w:hAnsi="Palatino Linotype"/>
        </w:rPr>
        <w:t xml:space="preserve"> </w:t>
      </w:r>
      <w:r w:rsidRPr="00263349">
        <w:rPr>
          <w:rFonts w:ascii="Palatino Linotype" w:hAnsi="Palatino Linotype" w:cs="Times New Roman"/>
          <w:color w:val="auto"/>
        </w:rPr>
        <w:t xml:space="preserve">D.16-05-006 at OP 3. </w:t>
      </w:r>
    </w:p>
  </w:footnote>
  <w:footnote w:id="90">
    <w:p w14:paraId="42FFE54E" w14:textId="4FBC3D2F" w:rsidR="00786345" w:rsidRDefault="00786345" w:rsidP="00787705">
      <w:pPr>
        <w:pStyle w:val="FootnoteText"/>
        <w:spacing w:after="0"/>
        <w:contextualSpacing/>
      </w:pPr>
      <w:r>
        <w:rPr>
          <w:rStyle w:val="FootnoteReference"/>
        </w:rPr>
        <w:footnoteRef/>
      </w:r>
      <w:r>
        <w:t xml:space="preserve"> </w:t>
      </w:r>
      <w:r w:rsidRPr="00263349">
        <w:rPr>
          <w:rFonts w:ascii="Palatino Linotype" w:hAnsi="Palatino Linotype"/>
          <w:szCs w:val="24"/>
        </w:rPr>
        <w:t>PG&amp;E AL 5362-E</w:t>
      </w:r>
      <w:r>
        <w:rPr>
          <w:rFonts w:ascii="Palatino Linotype" w:hAnsi="Palatino Linotype"/>
          <w:szCs w:val="24"/>
        </w:rPr>
        <w:t xml:space="preserve"> at 10.</w:t>
      </w:r>
    </w:p>
  </w:footnote>
  <w:footnote w:id="91">
    <w:p w14:paraId="7A29AD9B" w14:textId="6C58A6A7" w:rsidR="00786345" w:rsidRPr="00511954" w:rsidRDefault="00786345" w:rsidP="00787705">
      <w:pPr>
        <w:pStyle w:val="FootnoteText"/>
        <w:spacing w:after="0"/>
        <w:contextualSpacing/>
        <w:rPr>
          <w:rFonts w:ascii="Palatino Linotype" w:hAnsi="Palatino Linotype"/>
          <w:szCs w:val="24"/>
        </w:rPr>
      </w:pPr>
      <w:r w:rsidRPr="00511954">
        <w:rPr>
          <w:rStyle w:val="FootnoteReference"/>
          <w:rFonts w:ascii="Palatino Linotype" w:hAnsi="Palatino Linotype"/>
          <w:szCs w:val="24"/>
        </w:rPr>
        <w:footnoteRef/>
      </w:r>
      <w:r w:rsidRPr="00511954">
        <w:rPr>
          <w:rFonts w:ascii="Palatino Linotype" w:hAnsi="Palatino Linotype"/>
          <w:szCs w:val="24"/>
        </w:rPr>
        <w:t xml:space="preserve">  </w:t>
      </w:r>
      <w:r>
        <w:rPr>
          <w:rFonts w:ascii="Palatino Linotype" w:hAnsi="Palatino Linotype"/>
          <w:szCs w:val="24"/>
        </w:rPr>
        <w:t xml:space="preserve">D.18-06-027 </w:t>
      </w:r>
      <w:r w:rsidRPr="00511954">
        <w:rPr>
          <w:rFonts w:ascii="Palatino Linotype" w:hAnsi="Palatino Linotype"/>
          <w:szCs w:val="24"/>
        </w:rPr>
        <w:t xml:space="preserve">at OP 16. </w:t>
      </w:r>
    </w:p>
  </w:footnote>
  <w:footnote w:id="92">
    <w:p w14:paraId="39ECF8E5" w14:textId="1FFE3BB2"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w:t>
      </w:r>
      <w:r>
        <w:rPr>
          <w:rFonts w:ascii="Palatino Linotype" w:hAnsi="Palatino Linotype"/>
          <w:i/>
          <w:szCs w:val="24"/>
        </w:rPr>
        <w:t>Id.</w:t>
      </w:r>
      <w:r w:rsidRPr="00263349">
        <w:rPr>
          <w:rFonts w:ascii="Palatino Linotype" w:hAnsi="Palatino Linotype"/>
          <w:szCs w:val="24"/>
        </w:rPr>
        <w:t xml:space="preserve"> at 73. </w:t>
      </w:r>
    </w:p>
  </w:footnote>
  <w:footnote w:id="93">
    <w:p w14:paraId="68FCB447" w14:textId="1D2F4D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As shown in Table 1 and Table 2, this means a maximum CSGT project cap of 4.37 MW for PG&amp;</w:t>
      </w:r>
      <w:r w:rsidRPr="002F40D7">
        <w:rPr>
          <w:rFonts w:ascii="Palatino Linotype" w:hAnsi="Palatino Linotype"/>
          <w:szCs w:val="24"/>
        </w:rPr>
        <w:t>E, 4.39 MW for</w:t>
      </w:r>
      <w:r w:rsidRPr="00263349">
        <w:rPr>
          <w:rFonts w:ascii="Palatino Linotype" w:hAnsi="Palatino Linotype"/>
          <w:szCs w:val="24"/>
        </w:rPr>
        <w:t xml:space="preserve"> SCE, and 3 MW for SDG&amp;E.</w:t>
      </w:r>
    </w:p>
  </w:footnote>
  <w:footnote w:id="94">
    <w:p w14:paraId="282F1674" w14:textId="3EAA51F8"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The 2 MW cap per customer under GTSR is established in </w:t>
      </w:r>
      <w:r w:rsidRPr="00511954">
        <w:rPr>
          <w:rFonts w:ascii="Palatino Linotype" w:hAnsi="Palatino Linotype"/>
          <w:szCs w:val="24"/>
        </w:rPr>
        <w:t>Public Utilities Code (Pub. Util. Code) section 2833(h).</w:t>
      </w:r>
    </w:p>
  </w:footnote>
  <w:footnote w:id="95">
    <w:p w14:paraId="419D06B9"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D.18-06-027 at 51, 78-79.</w:t>
      </w:r>
    </w:p>
  </w:footnote>
  <w:footnote w:id="96">
    <w:p w14:paraId="4017B582" w14:textId="77777777" w:rsidR="00786345" w:rsidRPr="00263349" w:rsidRDefault="00786345" w:rsidP="00787705">
      <w:pPr>
        <w:pStyle w:val="FootnoteText"/>
        <w:spacing w:after="0"/>
        <w:contextualSpacing/>
        <w:rPr>
          <w:rFonts w:ascii="Palatino Linotype" w:hAnsi="Palatino Linotype"/>
          <w:szCs w:val="24"/>
        </w:rPr>
      </w:pPr>
      <w:r w:rsidRPr="00263349">
        <w:rPr>
          <w:rFonts w:ascii="Palatino Linotype" w:hAnsi="Palatino Linotype"/>
          <w:szCs w:val="24"/>
          <w:vertAlign w:val="superscript"/>
        </w:rPr>
        <w:footnoteRef/>
      </w:r>
      <w:r w:rsidRPr="00263349">
        <w:rPr>
          <w:rFonts w:ascii="Palatino Linotype" w:hAnsi="Palatino Linotype"/>
          <w:szCs w:val="24"/>
        </w:rPr>
        <w:t xml:space="preserve"> </w:t>
      </w:r>
      <w:r w:rsidRPr="00263349">
        <w:rPr>
          <w:rFonts w:ascii="Palatino Linotype" w:hAnsi="Palatino Linotype"/>
          <w:i/>
          <w:szCs w:val="24"/>
        </w:rPr>
        <w:t>Id</w:t>
      </w:r>
      <w:r w:rsidRPr="00263349">
        <w:rPr>
          <w:rFonts w:ascii="Palatino Linotype" w:hAnsi="Palatino Linotype"/>
          <w:szCs w:val="24"/>
        </w:rPr>
        <w:t xml:space="preserve">. at 17. </w:t>
      </w:r>
    </w:p>
  </w:footnote>
  <w:footnote w:id="97">
    <w:p w14:paraId="689B0EF2"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w:t>
      </w:r>
      <w:r w:rsidRPr="00263349">
        <w:rPr>
          <w:rFonts w:ascii="Palatino Linotype" w:hAnsi="Palatino Linotype"/>
          <w:i/>
          <w:szCs w:val="24"/>
        </w:rPr>
        <w:t>Id</w:t>
      </w:r>
      <w:r w:rsidRPr="00263349">
        <w:rPr>
          <w:rFonts w:ascii="Palatino Linotype" w:hAnsi="Palatino Linotype"/>
          <w:szCs w:val="24"/>
        </w:rPr>
        <w:t>. at 51, 78-79.</w:t>
      </w:r>
    </w:p>
  </w:footnote>
  <w:footnote w:id="98">
    <w:p w14:paraId="1F994823"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w:t>
      </w:r>
      <w:r w:rsidRPr="00263349">
        <w:rPr>
          <w:rFonts w:ascii="Palatino Linotype" w:hAnsi="Palatino Linotype"/>
          <w:i/>
          <w:szCs w:val="24"/>
        </w:rPr>
        <w:t>Id</w:t>
      </w:r>
      <w:r w:rsidRPr="00263349">
        <w:rPr>
          <w:rFonts w:ascii="Palatino Linotype" w:hAnsi="Palatino Linotype"/>
          <w:szCs w:val="24"/>
        </w:rPr>
        <w:t>.</w:t>
      </w:r>
    </w:p>
  </w:footnote>
  <w:footnote w:id="99">
    <w:p w14:paraId="5671219C"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w:t>
      </w:r>
      <w:r w:rsidRPr="00263349">
        <w:rPr>
          <w:rFonts w:ascii="Palatino Linotype" w:hAnsi="Palatino Linotype"/>
          <w:i/>
          <w:szCs w:val="24"/>
        </w:rPr>
        <w:t>Id</w:t>
      </w:r>
      <w:r w:rsidRPr="00263349">
        <w:rPr>
          <w:rFonts w:ascii="Palatino Linotype" w:hAnsi="Palatino Linotype"/>
          <w:szCs w:val="24"/>
        </w:rPr>
        <w:t>. at 55 and 88.</w:t>
      </w:r>
    </w:p>
  </w:footnote>
  <w:footnote w:id="100">
    <w:p w14:paraId="1D0A2E04" w14:textId="44218AEF" w:rsidR="00786345" w:rsidRDefault="00786345" w:rsidP="00787705">
      <w:pPr>
        <w:pStyle w:val="FootnoteText"/>
        <w:spacing w:after="0"/>
        <w:contextualSpacing/>
      </w:pPr>
      <w:r w:rsidRPr="006A5D4F">
        <w:rPr>
          <w:rStyle w:val="FootnoteReference"/>
          <w:rFonts w:ascii="Palatino Linotype" w:hAnsi="Palatino Linotype"/>
          <w:szCs w:val="24"/>
        </w:rPr>
        <w:footnoteRef/>
      </w:r>
      <w:r w:rsidRPr="006A5D4F">
        <w:rPr>
          <w:rStyle w:val="FootnoteReference"/>
          <w:rFonts w:ascii="Palatino Linotype" w:hAnsi="Palatino Linotype"/>
          <w:szCs w:val="24"/>
        </w:rPr>
        <w:t xml:space="preserve"> </w:t>
      </w:r>
      <w:r w:rsidRPr="00115581">
        <w:rPr>
          <w:rFonts w:ascii="Palatino Linotype" w:hAnsi="Palatino Linotype"/>
          <w:szCs w:val="24"/>
        </w:rPr>
        <w:t>At a minimum the information should be sent via email to:</w:t>
      </w:r>
      <w:r>
        <w:rPr>
          <w:rFonts w:ascii="Palatino Linotype" w:hAnsi="Palatino Linotype"/>
          <w:szCs w:val="24"/>
        </w:rPr>
        <w:t xml:space="preserve"> EnergyDivisionCentralFiles@cpuc.ca.gov</w:t>
      </w:r>
    </w:p>
  </w:footnote>
  <w:footnote w:id="101">
    <w:p w14:paraId="3B07B13C"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SCE AL 3851-E-A; Cal. PUC Sheet No. 64761-E; Cal. PUC Sheet No. 64766-E.</w:t>
      </w:r>
    </w:p>
  </w:footnote>
  <w:footnote w:id="102">
    <w:p w14:paraId="3127101B"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D.18-06-027 at COL 3.</w:t>
      </w:r>
    </w:p>
  </w:footnote>
  <w:footnote w:id="103">
    <w:p w14:paraId="42A1B652"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SCE AL 3851-E-A. Cal. PUC Sheet No. 64768-E.</w:t>
      </w:r>
    </w:p>
  </w:footnote>
  <w:footnote w:id="104">
    <w:p w14:paraId="50DC51D0"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D.18-06-027 at 2.</w:t>
      </w:r>
    </w:p>
  </w:footnote>
  <w:footnote w:id="105">
    <w:p w14:paraId="2F3B733A"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PG&amp;E AL 5362-E-A. Revised Cal. P.U.C. Sheet No. 43689-E.</w:t>
      </w:r>
    </w:p>
  </w:footnote>
  <w:footnote w:id="106">
    <w:p w14:paraId="16C049AC"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w:t>
      </w:r>
      <w:r w:rsidRPr="00263349">
        <w:rPr>
          <w:rFonts w:ascii="Palatino Linotype" w:hAnsi="Palatino Linotype"/>
          <w:i/>
          <w:szCs w:val="24"/>
        </w:rPr>
        <w:t>Id</w:t>
      </w:r>
      <w:r w:rsidRPr="00263349">
        <w:rPr>
          <w:rFonts w:ascii="Palatino Linotype" w:hAnsi="Palatino Linotype"/>
          <w:szCs w:val="24"/>
        </w:rPr>
        <w:t>. at COL 22.</w:t>
      </w:r>
    </w:p>
  </w:footnote>
  <w:footnote w:id="107">
    <w:p w14:paraId="69D6F78A"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D.18-12-015 at OP 19(a). </w:t>
      </w:r>
    </w:p>
  </w:footnote>
  <w:footnote w:id="108">
    <w:p w14:paraId="76E361D7"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SCE AL 3851-E-A. Cal. PUC Sheet No. 64761-E.</w:t>
      </w:r>
    </w:p>
  </w:footnote>
  <w:footnote w:id="109">
    <w:p w14:paraId="0C2D66DA"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D.18-10-007 at 11. </w:t>
      </w:r>
    </w:p>
  </w:footnote>
  <w:footnote w:id="110">
    <w:p w14:paraId="44CF627B"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SDG&amp;E AL 3262-E-A. Cal. P.U.C. Sheet No. 30886-E.</w:t>
      </w:r>
    </w:p>
  </w:footnote>
  <w:footnote w:id="111">
    <w:p w14:paraId="6301E5BE"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Notably, SDG&amp;E correctly applies this definition throughout its DAC-GT tariff which defines an eligible customer as “[a] residential utility customer…who (</w:t>
      </w:r>
      <w:proofErr w:type="spellStart"/>
      <w:r w:rsidRPr="00263349">
        <w:rPr>
          <w:rFonts w:ascii="Palatino Linotype" w:hAnsi="Palatino Linotype"/>
          <w:szCs w:val="24"/>
        </w:rPr>
        <w:t>i</w:t>
      </w:r>
      <w:proofErr w:type="spellEnd"/>
      <w:r w:rsidRPr="00263349">
        <w:rPr>
          <w:rFonts w:ascii="Palatino Linotype" w:hAnsi="Palatino Linotype"/>
          <w:szCs w:val="24"/>
        </w:rPr>
        <w:t xml:space="preserve">) is located in a disadvantage community as defined for this program…”. SDG&amp;E AL 3262-E-A; Cal. P.U.C. Sheet No. 30882-E. </w:t>
      </w:r>
    </w:p>
  </w:footnote>
  <w:footnote w:id="112">
    <w:p w14:paraId="5AD79ACA"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SCE AL 3851-E-A. Cal. PUC Sheet No. 64763-E.</w:t>
      </w:r>
    </w:p>
  </w:footnote>
  <w:footnote w:id="113">
    <w:p w14:paraId="1C5A1F63"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D.18-06-027 at 76.</w:t>
      </w:r>
    </w:p>
  </w:footnote>
  <w:footnote w:id="114">
    <w:p w14:paraId="4872D0F0"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w:t>
      </w:r>
      <w:r w:rsidRPr="00263349">
        <w:rPr>
          <w:rFonts w:ascii="Palatino Linotype" w:hAnsi="Palatino Linotype"/>
          <w:i/>
          <w:szCs w:val="24"/>
        </w:rPr>
        <w:t>Id</w:t>
      </w:r>
      <w:r w:rsidRPr="00263349">
        <w:rPr>
          <w:rFonts w:ascii="Palatino Linotype" w:hAnsi="Palatino Linotype"/>
          <w:szCs w:val="24"/>
        </w:rPr>
        <w:t>. at 82 (emphasis added).</w:t>
      </w:r>
    </w:p>
  </w:footnote>
  <w:footnote w:id="115">
    <w:p w14:paraId="77C654F6"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w:t>
      </w:r>
      <w:r w:rsidRPr="00263349">
        <w:rPr>
          <w:rFonts w:ascii="Palatino Linotype" w:hAnsi="Palatino Linotype"/>
          <w:i/>
          <w:szCs w:val="24"/>
        </w:rPr>
        <w:t>Id</w:t>
      </w:r>
      <w:r w:rsidRPr="00263349">
        <w:rPr>
          <w:rFonts w:ascii="Palatino Linotype" w:hAnsi="Palatino Linotype"/>
          <w:szCs w:val="24"/>
        </w:rPr>
        <w:t>. at 83.</w:t>
      </w:r>
    </w:p>
  </w:footnote>
  <w:footnote w:id="116">
    <w:p w14:paraId="0EB6500A"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SCE AL 3851-E-A. Cal. PUC Sheet No. 64764-E.</w:t>
      </w:r>
    </w:p>
  </w:footnote>
  <w:footnote w:id="117">
    <w:p w14:paraId="03294E0D"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D.18-06-027 at 78.</w:t>
      </w:r>
    </w:p>
  </w:footnote>
  <w:footnote w:id="118">
    <w:p w14:paraId="62A407F6" w14:textId="77777777" w:rsidR="00786345" w:rsidRPr="00263349" w:rsidRDefault="00786345" w:rsidP="00787705">
      <w:pPr>
        <w:pStyle w:val="FootnoteText"/>
        <w:spacing w:after="0"/>
        <w:contextualSpacing/>
        <w:rPr>
          <w:rFonts w:ascii="Palatino Linotype" w:hAnsi="Palatino Linotype"/>
          <w:szCs w:val="24"/>
        </w:rPr>
      </w:pPr>
      <w:r w:rsidRPr="00263349">
        <w:rPr>
          <w:rStyle w:val="FootnoteReference"/>
          <w:rFonts w:ascii="Palatino Linotype" w:hAnsi="Palatino Linotype"/>
          <w:szCs w:val="24"/>
        </w:rPr>
        <w:footnoteRef/>
      </w:r>
      <w:r w:rsidRPr="00263349">
        <w:rPr>
          <w:rFonts w:ascii="Palatino Linotype" w:hAnsi="Palatino Linotype"/>
          <w:szCs w:val="24"/>
        </w:rPr>
        <w:t xml:space="preserve"> </w:t>
      </w:r>
      <w:r w:rsidRPr="00263349">
        <w:rPr>
          <w:rFonts w:ascii="Palatino Linotype" w:hAnsi="Palatino Linotype"/>
          <w:i/>
          <w:szCs w:val="24"/>
        </w:rPr>
        <w:t>Id</w:t>
      </w:r>
      <w:r w:rsidRPr="00263349">
        <w:rPr>
          <w:rFonts w:ascii="Palatino Linotype" w:hAnsi="Palatino Linotype"/>
          <w:szCs w:val="24"/>
        </w:rPr>
        <w:t>. at 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CED50" w14:textId="49C6D4D6" w:rsidR="00786345" w:rsidRPr="00FC391A" w:rsidRDefault="00786345" w:rsidP="00FC391A">
    <w:pPr>
      <w:pStyle w:val="Header"/>
      <w:rPr>
        <w:rFonts w:ascii="Palatino Linotype" w:hAnsi="Palatino Linotype"/>
      </w:rPr>
    </w:pPr>
    <w:r w:rsidRPr="00FC391A">
      <w:rPr>
        <w:rFonts w:ascii="Palatino Linotype" w:hAnsi="Palatino Linotype"/>
      </w:rPr>
      <w:t>Resolution E-4999</w:t>
    </w:r>
    <w:r w:rsidRPr="00FC391A">
      <w:rPr>
        <w:rFonts w:ascii="Palatino Linotype" w:hAnsi="Palatino Linotype"/>
      </w:rPr>
      <w:tab/>
    </w:r>
    <w:r w:rsidR="00905172">
      <w:rPr>
        <w:rFonts w:ascii="Palatino Linotype" w:hAnsi="Palatino Linotype"/>
      </w:rPr>
      <w:t>DRAFT</w:t>
    </w:r>
    <w:r w:rsidRPr="00FC391A">
      <w:rPr>
        <w:rFonts w:ascii="Palatino Linotype" w:hAnsi="Palatino Linotype"/>
      </w:rPr>
      <w:tab/>
      <w:t>May 30, 2019</w:t>
    </w:r>
  </w:p>
  <w:p w14:paraId="02390376" w14:textId="694238DC" w:rsidR="00786345" w:rsidRDefault="00786345" w:rsidP="00FD236A">
    <w:pPr>
      <w:pStyle w:val="Header"/>
      <w:rPr>
        <w:rFonts w:ascii="Palatino Linotype" w:hAnsi="Palatino Linotype"/>
      </w:rPr>
    </w:pPr>
    <w:r>
      <w:rPr>
        <w:rFonts w:ascii="Palatino Linotype" w:hAnsi="Palatino Linotype"/>
      </w:rPr>
      <w:t>PG&amp;E AL 5362-E/E-A, SCE AL 3851-E/E-A, SDG&amp;E AL 3262-E/E-A/E-B/NHW</w:t>
    </w:r>
  </w:p>
  <w:p w14:paraId="604680D6" w14:textId="77777777" w:rsidR="00786345" w:rsidRPr="00BC6361" w:rsidRDefault="00786345" w:rsidP="00FD2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D3C5E" w14:textId="714F8A23" w:rsidR="00786345" w:rsidRPr="00D459BE" w:rsidRDefault="00786345" w:rsidP="0010120C">
    <w:pPr>
      <w:pStyle w:val="Header"/>
      <w:jc w:val="cent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47C1"/>
    <w:multiLevelType w:val="hybridMultilevel"/>
    <w:tmpl w:val="ECB8F52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7824CC"/>
    <w:multiLevelType w:val="hybridMultilevel"/>
    <w:tmpl w:val="B2DE6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13429"/>
    <w:multiLevelType w:val="hybridMultilevel"/>
    <w:tmpl w:val="BFB89D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E5E0A"/>
    <w:multiLevelType w:val="singleLevel"/>
    <w:tmpl w:val="81622C8A"/>
    <w:lvl w:ilvl="0">
      <w:start w:val="1"/>
      <w:numFmt w:val="upperLetter"/>
      <w:pStyle w:val="AListIndent"/>
      <w:lvlText w:val="%1. "/>
      <w:lvlJc w:val="left"/>
      <w:pPr>
        <w:tabs>
          <w:tab w:val="num" w:pos="1152"/>
        </w:tabs>
        <w:ind w:left="1152" w:hanging="432"/>
      </w:pPr>
      <w:rPr>
        <w:rFonts w:ascii="Courier" w:hAnsi="Courier" w:hint="default"/>
        <w:b w:val="0"/>
        <w:i w:val="0"/>
        <w:sz w:val="24"/>
      </w:rPr>
    </w:lvl>
  </w:abstractNum>
  <w:abstractNum w:abstractNumId="4" w15:restartNumberingAfterBreak="0">
    <w:nsid w:val="0BDB7819"/>
    <w:multiLevelType w:val="multilevel"/>
    <w:tmpl w:val="884082C8"/>
    <w:lvl w:ilvl="0">
      <w:start w:val="1"/>
      <w:numFmt w:val="decimal"/>
      <w:lvlText w:val="%1."/>
      <w:lvlJc w:val="left"/>
      <w:pPr>
        <w:tabs>
          <w:tab w:val="num" w:pos="360"/>
        </w:tabs>
        <w:ind w:left="360" w:hanging="360"/>
      </w:pPr>
      <w:rPr>
        <w:rFonts w:hint="default"/>
        <w:b w:val="0"/>
        <w:sz w:val="26"/>
        <w:szCs w:val="26"/>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520"/>
        </w:tabs>
        <w:ind w:left="2520" w:hanging="36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760"/>
        </w:tabs>
        <w:ind w:left="5760" w:hanging="360"/>
      </w:pPr>
      <w:rPr>
        <w:rFonts w:hint="default"/>
      </w:rPr>
    </w:lvl>
    <w:lvl w:ilvl="6">
      <w:start w:val="1"/>
      <w:numFmt w:val="decimal"/>
      <w:lvlText w:val="%7."/>
      <w:lvlJc w:val="left"/>
      <w:pPr>
        <w:tabs>
          <w:tab w:val="num" w:pos="6840"/>
        </w:tabs>
        <w:ind w:left="6840" w:hanging="360"/>
      </w:pPr>
      <w:rPr>
        <w:rFonts w:hint="default"/>
      </w:rPr>
    </w:lvl>
    <w:lvl w:ilvl="7">
      <w:start w:val="1"/>
      <w:numFmt w:val="lowerLetter"/>
      <w:lvlText w:val="%8."/>
      <w:lvlJc w:val="left"/>
      <w:pPr>
        <w:tabs>
          <w:tab w:val="num" w:pos="7920"/>
        </w:tabs>
        <w:ind w:left="7920" w:hanging="360"/>
      </w:pPr>
      <w:rPr>
        <w:rFonts w:hint="default"/>
      </w:rPr>
    </w:lvl>
    <w:lvl w:ilvl="8">
      <w:start w:val="1"/>
      <w:numFmt w:val="lowerRoman"/>
      <w:lvlText w:val="%9."/>
      <w:lvlJc w:val="right"/>
      <w:pPr>
        <w:tabs>
          <w:tab w:val="num" w:pos="9000"/>
        </w:tabs>
        <w:ind w:left="9000" w:hanging="360"/>
      </w:pPr>
      <w:rPr>
        <w:rFonts w:hint="default"/>
      </w:rPr>
    </w:lvl>
  </w:abstractNum>
  <w:abstractNum w:abstractNumId="5" w15:restartNumberingAfterBreak="0">
    <w:nsid w:val="0C7771AB"/>
    <w:multiLevelType w:val="hybridMultilevel"/>
    <w:tmpl w:val="8BAE2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F33C8"/>
    <w:multiLevelType w:val="hybridMultilevel"/>
    <w:tmpl w:val="7062C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B75CC6"/>
    <w:multiLevelType w:val="hybridMultilevel"/>
    <w:tmpl w:val="B5A870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61CB5"/>
    <w:multiLevelType w:val="hybridMultilevel"/>
    <w:tmpl w:val="10946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F1272"/>
    <w:multiLevelType w:val="hybridMultilevel"/>
    <w:tmpl w:val="BCA2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74A74"/>
    <w:multiLevelType w:val="hybridMultilevel"/>
    <w:tmpl w:val="FFECA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80B1D"/>
    <w:multiLevelType w:val="multilevel"/>
    <w:tmpl w:val="C98CB7D4"/>
    <w:lvl w:ilvl="0">
      <w:start w:val="1"/>
      <w:numFmt w:val="decimal"/>
      <w:lvlText w:val="%1."/>
      <w:lvlJc w:val="left"/>
      <w:pPr>
        <w:tabs>
          <w:tab w:val="num" w:pos="360"/>
        </w:tabs>
        <w:ind w:left="360" w:hanging="360"/>
      </w:pPr>
      <w:rPr>
        <w:rFonts w:hint="default"/>
      </w:rPr>
    </w:lvl>
    <w:lvl w:ilvl="1">
      <w:start w:val="1"/>
      <w:numFmt w:val="decimal"/>
      <w:pStyle w:val="Heading2"/>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2" w15:restartNumberingAfterBreak="0">
    <w:nsid w:val="228F11E6"/>
    <w:multiLevelType w:val="hybridMultilevel"/>
    <w:tmpl w:val="FA50924C"/>
    <w:lvl w:ilvl="0" w:tplc="E3D2B0A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3325FA"/>
    <w:multiLevelType w:val="hybridMultilevel"/>
    <w:tmpl w:val="5A9A3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AB8207B6">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415C5"/>
    <w:multiLevelType w:val="hybridMultilevel"/>
    <w:tmpl w:val="9662B07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91706FC"/>
    <w:multiLevelType w:val="hybridMultilevel"/>
    <w:tmpl w:val="65804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7C512F"/>
    <w:multiLevelType w:val="hybridMultilevel"/>
    <w:tmpl w:val="9A645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0C71BB"/>
    <w:multiLevelType w:val="hybridMultilevel"/>
    <w:tmpl w:val="A8DEE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A5B6E"/>
    <w:multiLevelType w:val="hybridMultilevel"/>
    <w:tmpl w:val="8A461E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80CC0"/>
    <w:multiLevelType w:val="hybridMultilevel"/>
    <w:tmpl w:val="976EF5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366199"/>
    <w:multiLevelType w:val="hybridMultilevel"/>
    <w:tmpl w:val="E3446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936E4"/>
    <w:multiLevelType w:val="hybridMultilevel"/>
    <w:tmpl w:val="0994E3B0"/>
    <w:lvl w:ilvl="0" w:tplc="04090017">
      <w:start w:val="1"/>
      <w:numFmt w:val="lowerLetter"/>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2" w15:restartNumberingAfterBreak="0">
    <w:nsid w:val="43D34417"/>
    <w:multiLevelType w:val="multilevel"/>
    <w:tmpl w:val="C28E5C40"/>
    <w:lvl w:ilvl="0">
      <w:start w:val="1"/>
      <w:numFmt w:val="decimal"/>
      <w:pStyle w:val="1ListInden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88135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3006FF2"/>
    <w:multiLevelType w:val="hybridMultilevel"/>
    <w:tmpl w:val="5E601FBC"/>
    <w:lvl w:ilvl="0" w:tplc="3B20A2B4">
      <w:start w:val="70"/>
      <w:numFmt w:val="bullet"/>
      <w:lvlText w:val="-"/>
      <w:lvlJc w:val="left"/>
      <w:pPr>
        <w:ind w:left="720" w:hanging="360"/>
      </w:pPr>
      <w:rPr>
        <w:rFonts w:ascii="Palatino" w:eastAsia="Times New Roman"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945F9"/>
    <w:multiLevelType w:val="hybridMultilevel"/>
    <w:tmpl w:val="31B0B9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5D243D"/>
    <w:multiLevelType w:val="hybridMultilevel"/>
    <w:tmpl w:val="B2DE6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66334"/>
    <w:multiLevelType w:val="hybridMultilevel"/>
    <w:tmpl w:val="4CF6050A"/>
    <w:lvl w:ilvl="0" w:tplc="3B20A2B4">
      <w:start w:val="70"/>
      <w:numFmt w:val="bullet"/>
      <w:lvlText w:val="-"/>
      <w:lvlJc w:val="left"/>
      <w:pPr>
        <w:ind w:left="900" w:hanging="360"/>
      </w:pPr>
      <w:rPr>
        <w:rFonts w:ascii="Palatino" w:eastAsia="Times New Roman" w:hAnsi="Palatino"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8" w15:restartNumberingAfterBreak="0">
    <w:nsid w:val="572565C7"/>
    <w:multiLevelType w:val="singleLevel"/>
    <w:tmpl w:val="B4D29030"/>
    <w:lvl w:ilvl="0">
      <w:start w:val="1"/>
      <w:numFmt w:val="decimal"/>
      <w:lvlText w:val="%1."/>
      <w:lvlJc w:val="left"/>
      <w:pPr>
        <w:tabs>
          <w:tab w:val="num" w:pos="420"/>
        </w:tabs>
        <w:ind w:left="420" w:hanging="420"/>
      </w:pPr>
      <w:rPr>
        <w:rFonts w:hint="default"/>
      </w:rPr>
    </w:lvl>
  </w:abstractNum>
  <w:abstractNum w:abstractNumId="29" w15:restartNumberingAfterBreak="0">
    <w:nsid w:val="5AF81985"/>
    <w:multiLevelType w:val="hybridMultilevel"/>
    <w:tmpl w:val="71BEE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991D55"/>
    <w:multiLevelType w:val="hybridMultilevel"/>
    <w:tmpl w:val="01DA5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914AD4"/>
    <w:multiLevelType w:val="hybridMultilevel"/>
    <w:tmpl w:val="9A66E0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6BB84711"/>
    <w:multiLevelType w:val="hybridMultilevel"/>
    <w:tmpl w:val="3CA6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AB3C19"/>
    <w:multiLevelType w:val="hybridMultilevel"/>
    <w:tmpl w:val="65DE7032"/>
    <w:lvl w:ilvl="0" w:tplc="9DD0D40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E58C1"/>
    <w:multiLevelType w:val="multilevel"/>
    <w:tmpl w:val="C98CB7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2160"/>
        </w:tabs>
        <w:ind w:left="2160" w:hanging="720"/>
      </w:pPr>
      <w:rPr>
        <w:rFonts w:hint="default"/>
      </w:rPr>
    </w:lvl>
    <w:lvl w:ilvl="3">
      <w:start w:val="1"/>
      <w:numFmt w:val="decimalZero"/>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5" w15:restartNumberingAfterBreak="0">
    <w:nsid w:val="7B1C30FD"/>
    <w:multiLevelType w:val="singleLevel"/>
    <w:tmpl w:val="2FB6A734"/>
    <w:lvl w:ilvl="0">
      <w:start w:val="1"/>
      <w:numFmt w:val="decimal"/>
      <w:lvlText w:val="%1."/>
      <w:legacy w:legacy="1" w:legacySpace="144" w:legacyIndent="0"/>
      <w:lvlJc w:val="left"/>
    </w:lvl>
  </w:abstractNum>
  <w:abstractNum w:abstractNumId="36" w15:restartNumberingAfterBreak="0">
    <w:nsid w:val="7F6E7F75"/>
    <w:multiLevelType w:val="hybridMultilevel"/>
    <w:tmpl w:val="2190E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2"/>
  </w:num>
  <w:num w:numId="3">
    <w:abstractNumId w:val="11"/>
  </w:num>
  <w:num w:numId="4">
    <w:abstractNumId w:val="28"/>
  </w:num>
  <w:num w:numId="5">
    <w:abstractNumId w:val="4"/>
  </w:num>
  <w:num w:numId="6">
    <w:abstractNumId w:val="34"/>
  </w:num>
  <w:num w:numId="7">
    <w:abstractNumId w:val="23"/>
  </w:num>
  <w:num w:numId="8">
    <w:abstractNumId w:val="14"/>
  </w:num>
  <w:num w:numId="9">
    <w:abstractNumId w:val="0"/>
  </w:num>
  <w:num w:numId="10">
    <w:abstractNumId w:val="35"/>
  </w:num>
  <w:num w:numId="11">
    <w:abstractNumId w:val="21"/>
  </w:num>
  <w:num w:numId="12">
    <w:abstractNumId w:val="6"/>
  </w:num>
  <w:num w:numId="13">
    <w:abstractNumId w:val="31"/>
  </w:num>
  <w:num w:numId="14">
    <w:abstractNumId w:val="5"/>
  </w:num>
  <w:num w:numId="15">
    <w:abstractNumId w:val="12"/>
  </w:num>
  <w:num w:numId="16">
    <w:abstractNumId w:val="27"/>
  </w:num>
  <w:num w:numId="17">
    <w:abstractNumId w:val="9"/>
  </w:num>
  <w:num w:numId="18">
    <w:abstractNumId w:val="16"/>
  </w:num>
  <w:num w:numId="19">
    <w:abstractNumId w:val="36"/>
  </w:num>
  <w:num w:numId="20">
    <w:abstractNumId w:val="19"/>
  </w:num>
  <w:num w:numId="21">
    <w:abstractNumId w:val="7"/>
  </w:num>
  <w:num w:numId="22">
    <w:abstractNumId w:val="32"/>
  </w:num>
  <w:num w:numId="23">
    <w:abstractNumId w:val="2"/>
  </w:num>
  <w:num w:numId="24">
    <w:abstractNumId w:val="15"/>
  </w:num>
  <w:num w:numId="25">
    <w:abstractNumId w:val="25"/>
  </w:num>
  <w:num w:numId="26">
    <w:abstractNumId w:val="20"/>
  </w:num>
  <w:num w:numId="27">
    <w:abstractNumId w:val="8"/>
  </w:num>
  <w:num w:numId="28">
    <w:abstractNumId w:val="10"/>
  </w:num>
  <w:num w:numId="29">
    <w:abstractNumId w:val="18"/>
  </w:num>
  <w:num w:numId="30">
    <w:abstractNumId w:val="17"/>
  </w:num>
  <w:num w:numId="31">
    <w:abstractNumId w:val="30"/>
  </w:num>
  <w:num w:numId="32">
    <w:abstractNumId w:val="29"/>
  </w:num>
  <w:num w:numId="33">
    <w:abstractNumId w:val="13"/>
  </w:num>
  <w:num w:numId="34">
    <w:abstractNumId w:val="24"/>
  </w:num>
  <w:num w:numId="35">
    <w:abstractNumId w:val="33"/>
  </w:num>
  <w:num w:numId="36">
    <w:abstractNumId w:val="1"/>
  </w:num>
  <w:num w:numId="37">
    <w:abstractNumId w:val="26"/>
  </w:num>
  <w:num w:numId="38">
    <w:abstractNumId w:val="4"/>
    <w:lvlOverride w:ilvl="0">
      <w:lvl w:ilvl="0">
        <w:start w:val="1"/>
        <w:numFmt w:val="decimal"/>
        <w:lvlText w:val="%1."/>
        <w:lvlJc w:val="left"/>
        <w:pPr>
          <w:tabs>
            <w:tab w:val="num" w:pos="360"/>
          </w:tabs>
          <w:ind w:left="360" w:hanging="360"/>
        </w:pPr>
        <w:rPr>
          <w:rFonts w:hint="default"/>
          <w:b w:val="0"/>
        </w:rPr>
      </w:lvl>
    </w:lvlOverride>
    <w:lvlOverride w:ilvl="1">
      <w:lvl w:ilvl="1">
        <w:start w:val="1"/>
        <w:numFmt w:val="lowerLetter"/>
        <w:lvlText w:val="%2."/>
        <w:lvlJc w:val="left"/>
        <w:pPr>
          <w:tabs>
            <w:tab w:val="num" w:pos="1656"/>
          </w:tabs>
          <w:ind w:left="1656" w:hanging="576"/>
        </w:pPr>
        <w:rPr>
          <w:rFonts w:hint="default"/>
          <w:b w:val="0"/>
        </w:rPr>
      </w:lvl>
    </w:lvlOverride>
    <w:lvlOverride w:ilvl="2">
      <w:lvl w:ilvl="2">
        <w:start w:val="1"/>
        <w:numFmt w:val="lowerRoman"/>
        <w:lvlText w:val="%3."/>
        <w:lvlJc w:val="right"/>
        <w:pPr>
          <w:tabs>
            <w:tab w:val="num" w:pos="2520"/>
          </w:tabs>
          <w:ind w:left="2520" w:hanging="360"/>
        </w:pPr>
        <w:rPr>
          <w:rFonts w:hint="default"/>
        </w:rPr>
      </w:lvl>
    </w:lvlOverride>
    <w:lvlOverride w:ilvl="3">
      <w:lvl w:ilvl="3">
        <w:start w:val="1"/>
        <w:numFmt w:val="decimal"/>
        <w:lvlText w:val="%4."/>
        <w:lvlJc w:val="left"/>
        <w:pPr>
          <w:tabs>
            <w:tab w:val="num" w:pos="3600"/>
          </w:tabs>
          <w:ind w:left="3600" w:hanging="360"/>
        </w:pPr>
        <w:rPr>
          <w:rFonts w:hint="default"/>
        </w:rPr>
      </w:lvl>
    </w:lvlOverride>
    <w:lvlOverride w:ilvl="4">
      <w:lvl w:ilvl="4">
        <w:start w:val="1"/>
        <w:numFmt w:val="lowerLetter"/>
        <w:lvlText w:val="%5."/>
        <w:lvlJc w:val="left"/>
        <w:pPr>
          <w:tabs>
            <w:tab w:val="num" w:pos="4680"/>
          </w:tabs>
          <w:ind w:left="4680" w:hanging="360"/>
        </w:pPr>
        <w:rPr>
          <w:rFonts w:hint="default"/>
        </w:rPr>
      </w:lvl>
    </w:lvlOverride>
    <w:lvlOverride w:ilvl="5">
      <w:lvl w:ilvl="5">
        <w:start w:val="1"/>
        <w:numFmt w:val="lowerRoman"/>
        <w:lvlText w:val="%6."/>
        <w:lvlJc w:val="right"/>
        <w:pPr>
          <w:tabs>
            <w:tab w:val="num" w:pos="5760"/>
          </w:tabs>
          <w:ind w:left="5760" w:hanging="360"/>
        </w:pPr>
        <w:rPr>
          <w:rFonts w:hint="default"/>
        </w:rPr>
      </w:lvl>
    </w:lvlOverride>
    <w:lvlOverride w:ilvl="6">
      <w:lvl w:ilvl="6">
        <w:start w:val="1"/>
        <w:numFmt w:val="decimal"/>
        <w:lvlText w:val="%7."/>
        <w:lvlJc w:val="left"/>
        <w:pPr>
          <w:tabs>
            <w:tab w:val="num" w:pos="6840"/>
          </w:tabs>
          <w:ind w:left="6840" w:hanging="360"/>
        </w:pPr>
        <w:rPr>
          <w:rFonts w:hint="default"/>
        </w:rPr>
      </w:lvl>
    </w:lvlOverride>
    <w:lvlOverride w:ilvl="7">
      <w:lvl w:ilvl="7">
        <w:start w:val="1"/>
        <w:numFmt w:val="lowerLetter"/>
        <w:lvlText w:val="%8."/>
        <w:lvlJc w:val="left"/>
        <w:pPr>
          <w:tabs>
            <w:tab w:val="num" w:pos="7920"/>
          </w:tabs>
          <w:ind w:left="7920" w:hanging="360"/>
        </w:pPr>
        <w:rPr>
          <w:rFonts w:hint="default"/>
        </w:rPr>
      </w:lvl>
    </w:lvlOverride>
    <w:lvlOverride w:ilvl="8">
      <w:lvl w:ilvl="8">
        <w:start w:val="1"/>
        <w:numFmt w:val="lowerRoman"/>
        <w:lvlText w:val="%9."/>
        <w:lvlJc w:val="right"/>
        <w:pPr>
          <w:tabs>
            <w:tab w:val="num" w:pos="9000"/>
          </w:tabs>
          <w:ind w:left="9000" w:hanging="360"/>
        </w:pPr>
        <w:rPr>
          <w:rFonts w:hint="default"/>
        </w:rPr>
      </w:lvl>
    </w:lvlOverride>
  </w:num>
  <w:num w:numId="39">
    <w:abstractNumId w:val="4"/>
    <w:lvlOverride w:ilvl="0">
      <w:lvl w:ilvl="0">
        <w:start w:val="1"/>
        <w:numFmt w:val="decimal"/>
        <w:lvlText w:val="%1."/>
        <w:lvlJc w:val="left"/>
        <w:pPr>
          <w:tabs>
            <w:tab w:val="num" w:pos="360"/>
          </w:tabs>
          <w:ind w:left="360" w:hanging="360"/>
        </w:pPr>
        <w:rPr>
          <w:rFonts w:hint="default"/>
          <w:b w:val="0"/>
        </w:rPr>
      </w:lvl>
    </w:lvlOverride>
    <w:lvlOverride w:ilvl="1">
      <w:lvl w:ilvl="1">
        <w:start w:val="1"/>
        <w:numFmt w:val="lowerLetter"/>
        <w:lvlText w:val="%2."/>
        <w:lvlJc w:val="left"/>
        <w:pPr>
          <w:tabs>
            <w:tab w:val="num" w:pos="1440"/>
          </w:tabs>
          <w:ind w:left="1440" w:hanging="317"/>
        </w:pPr>
        <w:rPr>
          <w:rFonts w:hint="default"/>
          <w:b w:val="0"/>
        </w:rPr>
      </w:lvl>
    </w:lvlOverride>
    <w:lvlOverride w:ilvl="2">
      <w:lvl w:ilvl="2">
        <w:start w:val="1"/>
        <w:numFmt w:val="lowerRoman"/>
        <w:lvlText w:val="%3."/>
        <w:lvlJc w:val="right"/>
        <w:pPr>
          <w:tabs>
            <w:tab w:val="num" w:pos="2520"/>
          </w:tabs>
          <w:ind w:left="2520" w:hanging="360"/>
        </w:pPr>
        <w:rPr>
          <w:rFonts w:hint="default"/>
        </w:rPr>
      </w:lvl>
    </w:lvlOverride>
    <w:lvlOverride w:ilvl="3">
      <w:lvl w:ilvl="3">
        <w:start w:val="1"/>
        <w:numFmt w:val="decimal"/>
        <w:lvlText w:val="%4."/>
        <w:lvlJc w:val="left"/>
        <w:pPr>
          <w:tabs>
            <w:tab w:val="num" w:pos="3600"/>
          </w:tabs>
          <w:ind w:left="3600" w:hanging="360"/>
        </w:pPr>
        <w:rPr>
          <w:rFonts w:hint="default"/>
        </w:rPr>
      </w:lvl>
    </w:lvlOverride>
    <w:lvlOverride w:ilvl="4">
      <w:lvl w:ilvl="4">
        <w:start w:val="1"/>
        <w:numFmt w:val="lowerLetter"/>
        <w:lvlText w:val="%5."/>
        <w:lvlJc w:val="left"/>
        <w:pPr>
          <w:tabs>
            <w:tab w:val="num" w:pos="4680"/>
          </w:tabs>
          <w:ind w:left="4680" w:hanging="360"/>
        </w:pPr>
        <w:rPr>
          <w:rFonts w:hint="default"/>
        </w:rPr>
      </w:lvl>
    </w:lvlOverride>
    <w:lvlOverride w:ilvl="5">
      <w:lvl w:ilvl="5">
        <w:start w:val="1"/>
        <w:numFmt w:val="lowerRoman"/>
        <w:lvlText w:val="%6."/>
        <w:lvlJc w:val="right"/>
        <w:pPr>
          <w:tabs>
            <w:tab w:val="num" w:pos="5760"/>
          </w:tabs>
          <w:ind w:left="5760" w:hanging="360"/>
        </w:pPr>
        <w:rPr>
          <w:rFonts w:hint="default"/>
        </w:rPr>
      </w:lvl>
    </w:lvlOverride>
    <w:lvlOverride w:ilvl="6">
      <w:lvl w:ilvl="6">
        <w:start w:val="1"/>
        <w:numFmt w:val="decimal"/>
        <w:lvlText w:val="%7."/>
        <w:lvlJc w:val="left"/>
        <w:pPr>
          <w:tabs>
            <w:tab w:val="num" w:pos="6840"/>
          </w:tabs>
          <w:ind w:left="6840" w:hanging="360"/>
        </w:pPr>
        <w:rPr>
          <w:rFonts w:hint="default"/>
        </w:rPr>
      </w:lvl>
    </w:lvlOverride>
    <w:lvlOverride w:ilvl="7">
      <w:lvl w:ilvl="7">
        <w:start w:val="1"/>
        <w:numFmt w:val="lowerLetter"/>
        <w:lvlText w:val="%8."/>
        <w:lvlJc w:val="left"/>
        <w:pPr>
          <w:tabs>
            <w:tab w:val="num" w:pos="7920"/>
          </w:tabs>
          <w:ind w:left="7920" w:hanging="360"/>
        </w:pPr>
        <w:rPr>
          <w:rFonts w:hint="default"/>
        </w:rPr>
      </w:lvl>
    </w:lvlOverride>
    <w:lvlOverride w:ilvl="8">
      <w:lvl w:ilvl="8">
        <w:start w:val="1"/>
        <w:numFmt w:val="lowerRoman"/>
        <w:lvlText w:val="%9."/>
        <w:lvlJc w:val="right"/>
        <w:pPr>
          <w:tabs>
            <w:tab w:val="num" w:pos="9000"/>
          </w:tabs>
          <w:ind w:left="9000" w:hanging="360"/>
        </w:pPr>
        <w:rPr>
          <w:rFonts w:hint="default"/>
        </w:rPr>
      </w:lvl>
    </w:lvlOverride>
  </w:num>
  <w:num w:numId="40">
    <w:abstractNumId w:val="4"/>
    <w:lvlOverride w:ilvl="0">
      <w:lvl w:ilvl="0">
        <w:start w:val="1"/>
        <w:numFmt w:val="decimal"/>
        <w:lvlText w:val="%1."/>
        <w:lvlJc w:val="left"/>
        <w:pPr>
          <w:tabs>
            <w:tab w:val="num" w:pos="360"/>
          </w:tabs>
          <w:ind w:left="360" w:hanging="360"/>
        </w:pPr>
        <w:rPr>
          <w:rFonts w:hint="default"/>
          <w:b w:val="0"/>
        </w:rPr>
      </w:lvl>
    </w:lvlOverride>
    <w:lvlOverride w:ilvl="1">
      <w:lvl w:ilvl="1">
        <w:start w:val="1"/>
        <w:numFmt w:val="lowerLetter"/>
        <w:lvlText w:val="%2."/>
        <w:lvlJc w:val="left"/>
        <w:pPr>
          <w:tabs>
            <w:tab w:val="num" w:pos="1440"/>
          </w:tabs>
          <w:ind w:left="1440" w:hanging="360"/>
        </w:pPr>
        <w:rPr>
          <w:rFonts w:hint="default"/>
          <w:b w:val="0"/>
        </w:rPr>
      </w:lvl>
    </w:lvlOverride>
    <w:lvlOverride w:ilvl="2">
      <w:lvl w:ilvl="2">
        <w:start w:val="1"/>
        <w:numFmt w:val="lowerRoman"/>
        <w:lvlText w:val="%3."/>
        <w:lvlJc w:val="right"/>
        <w:pPr>
          <w:tabs>
            <w:tab w:val="num" w:pos="2520"/>
          </w:tabs>
          <w:ind w:left="2520" w:hanging="360"/>
        </w:pPr>
        <w:rPr>
          <w:rFonts w:hint="default"/>
        </w:rPr>
      </w:lvl>
    </w:lvlOverride>
    <w:lvlOverride w:ilvl="3">
      <w:lvl w:ilvl="3">
        <w:start w:val="1"/>
        <w:numFmt w:val="decimal"/>
        <w:lvlText w:val="%4."/>
        <w:lvlJc w:val="left"/>
        <w:pPr>
          <w:tabs>
            <w:tab w:val="num" w:pos="3600"/>
          </w:tabs>
          <w:ind w:left="3600" w:hanging="360"/>
        </w:pPr>
        <w:rPr>
          <w:rFonts w:hint="default"/>
        </w:rPr>
      </w:lvl>
    </w:lvlOverride>
    <w:lvlOverride w:ilvl="4">
      <w:lvl w:ilvl="4">
        <w:start w:val="1"/>
        <w:numFmt w:val="lowerLetter"/>
        <w:lvlText w:val="%5."/>
        <w:lvlJc w:val="left"/>
        <w:pPr>
          <w:tabs>
            <w:tab w:val="num" w:pos="4680"/>
          </w:tabs>
          <w:ind w:left="4680" w:hanging="360"/>
        </w:pPr>
        <w:rPr>
          <w:rFonts w:hint="default"/>
        </w:rPr>
      </w:lvl>
    </w:lvlOverride>
    <w:lvlOverride w:ilvl="5">
      <w:lvl w:ilvl="5">
        <w:start w:val="1"/>
        <w:numFmt w:val="lowerRoman"/>
        <w:lvlText w:val="%6."/>
        <w:lvlJc w:val="right"/>
        <w:pPr>
          <w:tabs>
            <w:tab w:val="num" w:pos="5760"/>
          </w:tabs>
          <w:ind w:left="5760" w:hanging="360"/>
        </w:pPr>
        <w:rPr>
          <w:rFonts w:hint="default"/>
        </w:rPr>
      </w:lvl>
    </w:lvlOverride>
    <w:lvlOverride w:ilvl="6">
      <w:lvl w:ilvl="6">
        <w:start w:val="1"/>
        <w:numFmt w:val="decimal"/>
        <w:lvlText w:val="%7."/>
        <w:lvlJc w:val="left"/>
        <w:pPr>
          <w:tabs>
            <w:tab w:val="num" w:pos="6840"/>
          </w:tabs>
          <w:ind w:left="6840" w:hanging="360"/>
        </w:pPr>
        <w:rPr>
          <w:rFonts w:hint="default"/>
        </w:rPr>
      </w:lvl>
    </w:lvlOverride>
    <w:lvlOverride w:ilvl="7">
      <w:lvl w:ilvl="7">
        <w:start w:val="1"/>
        <w:numFmt w:val="lowerLetter"/>
        <w:lvlText w:val="%8."/>
        <w:lvlJc w:val="left"/>
        <w:pPr>
          <w:tabs>
            <w:tab w:val="num" w:pos="7920"/>
          </w:tabs>
          <w:ind w:left="7920" w:hanging="360"/>
        </w:pPr>
        <w:rPr>
          <w:rFonts w:hint="default"/>
        </w:rPr>
      </w:lvl>
    </w:lvlOverride>
    <w:lvlOverride w:ilvl="8">
      <w:lvl w:ilvl="8">
        <w:start w:val="1"/>
        <w:numFmt w:val="lowerRoman"/>
        <w:lvlText w:val="%9."/>
        <w:lvlJc w:val="right"/>
        <w:pPr>
          <w:tabs>
            <w:tab w:val="num" w:pos="9000"/>
          </w:tabs>
          <w:ind w:left="9000" w:hanging="360"/>
        </w:pPr>
        <w:rPr>
          <w:rFonts w:hint="default"/>
        </w:rPr>
      </w:lvl>
    </w:lvlOverride>
  </w:num>
  <w:num w:numId="41">
    <w:abstractNumId w:val="4"/>
    <w:lvlOverride w:ilvl="0">
      <w:lvl w:ilvl="0">
        <w:start w:val="1"/>
        <w:numFmt w:val="decimal"/>
        <w:lvlText w:val="%1."/>
        <w:lvlJc w:val="left"/>
        <w:pPr>
          <w:tabs>
            <w:tab w:val="num" w:pos="360"/>
          </w:tabs>
          <w:ind w:left="360" w:hanging="360"/>
        </w:pPr>
        <w:rPr>
          <w:rFonts w:hint="default"/>
          <w:b w:val="0"/>
        </w:rPr>
      </w:lvl>
    </w:lvlOverride>
    <w:lvlOverride w:ilvl="1">
      <w:lvl w:ilvl="1">
        <w:start w:val="1"/>
        <w:numFmt w:val="lowerLetter"/>
        <w:lvlText w:val="%2"/>
        <w:lvlJc w:val="left"/>
        <w:pPr>
          <w:tabs>
            <w:tab w:val="num" w:pos="1440"/>
          </w:tabs>
          <w:ind w:left="1440" w:hanging="360"/>
        </w:pPr>
        <w:rPr>
          <w:rFonts w:hint="default"/>
          <w:b w:val="0"/>
        </w:rPr>
      </w:lvl>
    </w:lvlOverride>
    <w:lvlOverride w:ilvl="2">
      <w:lvl w:ilvl="2">
        <w:start w:val="1"/>
        <w:numFmt w:val="lowerRoman"/>
        <w:lvlText w:val="%3."/>
        <w:lvlJc w:val="right"/>
        <w:pPr>
          <w:tabs>
            <w:tab w:val="num" w:pos="2520"/>
          </w:tabs>
          <w:ind w:left="2520" w:hanging="360"/>
        </w:pPr>
        <w:rPr>
          <w:rFonts w:hint="default"/>
        </w:rPr>
      </w:lvl>
    </w:lvlOverride>
    <w:lvlOverride w:ilvl="3">
      <w:lvl w:ilvl="3">
        <w:start w:val="1"/>
        <w:numFmt w:val="decimal"/>
        <w:lvlText w:val="%4."/>
        <w:lvlJc w:val="left"/>
        <w:pPr>
          <w:tabs>
            <w:tab w:val="num" w:pos="3600"/>
          </w:tabs>
          <w:ind w:left="3600" w:hanging="360"/>
        </w:pPr>
        <w:rPr>
          <w:rFonts w:hint="default"/>
        </w:rPr>
      </w:lvl>
    </w:lvlOverride>
    <w:lvlOverride w:ilvl="4">
      <w:lvl w:ilvl="4">
        <w:start w:val="1"/>
        <w:numFmt w:val="lowerLetter"/>
        <w:lvlText w:val="%5."/>
        <w:lvlJc w:val="left"/>
        <w:pPr>
          <w:tabs>
            <w:tab w:val="num" w:pos="4680"/>
          </w:tabs>
          <w:ind w:left="4680" w:hanging="360"/>
        </w:pPr>
        <w:rPr>
          <w:rFonts w:hint="default"/>
        </w:rPr>
      </w:lvl>
    </w:lvlOverride>
    <w:lvlOverride w:ilvl="5">
      <w:lvl w:ilvl="5">
        <w:start w:val="1"/>
        <w:numFmt w:val="lowerRoman"/>
        <w:lvlText w:val="%6."/>
        <w:lvlJc w:val="right"/>
        <w:pPr>
          <w:tabs>
            <w:tab w:val="num" w:pos="5760"/>
          </w:tabs>
          <w:ind w:left="5760" w:hanging="360"/>
        </w:pPr>
        <w:rPr>
          <w:rFonts w:hint="default"/>
        </w:rPr>
      </w:lvl>
    </w:lvlOverride>
    <w:lvlOverride w:ilvl="6">
      <w:lvl w:ilvl="6">
        <w:start w:val="1"/>
        <w:numFmt w:val="decimal"/>
        <w:lvlText w:val="%7."/>
        <w:lvlJc w:val="left"/>
        <w:pPr>
          <w:tabs>
            <w:tab w:val="num" w:pos="6840"/>
          </w:tabs>
          <w:ind w:left="6840" w:hanging="360"/>
        </w:pPr>
        <w:rPr>
          <w:rFonts w:hint="default"/>
        </w:rPr>
      </w:lvl>
    </w:lvlOverride>
    <w:lvlOverride w:ilvl="7">
      <w:lvl w:ilvl="7">
        <w:start w:val="1"/>
        <w:numFmt w:val="lowerLetter"/>
        <w:lvlText w:val="%8."/>
        <w:lvlJc w:val="left"/>
        <w:pPr>
          <w:tabs>
            <w:tab w:val="num" w:pos="7920"/>
          </w:tabs>
          <w:ind w:left="7920" w:hanging="360"/>
        </w:pPr>
        <w:rPr>
          <w:rFonts w:hint="default"/>
        </w:rPr>
      </w:lvl>
    </w:lvlOverride>
    <w:lvlOverride w:ilvl="8">
      <w:lvl w:ilvl="8">
        <w:start w:val="1"/>
        <w:numFmt w:val="lowerRoman"/>
        <w:lvlText w:val="%9."/>
        <w:lvlJc w:val="right"/>
        <w:pPr>
          <w:tabs>
            <w:tab w:val="num" w:pos="9000"/>
          </w:tabs>
          <w:ind w:left="9000" w:hanging="360"/>
        </w:pPr>
        <w:rPr>
          <w:rFonts w:hint="default"/>
        </w:rPr>
      </w:lvl>
    </w:lvlOverride>
  </w:num>
  <w:num w:numId="42">
    <w:abstractNumId w:val="4"/>
    <w:lvlOverride w:ilvl="0">
      <w:lvl w:ilvl="0">
        <w:start w:val="1"/>
        <w:numFmt w:val="decimal"/>
        <w:lvlText w:val="%1."/>
        <w:lvlJc w:val="left"/>
        <w:pPr>
          <w:tabs>
            <w:tab w:val="num" w:pos="360"/>
          </w:tabs>
          <w:ind w:left="360" w:hanging="360"/>
        </w:pPr>
        <w:rPr>
          <w:rFonts w:hint="default"/>
          <w:b w:val="0"/>
        </w:rPr>
      </w:lvl>
    </w:lvlOverride>
    <w:lvlOverride w:ilvl="1">
      <w:lvl w:ilvl="1">
        <w:start w:val="1"/>
        <w:numFmt w:val="lowerLetter"/>
        <w:lvlText w:val="%2."/>
        <w:lvlJc w:val="left"/>
        <w:pPr>
          <w:tabs>
            <w:tab w:val="num" w:pos="1080"/>
          </w:tabs>
          <w:ind w:left="1440" w:hanging="360"/>
        </w:pPr>
        <w:rPr>
          <w:rFonts w:hint="default"/>
          <w:b w:val="0"/>
        </w:rPr>
      </w:lvl>
    </w:lvlOverride>
    <w:lvlOverride w:ilvl="2">
      <w:lvl w:ilvl="2">
        <w:start w:val="1"/>
        <w:numFmt w:val="lowerRoman"/>
        <w:lvlText w:val="%3."/>
        <w:lvlJc w:val="right"/>
        <w:pPr>
          <w:tabs>
            <w:tab w:val="num" w:pos="2520"/>
          </w:tabs>
          <w:ind w:left="2520" w:hanging="360"/>
        </w:pPr>
        <w:rPr>
          <w:rFonts w:hint="default"/>
        </w:rPr>
      </w:lvl>
    </w:lvlOverride>
    <w:lvlOverride w:ilvl="3">
      <w:lvl w:ilvl="3">
        <w:start w:val="1"/>
        <w:numFmt w:val="decimal"/>
        <w:lvlText w:val="%4."/>
        <w:lvlJc w:val="left"/>
        <w:pPr>
          <w:tabs>
            <w:tab w:val="num" w:pos="3600"/>
          </w:tabs>
          <w:ind w:left="3600" w:hanging="360"/>
        </w:pPr>
        <w:rPr>
          <w:rFonts w:hint="default"/>
        </w:rPr>
      </w:lvl>
    </w:lvlOverride>
    <w:lvlOverride w:ilvl="4">
      <w:lvl w:ilvl="4">
        <w:start w:val="1"/>
        <w:numFmt w:val="lowerLetter"/>
        <w:lvlText w:val="%5."/>
        <w:lvlJc w:val="left"/>
        <w:pPr>
          <w:tabs>
            <w:tab w:val="num" w:pos="4680"/>
          </w:tabs>
          <w:ind w:left="4680" w:hanging="360"/>
        </w:pPr>
        <w:rPr>
          <w:rFonts w:hint="default"/>
        </w:rPr>
      </w:lvl>
    </w:lvlOverride>
    <w:lvlOverride w:ilvl="5">
      <w:lvl w:ilvl="5">
        <w:start w:val="1"/>
        <w:numFmt w:val="lowerRoman"/>
        <w:lvlText w:val="%6."/>
        <w:lvlJc w:val="right"/>
        <w:pPr>
          <w:tabs>
            <w:tab w:val="num" w:pos="5760"/>
          </w:tabs>
          <w:ind w:left="5760" w:hanging="360"/>
        </w:pPr>
        <w:rPr>
          <w:rFonts w:hint="default"/>
        </w:rPr>
      </w:lvl>
    </w:lvlOverride>
    <w:lvlOverride w:ilvl="6">
      <w:lvl w:ilvl="6">
        <w:start w:val="1"/>
        <w:numFmt w:val="decimal"/>
        <w:lvlText w:val="%7."/>
        <w:lvlJc w:val="left"/>
        <w:pPr>
          <w:tabs>
            <w:tab w:val="num" w:pos="6840"/>
          </w:tabs>
          <w:ind w:left="6840" w:hanging="360"/>
        </w:pPr>
        <w:rPr>
          <w:rFonts w:hint="default"/>
        </w:rPr>
      </w:lvl>
    </w:lvlOverride>
    <w:lvlOverride w:ilvl="7">
      <w:lvl w:ilvl="7">
        <w:start w:val="1"/>
        <w:numFmt w:val="lowerLetter"/>
        <w:lvlText w:val="%8."/>
        <w:lvlJc w:val="left"/>
        <w:pPr>
          <w:tabs>
            <w:tab w:val="num" w:pos="7920"/>
          </w:tabs>
          <w:ind w:left="7920" w:hanging="360"/>
        </w:pPr>
        <w:rPr>
          <w:rFonts w:hint="default"/>
        </w:rPr>
      </w:lvl>
    </w:lvlOverride>
    <w:lvlOverride w:ilvl="8">
      <w:lvl w:ilvl="8">
        <w:start w:val="1"/>
        <w:numFmt w:val="lowerRoman"/>
        <w:lvlText w:val="%9."/>
        <w:lvlJc w:val="right"/>
        <w:pPr>
          <w:tabs>
            <w:tab w:val="num" w:pos="9000"/>
          </w:tabs>
          <w:ind w:left="9000" w:hanging="360"/>
        </w:pPr>
        <w:rPr>
          <w:rFonts w:hint="default"/>
        </w:rPr>
      </w:lvl>
    </w:lvlOverride>
  </w:num>
  <w:num w:numId="43">
    <w:abstractNumId w:val="4"/>
    <w:lvlOverride w:ilvl="0">
      <w:lvl w:ilvl="0">
        <w:start w:val="1"/>
        <w:numFmt w:val="decimal"/>
        <w:lvlText w:val="%1."/>
        <w:lvlJc w:val="left"/>
        <w:pPr>
          <w:tabs>
            <w:tab w:val="num" w:pos="360"/>
          </w:tabs>
          <w:ind w:left="360" w:hanging="360"/>
        </w:pPr>
        <w:rPr>
          <w:rFonts w:hint="default"/>
          <w:b w:val="0"/>
        </w:rPr>
      </w:lvl>
    </w:lvlOverride>
    <w:lvlOverride w:ilvl="1">
      <w:lvl w:ilvl="1">
        <w:start w:val="1"/>
        <w:numFmt w:val="lowerLetter"/>
        <w:lvlText w:val="%2."/>
        <w:lvlJc w:val="left"/>
        <w:pPr>
          <w:tabs>
            <w:tab w:val="num" w:pos="1080"/>
          </w:tabs>
          <w:ind w:left="1440" w:hanging="360"/>
        </w:pPr>
        <w:rPr>
          <w:rFonts w:hint="default"/>
          <w:b w:val="0"/>
        </w:rPr>
      </w:lvl>
    </w:lvlOverride>
    <w:lvlOverride w:ilvl="2">
      <w:lvl w:ilvl="2">
        <w:start w:val="1"/>
        <w:numFmt w:val="lowerRoman"/>
        <w:lvlText w:val="%3."/>
        <w:lvlJc w:val="right"/>
        <w:pPr>
          <w:tabs>
            <w:tab w:val="num" w:pos="2520"/>
          </w:tabs>
          <w:ind w:left="2520" w:hanging="360"/>
        </w:pPr>
        <w:rPr>
          <w:rFonts w:hint="default"/>
        </w:rPr>
      </w:lvl>
    </w:lvlOverride>
    <w:lvlOverride w:ilvl="3">
      <w:lvl w:ilvl="3">
        <w:start w:val="1"/>
        <w:numFmt w:val="decimal"/>
        <w:lvlText w:val="%4."/>
        <w:lvlJc w:val="left"/>
        <w:pPr>
          <w:tabs>
            <w:tab w:val="num" w:pos="3600"/>
          </w:tabs>
          <w:ind w:left="3600" w:hanging="360"/>
        </w:pPr>
        <w:rPr>
          <w:rFonts w:hint="default"/>
        </w:rPr>
      </w:lvl>
    </w:lvlOverride>
    <w:lvlOverride w:ilvl="4">
      <w:lvl w:ilvl="4">
        <w:start w:val="1"/>
        <w:numFmt w:val="lowerLetter"/>
        <w:lvlText w:val="%5."/>
        <w:lvlJc w:val="left"/>
        <w:pPr>
          <w:tabs>
            <w:tab w:val="num" w:pos="4680"/>
          </w:tabs>
          <w:ind w:left="4680" w:hanging="360"/>
        </w:pPr>
        <w:rPr>
          <w:rFonts w:hint="default"/>
        </w:rPr>
      </w:lvl>
    </w:lvlOverride>
    <w:lvlOverride w:ilvl="5">
      <w:lvl w:ilvl="5">
        <w:start w:val="1"/>
        <w:numFmt w:val="lowerRoman"/>
        <w:lvlText w:val="%6."/>
        <w:lvlJc w:val="right"/>
        <w:pPr>
          <w:tabs>
            <w:tab w:val="num" w:pos="5760"/>
          </w:tabs>
          <w:ind w:left="5760" w:hanging="360"/>
        </w:pPr>
        <w:rPr>
          <w:rFonts w:hint="default"/>
        </w:rPr>
      </w:lvl>
    </w:lvlOverride>
    <w:lvlOverride w:ilvl="6">
      <w:lvl w:ilvl="6">
        <w:start w:val="1"/>
        <w:numFmt w:val="decimal"/>
        <w:lvlText w:val="%7."/>
        <w:lvlJc w:val="left"/>
        <w:pPr>
          <w:tabs>
            <w:tab w:val="num" w:pos="6840"/>
          </w:tabs>
          <w:ind w:left="6840" w:hanging="360"/>
        </w:pPr>
        <w:rPr>
          <w:rFonts w:hint="default"/>
        </w:rPr>
      </w:lvl>
    </w:lvlOverride>
    <w:lvlOverride w:ilvl="7">
      <w:lvl w:ilvl="7">
        <w:start w:val="1"/>
        <w:numFmt w:val="lowerLetter"/>
        <w:lvlText w:val="%8."/>
        <w:lvlJc w:val="left"/>
        <w:pPr>
          <w:tabs>
            <w:tab w:val="num" w:pos="7920"/>
          </w:tabs>
          <w:ind w:left="7920" w:hanging="360"/>
        </w:pPr>
        <w:rPr>
          <w:rFonts w:hint="default"/>
        </w:rPr>
      </w:lvl>
    </w:lvlOverride>
    <w:lvlOverride w:ilvl="8">
      <w:lvl w:ilvl="8">
        <w:start w:val="1"/>
        <w:numFmt w:val="lowerRoman"/>
        <w:lvlText w:val="%9."/>
        <w:lvlJc w:val="right"/>
        <w:pPr>
          <w:tabs>
            <w:tab w:val="num" w:pos="9000"/>
          </w:tabs>
          <w:ind w:left="9000" w:hanging="360"/>
        </w:pPr>
        <w:rPr>
          <w:rFonts w:hint="default"/>
        </w:rPr>
      </w:lvl>
    </w:lvlOverride>
  </w:num>
  <w:num w:numId="44">
    <w:abstractNumId w:val="4"/>
    <w:lvlOverride w:ilvl="0">
      <w:lvl w:ilvl="0">
        <w:start w:val="1"/>
        <w:numFmt w:val="decimal"/>
        <w:lvlText w:val="%1."/>
        <w:lvlJc w:val="left"/>
        <w:pPr>
          <w:tabs>
            <w:tab w:val="num" w:pos="360"/>
          </w:tabs>
          <w:ind w:left="360" w:hanging="360"/>
        </w:pPr>
        <w:rPr>
          <w:rFonts w:hint="default"/>
          <w:b w:val="0"/>
        </w:rPr>
      </w:lvl>
    </w:lvlOverride>
    <w:lvlOverride w:ilvl="1">
      <w:lvl w:ilvl="1">
        <w:start w:val="1"/>
        <w:numFmt w:val="lowerLetter"/>
        <w:suff w:val="space"/>
        <w:lvlText w:val="%2."/>
        <w:lvlJc w:val="left"/>
        <w:pPr>
          <w:ind w:left="1440" w:hanging="360"/>
        </w:pPr>
        <w:rPr>
          <w:rFonts w:hint="default"/>
          <w:b w:val="0"/>
        </w:rPr>
      </w:lvl>
    </w:lvlOverride>
    <w:lvlOverride w:ilvl="2">
      <w:lvl w:ilvl="2">
        <w:start w:val="1"/>
        <w:numFmt w:val="lowerRoman"/>
        <w:lvlText w:val="%3."/>
        <w:lvlJc w:val="right"/>
        <w:pPr>
          <w:tabs>
            <w:tab w:val="num" w:pos="2520"/>
          </w:tabs>
          <w:ind w:left="2520" w:hanging="360"/>
        </w:pPr>
        <w:rPr>
          <w:rFonts w:hint="default"/>
        </w:rPr>
      </w:lvl>
    </w:lvlOverride>
    <w:lvlOverride w:ilvl="3">
      <w:lvl w:ilvl="3">
        <w:start w:val="1"/>
        <w:numFmt w:val="decimal"/>
        <w:lvlText w:val="%4."/>
        <w:lvlJc w:val="left"/>
        <w:pPr>
          <w:tabs>
            <w:tab w:val="num" w:pos="3600"/>
          </w:tabs>
          <w:ind w:left="3600" w:hanging="360"/>
        </w:pPr>
        <w:rPr>
          <w:rFonts w:hint="default"/>
        </w:rPr>
      </w:lvl>
    </w:lvlOverride>
    <w:lvlOverride w:ilvl="4">
      <w:lvl w:ilvl="4">
        <w:start w:val="1"/>
        <w:numFmt w:val="lowerLetter"/>
        <w:lvlText w:val="%5."/>
        <w:lvlJc w:val="left"/>
        <w:pPr>
          <w:tabs>
            <w:tab w:val="num" w:pos="4680"/>
          </w:tabs>
          <w:ind w:left="4680" w:hanging="360"/>
        </w:pPr>
        <w:rPr>
          <w:rFonts w:hint="default"/>
        </w:rPr>
      </w:lvl>
    </w:lvlOverride>
    <w:lvlOverride w:ilvl="5">
      <w:lvl w:ilvl="5">
        <w:start w:val="1"/>
        <w:numFmt w:val="lowerRoman"/>
        <w:lvlText w:val="%6."/>
        <w:lvlJc w:val="right"/>
        <w:pPr>
          <w:tabs>
            <w:tab w:val="num" w:pos="5760"/>
          </w:tabs>
          <w:ind w:left="5760" w:hanging="360"/>
        </w:pPr>
        <w:rPr>
          <w:rFonts w:hint="default"/>
        </w:rPr>
      </w:lvl>
    </w:lvlOverride>
    <w:lvlOverride w:ilvl="6">
      <w:lvl w:ilvl="6">
        <w:start w:val="1"/>
        <w:numFmt w:val="decimal"/>
        <w:lvlText w:val="%7."/>
        <w:lvlJc w:val="left"/>
        <w:pPr>
          <w:tabs>
            <w:tab w:val="num" w:pos="6840"/>
          </w:tabs>
          <w:ind w:left="6840" w:hanging="360"/>
        </w:pPr>
        <w:rPr>
          <w:rFonts w:hint="default"/>
        </w:rPr>
      </w:lvl>
    </w:lvlOverride>
    <w:lvlOverride w:ilvl="7">
      <w:lvl w:ilvl="7">
        <w:start w:val="1"/>
        <w:numFmt w:val="lowerLetter"/>
        <w:lvlText w:val="%8."/>
        <w:lvlJc w:val="left"/>
        <w:pPr>
          <w:tabs>
            <w:tab w:val="num" w:pos="7920"/>
          </w:tabs>
          <w:ind w:left="7920" w:hanging="360"/>
        </w:pPr>
        <w:rPr>
          <w:rFonts w:hint="default"/>
        </w:rPr>
      </w:lvl>
    </w:lvlOverride>
    <w:lvlOverride w:ilvl="8">
      <w:lvl w:ilvl="8">
        <w:start w:val="1"/>
        <w:numFmt w:val="lowerRoman"/>
        <w:lvlText w:val="%9."/>
        <w:lvlJc w:val="right"/>
        <w:pPr>
          <w:tabs>
            <w:tab w:val="num" w:pos="9000"/>
          </w:tabs>
          <w:ind w:left="9000" w:hanging="360"/>
        </w:pPr>
        <w:rPr>
          <w:rFonts w:hint="default"/>
        </w:rPr>
      </w:lvl>
    </w:lvlOverride>
  </w:num>
  <w:num w:numId="45">
    <w:abstractNumId w:val="4"/>
    <w:lvlOverride w:ilvl="0">
      <w:lvl w:ilvl="0">
        <w:start w:val="1"/>
        <w:numFmt w:val="decimal"/>
        <w:lvlText w:val="%1."/>
        <w:lvlJc w:val="left"/>
        <w:pPr>
          <w:tabs>
            <w:tab w:val="num" w:pos="360"/>
          </w:tabs>
          <w:ind w:left="360" w:hanging="360"/>
        </w:pPr>
        <w:rPr>
          <w:rFonts w:hint="default"/>
          <w:b w:val="0"/>
        </w:rPr>
      </w:lvl>
    </w:lvlOverride>
    <w:lvlOverride w:ilvl="1">
      <w:lvl w:ilvl="1">
        <w:start w:val="1"/>
        <w:numFmt w:val="lowerLetter"/>
        <w:suff w:val="nothing"/>
        <w:lvlText w:val="%2."/>
        <w:lvlJc w:val="left"/>
        <w:pPr>
          <w:ind w:left="1440" w:hanging="360"/>
        </w:pPr>
        <w:rPr>
          <w:rFonts w:hint="default"/>
          <w:b w:val="0"/>
        </w:rPr>
      </w:lvl>
    </w:lvlOverride>
    <w:lvlOverride w:ilvl="2">
      <w:lvl w:ilvl="2">
        <w:start w:val="1"/>
        <w:numFmt w:val="lowerRoman"/>
        <w:lvlText w:val="%3."/>
        <w:lvlJc w:val="right"/>
        <w:pPr>
          <w:tabs>
            <w:tab w:val="num" w:pos="2520"/>
          </w:tabs>
          <w:ind w:left="2520" w:hanging="360"/>
        </w:pPr>
        <w:rPr>
          <w:rFonts w:hint="default"/>
        </w:rPr>
      </w:lvl>
    </w:lvlOverride>
    <w:lvlOverride w:ilvl="3">
      <w:lvl w:ilvl="3">
        <w:start w:val="1"/>
        <w:numFmt w:val="decimal"/>
        <w:lvlText w:val="%4."/>
        <w:lvlJc w:val="left"/>
        <w:pPr>
          <w:tabs>
            <w:tab w:val="num" w:pos="3600"/>
          </w:tabs>
          <w:ind w:left="3600" w:hanging="360"/>
        </w:pPr>
        <w:rPr>
          <w:rFonts w:hint="default"/>
        </w:rPr>
      </w:lvl>
    </w:lvlOverride>
    <w:lvlOverride w:ilvl="4">
      <w:lvl w:ilvl="4">
        <w:start w:val="1"/>
        <w:numFmt w:val="lowerLetter"/>
        <w:lvlText w:val="%5."/>
        <w:lvlJc w:val="left"/>
        <w:pPr>
          <w:tabs>
            <w:tab w:val="num" w:pos="4680"/>
          </w:tabs>
          <w:ind w:left="4680" w:hanging="360"/>
        </w:pPr>
        <w:rPr>
          <w:rFonts w:hint="default"/>
        </w:rPr>
      </w:lvl>
    </w:lvlOverride>
    <w:lvlOverride w:ilvl="5">
      <w:lvl w:ilvl="5">
        <w:start w:val="1"/>
        <w:numFmt w:val="lowerRoman"/>
        <w:lvlText w:val="%6."/>
        <w:lvlJc w:val="right"/>
        <w:pPr>
          <w:tabs>
            <w:tab w:val="num" w:pos="5760"/>
          </w:tabs>
          <w:ind w:left="5760" w:hanging="360"/>
        </w:pPr>
        <w:rPr>
          <w:rFonts w:hint="default"/>
        </w:rPr>
      </w:lvl>
    </w:lvlOverride>
    <w:lvlOverride w:ilvl="6">
      <w:lvl w:ilvl="6">
        <w:start w:val="1"/>
        <w:numFmt w:val="decimal"/>
        <w:lvlText w:val="%7."/>
        <w:lvlJc w:val="left"/>
        <w:pPr>
          <w:tabs>
            <w:tab w:val="num" w:pos="6840"/>
          </w:tabs>
          <w:ind w:left="6840" w:hanging="360"/>
        </w:pPr>
        <w:rPr>
          <w:rFonts w:hint="default"/>
        </w:rPr>
      </w:lvl>
    </w:lvlOverride>
    <w:lvlOverride w:ilvl="7">
      <w:lvl w:ilvl="7">
        <w:start w:val="1"/>
        <w:numFmt w:val="lowerLetter"/>
        <w:lvlText w:val="%8."/>
        <w:lvlJc w:val="left"/>
        <w:pPr>
          <w:tabs>
            <w:tab w:val="num" w:pos="7920"/>
          </w:tabs>
          <w:ind w:left="7920" w:hanging="360"/>
        </w:pPr>
        <w:rPr>
          <w:rFonts w:hint="default"/>
        </w:rPr>
      </w:lvl>
    </w:lvlOverride>
    <w:lvlOverride w:ilvl="8">
      <w:lvl w:ilvl="8">
        <w:start w:val="1"/>
        <w:numFmt w:val="lowerRoman"/>
        <w:lvlText w:val="%9."/>
        <w:lvlJc w:val="right"/>
        <w:pPr>
          <w:tabs>
            <w:tab w:val="num" w:pos="9000"/>
          </w:tabs>
          <w:ind w:left="9000" w:hanging="360"/>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lang="en-US" w:vendorID="8" w:dllVersion="513" w:checkStyle="1" w:appName="MSWord"/>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38D"/>
    <w:rsid w:val="000005BA"/>
    <w:rsid w:val="00001A0E"/>
    <w:rsid w:val="000044DB"/>
    <w:rsid w:val="00004536"/>
    <w:rsid w:val="0000541A"/>
    <w:rsid w:val="0000581F"/>
    <w:rsid w:val="00006C96"/>
    <w:rsid w:val="000075B7"/>
    <w:rsid w:val="00007A34"/>
    <w:rsid w:val="00010BEA"/>
    <w:rsid w:val="000113CA"/>
    <w:rsid w:val="000133B4"/>
    <w:rsid w:val="0001548E"/>
    <w:rsid w:val="000164CA"/>
    <w:rsid w:val="000220FF"/>
    <w:rsid w:val="0002453C"/>
    <w:rsid w:val="00025B6C"/>
    <w:rsid w:val="00025FBB"/>
    <w:rsid w:val="00027FF7"/>
    <w:rsid w:val="000300D7"/>
    <w:rsid w:val="000331E0"/>
    <w:rsid w:val="000345CB"/>
    <w:rsid w:val="00034BC4"/>
    <w:rsid w:val="00036438"/>
    <w:rsid w:val="00041319"/>
    <w:rsid w:val="00043EB9"/>
    <w:rsid w:val="00044BF3"/>
    <w:rsid w:val="00046706"/>
    <w:rsid w:val="000468EE"/>
    <w:rsid w:val="00046D03"/>
    <w:rsid w:val="00051D95"/>
    <w:rsid w:val="00051E4E"/>
    <w:rsid w:val="00053F65"/>
    <w:rsid w:val="00054828"/>
    <w:rsid w:val="00055BAF"/>
    <w:rsid w:val="0006509F"/>
    <w:rsid w:val="0006536D"/>
    <w:rsid w:val="000665E7"/>
    <w:rsid w:val="000703C9"/>
    <w:rsid w:val="00071415"/>
    <w:rsid w:val="0007251F"/>
    <w:rsid w:val="00075289"/>
    <w:rsid w:val="000756A0"/>
    <w:rsid w:val="00075D3C"/>
    <w:rsid w:val="000825D8"/>
    <w:rsid w:val="000844EA"/>
    <w:rsid w:val="00084C3B"/>
    <w:rsid w:val="00085AC4"/>
    <w:rsid w:val="00085FF8"/>
    <w:rsid w:val="00086CC2"/>
    <w:rsid w:val="00086E11"/>
    <w:rsid w:val="00087CC7"/>
    <w:rsid w:val="00090B54"/>
    <w:rsid w:val="00092DF4"/>
    <w:rsid w:val="000937A7"/>
    <w:rsid w:val="00095325"/>
    <w:rsid w:val="00097088"/>
    <w:rsid w:val="00097EE9"/>
    <w:rsid w:val="00097F33"/>
    <w:rsid w:val="000A2B42"/>
    <w:rsid w:val="000A3EFD"/>
    <w:rsid w:val="000A4A18"/>
    <w:rsid w:val="000A62D5"/>
    <w:rsid w:val="000A63C3"/>
    <w:rsid w:val="000A6556"/>
    <w:rsid w:val="000A7B17"/>
    <w:rsid w:val="000B1281"/>
    <w:rsid w:val="000B2FDD"/>
    <w:rsid w:val="000B4FBD"/>
    <w:rsid w:val="000B7636"/>
    <w:rsid w:val="000C1986"/>
    <w:rsid w:val="000C44D1"/>
    <w:rsid w:val="000C4666"/>
    <w:rsid w:val="000C4824"/>
    <w:rsid w:val="000C5E8A"/>
    <w:rsid w:val="000C6668"/>
    <w:rsid w:val="000C674A"/>
    <w:rsid w:val="000C6FBB"/>
    <w:rsid w:val="000C71A4"/>
    <w:rsid w:val="000C78FC"/>
    <w:rsid w:val="000C7D19"/>
    <w:rsid w:val="000C7DD3"/>
    <w:rsid w:val="000D22C0"/>
    <w:rsid w:val="000D5836"/>
    <w:rsid w:val="000E0DB2"/>
    <w:rsid w:val="000E26D8"/>
    <w:rsid w:val="000E3671"/>
    <w:rsid w:val="000E5E77"/>
    <w:rsid w:val="000E5FFE"/>
    <w:rsid w:val="000E7029"/>
    <w:rsid w:val="000E738E"/>
    <w:rsid w:val="000F062B"/>
    <w:rsid w:val="000F1A34"/>
    <w:rsid w:val="000F3E49"/>
    <w:rsid w:val="000F4190"/>
    <w:rsid w:val="000F4202"/>
    <w:rsid w:val="000F465A"/>
    <w:rsid w:val="000F4DAB"/>
    <w:rsid w:val="000F55E0"/>
    <w:rsid w:val="000F6CA2"/>
    <w:rsid w:val="000F7746"/>
    <w:rsid w:val="0010111D"/>
    <w:rsid w:val="0010120C"/>
    <w:rsid w:val="00101A8C"/>
    <w:rsid w:val="00104691"/>
    <w:rsid w:val="00106152"/>
    <w:rsid w:val="001069DD"/>
    <w:rsid w:val="0011019B"/>
    <w:rsid w:val="00111A00"/>
    <w:rsid w:val="0011219D"/>
    <w:rsid w:val="00112943"/>
    <w:rsid w:val="00116837"/>
    <w:rsid w:val="00116A66"/>
    <w:rsid w:val="001202D9"/>
    <w:rsid w:val="00120DE4"/>
    <w:rsid w:val="00125204"/>
    <w:rsid w:val="00127E3C"/>
    <w:rsid w:val="00131437"/>
    <w:rsid w:val="0013271C"/>
    <w:rsid w:val="001370A0"/>
    <w:rsid w:val="00140613"/>
    <w:rsid w:val="00141635"/>
    <w:rsid w:val="00146B1B"/>
    <w:rsid w:val="00150FEC"/>
    <w:rsid w:val="00152E66"/>
    <w:rsid w:val="001536FC"/>
    <w:rsid w:val="00153734"/>
    <w:rsid w:val="00154526"/>
    <w:rsid w:val="00162B4A"/>
    <w:rsid w:val="00165F32"/>
    <w:rsid w:val="0017030D"/>
    <w:rsid w:val="00170F03"/>
    <w:rsid w:val="00170F4D"/>
    <w:rsid w:val="001721BB"/>
    <w:rsid w:val="00172221"/>
    <w:rsid w:val="001722B5"/>
    <w:rsid w:val="001735AC"/>
    <w:rsid w:val="001744C8"/>
    <w:rsid w:val="001761D8"/>
    <w:rsid w:val="001764FC"/>
    <w:rsid w:val="00177766"/>
    <w:rsid w:val="00177FF5"/>
    <w:rsid w:val="00184A59"/>
    <w:rsid w:val="00184CC1"/>
    <w:rsid w:val="00185BF9"/>
    <w:rsid w:val="00186EDC"/>
    <w:rsid w:val="0018729F"/>
    <w:rsid w:val="00190443"/>
    <w:rsid w:val="001914C5"/>
    <w:rsid w:val="00192C14"/>
    <w:rsid w:val="00192F62"/>
    <w:rsid w:val="001930B2"/>
    <w:rsid w:val="00194749"/>
    <w:rsid w:val="00195217"/>
    <w:rsid w:val="00196BDA"/>
    <w:rsid w:val="0019705B"/>
    <w:rsid w:val="001A0544"/>
    <w:rsid w:val="001A17C8"/>
    <w:rsid w:val="001A376C"/>
    <w:rsid w:val="001A6F67"/>
    <w:rsid w:val="001A7925"/>
    <w:rsid w:val="001A7A3C"/>
    <w:rsid w:val="001B413F"/>
    <w:rsid w:val="001B4C58"/>
    <w:rsid w:val="001B4E92"/>
    <w:rsid w:val="001B652D"/>
    <w:rsid w:val="001B6BC2"/>
    <w:rsid w:val="001B6D81"/>
    <w:rsid w:val="001C21A2"/>
    <w:rsid w:val="001C313B"/>
    <w:rsid w:val="001C327F"/>
    <w:rsid w:val="001C4E54"/>
    <w:rsid w:val="001C538D"/>
    <w:rsid w:val="001C6D62"/>
    <w:rsid w:val="001C6FED"/>
    <w:rsid w:val="001D0115"/>
    <w:rsid w:val="001D1E8A"/>
    <w:rsid w:val="001D2126"/>
    <w:rsid w:val="001D4632"/>
    <w:rsid w:val="001D6B98"/>
    <w:rsid w:val="001D7864"/>
    <w:rsid w:val="001E011B"/>
    <w:rsid w:val="001E1EF2"/>
    <w:rsid w:val="001E2173"/>
    <w:rsid w:val="001E4D7D"/>
    <w:rsid w:val="001E4EC0"/>
    <w:rsid w:val="001E6FF8"/>
    <w:rsid w:val="001E7F17"/>
    <w:rsid w:val="001E7FC6"/>
    <w:rsid w:val="001F0F05"/>
    <w:rsid w:val="001F1C08"/>
    <w:rsid w:val="001F1C26"/>
    <w:rsid w:val="001F25C8"/>
    <w:rsid w:val="001F2AC5"/>
    <w:rsid w:val="001F5F9C"/>
    <w:rsid w:val="0020436F"/>
    <w:rsid w:val="00205C37"/>
    <w:rsid w:val="00211CB2"/>
    <w:rsid w:val="00212777"/>
    <w:rsid w:val="00212BF6"/>
    <w:rsid w:val="00214036"/>
    <w:rsid w:val="00214309"/>
    <w:rsid w:val="002147F1"/>
    <w:rsid w:val="0021482A"/>
    <w:rsid w:val="002155D9"/>
    <w:rsid w:val="00215845"/>
    <w:rsid w:val="002162B5"/>
    <w:rsid w:val="00216EF1"/>
    <w:rsid w:val="0021702E"/>
    <w:rsid w:val="0022044D"/>
    <w:rsid w:val="002245FC"/>
    <w:rsid w:val="00224B3F"/>
    <w:rsid w:val="002254E4"/>
    <w:rsid w:val="00225A1E"/>
    <w:rsid w:val="00226871"/>
    <w:rsid w:val="00226A07"/>
    <w:rsid w:val="002278D2"/>
    <w:rsid w:val="00230CFA"/>
    <w:rsid w:val="00232348"/>
    <w:rsid w:val="0023275A"/>
    <w:rsid w:val="00235BF8"/>
    <w:rsid w:val="00236386"/>
    <w:rsid w:val="00237912"/>
    <w:rsid w:val="00240A2F"/>
    <w:rsid w:val="0024145E"/>
    <w:rsid w:val="00241995"/>
    <w:rsid w:val="0024376B"/>
    <w:rsid w:val="0024447A"/>
    <w:rsid w:val="002454A7"/>
    <w:rsid w:val="00246A23"/>
    <w:rsid w:val="0025039D"/>
    <w:rsid w:val="002503F2"/>
    <w:rsid w:val="00250E0F"/>
    <w:rsid w:val="002512E9"/>
    <w:rsid w:val="00251F3E"/>
    <w:rsid w:val="0025218B"/>
    <w:rsid w:val="0025299F"/>
    <w:rsid w:val="00252E16"/>
    <w:rsid w:val="00253459"/>
    <w:rsid w:val="002555AF"/>
    <w:rsid w:val="00255A29"/>
    <w:rsid w:val="00256B97"/>
    <w:rsid w:val="0026099A"/>
    <w:rsid w:val="00262E88"/>
    <w:rsid w:val="00263349"/>
    <w:rsid w:val="00263836"/>
    <w:rsid w:val="00263C58"/>
    <w:rsid w:val="00263D81"/>
    <w:rsid w:val="00266382"/>
    <w:rsid w:val="00267FFE"/>
    <w:rsid w:val="00270AF0"/>
    <w:rsid w:val="0027209D"/>
    <w:rsid w:val="00273ED3"/>
    <w:rsid w:val="00276380"/>
    <w:rsid w:val="00276C5C"/>
    <w:rsid w:val="00276CDB"/>
    <w:rsid w:val="00277090"/>
    <w:rsid w:val="002771C2"/>
    <w:rsid w:val="00277208"/>
    <w:rsid w:val="00277C23"/>
    <w:rsid w:val="00280956"/>
    <w:rsid w:val="0028408A"/>
    <w:rsid w:val="002850D8"/>
    <w:rsid w:val="00286216"/>
    <w:rsid w:val="00287BC6"/>
    <w:rsid w:val="002903C9"/>
    <w:rsid w:val="002903E4"/>
    <w:rsid w:val="00290FB2"/>
    <w:rsid w:val="002928A6"/>
    <w:rsid w:val="00295AF3"/>
    <w:rsid w:val="002A085E"/>
    <w:rsid w:val="002A0B87"/>
    <w:rsid w:val="002A18E7"/>
    <w:rsid w:val="002A2E03"/>
    <w:rsid w:val="002B00C0"/>
    <w:rsid w:val="002B0B97"/>
    <w:rsid w:val="002B40A5"/>
    <w:rsid w:val="002B55E9"/>
    <w:rsid w:val="002B690B"/>
    <w:rsid w:val="002B71DB"/>
    <w:rsid w:val="002C13F7"/>
    <w:rsid w:val="002C1F00"/>
    <w:rsid w:val="002C2486"/>
    <w:rsid w:val="002C275B"/>
    <w:rsid w:val="002C4FFF"/>
    <w:rsid w:val="002C53C3"/>
    <w:rsid w:val="002C6D73"/>
    <w:rsid w:val="002C7292"/>
    <w:rsid w:val="002D18AA"/>
    <w:rsid w:val="002D1F7A"/>
    <w:rsid w:val="002D2C94"/>
    <w:rsid w:val="002D2F2F"/>
    <w:rsid w:val="002D3042"/>
    <w:rsid w:val="002D499E"/>
    <w:rsid w:val="002D52C4"/>
    <w:rsid w:val="002D7394"/>
    <w:rsid w:val="002E1288"/>
    <w:rsid w:val="002E1F1B"/>
    <w:rsid w:val="002E2016"/>
    <w:rsid w:val="002E2DF3"/>
    <w:rsid w:val="002E4060"/>
    <w:rsid w:val="002E513A"/>
    <w:rsid w:val="002E6172"/>
    <w:rsid w:val="002E708B"/>
    <w:rsid w:val="002E7709"/>
    <w:rsid w:val="002F068F"/>
    <w:rsid w:val="002F0DA1"/>
    <w:rsid w:val="002F1A86"/>
    <w:rsid w:val="002F1C66"/>
    <w:rsid w:val="002F1E45"/>
    <w:rsid w:val="002F2640"/>
    <w:rsid w:val="002F40D7"/>
    <w:rsid w:val="002F4646"/>
    <w:rsid w:val="002F4B7D"/>
    <w:rsid w:val="003000F1"/>
    <w:rsid w:val="00303BF8"/>
    <w:rsid w:val="00303F40"/>
    <w:rsid w:val="00305582"/>
    <w:rsid w:val="00305A74"/>
    <w:rsid w:val="00305BFE"/>
    <w:rsid w:val="00305D88"/>
    <w:rsid w:val="00306BD9"/>
    <w:rsid w:val="00307579"/>
    <w:rsid w:val="00310EDF"/>
    <w:rsid w:val="00312689"/>
    <w:rsid w:val="00314B39"/>
    <w:rsid w:val="0031518E"/>
    <w:rsid w:val="00315400"/>
    <w:rsid w:val="0031541C"/>
    <w:rsid w:val="00315E47"/>
    <w:rsid w:val="00317196"/>
    <w:rsid w:val="00317985"/>
    <w:rsid w:val="003205F0"/>
    <w:rsid w:val="00320C2F"/>
    <w:rsid w:val="003222CE"/>
    <w:rsid w:val="003246B3"/>
    <w:rsid w:val="003267C9"/>
    <w:rsid w:val="0033217B"/>
    <w:rsid w:val="0033450B"/>
    <w:rsid w:val="003356C9"/>
    <w:rsid w:val="003365B2"/>
    <w:rsid w:val="0033661B"/>
    <w:rsid w:val="0033767F"/>
    <w:rsid w:val="003400A4"/>
    <w:rsid w:val="0034047C"/>
    <w:rsid w:val="00340A00"/>
    <w:rsid w:val="00341D76"/>
    <w:rsid w:val="00342619"/>
    <w:rsid w:val="00342BAE"/>
    <w:rsid w:val="003431FD"/>
    <w:rsid w:val="0034342D"/>
    <w:rsid w:val="00344A1B"/>
    <w:rsid w:val="00346C04"/>
    <w:rsid w:val="00346D8B"/>
    <w:rsid w:val="00347F53"/>
    <w:rsid w:val="00350421"/>
    <w:rsid w:val="00350817"/>
    <w:rsid w:val="00350A3B"/>
    <w:rsid w:val="00350F05"/>
    <w:rsid w:val="00353BA0"/>
    <w:rsid w:val="00354E8B"/>
    <w:rsid w:val="00355094"/>
    <w:rsid w:val="00356529"/>
    <w:rsid w:val="0036057B"/>
    <w:rsid w:val="00360804"/>
    <w:rsid w:val="0036365B"/>
    <w:rsid w:val="00365305"/>
    <w:rsid w:val="00370B79"/>
    <w:rsid w:val="00374A5B"/>
    <w:rsid w:val="0037573E"/>
    <w:rsid w:val="00376627"/>
    <w:rsid w:val="00376E5B"/>
    <w:rsid w:val="00377CFE"/>
    <w:rsid w:val="00377DB2"/>
    <w:rsid w:val="003805C7"/>
    <w:rsid w:val="00380CC1"/>
    <w:rsid w:val="00380ED6"/>
    <w:rsid w:val="003816EB"/>
    <w:rsid w:val="00382182"/>
    <w:rsid w:val="00383100"/>
    <w:rsid w:val="00384433"/>
    <w:rsid w:val="003849E2"/>
    <w:rsid w:val="00386D08"/>
    <w:rsid w:val="003907F7"/>
    <w:rsid w:val="0039083D"/>
    <w:rsid w:val="00391062"/>
    <w:rsid w:val="003911E7"/>
    <w:rsid w:val="00392652"/>
    <w:rsid w:val="0039372F"/>
    <w:rsid w:val="0039598A"/>
    <w:rsid w:val="00396D5E"/>
    <w:rsid w:val="00396F6D"/>
    <w:rsid w:val="00397400"/>
    <w:rsid w:val="003A071F"/>
    <w:rsid w:val="003A24FF"/>
    <w:rsid w:val="003A6EB5"/>
    <w:rsid w:val="003B1B30"/>
    <w:rsid w:val="003B2392"/>
    <w:rsid w:val="003B245E"/>
    <w:rsid w:val="003B7500"/>
    <w:rsid w:val="003C0D77"/>
    <w:rsid w:val="003C16DC"/>
    <w:rsid w:val="003C39ED"/>
    <w:rsid w:val="003C407E"/>
    <w:rsid w:val="003C69D2"/>
    <w:rsid w:val="003D128A"/>
    <w:rsid w:val="003D3D00"/>
    <w:rsid w:val="003D4495"/>
    <w:rsid w:val="003D453F"/>
    <w:rsid w:val="003D53FD"/>
    <w:rsid w:val="003D639B"/>
    <w:rsid w:val="003D7E75"/>
    <w:rsid w:val="003E0231"/>
    <w:rsid w:val="003E04B6"/>
    <w:rsid w:val="003E0E54"/>
    <w:rsid w:val="003E1759"/>
    <w:rsid w:val="003E17B7"/>
    <w:rsid w:val="003E1DE2"/>
    <w:rsid w:val="003E1ED6"/>
    <w:rsid w:val="003E2F86"/>
    <w:rsid w:val="003E4828"/>
    <w:rsid w:val="003E565B"/>
    <w:rsid w:val="003E6432"/>
    <w:rsid w:val="003E6C4D"/>
    <w:rsid w:val="003F1973"/>
    <w:rsid w:val="003F5CB3"/>
    <w:rsid w:val="003F6E25"/>
    <w:rsid w:val="004001FF"/>
    <w:rsid w:val="0040134C"/>
    <w:rsid w:val="004027C0"/>
    <w:rsid w:val="00402A72"/>
    <w:rsid w:val="004044C1"/>
    <w:rsid w:val="00404657"/>
    <w:rsid w:val="00404957"/>
    <w:rsid w:val="00405635"/>
    <w:rsid w:val="00405928"/>
    <w:rsid w:val="00405AE9"/>
    <w:rsid w:val="0040760C"/>
    <w:rsid w:val="004100BA"/>
    <w:rsid w:val="0041116B"/>
    <w:rsid w:val="00412C7D"/>
    <w:rsid w:val="0041363F"/>
    <w:rsid w:val="00413B47"/>
    <w:rsid w:val="00415791"/>
    <w:rsid w:val="00415BDF"/>
    <w:rsid w:val="0041779C"/>
    <w:rsid w:val="00417E06"/>
    <w:rsid w:val="00423D32"/>
    <w:rsid w:val="00430103"/>
    <w:rsid w:val="004315C4"/>
    <w:rsid w:val="004318F7"/>
    <w:rsid w:val="00432D42"/>
    <w:rsid w:val="0043488B"/>
    <w:rsid w:val="0044244F"/>
    <w:rsid w:val="0044267B"/>
    <w:rsid w:val="00444E27"/>
    <w:rsid w:val="0044656E"/>
    <w:rsid w:val="0044660C"/>
    <w:rsid w:val="00446A5B"/>
    <w:rsid w:val="00447FE8"/>
    <w:rsid w:val="004517C6"/>
    <w:rsid w:val="00451BBF"/>
    <w:rsid w:val="0045666D"/>
    <w:rsid w:val="00456BC3"/>
    <w:rsid w:val="00456BE3"/>
    <w:rsid w:val="0045720D"/>
    <w:rsid w:val="00460807"/>
    <w:rsid w:val="0046331E"/>
    <w:rsid w:val="00464E9F"/>
    <w:rsid w:val="00465163"/>
    <w:rsid w:val="00466B23"/>
    <w:rsid w:val="00470B74"/>
    <w:rsid w:val="00472EAF"/>
    <w:rsid w:val="004733E0"/>
    <w:rsid w:val="00473AB3"/>
    <w:rsid w:val="004746AE"/>
    <w:rsid w:val="0047567C"/>
    <w:rsid w:val="00477146"/>
    <w:rsid w:val="00477DE6"/>
    <w:rsid w:val="00480D40"/>
    <w:rsid w:val="00482425"/>
    <w:rsid w:val="004835B9"/>
    <w:rsid w:val="0048376C"/>
    <w:rsid w:val="00485190"/>
    <w:rsid w:val="00486826"/>
    <w:rsid w:val="00487335"/>
    <w:rsid w:val="004873BD"/>
    <w:rsid w:val="0049099B"/>
    <w:rsid w:val="00490B6E"/>
    <w:rsid w:val="004910E0"/>
    <w:rsid w:val="00491A78"/>
    <w:rsid w:val="0049289F"/>
    <w:rsid w:val="00492CF6"/>
    <w:rsid w:val="0049373E"/>
    <w:rsid w:val="00493E02"/>
    <w:rsid w:val="004941EC"/>
    <w:rsid w:val="004947E5"/>
    <w:rsid w:val="0049696E"/>
    <w:rsid w:val="00496E50"/>
    <w:rsid w:val="00496FAA"/>
    <w:rsid w:val="004A1396"/>
    <w:rsid w:val="004A28F9"/>
    <w:rsid w:val="004A34A9"/>
    <w:rsid w:val="004A40F0"/>
    <w:rsid w:val="004A7B59"/>
    <w:rsid w:val="004B221F"/>
    <w:rsid w:val="004B26E6"/>
    <w:rsid w:val="004B6286"/>
    <w:rsid w:val="004B6DB5"/>
    <w:rsid w:val="004B7492"/>
    <w:rsid w:val="004B7B87"/>
    <w:rsid w:val="004C065D"/>
    <w:rsid w:val="004C1AEE"/>
    <w:rsid w:val="004C3137"/>
    <w:rsid w:val="004C35E5"/>
    <w:rsid w:val="004C35EB"/>
    <w:rsid w:val="004C3E65"/>
    <w:rsid w:val="004C56CC"/>
    <w:rsid w:val="004C5B6C"/>
    <w:rsid w:val="004C5B71"/>
    <w:rsid w:val="004C6164"/>
    <w:rsid w:val="004C7049"/>
    <w:rsid w:val="004C7232"/>
    <w:rsid w:val="004D0157"/>
    <w:rsid w:val="004D0623"/>
    <w:rsid w:val="004D3B73"/>
    <w:rsid w:val="004D5655"/>
    <w:rsid w:val="004D713A"/>
    <w:rsid w:val="004E087C"/>
    <w:rsid w:val="004E1367"/>
    <w:rsid w:val="004E1602"/>
    <w:rsid w:val="004E17D5"/>
    <w:rsid w:val="004E19DF"/>
    <w:rsid w:val="004E358C"/>
    <w:rsid w:val="004E36C6"/>
    <w:rsid w:val="004E3915"/>
    <w:rsid w:val="004E474B"/>
    <w:rsid w:val="004E5378"/>
    <w:rsid w:val="004E670F"/>
    <w:rsid w:val="004F01B9"/>
    <w:rsid w:val="004F1C5D"/>
    <w:rsid w:val="004F237E"/>
    <w:rsid w:val="004F2D49"/>
    <w:rsid w:val="004F3A8B"/>
    <w:rsid w:val="004F598F"/>
    <w:rsid w:val="004F59D8"/>
    <w:rsid w:val="004F670D"/>
    <w:rsid w:val="004F6796"/>
    <w:rsid w:val="004F6F38"/>
    <w:rsid w:val="0050109E"/>
    <w:rsid w:val="00501851"/>
    <w:rsid w:val="00503AE8"/>
    <w:rsid w:val="00503FC4"/>
    <w:rsid w:val="00510B7E"/>
    <w:rsid w:val="00511954"/>
    <w:rsid w:val="0051352B"/>
    <w:rsid w:val="005139DA"/>
    <w:rsid w:val="0051414B"/>
    <w:rsid w:val="00514A6A"/>
    <w:rsid w:val="00520E0D"/>
    <w:rsid w:val="0052181B"/>
    <w:rsid w:val="00522072"/>
    <w:rsid w:val="005231C3"/>
    <w:rsid w:val="005248A3"/>
    <w:rsid w:val="0052704E"/>
    <w:rsid w:val="00530A85"/>
    <w:rsid w:val="00530D31"/>
    <w:rsid w:val="00530D98"/>
    <w:rsid w:val="00531A46"/>
    <w:rsid w:val="005345AC"/>
    <w:rsid w:val="00537D7E"/>
    <w:rsid w:val="00537E1E"/>
    <w:rsid w:val="00540660"/>
    <w:rsid w:val="0054353F"/>
    <w:rsid w:val="00543EDE"/>
    <w:rsid w:val="00546BD7"/>
    <w:rsid w:val="00547815"/>
    <w:rsid w:val="00547F0B"/>
    <w:rsid w:val="00551A9F"/>
    <w:rsid w:val="00555882"/>
    <w:rsid w:val="00555B54"/>
    <w:rsid w:val="005564B3"/>
    <w:rsid w:val="00556D55"/>
    <w:rsid w:val="00557DA2"/>
    <w:rsid w:val="00563A6F"/>
    <w:rsid w:val="0056640B"/>
    <w:rsid w:val="00566425"/>
    <w:rsid w:val="00571F6C"/>
    <w:rsid w:val="005724F6"/>
    <w:rsid w:val="005729A4"/>
    <w:rsid w:val="00573CC2"/>
    <w:rsid w:val="00573DE4"/>
    <w:rsid w:val="00574B65"/>
    <w:rsid w:val="00574DAA"/>
    <w:rsid w:val="005759E2"/>
    <w:rsid w:val="0057633F"/>
    <w:rsid w:val="00577361"/>
    <w:rsid w:val="005820D3"/>
    <w:rsid w:val="005823E4"/>
    <w:rsid w:val="005824B2"/>
    <w:rsid w:val="00582700"/>
    <w:rsid w:val="005838BF"/>
    <w:rsid w:val="005842B3"/>
    <w:rsid w:val="00584F67"/>
    <w:rsid w:val="00585CF7"/>
    <w:rsid w:val="00586016"/>
    <w:rsid w:val="00590FC2"/>
    <w:rsid w:val="005921B1"/>
    <w:rsid w:val="005947A6"/>
    <w:rsid w:val="005971BF"/>
    <w:rsid w:val="005A061B"/>
    <w:rsid w:val="005A06C9"/>
    <w:rsid w:val="005A2D1F"/>
    <w:rsid w:val="005A4929"/>
    <w:rsid w:val="005A6971"/>
    <w:rsid w:val="005A6F70"/>
    <w:rsid w:val="005B0AC6"/>
    <w:rsid w:val="005B1EB6"/>
    <w:rsid w:val="005B3FC3"/>
    <w:rsid w:val="005B431D"/>
    <w:rsid w:val="005B6B6B"/>
    <w:rsid w:val="005B6C30"/>
    <w:rsid w:val="005B7909"/>
    <w:rsid w:val="005C07DB"/>
    <w:rsid w:val="005C14BE"/>
    <w:rsid w:val="005C2426"/>
    <w:rsid w:val="005C2B06"/>
    <w:rsid w:val="005C343B"/>
    <w:rsid w:val="005C43E3"/>
    <w:rsid w:val="005C4839"/>
    <w:rsid w:val="005C5E37"/>
    <w:rsid w:val="005C720B"/>
    <w:rsid w:val="005D038C"/>
    <w:rsid w:val="005D0B09"/>
    <w:rsid w:val="005D171B"/>
    <w:rsid w:val="005D202A"/>
    <w:rsid w:val="005D4A41"/>
    <w:rsid w:val="005D603F"/>
    <w:rsid w:val="005D6328"/>
    <w:rsid w:val="005D7314"/>
    <w:rsid w:val="005D7E2C"/>
    <w:rsid w:val="005E1C38"/>
    <w:rsid w:val="005E6341"/>
    <w:rsid w:val="005E7453"/>
    <w:rsid w:val="005E7A9F"/>
    <w:rsid w:val="005F0CD8"/>
    <w:rsid w:val="005F23BE"/>
    <w:rsid w:val="005F2CFE"/>
    <w:rsid w:val="005F322D"/>
    <w:rsid w:val="005F35E9"/>
    <w:rsid w:val="005F41A8"/>
    <w:rsid w:val="005F61E4"/>
    <w:rsid w:val="00600116"/>
    <w:rsid w:val="0060228F"/>
    <w:rsid w:val="00603791"/>
    <w:rsid w:val="006069B0"/>
    <w:rsid w:val="006110F0"/>
    <w:rsid w:val="00614072"/>
    <w:rsid w:val="00614C1D"/>
    <w:rsid w:val="00614D0F"/>
    <w:rsid w:val="006150F7"/>
    <w:rsid w:val="00615D95"/>
    <w:rsid w:val="00616928"/>
    <w:rsid w:val="00617A55"/>
    <w:rsid w:val="0062166A"/>
    <w:rsid w:val="0062607E"/>
    <w:rsid w:val="00630420"/>
    <w:rsid w:val="0063078C"/>
    <w:rsid w:val="006311EE"/>
    <w:rsid w:val="00632389"/>
    <w:rsid w:val="006328BB"/>
    <w:rsid w:val="00634E42"/>
    <w:rsid w:val="00637D5D"/>
    <w:rsid w:val="006405E4"/>
    <w:rsid w:val="00640614"/>
    <w:rsid w:val="00642D21"/>
    <w:rsid w:val="00643C1C"/>
    <w:rsid w:val="006454A5"/>
    <w:rsid w:val="006455E1"/>
    <w:rsid w:val="006456C7"/>
    <w:rsid w:val="00646F97"/>
    <w:rsid w:val="00647D19"/>
    <w:rsid w:val="006516BF"/>
    <w:rsid w:val="00651810"/>
    <w:rsid w:val="00652CAE"/>
    <w:rsid w:val="006539EA"/>
    <w:rsid w:val="00655B6A"/>
    <w:rsid w:val="0065639C"/>
    <w:rsid w:val="00656C92"/>
    <w:rsid w:val="006578AD"/>
    <w:rsid w:val="00660C8C"/>
    <w:rsid w:val="0066182A"/>
    <w:rsid w:val="00663A93"/>
    <w:rsid w:val="00664523"/>
    <w:rsid w:val="00665DD2"/>
    <w:rsid w:val="00666045"/>
    <w:rsid w:val="0067074E"/>
    <w:rsid w:val="006713CB"/>
    <w:rsid w:val="00675996"/>
    <w:rsid w:val="00675F08"/>
    <w:rsid w:val="00677954"/>
    <w:rsid w:val="00677E33"/>
    <w:rsid w:val="00680E97"/>
    <w:rsid w:val="006810D1"/>
    <w:rsid w:val="00682790"/>
    <w:rsid w:val="006835E9"/>
    <w:rsid w:val="00683A22"/>
    <w:rsid w:val="006848D2"/>
    <w:rsid w:val="006877F5"/>
    <w:rsid w:val="00690F96"/>
    <w:rsid w:val="006932FF"/>
    <w:rsid w:val="00693E3D"/>
    <w:rsid w:val="006940AB"/>
    <w:rsid w:val="00695023"/>
    <w:rsid w:val="00697263"/>
    <w:rsid w:val="006A0AD8"/>
    <w:rsid w:val="006A0E4D"/>
    <w:rsid w:val="006A2935"/>
    <w:rsid w:val="006A3398"/>
    <w:rsid w:val="006A3AF1"/>
    <w:rsid w:val="006A3C0C"/>
    <w:rsid w:val="006A43C8"/>
    <w:rsid w:val="006A4A50"/>
    <w:rsid w:val="006A5D4F"/>
    <w:rsid w:val="006A6BDF"/>
    <w:rsid w:val="006A6F3E"/>
    <w:rsid w:val="006A7070"/>
    <w:rsid w:val="006A71D6"/>
    <w:rsid w:val="006B2253"/>
    <w:rsid w:val="006B2388"/>
    <w:rsid w:val="006B3549"/>
    <w:rsid w:val="006B45D5"/>
    <w:rsid w:val="006B57B5"/>
    <w:rsid w:val="006B651D"/>
    <w:rsid w:val="006C1758"/>
    <w:rsid w:val="006C4D06"/>
    <w:rsid w:val="006C5B91"/>
    <w:rsid w:val="006C7B47"/>
    <w:rsid w:val="006D0542"/>
    <w:rsid w:val="006D2752"/>
    <w:rsid w:val="006D2A0D"/>
    <w:rsid w:val="006D611E"/>
    <w:rsid w:val="006D65E6"/>
    <w:rsid w:val="006E4FC1"/>
    <w:rsid w:val="006E56AA"/>
    <w:rsid w:val="006E63B4"/>
    <w:rsid w:val="006E6C76"/>
    <w:rsid w:val="006F1E39"/>
    <w:rsid w:val="006F2466"/>
    <w:rsid w:val="006F2B56"/>
    <w:rsid w:val="006F32F0"/>
    <w:rsid w:val="006F3912"/>
    <w:rsid w:val="006F3A4B"/>
    <w:rsid w:val="006F4A94"/>
    <w:rsid w:val="006F599A"/>
    <w:rsid w:val="006F664D"/>
    <w:rsid w:val="00701865"/>
    <w:rsid w:val="007018D4"/>
    <w:rsid w:val="00702353"/>
    <w:rsid w:val="007034FE"/>
    <w:rsid w:val="00703664"/>
    <w:rsid w:val="0070585E"/>
    <w:rsid w:val="0070742F"/>
    <w:rsid w:val="0071011E"/>
    <w:rsid w:val="007104C8"/>
    <w:rsid w:val="00710921"/>
    <w:rsid w:val="00710DAB"/>
    <w:rsid w:val="007114E0"/>
    <w:rsid w:val="00713B1F"/>
    <w:rsid w:val="00713E72"/>
    <w:rsid w:val="00714919"/>
    <w:rsid w:val="007165FD"/>
    <w:rsid w:val="00721438"/>
    <w:rsid w:val="007278B7"/>
    <w:rsid w:val="00730701"/>
    <w:rsid w:val="00730846"/>
    <w:rsid w:val="00730CA8"/>
    <w:rsid w:val="00732430"/>
    <w:rsid w:val="00733249"/>
    <w:rsid w:val="00735862"/>
    <w:rsid w:val="0074379D"/>
    <w:rsid w:val="00743D39"/>
    <w:rsid w:val="00743D48"/>
    <w:rsid w:val="00744D78"/>
    <w:rsid w:val="007502DB"/>
    <w:rsid w:val="00750D8E"/>
    <w:rsid w:val="00751B8E"/>
    <w:rsid w:val="00751D90"/>
    <w:rsid w:val="007531EE"/>
    <w:rsid w:val="00755176"/>
    <w:rsid w:val="00757800"/>
    <w:rsid w:val="00760B31"/>
    <w:rsid w:val="00762093"/>
    <w:rsid w:val="00764594"/>
    <w:rsid w:val="0076505A"/>
    <w:rsid w:val="00766FFA"/>
    <w:rsid w:val="007672D5"/>
    <w:rsid w:val="007676CF"/>
    <w:rsid w:val="00767C70"/>
    <w:rsid w:val="00771B27"/>
    <w:rsid w:val="00773053"/>
    <w:rsid w:val="00773695"/>
    <w:rsid w:val="007739BE"/>
    <w:rsid w:val="00775AE1"/>
    <w:rsid w:val="00777F72"/>
    <w:rsid w:val="0078228A"/>
    <w:rsid w:val="00785228"/>
    <w:rsid w:val="00786345"/>
    <w:rsid w:val="00786581"/>
    <w:rsid w:val="00786677"/>
    <w:rsid w:val="00787552"/>
    <w:rsid w:val="00787705"/>
    <w:rsid w:val="00787AF4"/>
    <w:rsid w:val="007905EE"/>
    <w:rsid w:val="0079144E"/>
    <w:rsid w:val="00792083"/>
    <w:rsid w:val="00794AEB"/>
    <w:rsid w:val="007952C5"/>
    <w:rsid w:val="00795CFD"/>
    <w:rsid w:val="00797347"/>
    <w:rsid w:val="007A00BC"/>
    <w:rsid w:val="007A012E"/>
    <w:rsid w:val="007A1E5F"/>
    <w:rsid w:val="007A3803"/>
    <w:rsid w:val="007A3D58"/>
    <w:rsid w:val="007A5879"/>
    <w:rsid w:val="007B2E76"/>
    <w:rsid w:val="007B4DF1"/>
    <w:rsid w:val="007B5571"/>
    <w:rsid w:val="007B76C3"/>
    <w:rsid w:val="007C0D5B"/>
    <w:rsid w:val="007C3264"/>
    <w:rsid w:val="007C3B27"/>
    <w:rsid w:val="007C3C9E"/>
    <w:rsid w:val="007C3CDD"/>
    <w:rsid w:val="007C46B8"/>
    <w:rsid w:val="007C4BDD"/>
    <w:rsid w:val="007C5017"/>
    <w:rsid w:val="007C503D"/>
    <w:rsid w:val="007C63D8"/>
    <w:rsid w:val="007C6AD8"/>
    <w:rsid w:val="007C6CF3"/>
    <w:rsid w:val="007C71CD"/>
    <w:rsid w:val="007C76F8"/>
    <w:rsid w:val="007C7A8C"/>
    <w:rsid w:val="007D013B"/>
    <w:rsid w:val="007D10E7"/>
    <w:rsid w:val="007D1750"/>
    <w:rsid w:val="007D1A23"/>
    <w:rsid w:val="007D47F1"/>
    <w:rsid w:val="007D4DCB"/>
    <w:rsid w:val="007D5262"/>
    <w:rsid w:val="007D5C27"/>
    <w:rsid w:val="007E01CA"/>
    <w:rsid w:val="007E2567"/>
    <w:rsid w:val="007E3087"/>
    <w:rsid w:val="007F0136"/>
    <w:rsid w:val="007F1A3F"/>
    <w:rsid w:val="007F21AA"/>
    <w:rsid w:val="007F2708"/>
    <w:rsid w:val="007F2F78"/>
    <w:rsid w:val="007F3805"/>
    <w:rsid w:val="007F4585"/>
    <w:rsid w:val="007F519B"/>
    <w:rsid w:val="007F582A"/>
    <w:rsid w:val="007F6BCE"/>
    <w:rsid w:val="007F6BFE"/>
    <w:rsid w:val="007F7A32"/>
    <w:rsid w:val="008009A6"/>
    <w:rsid w:val="00800FD3"/>
    <w:rsid w:val="00801D8F"/>
    <w:rsid w:val="00803E4B"/>
    <w:rsid w:val="00804613"/>
    <w:rsid w:val="00804995"/>
    <w:rsid w:val="00805367"/>
    <w:rsid w:val="0080648B"/>
    <w:rsid w:val="00806DFF"/>
    <w:rsid w:val="00807F2A"/>
    <w:rsid w:val="00810545"/>
    <w:rsid w:val="00811CF3"/>
    <w:rsid w:val="00812F81"/>
    <w:rsid w:val="0081370E"/>
    <w:rsid w:val="008137E5"/>
    <w:rsid w:val="0081425C"/>
    <w:rsid w:val="008150D6"/>
    <w:rsid w:val="008177E4"/>
    <w:rsid w:val="0082032C"/>
    <w:rsid w:val="00820F47"/>
    <w:rsid w:val="00822AEA"/>
    <w:rsid w:val="00825630"/>
    <w:rsid w:val="00825A54"/>
    <w:rsid w:val="00826DAB"/>
    <w:rsid w:val="00831BE6"/>
    <w:rsid w:val="0083284D"/>
    <w:rsid w:val="00833EF5"/>
    <w:rsid w:val="00834D9E"/>
    <w:rsid w:val="00837DD8"/>
    <w:rsid w:val="00843708"/>
    <w:rsid w:val="00843CE8"/>
    <w:rsid w:val="00844D3C"/>
    <w:rsid w:val="00844EAA"/>
    <w:rsid w:val="008457E3"/>
    <w:rsid w:val="00846D23"/>
    <w:rsid w:val="00850FAB"/>
    <w:rsid w:val="008512FA"/>
    <w:rsid w:val="00852F53"/>
    <w:rsid w:val="00861E41"/>
    <w:rsid w:val="00861F98"/>
    <w:rsid w:val="00862448"/>
    <w:rsid w:val="00864E43"/>
    <w:rsid w:val="008661DE"/>
    <w:rsid w:val="008708F7"/>
    <w:rsid w:val="00870917"/>
    <w:rsid w:val="008709E8"/>
    <w:rsid w:val="00870FC2"/>
    <w:rsid w:val="0087242E"/>
    <w:rsid w:val="008730B2"/>
    <w:rsid w:val="00873156"/>
    <w:rsid w:val="00874851"/>
    <w:rsid w:val="00874B87"/>
    <w:rsid w:val="00874F10"/>
    <w:rsid w:val="008762CC"/>
    <w:rsid w:val="00880386"/>
    <w:rsid w:val="00880D91"/>
    <w:rsid w:val="00883A81"/>
    <w:rsid w:val="00885B68"/>
    <w:rsid w:val="0089022B"/>
    <w:rsid w:val="00890A28"/>
    <w:rsid w:val="00890C32"/>
    <w:rsid w:val="00890EBD"/>
    <w:rsid w:val="00892BB3"/>
    <w:rsid w:val="00894328"/>
    <w:rsid w:val="00894770"/>
    <w:rsid w:val="008A0DE7"/>
    <w:rsid w:val="008A13DB"/>
    <w:rsid w:val="008A1AC1"/>
    <w:rsid w:val="008A1D3D"/>
    <w:rsid w:val="008A236A"/>
    <w:rsid w:val="008A5A4F"/>
    <w:rsid w:val="008B0B45"/>
    <w:rsid w:val="008B4041"/>
    <w:rsid w:val="008B4AE6"/>
    <w:rsid w:val="008B4E73"/>
    <w:rsid w:val="008B646D"/>
    <w:rsid w:val="008B6723"/>
    <w:rsid w:val="008B79E7"/>
    <w:rsid w:val="008B7DC9"/>
    <w:rsid w:val="008C04DB"/>
    <w:rsid w:val="008C11AC"/>
    <w:rsid w:val="008C1338"/>
    <w:rsid w:val="008C204D"/>
    <w:rsid w:val="008C22C5"/>
    <w:rsid w:val="008C4B7B"/>
    <w:rsid w:val="008C4E86"/>
    <w:rsid w:val="008C5197"/>
    <w:rsid w:val="008C539D"/>
    <w:rsid w:val="008C5C25"/>
    <w:rsid w:val="008C79A8"/>
    <w:rsid w:val="008C7A7F"/>
    <w:rsid w:val="008D1AD0"/>
    <w:rsid w:val="008D1EC8"/>
    <w:rsid w:val="008D34D0"/>
    <w:rsid w:val="008D4A38"/>
    <w:rsid w:val="008D4DC5"/>
    <w:rsid w:val="008D5960"/>
    <w:rsid w:val="008D5A3A"/>
    <w:rsid w:val="008D5D01"/>
    <w:rsid w:val="008D632F"/>
    <w:rsid w:val="008E0A8F"/>
    <w:rsid w:val="008E0EA3"/>
    <w:rsid w:val="008E15F1"/>
    <w:rsid w:val="008E1937"/>
    <w:rsid w:val="008E2100"/>
    <w:rsid w:val="008E2AA4"/>
    <w:rsid w:val="008E2F0B"/>
    <w:rsid w:val="008E33DF"/>
    <w:rsid w:val="008E3FE2"/>
    <w:rsid w:val="008E5A85"/>
    <w:rsid w:val="008E5E63"/>
    <w:rsid w:val="008E67D5"/>
    <w:rsid w:val="008E70FA"/>
    <w:rsid w:val="008E7BF3"/>
    <w:rsid w:val="008F31D5"/>
    <w:rsid w:val="008F416B"/>
    <w:rsid w:val="008F44F6"/>
    <w:rsid w:val="008F6583"/>
    <w:rsid w:val="008F67FE"/>
    <w:rsid w:val="008F76D9"/>
    <w:rsid w:val="00901BEE"/>
    <w:rsid w:val="00902847"/>
    <w:rsid w:val="00903063"/>
    <w:rsid w:val="00904115"/>
    <w:rsid w:val="0090442C"/>
    <w:rsid w:val="0090478F"/>
    <w:rsid w:val="00904EC7"/>
    <w:rsid w:val="00905172"/>
    <w:rsid w:val="00906B5E"/>
    <w:rsid w:val="00907F48"/>
    <w:rsid w:val="00911149"/>
    <w:rsid w:val="009116F8"/>
    <w:rsid w:val="00912CE4"/>
    <w:rsid w:val="00912F4E"/>
    <w:rsid w:val="00913A21"/>
    <w:rsid w:val="00913DAD"/>
    <w:rsid w:val="009143FC"/>
    <w:rsid w:val="009144F9"/>
    <w:rsid w:val="00914825"/>
    <w:rsid w:val="00914AAB"/>
    <w:rsid w:val="00916937"/>
    <w:rsid w:val="009171D7"/>
    <w:rsid w:val="00921DE4"/>
    <w:rsid w:val="009228D6"/>
    <w:rsid w:val="00924204"/>
    <w:rsid w:val="0092430B"/>
    <w:rsid w:val="00925AD3"/>
    <w:rsid w:val="00926890"/>
    <w:rsid w:val="00930A49"/>
    <w:rsid w:val="00930F43"/>
    <w:rsid w:val="00931DDD"/>
    <w:rsid w:val="00932550"/>
    <w:rsid w:val="00933C96"/>
    <w:rsid w:val="00933D32"/>
    <w:rsid w:val="00934534"/>
    <w:rsid w:val="00934BED"/>
    <w:rsid w:val="00935522"/>
    <w:rsid w:val="00935F34"/>
    <w:rsid w:val="00936A01"/>
    <w:rsid w:val="009428B7"/>
    <w:rsid w:val="00942AFA"/>
    <w:rsid w:val="00942B3C"/>
    <w:rsid w:val="009434A4"/>
    <w:rsid w:val="009436E6"/>
    <w:rsid w:val="00943760"/>
    <w:rsid w:val="0094392B"/>
    <w:rsid w:val="00945471"/>
    <w:rsid w:val="0094613C"/>
    <w:rsid w:val="009502F6"/>
    <w:rsid w:val="009547DB"/>
    <w:rsid w:val="00954B8E"/>
    <w:rsid w:val="00956BC4"/>
    <w:rsid w:val="00961052"/>
    <w:rsid w:val="00962AFF"/>
    <w:rsid w:val="00964EF8"/>
    <w:rsid w:val="009656E1"/>
    <w:rsid w:val="00965E55"/>
    <w:rsid w:val="00966760"/>
    <w:rsid w:val="00966993"/>
    <w:rsid w:val="0096706C"/>
    <w:rsid w:val="00971163"/>
    <w:rsid w:val="0097118C"/>
    <w:rsid w:val="00972958"/>
    <w:rsid w:val="00973E75"/>
    <w:rsid w:val="00974ACE"/>
    <w:rsid w:val="00975433"/>
    <w:rsid w:val="00975FDA"/>
    <w:rsid w:val="00976509"/>
    <w:rsid w:val="00976F20"/>
    <w:rsid w:val="009772FB"/>
    <w:rsid w:val="00977BD8"/>
    <w:rsid w:val="00980DF5"/>
    <w:rsid w:val="009838D0"/>
    <w:rsid w:val="009854B0"/>
    <w:rsid w:val="00986182"/>
    <w:rsid w:val="00986F75"/>
    <w:rsid w:val="00987224"/>
    <w:rsid w:val="0099080E"/>
    <w:rsid w:val="0099390C"/>
    <w:rsid w:val="009947E1"/>
    <w:rsid w:val="00994947"/>
    <w:rsid w:val="00995518"/>
    <w:rsid w:val="00995DB7"/>
    <w:rsid w:val="00997B00"/>
    <w:rsid w:val="009A0395"/>
    <w:rsid w:val="009A0772"/>
    <w:rsid w:val="009A1B37"/>
    <w:rsid w:val="009A52F3"/>
    <w:rsid w:val="009A6ADD"/>
    <w:rsid w:val="009B10DC"/>
    <w:rsid w:val="009B1ED5"/>
    <w:rsid w:val="009B2A4E"/>
    <w:rsid w:val="009B2CA8"/>
    <w:rsid w:val="009B3E16"/>
    <w:rsid w:val="009B4418"/>
    <w:rsid w:val="009B550D"/>
    <w:rsid w:val="009B6155"/>
    <w:rsid w:val="009B68ED"/>
    <w:rsid w:val="009B7BAA"/>
    <w:rsid w:val="009B7E15"/>
    <w:rsid w:val="009C145C"/>
    <w:rsid w:val="009C1657"/>
    <w:rsid w:val="009C1B9F"/>
    <w:rsid w:val="009C1F1D"/>
    <w:rsid w:val="009C60A5"/>
    <w:rsid w:val="009C75C7"/>
    <w:rsid w:val="009D00DF"/>
    <w:rsid w:val="009D022F"/>
    <w:rsid w:val="009D0363"/>
    <w:rsid w:val="009D167E"/>
    <w:rsid w:val="009D69E6"/>
    <w:rsid w:val="009D77CA"/>
    <w:rsid w:val="009E22CB"/>
    <w:rsid w:val="009E412A"/>
    <w:rsid w:val="009E4BDE"/>
    <w:rsid w:val="009E6016"/>
    <w:rsid w:val="009E66B7"/>
    <w:rsid w:val="009F0F26"/>
    <w:rsid w:val="009F29D1"/>
    <w:rsid w:val="009F34BD"/>
    <w:rsid w:val="009F67FC"/>
    <w:rsid w:val="00A008BF"/>
    <w:rsid w:val="00A00AB0"/>
    <w:rsid w:val="00A02B9C"/>
    <w:rsid w:val="00A0304D"/>
    <w:rsid w:val="00A0352E"/>
    <w:rsid w:val="00A0401C"/>
    <w:rsid w:val="00A046D7"/>
    <w:rsid w:val="00A05019"/>
    <w:rsid w:val="00A05B11"/>
    <w:rsid w:val="00A0655F"/>
    <w:rsid w:val="00A06983"/>
    <w:rsid w:val="00A07E85"/>
    <w:rsid w:val="00A103C9"/>
    <w:rsid w:val="00A110A6"/>
    <w:rsid w:val="00A1252F"/>
    <w:rsid w:val="00A1278D"/>
    <w:rsid w:val="00A15D34"/>
    <w:rsid w:val="00A165B3"/>
    <w:rsid w:val="00A17097"/>
    <w:rsid w:val="00A17969"/>
    <w:rsid w:val="00A17B2D"/>
    <w:rsid w:val="00A24A02"/>
    <w:rsid w:val="00A25DD6"/>
    <w:rsid w:val="00A308E8"/>
    <w:rsid w:val="00A311CE"/>
    <w:rsid w:val="00A31523"/>
    <w:rsid w:val="00A3356C"/>
    <w:rsid w:val="00A341AF"/>
    <w:rsid w:val="00A3478D"/>
    <w:rsid w:val="00A36EED"/>
    <w:rsid w:val="00A376A0"/>
    <w:rsid w:val="00A37C53"/>
    <w:rsid w:val="00A40498"/>
    <w:rsid w:val="00A42CC6"/>
    <w:rsid w:val="00A42FD3"/>
    <w:rsid w:val="00A43AF6"/>
    <w:rsid w:val="00A4525F"/>
    <w:rsid w:val="00A47E93"/>
    <w:rsid w:val="00A51AF1"/>
    <w:rsid w:val="00A5239B"/>
    <w:rsid w:val="00A524E9"/>
    <w:rsid w:val="00A52B86"/>
    <w:rsid w:val="00A54F19"/>
    <w:rsid w:val="00A56F83"/>
    <w:rsid w:val="00A57447"/>
    <w:rsid w:val="00A57796"/>
    <w:rsid w:val="00A631D8"/>
    <w:rsid w:val="00A662DE"/>
    <w:rsid w:val="00A700F0"/>
    <w:rsid w:val="00A70E99"/>
    <w:rsid w:val="00A716C3"/>
    <w:rsid w:val="00A71DC6"/>
    <w:rsid w:val="00A7204D"/>
    <w:rsid w:val="00A7251C"/>
    <w:rsid w:val="00A72D61"/>
    <w:rsid w:val="00A74610"/>
    <w:rsid w:val="00A75175"/>
    <w:rsid w:val="00A769BE"/>
    <w:rsid w:val="00A81817"/>
    <w:rsid w:val="00A847D7"/>
    <w:rsid w:val="00A84ACB"/>
    <w:rsid w:val="00A858B1"/>
    <w:rsid w:val="00A85998"/>
    <w:rsid w:val="00A85D71"/>
    <w:rsid w:val="00A86F68"/>
    <w:rsid w:val="00A91763"/>
    <w:rsid w:val="00A94030"/>
    <w:rsid w:val="00A94AAC"/>
    <w:rsid w:val="00A9615A"/>
    <w:rsid w:val="00A964DC"/>
    <w:rsid w:val="00AA026C"/>
    <w:rsid w:val="00AA1A6B"/>
    <w:rsid w:val="00AA2F97"/>
    <w:rsid w:val="00AA5EAB"/>
    <w:rsid w:val="00AA646D"/>
    <w:rsid w:val="00AA789F"/>
    <w:rsid w:val="00AB0026"/>
    <w:rsid w:val="00AB0073"/>
    <w:rsid w:val="00AB01D7"/>
    <w:rsid w:val="00AB1D6F"/>
    <w:rsid w:val="00AB22D4"/>
    <w:rsid w:val="00AB2F4F"/>
    <w:rsid w:val="00AB33E5"/>
    <w:rsid w:val="00AB3DE4"/>
    <w:rsid w:val="00AC0501"/>
    <w:rsid w:val="00AC123A"/>
    <w:rsid w:val="00AC1482"/>
    <w:rsid w:val="00AC1973"/>
    <w:rsid w:val="00AC2A7D"/>
    <w:rsid w:val="00AC4F57"/>
    <w:rsid w:val="00AC64CF"/>
    <w:rsid w:val="00AD3925"/>
    <w:rsid w:val="00AD696D"/>
    <w:rsid w:val="00AE0332"/>
    <w:rsid w:val="00AE1B20"/>
    <w:rsid w:val="00AE4A60"/>
    <w:rsid w:val="00AF0456"/>
    <w:rsid w:val="00AF10D0"/>
    <w:rsid w:val="00AF2BC5"/>
    <w:rsid w:val="00AF327A"/>
    <w:rsid w:val="00AF36B0"/>
    <w:rsid w:val="00AF5127"/>
    <w:rsid w:val="00AF5571"/>
    <w:rsid w:val="00B00F46"/>
    <w:rsid w:val="00B02868"/>
    <w:rsid w:val="00B039A2"/>
    <w:rsid w:val="00B07A92"/>
    <w:rsid w:val="00B124E2"/>
    <w:rsid w:val="00B137F0"/>
    <w:rsid w:val="00B142E3"/>
    <w:rsid w:val="00B14949"/>
    <w:rsid w:val="00B150DA"/>
    <w:rsid w:val="00B164AC"/>
    <w:rsid w:val="00B224BD"/>
    <w:rsid w:val="00B23378"/>
    <w:rsid w:val="00B23423"/>
    <w:rsid w:val="00B24320"/>
    <w:rsid w:val="00B24744"/>
    <w:rsid w:val="00B25201"/>
    <w:rsid w:val="00B270E2"/>
    <w:rsid w:val="00B3066A"/>
    <w:rsid w:val="00B34F5F"/>
    <w:rsid w:val="00B36A7E"/>
    <w:rsid w:val="00B3756A"/>
    <w:rsid w:val="00B419A3"/>
    <w:rsid w:val="00B4221B"/>
    <w:rsid w:val="00B434E5"/>
    <w:rsid w:val="00B436E9"/>
    <w:rsid w:val="00B470BF"/>
    <w:rsid w:val="00B50A26"/>
    <w:rsid w:val="00B51C37"/>
    <w:rsid w:val="00B5209D"/>
    <w:rsid w:val="00B52339"/>
    <w:rsid w:val="00B52975"/>
    <w:rsid w:val="00B533B9"/>
    <w:rsid w:val="00B539D7"/>
    <w:rsid w:val="00B56729"/>
    <w:rsid w:val="00B578EC"/>
    <w:rsid w:val="00B60818"/>
    <w:rsid w:val="00B60C9A"/>
    <w:rsid w:val="00B61B8A"/>
    <w:rsid w:val="00B62852"/>
    <w:rsid w:val="00B63805"/>
    <w:rsid w:val="00B640C6"/>
    <w:rsid w:val="00B655B5"/>
    <w:rsid w:val="00B71216"/>
    <w:rsid w:val="00B7132F"/>
    <w:rsid w:val="00B733FC"/>
    <w:rsid w:val="00B735B4"/>
    <w:rsid w:val="00B73939"/>
    <w:rsid w:val="00B74434"/>
    <w:rsid w:val="00B80BF3"/>
    <w:rsid w:val="00B8394D"/>
    <w:rsid w:val="00B85E65"/>
    <w:rsid w:val="00B86399"/>
    <w:rsid w:val="00B901CD"/>
    <w:rsid w:val="00B91982"/>
    <w:rsid w:val="00B93B81"/>
    <w:rsid w:val="00B94B90"/>
    <w:rsid w:val="00B95009"/>
    <w:rsid w:val="00B966A0"/>
    <w:rsid w:val="00B97C50"/>
    <w:rsid w:val="00BA04D5"/>
    <w:rsid w:val="00BA1141"/>
    <w:rsid w:val="00BA3507"/>
    <w:rsid w:val="00BA38B8"/>
    <w:rsid w:val="00BA3C4B"/>
    <w:rsid w:val="00BA44E4"/>
    <w:rsid w:val="00BA4D7E"/>
    <w:rsid w:val="00BA6DBF"/>
    <w:rsid w:val="00BA7F7A"/>
    <w:rsid w:val="00BB0AC8"/>
    <w:rsid w:val="00BB36EC"/>
    <w:rsid w:val="00BB4669"/>
    <w:rsid w:val="00BB4DAB"/>
    <w:rsid w:val="00BB6832"/>
    <w:rsid w:val="00BB6E2E"/>
    <w:rsid w:val="00BC0169"/>
    <w:rsid w:val="00BC0554"/>
    <w:rsid w:val="00BC466C"/>
    <w:rsid w:val="00BC6184"/>
    <w:rsid w:val="00BC6339"/>
    <w:rsid w:val="00BC7144"/>
    <w:rsid w:val="00BD06D2"/>
    <w:rsid w:val="00BD0FA2"/>
    <w:rsid w:val="00BD15B8"/>
    <w:rsid w:val="00BD232D"/>
    <w:rsid w:val="00BD2BBD"/>
    <w:rsid w:val="00BD3365"/>
    <w:rsid w:val="00BD3D55"/>
    <w:rsid w:val="00BD5998"/>
    <w:rsid w:val="00BE1B7A"/>
    <w:rsid w:val="00BE20FC"/>
    <w:rsid w:val="00BE2409"/>
    <w:rsid w:val="00BE419A"/>
    <w:rsid w:val="00BE4599"/>
    <w:rsid w:val="00BE4E3A"/>
    <w:rsid w:val="00BE4EEA"/>
    <w:rsid w:val="00BE58BD"/>
    <w:rsid w:val="00BF0C87"/>
    <w:rsid w:val="00BF185A"/>
    <w:rsid w:val="00BF210A"/>
    <w:rsid w:val="00BF2CBF"/>
    <w:rsid w:val="00BF4030"/>
    <w:rsid w:val="00BF52AA"/>
    <w:rsid w:val="00BF6C83"/>
    <w:rsid w:val="00BF6D15"/>
    <w:rsid w:val="00C00FC0"/>
    <w:rsid w:val="00C03332"/>
    <w:rsid w:val="00C03D65"/>
    <w:rsid w:val="00C04D49"/>
    <w:rsid w:val="00C10000"/>
    <w:rsid w:val="00C10BEA"/>
    <w:rsid w:val="00C112DB"/>
    <w:rsid w:val="00C129A7"/>
    <w:rsid w:val="00C1456C"/>
    <w:rsid w:val="00C14781"/>
    <w:rsid w:val="00C1644C"/>
    <w:rsid w:val="00C20CA4"/>
    <w:rsid w:val="00C2194B"/>
    <w:rsid w:val="00C224B1"/>
    <w:rsid w:val="00C2302B"/>
    <w:rsid w:val="00C2335B"/>
    <w:rsid w:val="00C27750"/>
    <w:rsid w:val="00C27E06"/>
    <w:rsid w:val="00C27ED0"/>
    <w:rsid w:val="00C30334"/>
    <w:rsid w:val="00C31862"/>
    <w:rsid w:val="00C32EC1"/>
    <w:rsid w:val="00C335CD"/>
    <w:rsid w:val="00C33AE7"/>
    <w:rsid w:val="00C345D8"/>
    <w:rsid w:val="00C34F36"/>
    <w:rsid w:val="00C35CC5"/>
    <w:rsid w:val="00C364DA"/>
    <w:rsid w:val="00C3751E"/>
    <w:rsid w:val="00C37C7E"/>
    <w:rsid w:val="00C4025F"/>
    <w:rsid w:val="00C42021"/>
    <w:rsid w:val="00C42EBE"/>
    <w:rsid w:val="00C437D1"/>
    <w:rsid w:val="00C4415D"/>
    <w:rsid w:val="00C46F17"/>
    <w:rsid w:val="00C473BF"/>
    <w:rsid w:val="00C473D2"/>
    <w:rsid w:val="00C51FFD"/>
    <w:rsid w:val="00C521CF"/>
    <w:rsid w:val="00C532B4"/>
    <w:rsid w:val="00C53E5D"/>
    <w:rsid w:val="00C5401D"/>
    <w:rsid w:val="00C549D1"/>
    <w:rsid w:val="00C55FF1"/>
    <w:rsid w:val="00C57E4B"/>
    <w:rsid w:val="00C60D72"/>
    <w:rsid w:val="00C624C3"/>
    <w:rsid w:val="00C62F89"/>
    <w:rsid w:val="00C63020"/>
    <w:rsid w:val="00C630FD"/>
    <w:rsid w:val="00C6393A"/>
    <w:rsid w:val="00C641E5"/>
    <w:rsid w:val="00C6577C"/>
    <w:rsid w:val="00C6650D"/>
    <w:rsid w:val="00C700AE"/>
    <w:rsid w:val="00C71C1D"/>
    <w:rsid w:val="00C72574"/>
    <w:rsid w:val="00C74D03"/>
    <w:rsid w:val="00C7710F"/>
    <w:rsid w:val="00C802C9"/>
    <w:rsid w:val="00C8123E"/>
    <w:rsid w:val="00C823A9"/>
    <w:rsid w:val="00C849CC"/>
    <w:rsid w:val="00C84F6B"/>
    <w:rsid w:val="00C8582E"/>
    <w:rsid w:val="00C85AA1"/>
    <w:rsid w:val="00C927FC"/>
    <w:rsid w:val="00C95147"/>
    <w:rsid w:val="00C9547B"/>
    <w:rsid w:val="00C96919"/>
    <w:rsid w:val="00C97384"/>
    <w:rsid w:val="00C97435"/>
    <w:rsid w:val="00CA0414"/>
    <w:rsid w:val="00CA34C0"/>
    <w:rsid w:val="00CA3783"/>
    <w:rsid w:val="00CA4F93"/>
    <w:rsid w:val="00CB1BEA"/>
    <w:rsid w:val="00CB2BBA"/>
    <w:rsid w:val="00CB35BA"/>
    <w:rsid w:val="00CB5D3D"/>
    <w:rsid w:val="00CB6753"/>
    <w:rsid w:val="00CB724A"/>
    <w:rsid w:val="00CB7F04"/>
    <w:rsid w:val="00CC011B"/>
    <w:rsid w:val="00CC24C3"/>
    <w:rsid w:val="00CC24CA"/>
    <w:rsid w:val="00CC3580"/>
    <w:rsid w:val="00CC482C"/>
    <w:rsid w:val="00CC6816"/>
    <w:rsid w:val="00CC726D"/>
    <w:rsid w:val="00CC7416"/>
    <w:rsid w:val="00CC7569"/>
    <w:rsid w:val="00CC779B"/>
    <w:rsid w:val="00CC7C59"/>
    <w:rsid w:val="00CD7765"/>
    <w:rsid w:val="00CD7D88"/>
    <w:rsid w:val="00CD7EA1"/>
    <w:rsid w:val="00CE03EE"/>
    <w:rsid w:val="00CE12E2"/>
    <w:rsid w:val="00CE55D2"/>
    <w:rsid w:val="00CE5AA3"/>
    <w:rsid w:val="00CE7669"/>
    <w:rsid w:val="00CE7BB6"/>
    <w:rsid w:val="00CF1414"/>
    <w:rsid w:val="00CF2281"/>
    <w:rsid w:val="00CF2823"/>
    <w:rsid w:val="00CF3642"/>
    <w:rsid w:val="00CF472B"/>
    <w:rsid w:val="00D00279"/>
    <w:rsid w:val="00D02525"/>
    <w:rsid w:val="00D0392C"/>
    <w:rsid w:val="00D05A7D"/>
    <w:rsid w:val="00D05AC2"/>
    <w:rsid w:val="00D068C2"/>
    <w:rsid w:val="00D06EC4"/>
    <w:rsid w:val="00D072E0"/>
    <w:rsid w:val="00D11259"/>
    <w:rsid w:val="00D120D7"/>
    <w:rsid w:val="00D13617"/>
    <w:rsid w:val="00D16778"/>
    <w:rsid w:val="00D16B7B"/>
    <w:rsid w:val="00D17776"/>
    <w:rsid w:val="00D2028C"/>
    <w:rsid w:val="00D222C6"/>
    <w:rsid w:val="00D2403B"/>
    <w:rsid w:val="00D2569C"/>
    <w:rsid w:val="00D269E9"/>
    <w:rsid w:val="00D271D6"/>
    <w:rsid w:val="00D3004C"/>
    <w:rsid w:val="00D3131D"/>
    <w:rsid w:val="00D325B8"/>
    <w:rsid w:val="00D33BAF"/>
    <w:rsid w:val="00D35842"/>
    <w:rsid w:val="00D35A09"/>
    <w:rsid w:val="00D365B0"/>
    <w:rsid w:val="00D36663"/>
    <w:rsid w:val="00D40392"/>
    <w:rsid w:val="00D40797"/>
    <w:rsid w:val="00D41163"/>
    <w:rsid w:val="00D4280A"/>
    <w:rsid w:val="00D438AC"/>
    <w:rsid w:val="00D43E2C"/>
    <w:rsid w:val="00D450E1"/>
    <w:rsid w:val="00D45A75"/>
    <w:rsid w:val="00D462FB"/>
    <w:rsid w:val="00D47783"/>
    <w:rsid w:val="00D512F0"/>
    <w:rsid w:val="00D519E1"/>
    <w:rsid w:val="00D52B19"/>
    <w:rsid w:val="00D52ECE"/>
    <w:rsid w:val="00D53C4A"/>
    <w:rsid w:val="00D53ED4"/>
    <w:rsid w:val="00D54451"/>
    <w:rsid w:val="00D562DE"/>
    <w:rsid w:val="00D5725C"/>
    <w:rsid w:val="00D5780C"/>
    <w:rsid w:val="00D60521"/>
    <w:rsid w:val="00D60D0D"/>
    <w:rsid w:val="00D62893"/>
    <w:rsid w:val="00D6291F"/>
    <w:rsid w:val="00D63AF0"/>
    <w:rsid w:val="00D63F53"/>
    <w:rsid w:val="00D6438F"/>
    <w:rsid w:val="00D659E5"/>
    <w:rsid w:val="00D66DFD"/>
    <w:rsid w:val="00D67270"/>
    <w:rsid w:val="00D675BC"/>
    <w:rsid w:val="00D75602"/>
    <w:rsid w:val="00D75F1D"/>
    <w:rsid w:val="00D76003"/>
    <w:rsid w:val="00D8111E"/>
    <w:rsid w:val="00D8252D"/>
    <w:rsid w:val="00D825E7"/>
    <w:rsid w:val="00D826AB"/>
    <w:rsid w:val="00D84AB4"/>
    <w:rsid w:val="00D8591E"/>
    <w:rsid w:val="00D85F36"/>
    <w:rsid w:val="00D86D13"/>
    <w:rsid w:val="00D9107C"/>
    <w:rsid w:val="00D9131D"/>
    <w:rsid w:val="00D9161F"/>
    <w:rsid w:val="00D93418"/>
    <w:rsid w:val="00D93B87"/>
    <w:rsid w:val="00D962EB"/>
    <w:rsid w:val="00D9668C"/>
    <w:rsid w:val="00D97C44"/>
    <w:rsid w:val="00DA0F8F"/>
    <w:rsid w:val="00DA0FC1"/>
    <w:rsid w:val="00DA16D6"/>
    <w:rsid w:val="00DA1834"/>
    <w:rsid w:val="00DA1C05"/>
    <w:rsid w:val="00DA4B3F"/>
    <w:rsid w:val="00DA583A"/>
    <w:rsid w:val="00DA5F88"/>
    <w:rsid w:val="00DB04B5"/>
    <w:rsid w:val="00DB13F9"/>
    <w:rsid w:val="00DB363B"/>
    <w:rsid w:val="00DB4382"/>
    <w:rsid w:val="00DB49D3"/>
    <w:rsid w:val="00DB6091"/>
    <w:rsid w:val="00DB6B16"/>
    <w:rsid w:val="00DB748E"/>
    <w:rsid w:val="00DB74F3"/>
    <w:rsid w:val="00DB778F"/>
    <w:rsid w:val="00DB7D73"/>
    <w:rsid w:val="00DC159B"/>
    <w:rsid w:val="00DC2998"/>
    <w:rsid w:val="00DC459C"/>
    <w:rsid w:val="00DC6A2A"/>
    <w:rsid w:val="00DC795D"/>
    <w:rsid w:val="00DD0DDC"/>
    <w:rsid w:val="00DD128E"/>
    <w:rsid w:val="00DD421F"/>
    <w:rsid w:val="00DD4FFD"/>
    <w:rsid w:val="00DD5AB6"/>
    <w:rsid w:val="00DD5BC3"/>
    <w:rsid w:val="00DD60FD"/>
    <w:rsid w:val="00DE2911"/>
    <w:rsid w:val="00DE29A9"/>
    <w:rsid w:val="00DE2B02"/>
    <w:rsid w:val="00DE3CA1"/>
    <w:rsid w:val="00DE41F5"/>
    <w:rsid w:val="00DE665B"/>
    <w:rsid w:val="00DE7D6B"/>
    <w:rsid w:val="00DF00F5"/>
    <w:rsid w:val="00DF0CBC"/>
    <w:rsid w:val="00DF0CDF"/>
    <w:rsid w:val="00DF0FA4"/>
    <w:rsid w:val="00DF16BB"/>
    <w:rsid w:val="00DF27C8"/>
    <w:rsid w:val="00DF3601"/>
    <w:rsid w:val="00DF3686"/>
    <w:rsid w:val="00DF4976"/>
    <w:rsid w:val="00DF4DB4"/>
    <w:rsid w:val="00DF5122"/>
    <w:rsid w:val="00DF5571"/>
    <w:rsid w:val="00E01E68"/>
    <w:rsid w:val="00E02E11"/>
    <w:rsid w:val="00E04D94"/>
    <w:rsid w:val="00E05A6F"/>
    <w:rsid w:val="00E0788D"/>
    <w:rsid w:val="00E07955"/>
    <w:rsid w:val="00E10E03"/>
    <w:rsid w:val="00E113FE"/>
    <w:rsid w:val="00E11EA1"/>
    <w:rsid w:val="00E132A5"/>
    <w:rsid w:val="00E135CE"/>
    <w:rsid w:val="00E13BEA"/>
    <w:rsid w:val="00E162C7"/>
    <w:rsid w:val="00E16A61"/>
    <w:rsid w:val="00E16C05"/>
    <w:rsid w:val="00E16DDD"/>
    <w:rsid w:val="00E211BA"/>
    <w:rsid w:val="00E24C00"/>
    <w:rsid w:val="00E255F5"/>
    <w:rsid w:val="00E261DE"/>
    <w:rsid w:val="00E26EF4"/>
    <w:rsid w:val="00E27384"/>
    <w:rsid w:val="00E302F2"/>
    <w:rsid w:val="00E30A92"/>
    <w:rsid w:val="00E314BD"/>
    <w:rsid w:val="00E32DF9"/>
    <w:rsid w:val="00E33E70"/>
    <w:rsid w:val="00E34884"/>
    <w:rsid w:val="00E363B0"/>
    <w:rsid w:val="00E421CF"/>
    <w:rsid w:val="00E4427A"/>
    <w:rsid w:val="00E449E4"/>
    <w:rsid w:val="00E45E28"/>
    <w:rsid w:val="00E462A1"/>
    <w:rsid w:val="00E46764"/>
    <w:rsid w:val="00E47347"/>
    <w:rsid w:val="00E478FA"/>
    <w:rsid w:val="00E50725"/>
    <w:rsid w:val="00E524C1"/>
    <w:rsid w:val="00E52D72"/>
    <w:rsid w:val="00E54C9C"/>
    <w:rsid w:val="00E56CF8"/>
    <w:rsid w:val="00E60720"/>
    <w:rsid w:val="00E6181F"/>
    <w:rsid w:val="00E62651"/>
    <w:rsid w:val="00E62746"/>
    <w:rsid w:val="00E62953"/>
    <w:rsid w:val="00E63102"/>
    <w:rsid w:val="00E63840"/>
    <w:rsid w:val="00E6409B"/>
    <w:rsid w:val="00E6680D"/>
    <w:rsid w:val="00E70766"/>
    <w:rsid w:val="00E712AD"/>
    <w:rsid w:val="00E71D32"/>
    <w:rsid w:val="00E72440"/>
    <w:rsid w:val="00E73FAD"/>
    <w:rsid w:val="00E767E9"/>
    <w:rsid w:val="00E80E26"/>
    <w:rsid w:val="00E8108A"/>
    <w:rsid w:val="00E827E9"/>
    <w:rsid w:val="00E82EB1"/>
    <w:rsid w:val="00E838C2"/>
    <w:rsid w:val="00E850F0"/>
    <w:rsid w:val="00E8532A"/>
    <w:rsid w:val="00E85A29"/>
    <w:rsid w:val="00E90ABA"/>
    <w:rsid w:val="00E91C32"/>
    <w:rsid w:val="00E91CBA"/>
    <w:rsid w:val="00E93155"/>
    <w:rsid w:val="00E93593"/>
    <w:rsid w:val="00E9362D"/>
    <w:rsid w:val="00E947C9"/>
    <w:rsid w:val="00E95F06"/>
    <w:rsid w:val="00EA0237"/>
    <w:rsid w:val="00EA042A"/>
    <w:rsid w:val="00EA0F37"/>
    <w:rsid w:val="00EA13D3"/>
    <w:rsid w:val="00EA376C"/>
    <w:rsid w:val="00EA52DC"/>
    <w:rsid w:val="00EA6487"/>
    <w:rsid w:val="00EB2DA8"/>
    <w:rsid w:val="00EB3440"/>
    <w:rsid w:val="00EB3892"/>
    <w:rsid w:val="00EB5EA9"/>
    <w:rsid w:val="00EB7616"/>
    <w:rsid w:val="00EC0ACA"/>
    <w:rsid w:val="00EC2F6A"/>
    <w:rsid w:val="00EC3EB3"/>
    <w:rsid w:val="00EC5236"/>
    <w:rsid w:val="00EC6F51"/>
    <w:rsid w:val="00ED052A"/>
    <w:rsid w:val="00ED193D"/>
    <w:rsid w:val="00ED1D75"/>
    <w:rsid w:val="00ED2308"/>
    <w:rsid w:val="00ED24A1"/>
    <w:rsid w:val="00ED2F6F"/>
    <w:rsid w:val="00ED5B62"/>
    <w:rsid w:val="00ED5E3B"/>
    <w:rsid w:val="00ED62FA"/>
    <w:rsid w:val="00ED72B2"/>
    <w:rsid w:val="00EE03DA"/>
    <w:rsid w:val="00EE43E2"/>
    <w:rsid w:val="00EF1BF9"/>
    <w:rsid w:val="00EF295A"/>
    <w:rsid w:val="00EF3513"/>
    <w:rsid w:val="00EF3D4D"/>
    <w:rsid w:val="00EF4271"/>
    <w:rsid w:val="00EF456E"/>
    <w:rsid w:val="00EF5D4E"/>
    <w:rsid w:val="00F0132D"/>
    <w:rsid w:val="00F01B34"/>
    <w:rsid w:val="00F0216F"/>
    <w:rsid w:val="00F02DFF"/>
    <w:rsid w:val="00F04A1B"/>
    <w:rsid w:val="00F0506A"/>
    <w:rsid w:val="00F07027"/>
    <w:rsid w:val="00F07F7C"/>
    <w:rsid w:val="00F07FA7"/>
    <w:rsid w:val="00F111F0"/>
    <w:rsid w:val="00F14C2A"/>
    <w:rsid w:val="00F15E82"/>
    <w:rsid w:val="00F178FB"/>
    <w:rsid w:val="00F21B5D"/>
    <w:rsid w:val="00F2351C"/>
    <w:rsid w:val="00F23666"/>
    <w:rsid w:val="00F273F9"/>
    <w:rsid w:val="00F2780C"/>
    <w:rsid w:val="00F31EBC"/>
    <w:rsid w:val="00F322CE"/>
    <w:rsid w:val="00F32BA3"/>
    <w:rsid w:val="00F32F71"/>
    <w:rsid w:val="00F3305F"/>
    <w:rsid w:val="00F338DB"/>
    <w:rsid w:val="00F34F34"/>
    <w:rsid w:val="00F35F7B"/>
    <w:rsid w:val="00F4061F"/>
    <w:rsid w:val="00F42499"/>
    <w:rsid w:val="00F427C5"/>
    <w:rsid w:val="00F4487F"/>
    <w:rsid w:val="00F458BD"/>
    <w:rsid w:val="00F4633F"/>
    <w:rsid w:val="00F5019E"/>
    <w:rsid w:val="00F510F1"/>
    <w:rsid w:val="00F527C6"/>
    <w:rsid w:val="00F52AAF"/>
    <w:rsid w:val="00F532FB"/>
    <w:rsid w:val="00F53442"/>
    <w:rsid w:val="00F53F41"/>
    <w:rsid w:val="00F546B9"/>
    <w:rsid w:val="00F54D2A"/>
    <w:rsid w:val="00F56D1C"/>
    <w:rsid w:val="00F56F74"/>
    <w:rsid w:val="00F5764C"/>
    <w:rsid w:val="00F57CF4"/>
    <w:rsid w:val="00F60915"/>
    <w:rsid w:val="00F61142"/>
    <w:rsid w:val="00F6195C"/>
    <w:rsid w:val="00F639BB"/>
    <w:rsid w:val="00F64402"/>
    <w:rsid w:val="00F7079E"/>
    <w:rsid w:val="00F708C8"/>
    <w:rsid w:val="00F71431"/>
    <w:rsid w:val="00F71A35"/>
    <w:rsid w:val="00F71BD9"/>
    <w:rsid w:val="00F732CB"/>
    <w:rsid w:val="00F735BA"/>
    <w:rsid w:val="00F73DE4"/>
    <w:rsid w:val="00F75AEC"/>
    <w:rsid w:val="00F80CDE"/>
    <w:rsid w:val="00F81975"/>
    <w:rsid w:val="00F81A35"/>
    <w:rsid w:val="00F83513"/>
    <w:rsid w:val="00F862AA"/>
    <w:rsid w:val="00F91C06"/>
    <w:rsid w:val="00F929E2"/>
    <w:rsid w:val="00F9376F"/>
    <w:rsid w:val="00F9745A"/>
    <w:rsid w:val="00FA3B38"/>
    <w:rsid w:val="00FA62EA"/>
    <w:rsid w:val="00FA75D2"/>
    <w:rsid w:val="00FA7AC7"/>
    <w:rsid w:val="00FB1767"/>
    <w:rsid w:val="00FB184C"/>
    <w:rsid w:val="00FB2E89"/>
    <w:rsid w:val="00FB33A1"/>
    <w:rsid w:val="00FB3E45"/>
    <w:rsid w:val="00FB4759"/>
    <w:rsid w:val="00FB4E7F"/>
    <w:rsid w:val="00FB5068"/>
    <w:rsid w:val="00FC0DFC"/>
    <w:rsid w:val="00FC1ABB"/>
    <w:rsid w:val="00FC2C2F"/>
    <w:rsid w:val="00FC391A"/>
    <w:rsid w:val="00FC3F3D"/>
    <w:rsid w:val="00FC43D5"/>
    <w:rsid w:val="00FC676F"/>
    <w:rsid w:val="00FD069C"/>
    <w:rsid w:val="00FD236A"/>
    <w:rsid w:val="00FD3054"/>
    <w:rsid w:val="00FD33D9"/>
    <w:rsid w:val="00FD35D4"/>
    <w:rsid w:val="00FD5438"/>
    <w:rsid w:val="00FD60BC"/>
    <w:rsid w:val="00FD7012"/>
    <w:rsid w:val="00FE1411"/>
    <w:rsid w:val="00FE2DE9"/>
    <w:rsid w:val="00FE6D99"/>
    <w:rsid w:val="00FE6EEE"/>
    <w:rsid w:val="00FE77D0"/>
    <w:rsid w:val="00FE7C21"/>
    <w:rsid w:val="00FF10DA"/>
    <w:rsid w:val="00FF1EE7"/>
    <w:rsid w:val="00FF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2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link w:val="Heading1Char"/>
    <w:qFormat/>
    <w:pPr>
      <w:keepNext/>
      <w:spacing w:before="120" w:after="240"/>
      <w:outlineLvl w:val="0"/>
    </w:pPr>
    <w:rPr>
      <w:rFonts w:ascii="Helvetica" w:hAnsi="Helvetica"/>
      <w:b/>
      <w:caps/>
      <w:kern w:val="28"/>
      <w:u w:val="single"/>
    </w:rPr>
  </w:style>
  <w:style w:type="paragraph" w:styleId="Heading2">
    <w:name w:val="heading 2"/>
    <w:basedOn w:val="Normal"/>
    <w:next w:val="sub1"/>
    <w:qFormat/>
    <w:pPr>
      <w:keepNext/>
      <w:numPr>
        <w:ilvl w:val="1"/>
        <w:numId w:val="3"/>
      </w:numPr>
      <w:spacing w:before="120" w:after="120"/>
      <w:outlineLvl w:val="1"/>
    </w:pPr>
    <w:rPr>
      <w:rFonts w:ascii="Helvetica" w:hAnsi="Helvetica"/>
      <w:b/>
      <w:i/>
    </w:rPr>
  </w:style>
  <w:style w:type="paragraph" w:styleId="Heading3">
    <w:name w:val="heading 3"/>
    <w:basedOn w:val="Normal"/>
    <w:next w:val="sub2"/>
    <w:qFormat/>
    <w:pPr>
      <w:keepNext/>
      <w:spacing w:before="120" w:after="120"/>
      <w:ind w:firstLine="2160"/>
      <w:outlineLvl w:val="2"/>
    </w:pPr>
    <w:rPr>
      <w:rFonts w:ascii="Helvetica" w:hAnsi="Helvetica"/>
      <w:b/>
    </w:rPr>
  </w:style>
  <w:style w:type="paragraph" w:styleId="Heading4">
    <w:name w:val="heading 4"/>
    <w:basedOn w:val="Normal"/>
    <w:next w:val="sub3"/>
    <w:qFormat/>
    <w:pPr>
      <w:keepNext/>
      <w:spacing w:before="120" w:after="120"/>
      <w:ind w:firstLine="2880"/>
      <w:outlineLvl w:val="3"/>
    </w:pPr>
    <w:rPr>
      <w:rFonts w:ascii="Helvetica" w:hAnsi="Helvetica"/>
      <w:b/>
      <w:i/>
    </w:rPr>
  </w:style>
  <w:style w:type="paragraph" w:styleId="Heading5">
    <w:name w:val="heading 5"/>
    <w:basedOn w:val="Normal"/>
    <w:next w:val="sub4"/>
    <w:qFormat/>
    <w:pPr>
      <w:spacing w:before="120" w:after="120"/>
      <w:ind w:firstLine="3600"/>
      <w:outlineLvl w:val="4"/>
    </w:pPr>
    <w:rPr>
      <w:rFonts w:ascii="Helvetica" w:hAnsi="Helvetica"/>
      <w:b/>
    </w:rPr>
  </w:style>
  <w:style w:type="paragraph" w:styleId="Heading6">
    <w:name w:val="heading 6"/>
    <w:basedOn w:val="Normal"/>
    <w:next w:val="Normal"/>
    <w:link w:val="Heading6Char"/>
    <w:qFormat/>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Footnote Text Char Char Char,Char Char,Footnote Text Char2 Char,Footnote Text Char2 Char Char Char Char,Footnote Text Char1 Char1 Char1 Char Char Char"/>
    <w:basedOn w:val="Normal"/>
    <w:link w:val="FootnoteTextChar"/>
    <w:pPr>
      <w:spacing w:after="240"/>
    </w:pPr>
    <w:rPr>
      <w:sz w:val="24"/>
    </w:rPr>
  </w:style>
  <w:style w:type="paragraph" w:styleId="EndnoteText">
    <w:name w:val="endnote text"/>
    <w:basedOn w:val="Normal"/>
    <w:semiHidden/>
    <w:rPr>
      <w:sz w:val="20"/>
    </w:rPr>
  </w:style>
  <w:style w:type="paragraph" w:customStyle="1" w:styleId="standard">
    <w:name w:val="standard"/>
    <w:basedOn w:val="Normal"/>
    <w:link w:val="standardChar"/>
    <w:pPr>
      <w:spacing w:line="360" w:lineRule="auto"/>
      <w:ind w:firstLine="720"/>
    </w:p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Style1">
    <w:name w:val="Style1"/>
    <w:basedOn w:val="1ListIndent"/>
    <w:pPr>
      <w:numPr>
        <w:numId w:val="0"/>
      </w:numPr>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pPr>
      <w:keepNext/>
    </w:pPr>
    <w:rPr>
      <w:spacing w:val="120"/>
    </w:rPr>
  </w:style>
  <w:style w:type="paragraph" w:customStyle="1" w:styleId="num1">
    <w:name w:val="num1"/>
    <w:basedOn w:val="Normal"/>
    <w:pPr>
      <w:tabs>
        <w:tab w:val="left" w:pos="-720"/>
      </w:tabs>
      <w:suppressAutoHyphens/>
      <w:spacing w:after="240"/>
    </w:pPr>
  </w:style>
  <w:style w:type="paragraph" w:styleId="Header">
    <w:name w:val="header"/>
    <w:basedOn w:val="Normal"/>
    <w:link w:val="HeaderChar"/>
    <w:uiPriority w:val="99"/>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paragraph" w:customStyle="1" w:styleId="sub1">
    <w:name w:val="sub1"/>
    <w:basedOn w:val="Normal"/>
    <w:pPr>
      <w:spacing w:line="360" w:lineRule="auto"/>
      <w:ind w:firstLine="1440"/>
    </w:pPr>
  </w:style>
  <w:style w:type="paragraph" w:customStyle="1" w:styleId="titlebar">
    <w:name w:val="title bar"/>
    <w:basedOn w:val="main"/>
    <w:pPr>
      <w:keepNext/>
      <w:suppressAutoHyphens/>
    </w:pPr>
  </w:style>
  <w:style w:type="character" w:styleId="PageNumber">
    <w:name w:val="page number"/>
    <w:basedOn w:val="DefaultParagraphFont"/>
  </w:style>
  <w:style w:type="paragraph" w:customStyle="1" w:styleId="sub2">
    <w:name w:val="sub2"/>
    <w:basedOn w:val="Normal"/>
    <w:pPr>
      <w:spacing w:line="360" w:lineRule="auto"/>
      <w:ind w:firstLine="2160"/>
    </w:pPr>
  </w:style>
  <w:style w:type="paragraph" w:customStyle="1" w:styleId="sub3">
    <w:name w:val="sub3"/>
    <w:basedOn w:val="Normal"/>
    <w:pPr>
      <w:spacing w:line="360" w:lineRule="auto"/>
      <w:ind w:firstLine="2880"/>
    </w:pPr>
  </w:style>
  <w:style w:type="paragraph" w:customStyle="1" w:styleId="sub4">
    <w:name w:val="sub4"/>
    <w:basedOn w:val="Normal"/>
    <w:pPr>
      <w:ind w:firstLine="3600"/>
    </w:pPr>
  </w:style>
  <w:style w:type="paragraph" w:customStyle="1" w:styleId="dummy">
    <w:name w:val="dummy"/>
    <w:basedOn w:val="Heading1"/>
    <w:pPr>
      <w:outlineLvl w:val="9"/>
    </w:pPr>
  </w:style>
  <w:style w:type="paragraph" w:customStyle="1" w:styleId="AListIndent">
    <w:name w:val="A. List Indent"/>
    <w:basedOn w:val="1ListIndent"/>
    <w:pPr>
      <w:numPr>
        <w:numId w:val="1"/>
      </w:numPr>
      <w:ind w:left="1440" w:hanging="720"/>
    </w:pPr>
  </w:style>
  <w:style w:type="character" w:styleId="EndnoteReference">
    <w:name w:val="endnote reference"/>
    <w:semiHidden/>
    <w:rPr>
      <w:vertAlign w:val="superscript"/>
    </w:rPr>
  </w:style>
  <w:style w:type="paragraph" w:customStyle="1" w:styleId="1ListIndent">
    <w:name w:val="1. List Indent"/>
    <w:basedOn w:val="num2"/>
    <w:pPr>
      <w:numPr>
        <w:numId w:val="2"/>
      </w:numPr>
      <w:ind w:left="1080"/>
    </w:pPr>
  </w:style>
  <w:style w:type="character" w:styleId="FootnoteReference">
    <w:name w:val="footnote reference"/>
    <w:aliases w:val="o,fr,Style 3,o1,o2,o3,o4,o5,o6,o11,o21,o7,Footnote Reference1"/>
    <w:rPr>
      <w:vertAlign w:val="superscript"/>
    </w:rPr>
  </w:style>
  <w:style w:type="paragraph" w:styleId="List">
    <w:name w:val="List"/>
    <w:basedOn w:val="Normal"/>
    <w:pPr>
      <w:ind w:left="360" w:hanging="360"/>
    </w:pPr>
    <w:rPr>
      <w:rFonts w:ascii="Times New Roman" w:hAnsi="Times New Roman"/>
      <w:sz w:val="24"/>
    </w:rPr>
  </w:style>
  <w:style w:type="paragraph" w:customStyle="1" w:styleId="Res-Caption">
    <w:name w:val="Res-Caption"/>
    <w:basedOn w:val="Normal"/>
    <w:pPr>
      <w:ind w:left="720" w:right="720"/>
    </w:pPr>
  </w:style>
  <w:style w:type="paragraph" w:customStyle="1" w:styleId="Res-TitleResolution">
    <w:name w:val="Res-Title (Resolution)"/>
    <w:basedOn w:val="main"/>
  </w:style>
  <w:style w:type="paragraph" w:customStyle="1" w:styleId="ALs">
    <w:name w:val="ALs"/>
    <w:basedOn w:val="Normal"/>
    <w:rPr>
      <w:rFonts w:ascii="Times New Roman" w:hAnsi="Times New Roman"/>
      <w:sz w:val="24"/>
    </w:rPr>
  </w:style>
  <w:style w:type="character" w:customStyle="1" w:styleId="standardChar">
    <w:name w:val="standard Char"/>
    <w:link w:val="standard"/>
    <w:rPr>
      <w:rFonts w:ascii="Palatino" w:hAnsi="Palatino"/>
      <w:sz w:val="26"/>
      <w:lang w:val="en-US" w:eastAsia="en-US" w:bidi="ar-SA"/>
    </w:rPr>
  </w:style>
  <w:style w:type="paragraph" w:customStyle="1" w:styleId="Style2">
    <w:name w:val="Style2"/>
    <w:basedOn w:val="Normal"/>
  </w:style>
  <w:style w:type="paragraph" w:customStyle="1" w:styleId="Style3">
    <w:name w:val="Style3"/>
    <w:basedOn w:val="Normal"/>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customStyle="1" w:styleId="PlainTextChar">
    <w:name w:val="Plain Text Char"/>
    <w:link w:val="PlainText"/>
    <w:semiHidden/>
    <w:locked/>
    <w:rPr>
      <w:rFonts w:ascii="Consolas" w:hAnsi="Consolas"/>
      <w:color w:val="000000"/>
      <w:sz w:val="21"/>
      <w:szCs w:val="21"/>
      <w:lang w:bidi="ar-SA"/>
    </w:rPr>
  </w:style>
  <w:style w:type="paragraph" w:styleId="PlainText">
    <w:name w:val="Plain Text"/>
    <w:basedOn w:val="Normal"/>
    <w:link w:val="PlainTextChar"/>
    <w:semiHidden/>
    <w:rPr>
      <w:rFonts w:ascii="Consolas" w:hAnsi="Consolas"/>
      <w:color w:val="000000"/>
      <w:sz w:val="21"/>
      <w:szCs w:val="21"/>
    </w:rPr>
  </w:style>
  <w:style w:type="paragraph" w:customStyle="1" w:styleId="CM10">
    <w:name w:val="CM10"/>
    <w:basedOn w:val="Normal"/>
    <w:next w:val="Normal"/>
    <w:rsid w:val="00942B3C"/>
    <w:pPr>
      <w:widowControl w:val="0"/>
      <w:autoSpaceDE w:val="0"/>
      <w:autoSpaceDN w:val="0"/>
      <w:adjustRightInd w:val="0"/>
    </w:pPr>
    <w:rPr>
      <w:rFonts w:ascii="Lucida Bright" w:hAnsi="Lucida Bright"/>
      <w:sz w:val="24"/>
      <w:szCs w:val="24"/>
    </w:rPr>
  </w:style>
  <w:style w:type="character" w:customStyle="1" w:styleId="FootnoteTextChar">
    <w:name w:val="Footnote Text Char"/>
    <w:aliases w:val="Footnote Text Char1 Char2,Footnote Text Char Char Char2,Footnote Text Char1 Char Char1,Footnote Text Char Char Char Char1,Char Char Char1,Footnote Text Char2 Char Char1,Footnote Text Char2 Char Char Char Char Char"/>
    <w:link w:val="FootnoteText"/>
    <w:locked/>
    <w:rsid w:val="00850FAB"/>
    <w:rPr>
      <w:rFonts w:ascii="Palatino" w:hAnsi="Palatino"/>
      <w:sz w:val="24"/>
      <w:lang w:val="en-US" w:eastAsia="en-US" w:bidi="ar-SA"/>
    </w:rPr>
  </w:style>
  <w:style w:type="paragraph" w:styleId="ListParagraph">
    <w:name w:val="List Paragraph"/>
    <w:basedOn w:val="Normal"/>
    <w:qFormat/>
    <w:rsid w:val="00DA0F8F"/>
    <w:pPr>
      <w:spacing w:after="200" w:line="276" w:lineRule="auto"/>
      <w:ind w:left="720"/>
      <w:contextualSpacing/>
    </w:pPr>
    <w:rPr>
      <w:rFonts w:ascii="Calibri" w:hAnsi="Calibri"/>
      <w:sz w:val="22"/>
      <w:szCs w:val="22"/>
    </w:rPr>
  </w:style>
  <w:style w:type="paragraph" w:styleId="Revision">
    <w:name w:val="Revision"/>
    <w:hidden/>
    <w:uiPriority w:val="99"/>
    <w:semiHidden/>
    <w:rsid w:val="00055BAF"/>
    <w:rPr>
      <w:rFonts w:ascii="Palatino" w:hAnsi="Palatino"/>
      <w:sz w:val="26"/>
    </w:rPr>
  </w:style>
  <w:style w:type="character" w:customStyle="1" w:styleId="Heading1Char">
    <w:name w:val="Heading 1 Char"/>
    <w:link w:val="Heading1"/>
    <w:rsid w:val="00DF5571"/>
    <w:rPr>
      <w:rFonts w:ascii="Helvetica" w:hAnsi="Helvetica"/>
      <w:b/>
      <w:caps/>
      <w:kern w:val="28"/>
      <w:sz w:val="26"/>
      <w:u w:val="single"/>
    </w:rPr>
  </w:style>
  <w:style w:type="character" w:customStyle="1" w:styleId="FootnoteTextChar2">
    <w:name w:val="Footnote Text Char2"/>
    <w:aliases w:val="Footnote Text Char1 Char1,Footnote Text Char Char Char1,Footnote Text Char1 Char Char,Footnote Text Char Char Char Char,Footnote Text Char Char1,Char Char Char,Footnote Text Char2 Char Char"/>
    <w:locked/>
    <w:rsid w:val="00177766"/>
    <w:rPr>
      <w:rFonts w:ascii="Palatino" w:hAnsi="Palatino"/>
      <w:sz w:val="24"/>
      <w:lang w:val="en-US" w:eastAsia="en-US" w:bidi="ar-SA"/>
    </w:rPr>
  </w:style>
  <w:style w:type="character" w:styleId="Hyperlink">
    <w:name w:val="Hyperlink"/>
    <w:rsid w:val="00177766"/>
    <w:rPr>
      <w:rFonts w:cs="Times New Roman"/>
      <w:color w:val="0000FF"/>
      <w:u w:val="single"/>
    </w:rPr>
  </w:style>
  <w:style w:type="paragraph" w:styleId="BodyText">
    <w:name w:val="Body Text"/>
    <w:basedOn w:val="Normal"/>
    <w:link w:val="BodyTextChar"/>
    <w:rsid w:val="00177766"/>
    <w:rPr>
      <w:b/>
    </w:rPr>
  </w:style>
  <w:style w:type="character" w:customStyle="1" w:styleId="BodyTextChar">
    <w:name w:val="Body Text Char"/>
    <w:basedOn w:val="DefaultParagraphFont"/>
    <w:link w:val="BodyText"/>
    <w:rsid w:val="00177766"/>
    <w:rPr>
      <w:rFonts w:ascii="Palatino" w:hAnsi="Palatino"/>
      <w:b/>
      <w:sz w:val="26"/>
    </w:rPr>
  </w:style>
  <w:style w:type="character" w:styleId="Emphasis">
    <w:name w:val="Emphasis"/>
    <w:qFormat/>
    <w:rsid w:val="00177766"/>
    <w:rPr>
      <w:i/>
      <w:iCs/>
    </w:rPr>
  </w:style>
  <w:style w:type="character" w:customStyle="1" w:styleId="HeaderChar">
    <w:name w:val="Header Char"/>
    <w:link w:val="Header"/>
    <w:uiPriority w:val="99"/>
    <w:rsid w:val="00177766"/>
    <w:rPr>
      <w:rFonts w:ascii="Palatino" w:hAnsi="Palatino"/>
      <w:sz w:val="26"/>
    </w:rPr>
  </w:style>
  <w:style w:type="character" w:customStyle="1" w:styleId="Heading6Char">
    <w:name w:val="Heading 6 Char"/>
    <w:link w:val="Heading6"/>
    <w:rsid w:val="00177766"/>
    <w:rPr>
      <w:rFonts w:ascii="Palatino" w:hAnsi="Palatino"/>
      <w:b/>
      <w:sz w:val="26"/>
    </w:rPr>
  </w:style>
  <w:style w:type="character" w:customStyle="1" w:styleId="FooterChar">
    <w:name w:val="Footer Char"/>
    <w:link w:val="Footer"/>
    <w:uiPriority w:val="99"/>
    <w:rsid w:val="00177766"/>
    <w:rPr>
      <w:rFonts w:ascii="Palatino" w:hAnsi="Palatino"/>
      <w:sz w:val="26"/>
    </w:rPr>
  </w:style>
  <w:style w:type="paragraph" w:customStyle="1" w:styleId="Default">
    <w:name w:val="Default"/>
    <w:rsid w:val="00177766"/>
    <w:pPr>
      <w:autoSpaceDE w:val="0"/>
      <w:autoSpaceDN w:val="0"/>
      <w:adjustRightInd w:val="0"/>
    </w:pPr>
    <w:rPr>
      <w:rFonts w:ascii="Garamond" w:hAnsi="Garamond" w:cs="Garamond"/>
      <w:color w:val="000000"/>
      <w:sz w:val="24"/>
      <w:szCs w:val="24"/>
    </w:rPr>
  </w:style>
  <w:style w:type="table" w:styleId="TableGrid">
    <w:name w:val="Table Grid"/>
    <w:basedOn w:val="TableNormal"/>
    <w:rsid w:val="003E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E0EA3"/>
    <w:rPr>
      <w:color w:val="800080" w:themeColor="followedHyperlink"/>
      <w:u w:val="single"/>
    </w:rPr>
  </w:style>
  <w:style w:type="character" w:customStyle="1" w:styleId="CommentTextChar">
    <w:name w:val="Comment Text Char"/>
    <w:basedOn w:val="DefaultParagraphFont"/>
    <w:link w:val="CommentText"/>
    <w:semiHidden/>
    <w:rsid w:val="008A1AC1"/>
    <w:rPr>
      <w:rFonts w:ascii="Palatino" w:hAnsi="Palatino"/>
    </w:rPr>
  </w:style>
  <w:style w:type="character" w:customStyle="1" w:styleId="UnresolvedMention1">
    <w:name w:val="Unresolved Mention1"/>
    <w:basedOn w:val="DefaultParagraphFont"/>
    <w:uiPriority w:val="99"/>
    <w:semiHidden/>
    <w:unhideWhenUsed/>
    <w:rsid w:val="00EC5236"/>
    <w:rPr>
      <w:color w:val="605E5C"/>
      <w:shd w:val="clear" w:color="auto" w:fill="E1DFDD"/>
    </w:rPr>
  </w:style>
  <w:style w:type="character" w:styleId="UnresolvedMention">
    <w:name w:val="Unresolved Mention"/>
    <w:basedOn w:val="DefaultParagraphFont"/>
    <w:uiPriority w:val="99"/>
    <w:semiHidden/>
    <w:unhideWhenUsed/>
    <w:rsid w:val="00F56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80646">
      <w:bodyDiv w:val="1"/>
      <w:marLeft w:val="0"/>
      <w:marRight w:val="0"/>
      <w:marTop w:val="0"/>
      <w:marBottom w:val="0"/>
      <w:divBdr>
        <w:top w:val="none" w:sz="0" w:space="0" w:color="auto"/>
        <w:left w:val="none" w:sz="0" w:space="0" w:color="auto"/>
        <w:bottom w:val="none" w:sz="0" w:space="0" w:color="auto"/>
        <w:right w:val="none" w:sz="0" w:space="0" w:color="auto"/>
      </w:divBdr>
    </w:div>
    <w:div w:id="92435119">
      <w:bodyDiv w:val="1"/>
      <w:marLeft w:val="0"/>
      <w:marRight w:val="0"/>
      <w:marTop w:val="0"/>
      <w:marBottom w:val="0"/>
      <w:divBdr>
        <w:top w:val="none" w:sz="0" w:space="0" w:color="auto"/>
        <w:left w:val="none" w:sz="0" w:space="0" w:color="auto"/>
        <w:bottom w:val="none" w:sz="0" w:space="0" w:color="auto"/>
        <w:right w:val="none" w:sz="0" w:space="0" w:color="auto"/>
      </w:divBdr>
    </w:div>
    <w:div w:id="204485055">
      <w:bodyDiv w:val="1"/>
      <w:marLeft w:val="0"/>
      <w:marRight w:val="0"/>
      <w:marTop w:val="0"/>
      <w:marBottom w:val="0"/>
      <w:divBdr>
        <w:top w:val="none" w:sz="0" w:space="0" w:color="auto"/>
        <w:left w:val="none" w:sz="0" w:space="0" w:color="auto"/>
        <w:bottom w:val="none" w:sz="0" w:space="0" w:color="auto"/>
        <w:right w:val="none" w:sz="0" w:space="0" w:color="auto"/>
      </w:divBdr>
    </w:div>
    <w:div w:id="230046830">
      <w:bodyDiv w:val="1"/>
      <w:marLeft w:val="0"/>
      <w:marRight w:val="0"/>
      <w:marTop w:val="0"/>
      <w:marBottom w:val="0"/>
      <w:divBdr>
        <w:top w:val="none" w:sz="0" w:space="0" w:color="auto"/>
        <w:left w:val="none" w:sz="0" w:space="0" w:color="auto"/>
        <w:bottom w:val="none" w:sz="0" w:space="0" w:color="auto"/>
        <w:right w:val="none" w:sz="0" w:space="0" w:color="auto"/>
      </w:divBdr>
    </w:div>
    <w:div w:id="312150079">
      <w:bodyDiv w:val="1"/>
      <w:marLeft w:val="0"/>
      <w:marRight w:val="0"/>
      <w:marTop w:val="0"/>
      <w:marBottom w:val="0"/>
      <w:divBdr>
        <w:top w:val="none" w:sz="0" w:space="0" w:color="auto"/>
        <w:left w:val="none" w:sz="0" w:space="0" w:color="auto"/>
        <w:bottom w:val="none" w:sz="0" w:space="0" w:color="auto"/>
        <w:right w:val="none" w:sz="0" w:space="0" w:color="auto"/>
      </w:divBdr>
      <w:divsChild>
        <w:div w:id="1526744716">
          <w:marLeft w:val="0"/>
          <w:marRight w:val="0"/>
          <w:marTop w:val="0"/>
          <w:marBottom w:val="0"/>
          <w:divBdr>
            <w:top w:val="none" w:sz="0" w:space="0" w:color="auto"/>
            <w:left w:val="none" w:sz="0" w:space="0" w:color="auto"/>
            <w:bottom w:val="none" w:sz="0" w:space="0" w:color="auto"/>
            <w:right w:val="none" w:sz="0" w:space="0" w:color="auto"/>
          </w:divBdr>
        </w:div>
      </w:divsChild>
    </w:div>
    <w:div w:id="400367480">
      <w:bodyDiv w:val="1"/>
      <w:marLeft w:val="0"/>
      <w:marRight w:val="0"/>
      <w:marTop w:val="0"/>
      <w:marBottom w:val="0"/>
      <w:divBdr>
        <w:top w:val="none" w:sz="0" w:space="0" w:color="auto"/>
        <w:left w:val="none" w:sz="0" w:space="0" w:color="auto"/>
        <w:bottom w:val="none" w:sz="0" w:space="0" w:color="auto"/>
        <w:right w:val="none" w:sz="0" w:space="0" w:color="auto"/>
      </w:divBdr>
    </w:div>
    <w:div w:id="769667926">
      <w:bodyDiv w:val="1"/>
      <w:marLeft w:val="0"/>
      <w:marRight w:val="0"/>
      <w:marTop w:val="0"/>
      <w:marBottom w:val="0"/>
      <w:divBdr>
        <w:top w:val="none" w:sz="0" w:space="0" w:color="auto"/>
        <w:left w:val="none" w:sz="0" w:space="0" w:color="auto"/>
        <w:bottom w:val="none" w:sz="0" w:space="0" w:color="auto"/>
        <w:right w:val="none" w:sz="0" w:space="0" w:color="auto"/>
      </w:divBdr>
    </w:div>
    <w:div w:id="1026906828">
      <w:bodyDiv w:val="1"/>
      <w:marLeft w:val="0"/>
      <w:marRight w:val="0"/>
      <w:marTop w:val="0"/>
      <w:marBottom w:val="0"/>
      <w:divBdr>
        <w:top w:val="none" w:sz="0" w:space="0" w:color="auto"/>
        <w:left w:val="none" w:sz="0" w:space="0" w:color="auto"/>
        <w:bottom w:val="none" w:sz="0" w:space="0" w:color="auto"/>
        <w:right w:val="none" w:sz="0" w:space="0" w:color="auto"/>
      </w:divBdr>
    </w:div>
    <w:div w:id="1663587403">
      <w:bodyDiv w:val="1"/>
      <w:marLeft w:val="0"/>
      <w:marRight w:val="0"/>
      <w:marTop w:val="0"/>
      <w:marBottom w:val="0"/>
      <w:divBdr>
        <w:top w:val="none" w:sz="0" w:space="0" w:color="auto"/>
        <w:left w:val="none" w:sz="0" w:space="0" w:color="auto"/>
        <w:bottom w:val="none" w:sz="0" w:space="0" w:color="auto"/>
        <w:right w:val="none" w:sz="0" w:space="0" w:color="auto"/>
      </w:divBdr>
    </w:div>
    <w:div w:id="1803230664">
      <w:bodyDiv w:val="1"/>
      <w:marLeft w:val="0"/>
      <w:marRight w:val="0"/>
      <w:marTop w:val="0"/>
      <w:marBottom w:val="0"/>
      <w:divBdr>
        <w:top w:val="none" w:sz="0" w:space="0" w:color="auto"/>
        <w:left w:val="none" w:sz="0" w:space="0" w:color="auto"/>
        <w:bottom w:val="none" w:sz="0" w:space="0" w:color="auto"/>
        <w:right w:val="none" w:sz="0" w:space="0" w:color="auto"/>
      </w:divBdr>
    </w:div>
    <w:div w:id="1913002897">
      <w:bodyDiv w:val="1"/>
      <w:marLeft w:val="0"/>
      <w:marRight w:val="0"/>
      <w:marTop w:val="0"/>
      <w:marBottom w:val="0"/>
      <w:divBdr>
        <w:top w:val="none" w:sz="0" w:space="0" w:color="auto"/>
        <w:left w:val="none" w:sz="0" w:space="0" w:color="auto"/>
        <w:bottom w:val="none" w:sz="0" w:space="0" w:color="auto"/>
        <w:right w:val="none" w:sz="0" w:space="0" w:color="auto"/>
      </w:divBdr>
      <w:divsChild>
        <w:div w:id="304119142">
          <w:marLeft w:val="0"/>
          <w:marRight w:val="0"/>
          <w:marTop w:val="0"/>
          <w:marBottom w:val="0"/>
          <w:divBdr>
            <w:top w:val="none" w:sz="0" w:space="0" w:color="auto"/>
            <w:left w:val="none" w:sz="0" w:space="0" w:color="auto"/>
            <w:bottom w:val="none" w:sz="0" w:space="0" w:color="auto"/>
            <w:right w:val="none" w:sz="0" w:space="0" w:color="auto"/>
          </w:divBdr>
        </w:div>
      </w:divsChild>
    </w:div>
    <w:div w:id="1916473035">
      <w:bodyDiv w:val="1"/>
      <w:marLeft w:val="0"/>
      <w:marRight w:val="0"/>
      <w:marTop w:val="0"/>
      <w:marBottom w:val="0"/>
      <w:divBdr>
        <w:top w:val="none" w:sz="0" w:space="0" w:color="auto"/>
        <w:left w:val="none" w:sz="0" w:space="0" w:color="auto"/>
        <w:bottom w:val="none" w:sz="0" w:space="0" w:color="auto"/>
        <w:right w:val="none" w:sz="0" w:space="0" w:color="auto"/>
      </w:divBdr>
    </w:div>
    <w:div w:id="2063484260">
      <w:bodyDiv w:val="1"/>
      <w:marLeft w:val="0"/>
      <w:marRight w:val="0"/>
      <w:marTop w:val="0"/>
      <w:marBottom w:val="0"/>
      <w:divBdr>
        <w:top w:val="none" w:sz="0" w:space="0" w:color="auto"/>
        <w:left w:val="none" w:sz="0" w:space="0" w:color="auto"/>
        <w:bottom w:val="none" w:sz="0" w:space="0" w:color="auto"/>
        <w:right w:val="none" w:sz="0" w:space="0" w:color="auto"/>
      </w:divBdr>
      <w:divsChild>
        <w:div w:id="108553266">
          <w:marLeft w:val="0"/>
          <w:marRight w:val="0"/>
          <w:marTop w:val="0"/>
          <w:marBottom w:val="0"/>
          <w:divBdr>
            <w:top w:val="none" w:sz="0" w:space="0" w:color="auto"/>
            <w:left w:val="none" w:sz="0" w:space="0" w:color="auto"/>
            <w:bottom w:val="none" w:sz="0" w:space="0" w:color="auto"/>
            <w:right w:val="none" w:sz="0" w:space="0" w:color="auto"/>
          </w:divBdr>
        </w:div>
      </w:divsChild>
    </w:div>
    <w:div w:id="2069648122">
      <w:bodyDiv w:val="1"/>
      <w:marLeft w:val="0"/>
      <w:marRight w:val="0"/>
      <w:marTop w:val="0"/>
      <w:marBottom w:val="0"/>
      <w:divBdr>
        <w:top w:val="none" w:sz="0" w:space="0" w:color="auto"/>
        <w:left w:val="none" w:sz="0" w:space="0" w:color="auto"/>
        <w:bottom w:val="none" w:sz="0" w:space="0" w:color="auto"/>
        <w:right w:val="none" w:sz="0" w:space="0" w:color="auto"/>
      </w:divBdr>
    </w:div>
    <w:div w:id="213721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32093-7C33-4DBB-BC2D-E2E60032F76C}">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60</ap:Pages>
  <ap:Words>17996</ap:Words>
  <ap:Characters>102581</ap:Characters>
  <ap:Application>Microsoft Office Word</ap:Application>
  <ap:DocSecurity>0</ap:DocSecurity>
  <ap:Lines>854</ap:Lines>
  <ap:Paragraphs>240</ap:Paragraphs>
  <ap:ScaleCrop>false</ap:ScaleCrop>
  <ap:HeadingPairs>
    <vt:vector baseType="variant" size="2">
      <vt:variant>
        <vt:lpstr>Title</vt:lpstr>
      </vt:variant>
      <vt:variant>
        <vt:i4>1</vt:i4>
      </vt:variant>
    </vt:vector>
  </ap:HeadingPairs>
  <ap:TitlesOfParts>
    <vt:vector baseType="lpstr" size="1">
      <vt:lpstr>_</vt:lpstr>
    </vt:vector>
  </ap:TitlesOfParts>
  <ap:LinksUpToDate>false</ap:LinksUpToDate>
  <ap:CharactersWithSpaces>120337</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2014-06-30T21:25:00Z</cp:lastPrinted>
  <dcterms:created xsi:type="dcterms:W3CDTF">2019-04-29T14:49:16Z</dcterms:created>
  <dcterms:modified xsi:type="dcterms:W3CDTF">2019-04-29T14:49:16Z</dcterms:modified>
</cp:coreProperties>
</file>