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6429" w:rsidR="003B1DBD" w:rsidP="003B1DBD" w:rsidRDefault="003B1DBD" w14:paraId="516CCDB2" w14:textId="77777777">
      <w:pPr>
        <w:pStyle w:val="Title"/>
        <w:tabs>
          <w:tab w:val="right" w:pos="10080"/>
        </w:tabs>
        <w:rPr>
          <w:rFonts w:ascii="Palatino Linotype" w:hAnsi="Palatino Linotype"/>
          <w:szCs w:val="24"/>
        </w:rPr>
      </w:pPr>
      <w:r w:rsidRPr="00966429">
        <w:rPr>
          <w:rFonts w:ascii="Palatino Linotype" w:hAnsi="Palatino Linotype"/>
          <w:szCs w:val="24"/>
        </w:rPr>
        <w:t>PUBLIC UTILITIES COMMISSION OF THE STATE OF CALIFORNIA</w:t>
      </w:r>
    </w:p>
    <w:p w:rsidRPr="00966429" w:rsidR="003B1DBD" w:rsidP="003B1DBD" w:rsidRDefault="003B1DBD" w14:paraId="561BF95C" w14:textId="77777777">
      <w:pPr>
        <w:tabs>
          <w:tab w:val="right" w:pos="10080"/>
        </w:tabs>
        <w:rPr>
          <w:rFonts w:ascii="Palatino Linotype" w:hAnsi="Palatino Linotype"/>
        </w:rPr>
      </w:pPr>
    </w:p>
    <w:p w:rsidRPr="00966429" w:rsidR="003B1DBD" w:rsidP="003B1DBD" w:rsidRDefault="003B1DBD" w14:paraId="0A3A1425" w14:textId="77777777">
      <w:pPr>
        <w:tabs>
          <w:tab w:val="right" w:pos="10080"/>
        </w:tabs>
        <w:rPr>
          <w:rFonts w:ascii="Palatino Linotype" w:hAnsi="Palatino Linotype"/>
        </w:rPr>
      </w:pPr>
    </w:p>
    <w:p w:rsidRPr="00966429" w:rsidR="003B1DBD" w:rsidP="003B1DBD" w:rsidRDefault="003B1DBD" w14:paraId="71237B1F" w14:textId="55A04297">
      <w:pPr>
        <w:tabs>
          <w:tab w:val="right" w:pos="9360"/>
        </w:tabs>
        <w:rPr>
          <w:rFonts w:ascii="Palatino Linotype" w:hAnsi="Palatino Linotype"/>
          <w:b/>
        </w:rPr>
      </w:pPr>
      <w:r w:rsidRPr="00966429">
        <w:rPr>
          <w:rFonts w:ascii="Palatino Linotype" w:hAnsi="Palatino Linotype"/>
          <w:b/>
        </w:rPr>
        <w:t xml:space="preserve">    Communications Division</w:t>
      </w:r>
      <w:r w:rsidRPr="00966429">
        <w:rPr>
          <w:rFonts w:ascii="Palatino Linotype" w:hAnsi="Palatino Linotype"/>
          <w:b/>
        </w:rPr>
        <w:tab/>
        <w:t>RESOLUTION T-17</w:t>
      </w:r>
      <w:r w:rsidRPr="00966429" w:rsidR="00325212">
        <w:rPr>
          <w:rFonts w:ascii="Palatino Linotype" w:hAnsi="Palatino Linotype"/>
          <w:b/>
        </w:rPr>
        <w:t>651</w:t>
      </w:r>
    </w:p>
    <w:p w:rsidRPr="00966429" w:rsidR="00970177" w:rsidP="00325212" w:rsidRDefault="003B1DBD" w14:paraId="5EDC8CEB" w14:textId="67E3A172">
      <w:pPr>
        <w:tabs>
          <w:tab w:val="right" w:pos="9360"/>
        </w:tabs>
        <w:rPr>
          <w:rFonts w:ascii="Palatino Linotype" w:hAnsi="Palatino Linotype"/>
          <w:b/>
        </w:rPr>
      </w:pPr>
      <w:r w:rsidRPr="00966429">
        <w:rPr>
          <w:rFonts w:ascii="Palatino Linotype" w:hAnsi="Palatino Linotype"/>
          <w:b/>
        </w:rPr>
        <w:t xml:space="preserve">    </w:t>
      </w:r>
      <w:r w:rsidRPr="00966429" w:rsidR="00970177">
        <w:rPr>
          <w:rFonts w:ascii="Palatino Linotype" w:hAnsi="Palatino Linotype"/>
          <w:b/>
        </w:rPr>
        <w:t>Carrier Oversight and Program Branch</w:t>
      </w:r>
      <w:r w:rsidRPr="00966429" w:rsidR="000A4BFA">
        <w:rPr>
          <w:rFonts w:ascii="Palatino Linotype" w:hAnsi="Palatino Linotype"/>
          <w:b/>
        </w:rPr>
        <w:tab/>
      </w:r>
      <w:r w:rsidRPr="00966429" w:rsidR="006C1471">
        <w:rPr>
          <w:rFonts w:ascii="Palatino Linotype" w:hAnsi="Palatino Linotype"/>
          <w:b/>
        </w:rPr>
        <w:t xml:space="preserve">May </w:t>
      </w:r>
      <w:r w:rsidRPr="00966429" w:rsidR="00774D5B">
        <w:rPr>
          <w:rFonts w:ascii="Palatino Linotype" w:hAnsi="Palatino Linotype"/>
          <w:b/>
        </w:rPr>
        <w:t>30</w:t>
      </w:r>
      <w:r w:rsidRPr="00966429" w:rsidR="000A4BFA">
        <w:rPr>
          <w:rFonts w:ascii="Palatino Linotype" w:hAnsi="Palatino Linotype"/>
          <w:b/>
        </w:rPr>
        <w:t xml:space="preserve">, </w:t>
      </w:r>
      <w:r w:rsidRPr="00966429" w:rsidR="00970177">
        <w:rPr>
          <w:rFonts w:ascii="Palatino Linotype" w:hAnsi="Palatino Linotype"/>
          <w:b/>
        </w:rPr>
        <w:t>201</w:t>
      </w:r>
      <w:r w:rsidRPr="00966429" w:rsidR="004D172C">
        <w:rPr>
          <w:rFonts w:ascii="Palatino Linotype" w:hAnsi="Palatino Linotype"/>
          <w:b/>
        </w:rPr>
        <w:t>9</w:t>
      </w:r>
      <w:r w:rsidRPr="00966429">
        <w:rPr>
          <w:rFonts w:ascii="Palatino Linotype" w:hAnsi="Palatino Linotype"/>
          <w:b/>
        </w:rPr>
        <w:tab/>
      </w:r>
      <w:r w:rsidRPr="00966429">
        <w:rPr>
          <w:rFonts w:ascii="Palatino Linotype" w:hAnsi="Palatino Linotype"/>
          <w:b/>
        </w:rPr>
        <w:tab/>
        <w:t xml:space="preserve">        </w:t>
      </w:r>
    </w:p>
    <w:p w:rsidRPr="00966429" w:rsidR="003B1DBD" w:rsidP="003B1DBD" w:rsidRDefault="003B1DBD" w14:paraId="4E16F2D4" w14:textId="77777777">
      <w:pPr>
        <w:tabs>
          <w:tab w:val="right" w:pos="10080"/>
        </w:tabs>
        <w:jc w:val="center"/>
        <w:rPr>
          <w:rFonts w:ascii="Palatino Linotype" w:hAnsi="Palatino Linotype"/>
          <w:b/>
          <w:u w:val="single"/>
        </w:rPr>
      </w:pPr>
      <w:r w:rsidRPr="00966429">
        <w:rPr>
          <w:rFonts w:ascii="Palatino Linotype" w:hAnsi="Palatino Linotype"/>
          <w:b/>
          <w:u w:val="single"/>
        </w:rPr>
        <w:t>R</w:t>
      </w:r>
      <w:r w:rsidRPr="00966429">
        <w:rPr>
          <w:rFonts w:ascii="Palatino Linotype" w:hAnsi="Palatino Linotype"/>
          <w:b/>
        </w:rPr>
        <w:t xml:space="preserve"> </w:t>
      </w:r>
      <w:r w:rsidRPr="00966429">
        <w:rPr>
          <w:rFonts w:ascii="Palatino Linotype" w:hAnsi="Palatino Linotype"/>
          <w:b/>
          <w:u w:val="single"/>
        </w:rPr>
        <w:t>E</w:t>
      </w:r>
      <w:r w:rsidRPr="00966429">
        <w:rPr>
          <w:rFonts w:ascii="Palatino Linotype" w:hAnsi="Palatino Linotype"/>
          <w:b/>
        </w:rPr>
        <w:t xml:space="preserve"> </w:t>
      </w:r>
      <w:r w:rsidRPr="00966429">
        <w:rPr>
          <w:rFonts w:ascii="Palatino Linotype" w:hAnsi="Palatino Linotype"/>
          <w:b/>
          <w:u w:val="single"/>
        </w:rPr>
        <w:t>S</w:t>
      </w:r>
      <w:r w:rsidRPr="00966429">
        <w:rPr>
          <w:rFonts w:ascii="Palatino Linotype" w:hAnsi="Palatino Linotype"/>
          <w:b/>
        </w:rPr>
        <w:t xml:space="preserve"> </w:t>
      </w:r>
      <w:r w:rsidRPr="00966429">
        <w:rPr>
          <w:rFonts w:ascii="Palatino Linotype" w:hAnsi="Palatino Linotype"/>
          <w:b/>
          <w:u w:val="single"/>
        </w:rPr>
        <w:t>O</w:t>
      </w:r>
      <w:r w:rsidRPr="00966429">
        <w:rPr>
          <w:rFonts w:ascii="Palatino Linotype" w:hAnsi="Palatino Linotype"/>
          <w:b/>
        </w:rPr>
        <w:t xml:space="preserve"> </w:t>
      </w:r>
      <w:r w:rsidRPr="00966429">
        <w:rPr>
          <w:rFonts w:ascii="Palatino Linotype" w:hAnsi="Palatino Linotype"/>
          <w:b/>
          <w:u w:val="single"/>
        </w:rPr>
        <w:t>L</w:t>
      </w:r>
      <w:r w:rsidRPr="00966429">
        <w:rPr>
          <w:rFonts w:ascii="Palatino Linotype" w:hAnsi="Palatino Linotype"/>
          <w:b/>
        </w:rPr>
        <w:t xml:space="preserve"> </w:t>
      </w:r>
      <w:r w:rsidRPr="00966429">
        <w:rPr>
          <w:rFonts w:ascii="Palatino Linotype" w:hAnsi="Palatino Linotype"/>
          <w:b/>
          <w:u w:val="single"/>
        </w:rPr>
        <w:t>U</w:t>
      </w:r>
      <w:r w:rsidRPr="00966429">
        <w:rPr>
          <w:rFonts w:ascii="Palatino Linotype" w:hAnsi="Palatino Linotype"/>
          <w:b/>
        </w:rPr>
        <w:t xml:space="preserve"> </w:t>
      </w:r>
      <w:r w:rsidRPr="00966429">
        <w:rPr>
          <w:rFonts w:ascii="Palatino Linotype" w:hAnsi="Palatino Linotype"/>
          <w:b/>
          <w:u w:val="single"/>
        </w:rPr>
        <w:t>T</w:t>
      </w:r>
      <w:r w:rsidRPr="00966429">
        <w:rPr>
          <w:rFonts w:ascii="Palatino Linotype" w:hAnsi="Palatino Linotype"/>
          <w:b/>
        </w:rPr>
        <w:t xml:space="preserve"> </w:t>
      </w:r>
      <w:r w:rsidRPr="00966429">
        <w:rPr>
          <w:rFonts w:ascii="Palatino Linotype" w:hAnsi="Palatino Linotype"/>
          <w:b/>
          <w:u w:val="single"/>
        </w:rPr>
        <w:t>I</w:t>
      </w:r>
      <w:r w:rsidRPr="00966429">
        <w:rPr>
          <w:rFonts w:ascii="Palatino Linotype" w:hAnsi="Palatino Linotype"/>
          <w:b/>
        </w:rPr>
        <w:t xml:space="preserve"> </w:t>
      </w:r>
      <w:r w:rsidRPr="00966429">
        <w:rPr>
          <w:rFonts w:ascii="Palatino Linotype" w:hAnsi="Palatino Linotype"/>
          <w:b/>
          <w:u w:val="single"/>
        </w:rPr>
        <w:t>O</w:t>
      </w:r>
      <w:r w:rsidRPr="00966429">
        <w:rPr>
          <w:rFonts w:ascii="Palatino Linotype" w:hAnsi="Palatino Linotype"/>
          <w:b/>
        </w:rPr>
        <w:t xml:space="preserve"> </w:t>
      </w:r>
      <w:r w:rsidRPr="00966429">
        <w:rPr>
          <w:rFonts w:ascii="Palatino Linotype" w:hAnsi="Palatino Linotype"/>
          <w:b/>
          <w:u w:val="single"/>
        </w:rPr>
        <w:t>N</w:t>
      </w:r>
    </w:p>
    <w:p w:rsidRPr="00966429" w:rsidR="003B1DBD" w:rsidP="003B1DBD" w:rsidRDefault="003B1DBD" w14:paraId="616E9896" w14:textId="77777777">
      <w:pPr>
        <w:tabs>
          <w:tab w:val="right" w:pos="10080"/>
        </w:tabs>
        <w:jc w:val="center"/>
        <w:rPr>
          <w:rFonts w:ascii="Palatino Linotype" w:hAnsi="Palatino Linotype"/>
          <w:b/>
        </w:rPr>
      </w:pPr>
    </w:p>
    <w:p w:rsidRPr="00966429" w:rsidR="003B1DBD" w:rsidP="003B1DBD" w:rsidRDefault="003B1DBD" w14:paraId="6AE0B012" w14:textId="77777777">
      <w:pPr>
        <w:tabs>
          <w:tab w:val="right" w:pos="10080"/>
        </w:tabs>
        <w:rPr>
          <w:rFonts w:ascii="Palatino Linotype" w:hAnsi="Palatino Linotype"/>
        </w:rPr>
      </w:pPr>
    </w:p>
    <w:p w:rsidRPr="00966429" w:rsidR="004B467A" w:rsidP="00966429" w:rsidRDefault="00E4241D" w14:paraId="48CF8CDD" w14:textId="1CA8E2E8">
      <w:pPr>
        <w:ind w:left="720" w:right="450"/>
        <w:rPr>
          <w:rFonts w:ascii="Palatino Linotype" w:hAnsi="Palatino Linotype"/>
        </w:rPr>
      </w:pPr>
      <w:r w:rsidRPr="00966429">
        <w:rPr>
          <w:rFonts w:ascii="Palatino Linotype" w:hAnsi="Palatino Linotype"/>
        </w:rPr>
        <w:t>Resolution</w:t>
      </w:r>
      <w:r w:rsidRPr="00966429" w:rsidR="003B1DBD">
        <w:rPr>
          <w:rFonts w:ascii="Palatino Linotype" w:hAnsi="Palatino Linotype"/>
        </w:rPr>
        <w:t xml:space="preserve"> T-</w:t>
      </w:r>
      <w:r w:rsidRPr="00966429" w:rsidR="004D172C">
        <w:rPr>
          <w:rFonts w:ascii="Palatino Linotype" w:hAnsi="Palatino Linotype"/>
        </w:rPr>
        <w:t>17651</w:t>
      </w:r>
      <w:r w:rsidRPr="00966429">
        <w:rPr>
          <w:rFonts w:ascii="Palatino Linotype" w:hAnsi="Palatino Linotype"/>
        </w:rPr>
        <w:t>.</w:t>
      </w:r>
      <w:r w:rsidRPr="00966429" w:rsidR="003B1DBD">
        <w:rPr>
          <w:rFonts w:ascii="Palatino Linotype" w:hAnsi="Palatino Linotype"/>
        </w:rPr>
        <w:t xml:space="preserve"> </w:t>
      </w:r>
      <w:r w:rsidRPr="00966429">
        <w:rPr>
          <w:rFonts w:ascii="Palatino Linotype" w:hAnsi="Palatino Linotype"/>
        </w:rPr>
        <w:t xml:space="preserve"> </w:t>
      </w:r>
      <w:r w:rsidRPr="00966429" w:rsidR="00853EA7">
        <w:rPr>
          <w:rFonts w:ascii="Palatino Linotype" w:hAnsi="Palatino Linotype"/>
        </w:rPr>
        <w:t>A</w:t>
      </w:r>
      <w:r w:rsidRPr="00966429">
        <w:rPr>
          <w:rFonts w:ascii="Palatino Linotype" w:hAnsi="Palatino Linotype"/>
        </w:rPr>
        <w:t>pprov</w:t>
      </w:r>
      <w:r w:rsidRPr="00966429" w:rsidR="00853EA7">
        <w:rPr>
          <w:rFonts w:ascii="Palatino Linotype" w:hAnsi="Palatino Linotype"/>
        </w:rPr>
        <w:t>al</w:t>
      </w:r>
      <w:r w:rsidRPr="00966429" w:rsidR="00302981">
        <w:rPr>
          <w:rFonts w:ascii="Palatino Linotype" w:hAnsi="Palatino Linotype"/>
        </w:rPr>
        <w:t xml:space="preserve"> </w:t>
      </w:r>
      <w:r w:rsidRPr="00966429" w:rsidR="00853EA7">
        <w:rPr>
          <w:rFonts w:ascii="Palatino Linotype" w:hAnsi="Palatino Linotype"/>
        </w:rPr>
        <w:t xml:space="preserve">of </w:t>
      </w:r>
      <w:r w:rsidRPr="00966429" w:rsidR="00302981">
        <w:rPr>
          <w:rFonts w:ascii="Palatino Linotype" w:hAnsi="Palatino Linotype"/>
        </w:rPr>
        <w:t xml:space="preserve">advice letters </w:t>
      </w:r>
      <w:r w:rsidRPr="00966429" w:rsidR="00853EA7">
        <w:rPr>
          <w:rFonts w:ascii="Palatino Linotype" w:hAnsi="Palatino Linotype"/>
        </w:rPr>
        <w:t xml:space="preserve">setting forth fines for telephone service providers </w:t>
      </w:r>
      <w:r w:rsidRPr="00966429" w:rsidR="00302981">
        <w:rPr>
          <w:rFonts w:ascii="Palatino Linotype" w:hAnsi="Palatino Linotype"/>
        </w:rPr>
        <w:t>that failed to meet</w:t>
      </w:r>
      <w:r w:rsidRPr="00966429">
        <w:rPr>
          <w:rFonts w:ascii="Palatino Linotype" w:hAnsi="Palatino Linotype"/>
        </w:rPr>
        <w:t xml:space="preserve"> </w:t>
      </w:r>
      <w:r w:rsidRPr="00966429" w:rsidR="00664B75">
        <w:rPr>
          <w:rFonts w:ascii="Palatino Linotype" w:hAnsi="Palatino Linotype"/>
        </w:rPr>
        <w:t xml:space="preserve">required </w:t>
      </w:r>
      <w:r w:rsidRPr="00966429" w:rsidR="004B467A">
        <w:rPr>
          <w:rFonts w:ascii="Palatino Linotype" w:hAnsi="Palatino Linotype"/>
        </w:rPr>
        <w:t>service quality performance</w:t>
      </w:r>
      <w:r w:rsidRPr="00966429" w:rsidR="00302981">
        <w:rPr>
          <w:rFonts w:ascii="Palatino Linotype" w:hAnsi="Palatino Linotype"/>
        </w:rPr>
        <w:t xml:space="preserve"> standards</w:t>
      </w:r>
      <w:r w:rsidRPr="00966429" w:rsidR="004B467A">
        <w:rPr>
          <w:rFonts w:ascii="Palatino Linotype" w:hAnsi="Palatino Linotype"/>
        </w:rPr>
        <w:t xml:space="preserve"> in </w:t>
      </w:r>
      <w:r w:rsidRPr="00966429" w:rsidR="00C763AD">
        <w:rPr>
          <w:rFonts w:ascii="Palatino Linotype" w:hAnsi="Palatino Linotype"/>
        </w:rPr>
        <w:t xml:space="preserve">Year </w:t>
      </w:r>
      <w:r w:rsidRPr="00966429" w:rsidR="00C70517">
        <w:rPr>
          <w:rFonts w:ascii="Palatino Linotype" w:hAnsi="Palatino Linotype"/>
        </w:rPr>
        <w:t>201</w:t>
      </w:r>
      <w:r w:rsidRPr="00966429" w:rsidR="004D172C">
        <w:rPr>
          <w:rFonts w:ascii="Palatino Linotype" w:hAnsi="Palatino Linotype"/>
        </w:rPr>
        <w:t>8</w:t>
      </w:r>
      <w:r w:rsidRPr="00966429" w:rsidR="00C70517">
        <w:rPr>
          <w:rFonts w:ascii="Palatino Linotype" w:hAnsi="Palatino Linotype"/>
        </w:rPr>
        <w:t xml:space="preserve"> pursuant to</w:t>
      </w:r>
      <w:r w:rsidRPr="00966429" w:rsidR="004B467A">
        <w:rPr>
          <w:rFonts w:ascii="Palatino Linotype" w:hAnsi="Palatino Linotype"/>
        </w:rPr>
        <w:t xml:space="preserve"> General Order 133-D.</w:t>
      </w:r>
    </w:p>
    <w:p w:rsidRPr="00966429" w:rsidR="00966429" w:rsidP="00966429" w:rsidRDefault="00966429" w14:paraId="1615A8B0" w14:textId="57F52993">
      <w:pPr>
        <w:pBdr>
          <w:bottom w:val="single" w:color="auto" w:sz="12" w:space="1"/>
        </w:pBdr>
        <w:ind w:left="720" w:right="810"/>
        <w:rPr>
          <w:rFonts w:ascii="Palatino Linotype" w:hAnsi="Palatino Linotype"/>
        </w:rPr>
      </w:pPr>
    </w:p>
    <w:p w:rsidRPr="00966429" w:rsidR="00966429" w:rsidP="00966429" w:rsidRDefault="00966429" w14:paraId="3C9F1FD2" w14:textId="77777777">
      <w:pPr>
        <w:ind w:left="720" w:right="450"/>
        <w:rPr>
          <w:rFonts w:ascii="Palatino Linotype" w:hAnsi="Palatino Linotype"/>
        </w:rPr>
      </w:pPr>
    </w:p>
    <w:p w:rsidRPr="00966429" w:rsidR="00C008CE" w:rsidP="003B1DBD" w:rsidRDefault="00C008CE" w14:paraId="2F34C7FF" w14:textId="77777777">
      <w:pPr>
        <w:tabs>
          <w:tab w:val="right" w:pos="10080"/>
        </w:tabs>
        <w:rPr>
          <w:rFonts w:ascii="Palatino Linotype" w:hAnsi="Palatino Linotype"/>
          <w:b/>
          <w:u w:val="single"/>
        </w:rPr>
      </w:pPr>
    </w:p>
    <w:p w:rsidRPr="00966429" w:rsidR="003B1DBD" w:rsidP="003B1DBD" w:rsidRDefault="003B1DBD" w14:paraId="16E94646" w14:textId="1A116286">
      <w:pPr>
        <w:tabs>
          <w:tab w:val="right" w:pos="10080"/>
        </w:tabs>
        <w:rPr>
          <w:rFonts w:ascii="Palatino Linotype" w:hAnsi="Palatino Linotype"/>
          <w:b/>
          <w:u w:val="single"/>
        </w:rPr>
      </w:pPr>
      <w:r w:rsidRPr="00966429">
        <w:rPr>
          <w:rFonts w:ascii="Palatino Linotype" w:hAnsi="Palatino Linotype"/>
          <w:b/>
          <w:u w:val="single"/>
        </w:rPr>
        <w:t>S</w:t>
      </w:r>
      <w:r w:rsidRPr="00966429" w:rsidR="00853EA7">
        <w:rPr>
          <w:rFonts w:ascii="Palatino Linotype" w:hAnsi="Palatino Linotype"/>
          <w:b/>
          <w:u w:val="single"/>
        </w:rPr>
        <w:t>UMMARY</w:t>
      </w:r>
    </w:p>
    <w:p w:rsidRPr="00966429" w:rsidR="00A77E4B" w:rsidP="00A77E4B" w:rsidRDefault="004B467A" w14:paraId="0E39AD98" w14:textId="096576E1">
      <w:pPr>
        <w:spacing w:before="120" w:after="120"/>
        <w:rPr>
          <w:rFonts w:ascii="Palatino Linotype" w:hAnsi="Palatino Linotype"/>
        </w:rPr>
      </w:pPr>
      <w:r w:rsidRPr="00966429">
        <w:rPr>
          <w:rFonts w:ascii="Palatino Linotype" w:hAnsi="Palatino Linotype"/>
        </w:rPr>
        <w:t xml:space="preserve">This Resolution </w:t>
      </w:r>
      <w:r w:rsidRPr="00966429" w:rsidR="00C70517">
        <w:rPr>
          <w:rFonts w:ascii="Palatino Linotype" w:hAnsi="Palatino Linotype"/>
        </w:rPr>
        <w:t>approves</w:t>
      </w:r>
      <w:r w:rsidRPr="00966429" w:rsidR="00A47F9D">
        <w:rPr>
          <w:rFonts w:ascii="Palatino Linotype" w:hAnsi="Palatino Linotype"/>
        </w:rPr>
        <w:t xml:space="preserve"> the advice letters of</w:t>
      </w:r>
      <w:r w:rsidRPr="00966429">
        <w:rPr>
          <w:rFonts w:ascii="Palatino Linotype" w:hAnsi="Palatino Linotype"/>
        </w:rPr>
        <w:t xml:space="preserve"> </w:t>
      </w:r>
      <w:r w:rsidRPr="00966429" w:rsidR="00413955">
        <w:rPr>
          <w:rFonts w:ascii="Palatino Linotype" w:hAnsi="Palatino Linotype"/>
        </w:rPr>
        <w:t xml:space="preserve">AT&amp;T Corporation (U-5002-C), </w:t>
      </w:r>
      <w:r w:rsidRPr="00966429" w:rsidR="00921B34">
        <w:rPr>
          <w:rFonts w:ascii="Palatino Linotype" w:hAnsi="Palatino Linotype"/>
        </w:rPr>
        <w:t xml:space="preserve">Frontier Citizens Telecommunications Company (U-1024-C), </w:t>
      </w:r>
      <w:r w:rsidRPr="00966429" w:rsidR="00413955">
        <w:rPr>
          <w:rFonts w:ascii="Palatino Linotype" w:hAnsi="Palatino Linotype"/>
        </w:rPr>
        <w:t>Frontier Communications of the Southwest (U-1026-C)</w:t>
      </w:r>
      <w:r w:rsidRPr="00966429" w:rsidR="00A47F9D">
        <w:rPr>
          <w:rFonts w:ascii="Palatino Linotype" w:hAnsi="Palatino Linotype"/>
        </w:rPr>
        <w:t>,</w:t>
      </w:r>
      <w:r w:rsidRPr="00966429" w:rsidR="00413955">
        <w:rPr>
          <w:rFonts w:ascii="Palatino Linotype" w:hAnsi="Palatino Linotype"/>
        </w:rPr>
        <w:t xml:space="preserve"> </w:t>
      </w:r>
      <w:r w:rsidRPr="00966429" w:rsidR="00921B34">
        <w:rPr>
          <w:rFonts w:ascii="Palatino Linotype" w:hAnsi="Palatino Linotype"/>
        </w:rPr>
        <w:t>Happy Valley</w:t>
      </w:r>
      <w:r w:rsidRPr="00966429" w:rsidR="00413955">
        <w:rPr>
          <w:rFonts w:ascii="Palatino Linotype" w:hAnsi="Palatino Linotype"/>
        </w:rPr>
        <w:t xml:space="preserve"> Telephone (U-101</w:t>
      </w:r>
      <w:r w:rsidRPr="00966429" w:rsidR="00921B34">
        <w:rPr>
          <w:rFonts w:ascii="Palatino Linotype" w:hAnsi="Palatino Linotype"/>
        </w:rPr>
        <w:t>0</w:t>
      </w:r>
      <w:r w:rsidRPr="00966429" w:rsidR="00413955">
        <w:rPr>
          <w:rFonts w:ascii="Palatino Linotype" w:hAnsi="Palatino Linotype"/>
        </w:rPr>
        <w:t xml:space="preserve">-C), </w:t>
      </w:r>
      <w:r w:rsidRPr="00966429" w:rsidR="00921B34">
        <w:rPr>
          <w:rFonts w:ascii="Palatino Linotype" w:hAnsi="Palatino Linotype"/>
        </w:rPr>
        <w:t>Hornitos</w:t>
      </w:r>
      <w:r w:rsidRPr="00966429" w:rsidR="00413955">
        <w:rPr>
          <w:rFonts w:ascii="Palatino Linotype" w:hAnsi="Palatino Linotype"/>
        </w:rPr>
        <w:t xml:space="preserve"> Telephone </w:t>
      </w:r>
      <w:r w:rsidR="00966429">
        <w:rPr>
          <w:rFonts w:ascii="Palatino Linotype" w:hAnsi="Palatino Linotype"/>
        </w:rPr>
        <w:br/>
      </w:r>
      <w:r w:rsidRPr="00966429" w:rsidR="00413955">
        <w:rPr>
          <w:rFonts w:ascii="Palatino Linotype" w:hAnsi="Palatino Linotype"/>
        </w:rPr>
        <w:t>(U-10</w:t>
      </w:r>
      <w:r w:rsidRPr="00966429" w:rsidR="00921B34">
        <w:rPr>
          <w:rFonts w:ascii="Palatino Linotype" w:hAnsi="Palatino Linotype"/>
        </w:rPr>
        <w:t>11</w:t>
      </w:r>
      <w:r w:rsidRPr="00966429" w:rsidR="00413955">
        <w:rPr>
          <w:rFonts w:ascii="Palatino Linotype" w:hAnsi="Palatino Linotype"/>
        </w:rPr>
        <w:t>-C)</w:t>
      </w:r>
      <w:r w:rsidRPr="00966429" w:rsidR="00921B34">
        <w:rPr>
          <w:rFonts w:ascii="Palatino Linotype" w:hAnsi="Palatino Linotype"/>
        </w:rPr>
        <w:t>, and Winterhaven Telephone (U-1021-C)</w:t>
      </w:r>
      <w:r w:rsidRPr="00966429" w:rsidR="00413955">
        <w:rPr>
          <w:rFonts w:ascii="Palatino Linotype" w:hAnsi="Palatino Linotype"/>
        </w:rPr>
        <w:t xml:space="preserve"> </w:t>
      </w:r>
      <w:r w:rsidRPr="00966429">
        <w:rPr>
          <w:rFonts w:ascii="Palatino Linotype" w:hAnsi="Palatino Linotype"/>
        </w:rPr>
        <w:t xml:space="preserve">detailing </w:t>
      </w:r>
      <w:r w:rsidRPr="00966429" w:rsidR="00F37E88">
        <w:rPr>
          <w:rFonts w:ascii="Palatino Linotype" w:hAnsi="Palatino Linotype"/>
        </w:rPr>
        <w:t>their</w:t>
      </w:r>
      <w:r w:rsidRPr="00966429" w:rsidR="00BC2BE5">
        <w:rPr>
          <w:rFonts w:ascii="Palatino Linotype" w:hAnsi="Palatino Linotype"/>
        </w:rPr>
        <w:t xml:space="preserve"> </w:t>
      </w:r>
      <w:r w:rsidRPr="00966429" w:rsidR="00C763AD">
        <w:rPr>
          <w:rFonts w:ascii="Palatino Linotype" w:hAnsi="Palatino Linotype"/>
        </w:rPr>
        <w:t xml:space="preserve">proposed </w:t>
      </w:r>
      <w:r w:rsidRPr="00966429" w:rsidR="00F37E88">
        <w:rPr>
          <w:rFonts w:ascii="Palatino Linotype" w:hAnsi="Palatino Linotype"/>
        </w:rPr>
        <w:t xml:space="preserve">combined </w:t>
      </w:r>
      <w:r w:rsidRPr="00966429" w:rsidR="00F54A7C">
        <w:rPr>
          <w:rFonts w:ascii="Palatino Linotype" w:hAnsi="Palatino Linotype"/>
        </w:rPr>
        <w:t>fine</w:t>
      </w:r>
      <w:r w:rsidRPr="00966429" w:rsidR="00C70517">
        <w:rPr>
          <w:rFonts w:ascii="Palatino Linotype" w:hAnsi="Palatino Linotype"/>
        </w:rPr>
        <w:t xml:space="preserve"> calculation</w:t>
      </w:r>
      <w:r w:rsidRPr="00966429" w:rsidR="00F54A7C">
        <w:rPr>
          <w:rFonts w:ascii="Palatino Linotype" w:hAnsi="Palatino Linotype"/>
        </w:rPr>
        <w:t xml:space="preserve"> of </w:t>
      </w:r>
      <w:r w:rsidRPr="00966429" w:rsidR="00413955">
        <w:rPr>
          <w:rFonts w:ascii="Palatino Linotype" w:hAnsi="Palatino Linotype"/>
        </w:rPr>
        <w:t>$</w:t>
      </w:r>
      <w:r w:rsidRPr="00966429" w:rsidR="001F15DA">
        <w:rPr>
          <w:rFonts w:ascii="Palatino Linotype" w:hAnsi="Palatino Linotype"/>
        </w:rPr>
        <w:t>89,609</w:t>
      </w:r>
      <w:r w:rsidRPr="00966429" w:rsidR="00C763AD">
        <w:rPr>
          <w:rFonts w:ascii="Palatino Linotype" w:hAnsi="Palatino Linotype"/>
        </w:rPr>
        <w:t xml:space="preserve"> </w:t>
      </w:r>
      <w:r w:rsidRPr="00966429">
        <w:rPr>
          <w:rFonts w:ascii="Palatino Linotype" w:hAnsi="Palatino Linotype"/>
        </w:rPr>
        <w:t>resulting from</w:t>
      </w:r>
      <w:r w:rsidRPr="00966429" w:rsidR="00F37E88">
        <w:rPr>
          <w:rFonts w:ascii="Palatino Linotype" w:hAnsi="Palatino Linotype"/>
        </w:rPr>
        <w:t xml:space="preserve"> substandard service quality performance in</w:t>
      </w:r>
      <w:r w:rsidRPr="00966429">
        <w:rPr>
          <w:rFonts w:ascii="Palatino Linotype" w:hAnsi="Palatino Linotype"/>
        </w:rPr>
        <w:t xml:space="preserve"> </w:t>
      </w:r>
      <w:r w:rsidR="00966429">
        <w:rPr>
          <w:rFonts w:ascii="Palatino Linotype" w:hAnsi="Palatino Linotype"/>
        </w:rPr>
        <w:br/>
      </w:r>
      <w:r w:rsidRPr="00966429" w:rsidR="00C763AD">
        <w:rPr>
          <w:rFonts w:ascii="Palatino Linotype" w:hAnsi="Palatino Linotype"/>
        </w:rPr>
        <w:t>Y</w:t>
      </w:r>
      <w:r w:rsidRPr="00966429">
        <w:rPr>
          <w:rFonts w:ascii="Palatino Linotype" w:hAnsi="Palatino Linotype"/>
        </w:rPr>
        <w:t>ear 201</w:t>
      </w:r>
      <w:r w:rsidRPr="00966429" w:rsidR="004D172C">
        <w:rPr>
          <w:rFonts w:ascii="Palatino Linotype" w:hAnsi="Palatino Linotype"/>
        </w:rPr>
        <w:t>8</w:t>
      </w:r>
      <w:r w:rsidRPr="00966429" w:rsidR="00C70517">
        <w:rPr>
          <w:rFonts w:ascii="Palatino Linotype" w:hAnsi="Palatino Linotype"/>
        </w:rPr>
        <w:t>, pursuant to</w:t>
      </w:r>
      <w:r w:rsidRPr="00966429">
        <w:rPr>
          <w:rFonts w:ascii="Palatino Linotype" w:hAnsi="Palatino Linotype"/>
        </w:rPr>
        <w:t xml:space="preserve"> California Public Utilities Commission General Order 133-D</w:t>
      </w:r>
      <w:r w:rsidRPr="00966429" w:rsidR="00BC1965">
        <w:rPr>
          <w:rFonts w:ascii="Palatino Linotype" w:hAnsi="Palatino Linotype"/>
        </w:rPr>
        <w:t xml:space="preserve">.  </w:t>
      </w:r>
      <w:r w:rsidRPr="00966429" w:rsidR="00413955">
        <w:rPr>
          <w:rFonts w:ascii="Palatino Linotype" w:hAnsi="Palatino Linotype"/>
        </w:rPr>
        <w:t>The carriers</w:t>
      </w:r>
      <w:r w:rsidRPr="00966429" w:rsidR="00F37E88">
        <w:rPr>
          <w:rFonts w:ascii="Palatino Linotype" w:hAnsi="Palatino Linotype"/>
          <w:b/>
          <w:color w:val="FF0000"/>
        </w:rPr>
        <w:t xml:space="preserve"> </w:t>
      </w:r>
      <w:r w:rsidRPr="00966429" w:rsidR="00C763AD">
        <w:rPr>
          <w:rFonts w:ascii="Palatino Linotype" w:hAnsi="Palatino Linotype"/>
        </w:rPr>
        <w:t xml:space="preserve">calculated </w:t>
      </w:r>
      <w:r w:rsidRPr="00966429" w:rsidR="00413955">
        <w:rPr>
          <w:rFonts w:ascii="Palatino Linotype" w:hAnsi="Palatino Linotype"/>
        </w:rPr>
        <w:t>their</w:t>
      </w:r>
      <w:r w:rsidRPr="00966429" w:rsidR="00C763AD">
        <w:rPr>
          <w:rFonts w:ascii="Palatino Linotype" w:hAnsi="Palatino Linotype"/>
        </w:rPr>
        <w:t xml:space="preserve"> fine</w:t>
      </w:r>
      <w:r w:rsidRPr="00966429" w:rsidR="00413955">
        <w:rPr>
          <w:rFonts w:ascii="Palatino Linotype" w:hAnsi="Palatino Linotype"/>
        </w:rPr>
        <w:t>s</w:t>
      </w:r>
      <w:r w:rsidRPr="00966429" w:rsidR="00C763AD">
        <w:rPr>
          <w:rFonts w:ascii="Palatino Linotype" w:hAnsi="Palatino Linotype"/>
        </w:rPr>
        <w:t xml:space="preserve"> </w:t>
      </w:r>
      <w:r w:rsidRPr="00966429" w:rsidR="00BC2BE5">
        <w:rPr>
          <w:rFonts w:ascii="Palatino Linotype" w:hAnsi="Palatino Linotype"/>
        </w:rPr>
        <w:t xml:space="preserve">by </w:t>
      </w:r>
      <w:r w:rsidRPr="00966429" w:rsidR="00F54A7C">
        <w:rPr>
          <w:rFonts w:ascii="Palatino Linotype" w:hAnsi="Palatino Linotype"/>
        </w:rPr>
        <w:t>applying</w:t>
      </w:r>
      <w:r w:rsidRPr="00966429" w:rsidR="00752C55">
        <w:rPr>
          <w:rFonts w:ascii="Palatino Linotype" w:hAnsi="Palatino Linotype"/>
        </w:rPr>
        <w:t xml:space="preserve"> the prescribed method </w:t>
      </w:r>
      <w:r w:rsidRPr="00966429" w:rsidR="00C763AD">
        <w:rPr>
          <w:rFonts w:ascii="Palatino Linotype" w:hAnsi="Palatino Linotype"/>
        </w:rPr>
        <w:t xml:space="preserve">for each month </w:t>
      </w:r>
      <w:r w:rsidRPr="00966429" w:rsidR="00413955">
        <w:rPr>
          <w:rFonts w:ascii="Palatino Linotype" w:hAnsi="Palatino Linotype"/>
        </w:rPr>
        <w:t>they</w:t>
      </w:r>
      <w:r w:rsidRPr="00966429" w:rsidR="00C763AD">
        <w:rPr>
          <w:rFonts w:ascii="Palatino Linotype" w:hAnsi="Palatino Linotype"/>
        </w:rPr>
        <w:t xml:space="preserve"> failed to meet specific minimum </w:t>
      </w:r>
      <w:r w:rsidRPr="00966429" w:rsidR="00387605">
        <w:rPr>
          <w:rFonts w:ascii="Palatino Linotype" w:hAnsi="Palatino Linotype"/>
        </w:rPr>
        <w:t>level</w:t>
      </w:r>
      <w:r w:rsidRPr="00966429" w:rsidR="00C763AD">
        <w:rPr>
          <w:rFonts w:ascii="Palatino Linotype" w:hAnsi="Palatino Linotype"/>
        </w:rPr>
        <w:t xml:space="preserve">s </w:t>
      </w:r>
      <w:r w:rsidRPr="00966429" w:rsidR="00752C55">
        <w:rPr>
          <w:rFonts w:ascii="Palatino Linotype" w:hAnsi="Palatino Linotype"/>
        </w:rPr>
        <w:t>for the</w:t>
      </w:r>
      <w:r w:rsidRPr="00966429" w:rsidR="0031798A">
        <w:rPr>
          <w:rFonts w:ascii="Palatino Linotype" w:hAnsi="Palatino Linotype"/>
        </w:rPr>
        <w:t xml:space="preserve"> </w:t>
      </w:r>
      <w:r w:rsidRPr="00966429" w:rsidR="00C70517">
        <w:rPr>
          <w:rFonts w:ascii="Palatino Linotype" w:hAnsi="Palatino Linotype"/>
          <w:i/>
        </w:rPr>
        <w:t>Out of Service Repair I</w:t>
      </w:r>
      <w:r w:rsidRPr="00966429" w:rsidR="0031798A">
        <w:rPr>
          <w:rFonts w:ascii="Palatino Linotype" w:hAnsi="Palatino Linotype"/>
          <w:i/>
        </w:rPr>
        <w:t>nterval</w:t>
      </w:r>
      <w:r w:rsidRPr="00966429" w:rsidR="0031798A">
        <w:rPr>
          <w:rFonts w:ascii="Palatino Linotype" w:hAnsi="Palatino Linotype"/>
        </w:rPr>
        <w:t xml:space="preserve"> under </w:t>
      </w:r>
      <w:r w:rsidRPr="00966429" w:rsidR="00287373">
        <w:rPr>
          <w:rFonts w:ascii="Palatino Linotype" w:hAnsi="Palatino Linotype"/>
        </w:rPr>
        <w:t>Section</w:t>
      </w:r>
      <w:r w:rsidRPr="00966429" w:rsidR="0031798A">
        <w:rPr>
          <w:rFonts w:ascii="Palatino Linotype" w:hAnsi="Palatino Linotype"/>
        </w:rPr>
        <w:t xml:space="preserve"> 3.4</w:t>
      </w:r>
      <w:r w:rsidRPr="00966429" w:rsidR="006D7007">
        <w:rPr>
          <w:rFonts w:ascii="Palatino Linotype" w:hAnsi="Palatino Linotype"/>
        </w:rPr>
        <w:t xml:space="preserve"> and </w:t>
      </w:r>
      <w:r w:rsidRPr="00966429" w:rsidR="006D7007">
        <w:rPr>
          <w:rFonts w:ascii="Palatino Linotype" w:hAnsi="Palatino Linotype"/>
          <w:i/>
        </w:rPr>
        <w:t>Answer Time</w:t>
      </w:r>
      <w:r w:rsidRPr="00966429" w:rsidR="006D7007">
        <w:rPr>
          <w:rFonts w:ascii="Palatino Linotype" w:hAnsi="Palatino Linotype"/>
        </w:rPr>
        <w:t xml:space="preserve"> under Section 3.5</w:t>
      </w:r>
      <w:r w:rsidRPr="00966429" w:rsidR="00C763AD">
        <w:rPr>
          <w:rFonts w:ascii="Palatino Linotype" w:hAnsi="Palatino Linotype"/>
        </w:rPr>
        <w:t xml:space="preserve">.  </w:t>
      </w:r>
      <w:r w:rsidRPr="00966429" w:rsidR="00413955">
        <w:rPr>
          <w:rFonts w:ascii="Palatino Linotype" w:hAnsi="Palatino Linotype"/>
        </w:rPr>
        <w:t>Submission of</w:t>
      </w:r>
      <w:r w:rsidRPr="00966429" w:rsidR="00657A52">
        <w:rPr>
          <w:rFonts w:ascii="Palatino Linotype" w:hAnsi="Palatino Linotype"/>
        </w:rPr>
        <w:t xml:space="preserve"> these</w:t>
      </w:r>
      <w:r w:rsidRPr="00966429" w:rsidR="00A77E4B">
        <w:rPr>
          <w:rFonts w:ascii="Palatino Linotype" w:hAnsi="Palatino Linotype"/>
        </w:rPr>
        <w:t xml:space="preserve"> </w:t>
      </w:r>
      <w:r w:rsidRPr="00966429" w:rsidR="00284D5E">
        <w:rPr>
          <w:rFonts w:ascii="Palatino Linotype" w:hAnsi="Palatino Linotype"/>
        </w:rPr>
        <w:t xml:space="preserve">2018 </w:t>
      </w:r>
      <w:r w:rsidRPr="00966429" w:rsidR="00A77E4B">
        <w:rPr>
          <w:rFonts w:ascii="Palatino Linotype" w:hAnsi="Palatino Linotype"/>
        </w:rPr>
        <w:t>fine</w:t>
      </w:r>
      <w:r w:rsidRPr="00966429" w:rsidR="00413955">
        <w:rPr>
          <w:rFonts w:ascii="Palatino Linotype" w:hAnsi="Palatino Linotype"/>
        </w:rPr>
        <w:t>s</w:t>
      </w:r>
      <w:r w:rsidRPr="00966429" w:rsidR="00A77E4B">
        <w:rPr>
          <w:rFonts w:ascii="Palatino Linotype" w:hAnsi="Palatino Linotype"/>
        </w:rPr>
        <w:t xml:space="preserve"> </w:t>
      </w:r>
      <w:r w:rsidRPr="00966429" w:rsidR="00657A52">
        <w:rPr>
          <w:rFonts w:ascii="Palatino Linotype" w:hAnsi="Palatino Linotype"/>
        </w:rPr>
        <w:t>complies with the direction</w:t>
      </w:r>
      <w:r w:rsidRPr="00966429" w:rsidR="00284D5E">
        <w:rPr>
          <w:rFonts w:ascii="Palatino Linotype" w:hAnsi="Palatino Linotype"/>
        </w:rPr>
        <w:t>s specified in</w:t>
      </w:r>
      <w:r w:rsidRPr="00966429" w:rsidR="00657A52">
        <w:rPr>
          <w:rFonts w:ascii="Palatino Linotype" w:hAnsi="Palatino Linotype"/>
        </w:rPr>
        <w:t xml:space="preserve"> </w:t>
      </w:r>
      <w:r w:rsidRPr="00966429" w:rsidR="00A77E4B">
        <w:rPr>
          <w:rFonts w:ascii="Palatino Linotype" w:hAnsi="Palatino Linotype"/>
        </w:rPr>
        <w:t>Section 9.6</w:t>
      </w:r>
      <w:r w:rsidRPr="00966429" w:rsidR="00657A52">
        <w:rPr>
          <w:rFonts w:ascii="Palatino Linotype" w:hAnsi="Palatino Linotype"/>
        </w:rPr>
        <w:t xml:space="preserve"> in the General Order</w:t>
      </w:r>
      <w:r w:rsidRPr="00966429" w:rsidR="00284D5E">
        <w:rPr>
          <w:rFonts w:ascii="Palatino Linotype" w:hAnsi="Palatino Linotype"/>
        </w:rPr>
        <w:t xml:space="preserve"> and are a consequence of poor performance by facilities-based wireline carriers in serving their customers.</w:t>
      </w:r>
    </w:p>
    <w:p w:rsidRPr="00966429" w:rsidR="003B1DBD" w:rsidP="003B1DBD" w:rsidRDefault="003B1DBD" w14:paraId="1064AB9A" w14:textId="77777777">
      <w:pPr>
        <w:tabs>
          <w:tab w:val="right" w:pos="10080"/>
        </w:tabs>
        <w:rPr>
          <w:rFonts w:ascii="Palatino Linotype" w:hAnsi="Palatino Linotype"/>
        </w:rPr>
      </w:pPr>
    </w:p>
    <w:p w:rsidRPr="00966429" w:rsidR="003B1DBD" w:rsidP="003B1DBD" w:rsidRDefault="00797AA5" w14:paraId="0117FDE1" w14:textId="588775E6">
      <w:pPr>
        <w:tabs>
          <w:tab w:val="right" w:pos="10080"/>
        </w:tabs>
        <w:rPr>
          <w:rFonts w:ascii="Palatino Linotype" w:hAnsi="Palatino Linotype"/>
          <w:b/>
          <w:u w:val="single"/>
        </w:rPr>
      </w:pPr>
      <w:r w:rsidRPr="00966429">
        <w:rPr>
          <w:rFonts w:ascii="Palatino Linotype" w:hAnsi="Palatino Linotype"/>
          <w:b/>
          <w:u w:val="single"/>
        </w:rPr>
        <w:t>B</w:t>
      </w:r>
      <w:r w:rsidRPr="00966429" w:rsidR="00853EA7">
        <w:rPr>
          <w:rFonts w:ascii="Palatino Linotype" w:hAnsi="Palatino Linotype"/>
          <w:b/>
          <w:u w:val="single"/>
        </w:rPr>
        <w:t>ACKGROUND</w:t>
      </w:r>
    </w:p>
    <w:p w:rsidR="004B467A" w:rsidP="00E7212B" w:rsidRDefault="00387605" w14:paraId="1073466E" w14:textId="445C5E10">
      <w:pPr>
        <w:tabs>
          <w:tab w:val="right" w:pos="10080"/>
        </w:tabs>
        <w:spacing w:before="240"/>
        <w:rPr>
          <w:rFonts w:ascii="Palatino Linotype" w:hAnsi="Palatino Linotype"/>
        </w:rPr>
      </w:pPr>
      <w:r w:rsidRPr="00966429">
        <w:rPr>
          <w:rFonts w:ascii="Palatino Linotype" w:hAnsi="Palatino Linotype"/>
        </w:rPr>
        <w:t xml:space="preserve">In General Order (GO) 133-D, </w:t>
      </w:r>
      <w:r w:rsidRPr="00966429">
        <w:rPr>
          <w:rFonts w:ascii="Palatino Linotype" w:hAnsi="Palatino Linotype"/>
          <w:i/>
        </w:rPr>
        <w:t>Rules Governing Telecommunications Services</w:t>
      </w:r>
      <w:r w:rsidRPr="00966429">
        <w:rPr>
          <w:rFonts w:ascii="Palatino Linotype" w:hAnsi="Palatino Linotype"/>
        </w:rPr>
        <w:t>, the California Public Utilities Commission (</w:t>
      </w:r>
      <w:r w:rsidRPr="00966429" w:rsidR="004B467A">
        <w:rPr>
          <w:rFonts w:ascii="Palatino Linotype" w:hAnsi="Palatino Linotype"/>
        </w:rPr>
        <w:t>Commission</w:t>
      </w:r>
      <w:r w:rsidRPr="00966429">
        <w:rPr>
          <w:rFonts w:ascii="Palatino Linotype" w:hAnsi="Palatino Linotype"/>
        </w:rPr>
        <w:t xml:space="preserve">) </w:t>
      </w:r>
      <w:r w:rsidRPr="00966429" w:rsidR="004B467A">
        <w:rPr>
          <w:rFonts w:ascii="Palatino Linotype" w:hAnsi="Palatino Linotype"/>
        </w:rPr>
        <w:t>es</w:t>
      </w:r>
      <w:r w:rsidRPr="00966429" w:rsidR="00BC2BE5">
        <w:rPr>
          <w:rFonts w:ascii="Palatino Linotype" w:hAnsi="Palatino Linotype"/>
        </w:rPr>
        <w:t>tablished</w:t>
      </w:r>
      <w:r w:rsidRPr="00966429" w:rsidR="004B467A">
        <w:rPr>
          <w:rFonts w:ascii="Palatino Linotype" w:hAnsi="Palatino Linotype"/>
        </w:rPr>
        <w:t xml:space="preserve"> uniform minimum standards of service </w:t>
      </w:r>
      <w:r w:rsidRPr="00966429" w:rsidR="00C763AD">
        <w:rPr>
          <w:rFonts w:ascii="Palatino Linotype" w:hAnsi="Palatino Linotype"/>
        </w:rPr>
        <w:t xml:space="preserve">for carriers </w:t>
      </w:r>
      <w:r w:rsidRPr="00966429" w:rsidR="004B467A">
        <w:rPr>
          <w:rFonts w:ascii="Palatino Linotype" w:hAnsi="Palatino Linotype"/>
        </w:rPr>
        <w:t xml:space="preserve">to </w:t>
      </w:r>
      <w:r w:rsidRPr="00966429">
        <w:rPr>
          <w:rFonts w:ascii="Palatino Linotype" w:hAnsi="Palatino Linotype"/>
        </w:rPr>
        <w:t>achieve</w:t>
      </w:r>
      <w:r w:rsidRPr="00966429" w:rsidR="004B467A">
        <w:rPr>
          <w:rFonts w:ascii="Palatino Linotype" w:hAnsi="Palatino Linotype"/>
        </w:rPr>
        <w:t xml:space="preserve"> </w:t>
      </w:r>
      <w:r w:rsidRPr="00966429">
        <w:rPr>
          <w:rFonts w:ascii="Palatino Linotype" w:hAnsi="Palatino Linotype"/>
        </w:rPr>
        <w:t xml:space="preserve">in their operations as </w:t>
      </w:r>
      <w:r w:rsidRPr="00966429" w:rsidR="00C70517">
        <w:rPr>
          <w:rFonts w:ascii="Palatino Linotype" w:hAnsi="Palatino Linotype"/>
        </w:rPr>
        <w:t>public utility</w:t>
      </w:r>
      <w:r w:rsidRPr="00966429" w:rsidR="004B467A">
        <w:rPr>
          <w:rFonts w:ascii="Palatino Linotype" w:hAnsi="Palatino Linotype"/>
        </w:rPr>
        <w:t xml:space="preserve"> </w:t>
      </w:r>
      <w:r w:rsidRPr="00966429" w:rsidR="001F0E6F">
        <w:rPr>
          <w:rFonts w:ascii="Palatino Linotype" w:hAnsi="Palatino Linotype"/>
        </w:rPr>
        <w:t xml:space="preserve">telephone </w:t>
      </w:r>
      <w:r w:rsidRPr="00966429" w:rsidR="004B467A">
        <w:rPr>
          <w:rFonts w:ascii="Palatino Linotype" w:hAnsi="Palatino Linotype"/>
        </w:rPr>
        <w:t>corporations</w:t>
      </w:r>
      <w:r w:rsidRPr="00966429" w:rsidR="00C70517">
        <w:rPr>
          <w:rFonts w:ascii="Palatino Linotype" w:hAnsi="Palatino Linotype"/>
        </w:rPr>
        <w:t xml:space="preserve"> </w:t>
      </w:r>
      <w:r w:rsidRPr="00966429" w:rsidR="001F0E6F">
        <w:rPr>
          <w:rFonts w:ascii="Palatino Linotype" w:hAnsi="Palatino Linotype"/>
        </w:rPr>
        <w:t>serving</w:t>
      </w:r>
      <w:r w:rsidRPr="00966429" w:rsidR="00C70517">
        <w:rPr>
          <w:rFonts w:ascii="Palatino Linotype" w:hAnsi="Palatino Linotype"/>
        </w:rPr>
        <w:t xml:space="preserve"> California customers</w:t>
      </w:r>
      <w:r w:rsidRPr="00966429" w:rsidR="004B467A">
        <w:rPr>
          <w:rFonts w:ascii="Palatino Linotype" w:hAnsi="Palatino Linotype"/>
        </w:rPr>
        <w:t>.</w:t>
      </w:r>
      <w:r w:rsidRPr="00966429" w:rsidR="005A0227">
        <w:rPr>
          <w:rFonts w:ascii="Palatino Linotype" w:hAnsi="Palatino Linotype"/>
        </w:rPr>
        <w:t xml:space="preserve">  These minimum standards of service include quarterly</w:t>
      </w:r>
      <w:r w:rsidR="00966429">
        <w:rPr>
          <w:rFonts w:ascii="Palatino Linotype" w:hAnsi="Palatino Linotype"/>
        </w:rPr>
        <w:t xml:space="preserve"> </w:t>
      </w:r>
      <w:r w:rsidRPr="00966429" w:rsidR="005A0227">
        <w:rPr>
          <w:rFonts w:ascii="Palatino Linotype" w:hAnsi="Palatino Linotype"/>
        </w:rPr>
        <w:lastRenderedPageBreak/>
        <w:t>reporting o</w:t>
      </w:r>
      <w:r w:rsidRPr="00966429" w:rsidR="00192048">
        <w:rPr>
          <w:rFonts w:ascii="Palatino Linotype" w:hAnsi="Palatino Linotype"/>
        </w:rPr>
        <w:t>f</w:t>
      </w:r>
      <w:r w:rsidRPr="00966429" w:rsidR="005A0227">
        <w:rPr>
          <w:rFonts w:ascii="Palatino Linotype" w:hAnsi="Palatino Linotype"/>
        </w:rPr>
        <w:t xml:space="preserve"> five measures </w:t>
      </w:r>
      <w:r w:rsidRPr="00966429" w:rsidR="00284D5E">
        <w:rPr>
          <w:rFonts w:ascii="Palatino Linotype" w:hAnsi="Palatino Linotype"/>
        </w:rPr>
        <w:t xml:space="preserve">by some wireline carriers </w:t>
      </w:r>
      <w:r w:rsidRPr="00966429" w:rsidR="005A0227">
        <w:rPr>
          <w:rFonts w:ascii="Palatino Linotype" w:hAnsi="Palatino Linotype"/>
        </w:rPr>
        <w:t xml:space="preserve">and </w:t>
      </w:r>
      <w:r w:rsidRPr="00966429" w:rsidR="00192048">
        <w:rPr>
          <w:rFonts w:ascii="Palatino Linotype" w:hAnsi="Palatino Linotype"/>
        </w:rPr>
        <w:t xml:space="preserve">near real-time reporting of </w:t>
      </w:r>
      <w:r w:rsidRPr="00966429" w:rsidR="005A0227">
        <w:rPr>
          <w:rFonts w:ascii="Palatino Linotype" w:hAnsi="Palatino Linotype"/>
        </w:rPr>
        <w:t>major outages</w:t>
      </w:r>
      <w:r w:rsidRPr="00966429" w:rsidR="00284D5E">
        <w:rPr>
          <w:rFonts w:ascii="Palatino Linotype" w:hAnsi="Palatino Linotype"/>
        </w:rPr>
        <w:t xml:space="preserve"> by all carriers</w:t>
      </w:r>
      <w:r w:rsidRPr="00966429" w:rsidR="005A0227">
        <w:rPr>
          <w:rFonts w:ascii="Palatino Linotype" w:hAnsi="Palatino Linotype"/>
        </w:rPr>
        <w:t>.</w:t>
      </w:r>
      <w:r w:rsidRPr="00966429" w:rsidR="004D7E0C">
        <w:rPr>
          <w:rStyle w:val="FootnoteReference"/>
          <w:rFonts w:ascii="Palatino Linotype" w:hAnsi="Palatino Linotype"/>
        </w:rPr>
        <w:footnoteReference w:id="1"/>
      </w:r>
    </w:p>
    <w:p w:rsidRPr="00966429" w:rsidR="00E7212B" w:rsidP="00E7212B" w:rsidRDefault="00E7212B" w14:paraId="26916B93" w14:textId="77777777">
      <w:pPr>
        <w:tabs>
          <w:tab w:val="right" w:pos="10080"/>
        </w:tabs>
        <w:rPr>
          <w:rFonts w:ascii="Palatino Linotype" w:hAnsi="Palatino Linotype"/>
        </w:rPr>
      </w:pPr>
    </w:p>
    <w:p w:rsidRPr="00966429" w:rsidR="004B467A" w:rsidP="004B467A" w:rsidRDefault="004B467A" w14:paraId="3161AB73" w14:textId="61EA2A81">
      <w:pPr>
        <w:numPr>
          <w:ilvl w:val="0"/>
          <w:numId w:val="3"/>
        </w:numPr>
        <w:spacing w:before="120" w:after="120"/>
        <w:ind w:left="360"/>
        <w:rPr>
          <w:rFonts w:ascii="Palatino Linotype" w:hAnsi="Palatino Linotype"/>
          <w:b/>
        </w:rPr>
      </w:pPr>
      <w:r w:rsidRPr="00966429">
        <w:rPr>
          <w:rFonts w:ascii="Palatino Linotype" w:hAnsi="Palatino Linotype"/>
          <w:b/>
        </w:rPr>
        <w:t>Procedural History</w:t>
      </w:r>
      <w:r w:rsidRPr="00966429" w:rsidR="00192048">
        <w:rPr>
          <w:rFonts w:ascii="Palatino Linotype" w:hAnsi="Palatino Linotype"/>
          <w:b/>
        </w:rPr>
        <w:t xml:space="preserve"> of the General Order</w:t>
      </w:r>
    </w:p>
    <w:p w:rsidRPr="00966429" w:rsidR="004B467A" w:rsidP="004B467A" w:rsidRDefault="004B467A" w14:paraId="626D6F83" w14:textId="5EAF1161">
      <w:pPr>
        <w:spacing w:before="120" w:after="120"/>
        <w:rPr>
          <w:rFonts w:ascii="Palatino Linotype" w:hAnsi="Palatino Linotype"/>
        </w:rPr>
      </w:pPr>
      <w:r w:rsidRPr="00966429">
        <w:rPr>
          <w:rFonts w:ascii="Palatino Linotype" w:hAnsi="Palatino Linotype"/>
        </w:rPr>
        <w:t xml:space="preserve">In March 2011, </w:t>
      </w:r>
      <w:r w:rsidRPr="00966429" w:rsidR="004D7E0C">
        <w:rPr>
          <w:rFonts w:ascii="Palatino Linotype" w:hAnsi="Palatino Linotype"/>
        </w:rPr>
        <w:t>S</w:t>
      </w:r>
      <w:r w:rsidRPr="00966429">
        <w:rPr>
          <w:rFonts w:ascii="Palatino Linotype" w:hAnsi="Palatino Linotype"/>
        </w:rPr>
        <w:t xml:space="preserve">taff </w:t>
      </w:r>
      <w:r w:rsidRPr="00966429" w:rsidR="004D7E0C">
        <w:rPr>
          <w:rFonts w:ascii="Palatino Linotype" w:hAnsi="Palatino Linotype"/>
        </w:rPr>
        <w:t xml:space="preserve">issued a </w:t>
      </w:r>
      <w:r w:rsidRPr="00966429">
        <w:rPr>
          <w:rFonts w:ascii="Palatino Linotype" w:hAnsi="Palatino Linotype"/>
        </w:rPr>
        <w:t xml:space="preserve">report detailing substandard levels of service quality reported by carriers for 2010. </w:t>
      </w:r>
      <w:r w:rsidRPr="00966429" w:rsidR="00C63FAD">
        <w:rPr>
          <w:rFonts w:ascii="Palatino Linotype" w:hAnsi="Palatino Linotype"/>
        </w:rPr>
        <w:t xml:space="preserve"> </w:t>
      </w:r>
      <w:r w:rsidRPr="00966429">
        <w:rPr>
          <w:rFonts w:ascii="Palatino Linotype" w:hAnsi="Palatino Linotype"/>
        </w:rPr>
        <w:t xml:space="preserve">In response, </w:t>
      </w:r>
      <w:r w:rsidRPr="00966429" w:rsidR="00BC2BE5">
        <w:rPr>
          <w:rFonts w:ascii="Palatino Linotype" w:hAnsi="Palatino Linotype"/>
        </w:rPr>
        <w:t xml:space="preserve">the </w:t>
      </w:r>
      <w:r w:rsidRPr="00966429">
        <w:rPr>
          <w:rFonts w:ascii="Palatino Linotype" w:hAnsi="Palatino Linotype"/>
        </w:rPr>
        <w:t>Commission opened Rulemaking</w:t>
      </w:r>
      <w:r w:rsidR="00966429">
        <w:rPr>
          <w:rFonts w:ascii="Palatino Linotype" w:hAnsi="Palatino Linotype"/>
        </w:rPr>
        <w:br/>
      </w:r>
      <w:r w:rsidRPr="00966429" w:rsidR="00C70517">
        <w:rPr>
          <w:rFonts w:ascii="Palatino Linotype" w:hAnsi="Palatino Linotype"/>
        </w:rPr>
        <w:t>(</w:t>
      </w:r>
      <w:r w:rsidRPr="00966429">
        <w:rPr>
          <w:rFonts w:ascii="Palatino Linotype" w:hAnsi="Palatino Linotype"/>
        </w:rPr>
        <w:t>R.</w:t>
      </w:r>
      <w:r w:rsidRPr="00966429" w:rsidR="00C70517">
        <w:rPr>
          <w:rFonts w:ascii="Palatino Linotype" w:hAnsi="Palatino Linotype"/>
        </w:rPr>
        <w:t xml:space="preserve">)11-12-001 </w:t>
      </w:r>
      <w:r w:rsidRPr="00966429">
        <w:rPr>
          <w:rFonts w:ascii="Palatino Linotype" w:hAnsi="Palatino Linotype"/>
        </w:rPr>
        <w:t xml:space="preserve">to review carriers’ performance, </w:t>
      </w:r>
      <w:r w:rsidRPr="00966429" w:rsidR="00C70517">
        <w:rPr>
          <w:rFonts w:ascii="Palatino Linotype" w:hAnsi="Palatino Linotype"/>
        </w:rPr>
        <w:t xml:space="preserve">to </w:t>
      </w:r>
      <w:r w:rsidRPr="00966429">
        <w:rPr>
          <w:rFonts w:ascii="Palatino Linotype" w:hAnsi="Palatino Linotype"/>
        </w:rPr>
        <w:t xml:space="preserve">assess </w:t>
      </w:r>
      <w:r w:rsidRPr="00966429" w:rsidR="00C70517">
        <w:rPr>
          <w:rFonts w:ascii="Palatino Linotype" w:hAnsi="Palatino Linotype"/>
        </w:rPr>
        <w:t xml:space="preserve">the relevancy and effectiveness </w:t>
      </w:r>
      <w:r w:rsidR="00966429">
        <w:rPr>
          <w:rFonts w:ascii="Palatino Linotype" w:hAnsi="Palatino Linotype"/>
        </w:rPr>
        <w:br/>
      </w:r>
      <w:r w:rsidRPr="00966429" w:rsidR="00C70517">
        <w:rPr>
          <w:rFonts w:ascii="Palatino Linotype" w:hAnsi="Palatino Linotype"/>
        </w:rPr>
        <w:t>of GO 133-C</w:t>
      </w:r>
      <w:r w:rsidRPr="00966429" w:rsidR="00A77E4B">
        <w:rPr>
          <w:rStyle w:val="FootnoteReference"/>
          <w:rFonts w:ascii="Palatino Linotype" w:hAnsi="Palatino Linotype"/>
        </w:rPr>
        <w:footnoteReference w:id="2"/>
      </w:r>
      <w:r w:rsidRPr="00966429">
        <w:rPr>
          <w:rFonts w:ascii="Palatino Linotype" w:hAnsi="Palatino Linotype"/>
        </w:rPr>
        <w:t xml:space="preserve"> measures, and to determine the need for penalties for substandard performance.</w:t>
      </w:r>
    </w:p>
    <w:p w:rsidR="004B467A" w:rsidP="004B467A" w:rsidRDefault="004B467A" w14:paraId="1B5BE2ED" w14:textId="784334B2">
      <w:pPr>
        <w:spacing w:before="120" w:after="120"/>
        <w:rPr>
          <w:rFonts w:ascii="Palatino Linotype" w:hAnsi="Palatino Linotype"/>
        </w:rPr>
      </w:pPr>
      <w:r w:rsidRPr="00966429">
        <w:rPr>
          <w:rFonts w:ascii="Palatino Linotype" w:hAnsi="Palatino Linotype"/>
        </w:rPr>
        <w:t>On August 29, 2016, the</w:t>
      </w:r>
      <w:r w:rsidRPr="00966429" w:rsidR="004A49F8">
        <w:rPr>
          <w:rFonts w:ascii="Palatino Linotype" w:hAnsi="Palatino Linotype"/>
        </w:rPr>
        <w:t xml:space="preserve"> Commission issued </w:t>
      </w:r>
      <w:r w:rsidRPr="00966429" w:rsidR="00C70517">
        <w:rPr>
          <w:rFonts w:ascii="Palatino Linotype" w:hAnsi="Palatino Linotype"/>
        </w:rPr>
        <w:t>Decision (</w:t>
      </w:r>
      <w:r w:rsidRPr="00966429" w:rsidR="004A49F8">
        <w:rPr>
          <w:rFonts w:ascii="Palatino Linotype" w:hAnsi="Palatino Linotype"/>
        </w:rPr>
        <w:t>D.</w:t>
      </w:r>
      <w:r w:rsidRPr="00966429" w:rsidR="00C70517">
        <w:rPr>
          <w:rFonts w:ascii="Palatino Linotype" w:hAnsi="Palatino Linotype"/>
        </w:rPr>
        <w:t>)</w:t>
      </w:r>
      <w:r w:rsidRPr="00966429" w:rsidR="004A49F8">
        <w:rPr>
          <w:rFonts w:ascii="Palatino Linotype" w:hAnsi="Palatino Linotype"/>
        </w:rPr>
        <w:t>16-08-021 which adopted</w:t>
      </w:r>
      <w:r w:rsidRPr="00966429">
        <w:rPr>
          <w:rFonts w:ascii="Palatino Linotype" w:hAnsi="Palatino Linotype"/>
        </w:rPr>
        <w:t xml:space="preserve"> </w:t>
      </w:r>
      <w:r w:rsidR="00966429">
        <w:rPr>
          <w:rFonts w:ascii="Palatino Linotype" w:hAnsi="Palatino Linotype"/>
        </w:rPr>
        <w:br/>
      </w:r>
      <w:r w:rsidRPr="00966429">
        <w:rPr>
          <w:rFonts w:ascii="Palatino Linotype" w:hAnsi="Palatino Linotype"/>
        </w:rPr>
        <w:t xml:space="preserve">GO 133-D. GO 133-D revised and replaced </w:t>
      </w:r>
      <w:r w:rsidRPr="00966429" w:rsidR="00C70517">
        <w:rPr>
          <w:rFonts w:ascii="Palatino Linotype" w:hAnsi="Palatino Linotype"/>
        </w:rPr>
        <w:t xml:space="preserve">portions of </w:t>
      </w:r>
      <w:r w:rsidRPr="00966429" w:rsidR="00C63FAD">
        <w:rPr>
          <w:rFonts w:ascii="Palatino Linotype" w:hAnsi="Palatino Linotype"/>
        </w:rPr>
        <w:t>GO</w:t>
      </w:r>
      <w:r w:rsidRPr="00966429">
        <w:rPr>
          <w:rFonts w:ascii="Palatino Linotype" w:hAnsi="Palatino Linotype"/>
        </w:rPr>
        <w:t xml:space="preserve"> 133-C</w:t>
      </w:r>
      <w:r w:rsidRPr="00966429" w:rsidR="004D7E0C">
        <w:rPr>
          <w:rFonts w:ascii="Palatino Linotype" w:hAnsi="Palatino Linotype"/>
        </w:rPr>
        <w:t xml:space="preserve"> by</w:t>
      </w:r>
      <w:r w:rsidRPr="00966429">
        <w:rPr>
          <w:rFonts w:ascii="Palatino Linotype" w:hAnsi="Palatino Linotype"/>
        </w:rPr>
        <w:t xml:space="preserve"> modifying and expanding on a number of its provisions and prescribing monetary penalties for violating </w:t>
      </w:r>
      <w:r w:rsidRPr="00966429" w:rsidR="00752C55">
        <w:rPr>
          <w:rFonts w:ascii="Palatino Linotype" w:hAnsi="Palatino Linotype"/>
        </w:rPr>
        <w:t>the</w:t>
      </w:r>
      <w:r w:rsidRPr="00966429">
        <w:rPr>
          <w:rFonts w:ascii="Palatino Linotype" w:hAnsi="Palatino Linotype"/>
        </w:rPr>
        <w:t xml:space="preserve"> </w:t>
      </w:r>
      <w:r w:rsidRPr="00966429" w:rsidR="004D7E0C">
        <w:rPr>
          <w:rFonts w:ascii="Palatino Linotype" w:hAnsi="Palatino Linotype"/>
        </w:rPr>
        <w:t xml:space="preserve">five </w:t>
      </w:r>
      <w:r w:rsidRPr="00966429">
        <w:rPr>
          <w:rFonts w:ascii="Palatino Linotype" w:hAnsi="Palatino Linotype"/>
        </w:rPr>
        <w:t>service quality standards.</w:t>
      </w:r>
      <w:r w:rsidRPr="00966429" w:rsidR="004D7E0C">
        <w:rPr>
          <w:rStyle w:val="FootnoteReference"/>
          <w:rFonts w:ascii="Palatino Linotype" w:hAnsi="Palatino Linotype"/>
        </w:rPr>
        <w:footnoteReference w:id="3"/>
      </w:r>
      <w:r w:rsidRPr="00966429" w:rsidR="004D7E0C">
        <w:rPr>
          <w:rFonts w:ascii="Palatino Linotype" w:hAnsi="Palatino Linotype"/>
        </w:rPr>
        <w:t xml:space="preserve">  Carrier performance determines fines, which apply only to carriers of traditional voice telephone service.</w:t>
      </w:r>
      <w:r w:rsidRPr="00966429" w:rsidR="004D7E0C">
        <w:rPr>
          <w:rStyle w:val="FootnoteReference"/>
          <w:rFonts w:ascii="Palatino Linotype" w:hAnsi="Palatino Linotype"/>
        </w:rPr>
        <w:footnoteReference w:id="4"/>
      </w:r>
      <w:r w:rsidRPr="00966429" w:rsidR="004D7E0C">
        <w:rPr>
          <w:rFonts w:ascii="Palatino Linotype" w:hAnsi="Palatino Linotype"/>
        </w:rPr>
        <w:t xml:space="preserve">  </w:t>
      </w:r>
      <w:r w:rsidRPr="00966429">
        <w:rPr>
          <w:rFonts w:ascii="Palatino Linotype" w:hAnsi="Palatino Linotype"/>
        </w:rPr>
        <w:t xml:space="preserve">GO 133-D </w:t>
      </w:r>
      <w:r w:rsidRPr="00966429" w:rsidR="001C7D09">
        <w:rPr>
          <w:rFonts w:ascii="Palatino Linotype" w:hAnsi="Palatino Linotype"/>
        </w:rPr>
        <w:t>became</w:t>
      </w:r>
      <w:r w:rsidRPr="00966429">
        <w:rPr>
          <w:rFonts w:ascii="Palatino Linotype" w:hAnsi="Palatino Linotype"/>
        </w:rPr>
        <w:t xml:space="preserve"> effective on August 18, 2016, with the </w:t>
      </w:r>
      <w:r w:rsidRPr="00966429" w:rsidR="00982EF5">
        <w:rPr>
          <w:rFonts w:ascii="Palatino Linotype" w:hAnsi="Palatino Linotype"/>
        </w:rPr>
        <w:t>exception of Section</w:t>
      </w:r>
      <w:r w:rsidRPr="00966429" w:rsidR="00520FBA">
        <w:rPr>
          <w:rFonts w:ascii="Palatino Linotype" w:hAnsi="Palatino Linotype"/>
        </w:rPr>
        <w:t xml:space="preserve"> (§)</w:t>
      </w:r>
      <w:r w:rsidRPr="00966429" w:rsidR="00982EF5">
        <w:rPr>
          <w:rFonts w:ascii="Palatino Linotype" w:hAnsi="Palatino Linotype"/>
        </w:rPr>
        <w:t xml:space="preserve"> 9 (</w:t>
      </w:r>
      <w:r w:rsidRPr="00966429" w:rsidR="00982EF5">
        <w:rPr>
          <w:rFonts w:ascii="Palatino Linotype" w:hAnsi="Palatino Linotype"/>
          <w:i/>
        </w:rPr>
        <w:t>F</w:t>
      </w:r>
      <w:r w:rsidRPr="00966429">
        <w:rPr>
          <w:rFonts w:ascii="Palatino Linotype" w:hAnsi="Palatino Linotype"/>
          <w:i/>
        </w:rPr>
        <w:t>ines</w:t>
      </w:r>
      <w:r w:rsidRPr="00966429">
        <w:rPr>
          <w:rFonts w:ascii="Palatino Linotype" w:hAnsi="Palatino Linotype"/>
        </w:rPr>
        <w:t xml:space="preserve">), which </w:t>
      </w:r>
      <w:r w:rsidRPr="00966429" w:rsidR="001C7D09">
        <w:rPr>
          <w:rFonts w:ascii="Palatino Linotype" w:hAnsi="Palatino Linotype"/>
        </w:rPr>
        <w:t>became</w:t>
      </w:r>
      <w:r w:rsidRPr="00966429">
        <w:rPr>
          <w:rFonts w:ascii="Palatino Linotype" w:hAnsi="Palatino Linotype"/>
        </w:rPr>
        <w:t xml:space="preserve"> effective </w:t>
      </w:r>
      <w:r w:rsidR="00D350BA">
        <w:rPr>
          <w:rFonts w:ascii="Palatino Linotype" w:hAnsi="Palatino Linotype"/>
        </w:rPr>
        <w:br/>
      </w:r>
      <w:r w:rsidRPr="00966429">
        <w:rPr>
          <w:rFonts w:ascii="Palatino Linotype" w:hAnsi="Palatino Linotype"/>
        </w:rPr>
        <w:t>January 1, 2017.</w:t>
      </w:r>
      <w:r w:rsidRPr="00966429" w:rsidR="004D7E0C">
        <w:rPr>
          <w:rFonts w:ascii="Palatino Linotype" w:hAnsi="Palatino Linotype"/>
        </w:rPr>
        <w:t xml:space="preserve">  GO 133-D § 9.7 allows carriers to propose alternative proposals for corrective action to fine payment and instead to invest no less than twice the fine amount in projects that will improve service quality in a measurable way within two years.</w:t>
      </w:r>
    </w:p>
    <w:p w:rsidRPr="00966429" w:rsidR="00E7212B" w:rsidP="00E7212B" w:rsidRDefault="00E7212B" w14:paraId="45499690" w14:textId="77777777">
      <w:pPr>
        <w:rPr>
          <w:rFonts w:ascii="Palatino Linotype" w:hAnsi="Palatino Linotype"/>
        </w:rPr>
      </w:pPr>
    </w:p>
    <w:p w:rsidRPr="00966429" w:rsidR="004B467A" w:rsidP="004B467A" w:rsidRDefault="004B467A" w14:paraId="2F1D504D" w14:textId="77777777">
      <w:pPr>
        <w:numPr>
          <w:ilvl w:val="0"/>
          <w:numId w:val="3"/>
        </w:numPr>
        <w:tabs>
          <w:tab w:val="left" w:pos="360"/>
        </w:tabs>
        <w:spacing w:before="120" w:after="120"/>
        <w:ind w:hanging="720"/>
        <w:rPr>
          <w:rFonts w:ascii="Palatino Linotype" w:hAnsi="Palatino Linotype"/>
          <w:b/>
        </w:rPr>
      </w:pPr>
      <w:r w:rsidRPr="00966429">
        <w:rPr>
          <w:rFonts w:ascii="Palatino Linotype" w:hAnsi="Palatino Linotype"/>
          <w:b/>
        </w:rPr>
        <w:t>Service Quality Reporting and Standards of Performance</w:t>
      </w:r>
    </w:p>
    <w:p w:rsidRPr="00966429" w:rsidR="000B2C74" w:rsidP="004B467A" w:rsidRDefault="000B2C74" w14:paraId="129E6847" w14:textId="14AB70DE">
      <w:pPr>
        <w:spacing w:before="120" w:after="120"/>
        <w:rPr>
          <w:rFonts w:ascii="Palatino Linotype" w:hAnsi="Palatino Linotype"/>
        </w:rPr>
      </w:pPr>
      <w:r w:rsidRPr="00966429">
        <w:rPr>
          <w:rFonts w:ascii="Palatino Linotype" w:hAnsi="Palatino Linotype"/>
        </w:rPr>
        <w:t>General Order 133-D stipulates five</w:t>
      </w:r>
      <w:r w:rsidRPr="00966429" w:rsidR="004D7E0C">
        <w:rPr>
          <w:rFonts w:ascii="Palatino Linotype" w:hAnsi="Palatino Linotype"/>
        </w:rPr>
        <w:t xml:space="preserve"> </w:t>
      </w:r>
      <w:r w:rsidRPr="00966429">
        <w:rPr>
          <w:rFonts w:ascii="Palatino Linotype" w:hAnsi="Palatino Linotype"/>
        </w:rPr>
        <w:t xml:space="preserve">telephone service quality measures with </w:t>
      </w:r>
      <w:r w:rsidRPr="00966429" w:rsidR="004D7E0C">
        <w:rPr>
          <w:rFonts w:ascii="Palatino Linotype" w:hAnsi="Palatino Linotype"/>
        </w:rPr>
        <w:t xml:space="preserve">minimum </w:t>
      </w:r>
      <w:r w:rsidRPr="00966429">
        <w:rPr>
          <w:rFonts w:ascii="Palatino Linotype" w:hAnsi="Palatino Linotype"/>
        </w:rPr>
        <w:t xml:space="preserve">standards that operators of public utility telephone corporations must meet: </w:t>
      </w:r>
      <w:r w:rsidRPr="00966429">
        <w:rPr>
          <w:rFonts w:ascii="Palatino Linotype" w:hAnsi="Palatino Linotype"/>
          <w:i/>
        </w:rPr>
        <w:t>Installation Interval</w:t>
      </w:r>
      <w:r w:rsidRPr="00966429">
        <w:rPr>
          <w:rFonts w:ascii="Palatino Linotype" w:hAnsi="Palatino Linotype"/>
        </w:rPr>
        <w:t xml:space="preserve">, </w:t>
      </w:r>
      <w:r w:rsidRPr="00966429">
        <w:rPr>
          <w:rFonts w:ascii="Palatino Linotype" w:hAnsi="Palatino Linotype"/>
          <w:i/>
        </w:rPr>
        <w:t>Installation Commitments</w:t>
      </w:r>
      <w:r w:rsidRPr="00966429">
        <w:rPr>
          <w:rFonts w:ascii="Palatino Linotype" w:hAnsi="Palatino Linotype"/>
        </w:rPr>
        <w:t xml:space="preserve">, </w:t>
      </w:r>
      <w:r w:rsidRPr="00966429">
        <w:rPr>
          <w:rFonts w:ascii="Palatino Linotype" w:hAnsi="Palatino Linotype"/>
          <w:i/>
        </w:rPr>
        <w:t>Customer Trouble Report</w:t>
      </w:r>
      <w:r w:rsidRPr="00966429">
        <w:rPr>
          <w:rFonts w:ascii="Palatino Linotype" w:hAnsi="Palatino Linotype"/>
        </w:rPr>
        <w:t xml:space="preserve">, </w:t>
      </w:r>
      <w:r w:rsidRPr="00966429">
        <w:rPr>
          <w:rFonts w:ascii="Palatino Linotype" w:hAnsi="Palatino Linotype"/>
          <w:i/>
        </w:rPr>
        <w:t>Out of Service Repair Interval</w:t>
      </w:r>
      <w:r w:rsidRPr="00966429">
        <w:rPr>
          <w:rFonts w:ascii="Palatino Linotype" w:hAnsi="Palatino Linotype"/>
        </w:rPr>
        <w:t xml:space="preserve">, and </w:t>
      </w:r>
      <w:r w:rsidRPr="00966429">
        <w:rPr>
          <w:rFonts w:ascii="Palatino Linotype" w:hAnsi="Palatino Linotype"/>
          <w:i/>
        </w:rPr>
        <w:t>Answer Time</w:t>
      </w:r>
      <w:r w:rsidRPr="00966429">
        <w:rPr>
          <w:rFonts w:ascii="Palatino Linotype" w:hAnsi="Palatino Linotype"/>
        </w:rPr>
        <w:t xml:space="preserve">.  </w:t>
      </w:r>
      <w:r w:rsidRPr="00966429" w:rsidR="00665375">
        <w:rPr>
          <w:rFonts w:ascii="Palatino Linotype" w:hAnsi="Palatino Linotype"/>
        </w:rPr>
        <w:t>Each measure ha</w:t>
      </w:r>
      <w:r w:rsidRPr="00966429">
        <w:rPr>
          <w:rFonts w:ascii="Palatino Linotype" w:hAnsi="Palatino Linotype"/>
        </w:rPr>
        <w:t>s</w:t>
      </w:r>
      <w:r w:rsidRPr="00966429" w:rsidR="00665375">
        <w:rPr>
          <w:rFonts w:ascii="Palatino Linotype" w:hAnsi="Palatino Linotype"/>
        </w:rPr>
        <w:t xml:space="preserve"> an</w:t>
      </w:r>
      <w:r w:rsidRPr="00966429">
        <w:rPr>
          <w:rFonts w:ascii="Palatino Linotype" w:hAnsi="Palatino Linotype"/>
        </w:rPr>
        <w:t xml:space="preserve"> assigned Minimum Standard Reporting Level.  When a carrier’s performance falls below any of the minimum standards, the carrier is deemed to be out of compliance and must report this information to the Commission.</w:t>
      </w:r>
      <w:r w:rsidRPr="00966429" w:rsidR="007E56CF">
        <w:rPr>
          <w:rStyle w:val="FootnoteReference"/>
          <w:rFonts w:ascii="Palatino Linotype" w:hAnsi="Palatino Linotype"/>
        </w:rPr>
        <w:footnoteReference w:id="5"/>
      </w:r>
      <w:r w:rsidRPr="00966429">
        <w:rPr>
          <w:rFonts w:ascii="Palatino Linotype" w:hAnsi="Palatino Linotype"/>
        </w:rPr>
        <w:t xml:space="preserve"> </w:t>
      </w:r>
    </w:p>
    <w:p w:rsidR="00EF351A" w:rsidRDefault="00EF351A" w14:paraId="2ED56475" w14:textId="77777777">
      <w:pPr>
        <w:rPr>
          <w:rFonts w:ascii="Palatino Linotype" w:hAnsi="Palatino Linotype"/>
          <w:b/>
          <w:u w:val="single"/>
        </w:rPr>
      </w:pPr>
      <w:r>
        <w:rPr>
          <w:rFonts w:ascii="Palatino Linotype" w:hAnsi="Palatino Linotype"/>
          <w:b/>
          <w:u w:val="single"/>
        </w:rPr>
        <w:br w:type="page"/>
      </w:r>
    </w:p>
    <w:p w:rsidRPr="00966429" w:rsidR="00A47F9D" w:rsidP="00A47F9D" w:rsidRDefault="00A47F9D" w14:paraId="62131826" w14:textId="5453D313">
      <w:pPr>
        <w:tabs>
          <w:tab w:val="right" w:pos="10080"/>
        </w:tabs>
        <w:rPr>
          <w:rFonts w:ascii="Palatino Linotype" w:hAnsi="Palatino Linotype"/>
          <w:b/>
          <w:u w:val="single"/>
        </w:rPr>
      </w:pPr>
      <w:r w:rsidRPr="00966429">
        <w:rPr>
          <w:rFonts w:ascii="Palatino Linotype" w:hAnsi="Palatino Linotype"/>
          <w:b/>
          <w:u w:val="single"/>
        </w:rPr>
        <w:lastRenderedPageBreak/>
        <w:t>A</w:t>
      </w:r>
      <w:r w:rsidRPr="00966429" w:rsidR="00853EA7">
        <w:rPr>
          <w:rFonts w:ascii="Palatino Linotype" w:hAnsi="Palatino Linotype"/>
          <w:b/>
          <w:u w:val="single"/>
        </w:rPr>
        <w:t>DVICE LETTERS</w:t>
      </w:r>
    </w:p>
    <w:p w:rsidRPr="00966429" w:rsidR="00A47F9D" w:rsidP="00A47F9D" w:rsidRDefault="00953C7C" w14:paraId="11925807" w14:textId="37C1C254">
      <w:pPr>
        <w:tabs>
          <w:tab w:val="right" w:pos="10080"/>
        </w:tabs>
        <w:rPr>
          <w:rFonts w:ascii="Palatino Linotype" w:hAnsi="Palatino Linotype"/>
        </w:rPr>
      </w:pPr>
      <w:r w:rsidRPr="00966429">
        <w:rPr>
          <w:rFonts w:ascii="Palatino Linotype" w:hAnsi="Palatino Linotype"/>
        </w:rPr>
        <w:t xml:space="preserve">The carriers </w:t>
      </w:r>
      <w:r w:rsidRPr="00966429" w:rsidR="00192048">
        <w:rPr>
          <w:rFonts w:ascii="Palatino Linotype" w:hAnsi="Palatino Linotype"/>
        </w:rPr>
        <w:t xml:space="preserve">below </w:t>
      </w:r>
      <w:r w:rsidRPr="00966429">
        <w:rPr>
          <w:rFonts w:ascii="Palatino Linotype" w:hAnsi="Palatino Linotype"/>
        </w:rPr>
        <w:t>submitted their Advice Letters</w:t>
      </w:r>
      <w:r w:rsidRPr="00966429" w:rsidR="00752C55">
        <w:rPr>
          <w:rFonts w:ascii="Palatino Linotype" w:hAnsi="Palatino Linotype"/>
        </w:rPr>
        <w:t xml:space="preserve"> </w:t>
      </w:r>
      <w:r w:rsidRPr="00966429" w:rsidR="007E56CF">
        <w:rPr>
          <w:rFonts w:ascii="Palatino Linotype" w:hAnsi="Palatino Linotype"/>
        </w:rPr>
        <w:t xml:space="preserve">to pay fines and </w:t>
      </w:r>
      <w:r w:rsidRPr="00966429" w:rsidR="00EE25CA">
        <w:rPr>
          <w:rFonts w:ascii="Palatino Linotype" w:hAnsi="Palatino Linotype"/>
        </w:rPr>
        <w:t xml:space="preserve">the following table </w:t>
      </w:r>
      <w:r w:rsidRPr="00966429" w:rsidR="00752C55">
        <w:rPr>
          <w:rFonts w:ascii="Palatino Linotype" w:hAnsi="Palatino Linotype"/>
        </w:rPr>
        <w:t>summariz</w:t>
      </w:r>
      <w:r w:rsidRPr="00966429" w:rsidR="007E56CF">
        <w:rPr>
          <w:rFonts w:ascii="Palatino Linotype" w:hAnsi="Palatino Linotype"/>
        </w:rPr>
        <w:t>e</w:t>
      </w:r>
      <w:r w:rsidRPr="00966429" w:rsidR="00EE25CA">
        <w:rPr>
          <w:rFonts w:ascii="Palatino Linotype" w:hAnsi="Palatino Linotype"/>
        </w:rPr>
        <w:t>s</w:t>
      </w:r>
      <w:r w:rsidRPr="00966429" w:rsidR="00752C55">
        <w:rPr>
          <w:rFonts w:ascii="Palatino Linotype" w:hAnsi="Palatino Linotype"/>
        </w:rPr>
        <w:t xml:space="preserve"> their total year 201</w:t>
      </w:r>
      <w:r w:rsidRPr="00966429" w:rsidR="00921B34">
        <w:rPr>
          <w:rFonts w:ascii="Palatino Linotype" w:hAnsi="Palatino Linotype"/>
        </w:rPr>
        <w:t>8</w:t>
      </w:r>
      <w:r w:rsidRPr="00966429" w:rsidR="00752C55">
        <w:rPr>
          <w:rFonts w:ascii="Palatino Linotype" w:hAnsi="Palatino Linotype"/>
        </w:rPr>
        <w:t xml:space="preserve"> reporting targets </w:t>
      </w:r>
      <w:r w:rsidRPr="00966429" w:rsidR="00192048">
        <w:rPr>
          <w:rFonts w:ascii="Palatino Linotype" w:hAnsi="Palatino Linotype"/>
        </w:rPr>
        <w:t>with</w:t>
      </w:r>
      <w:r w:rsidRPr="00966429" w:rsidR="00752C55">
        <w:rPr>
          <w:rFonts w:ascii="Palatino Linotype" w:hAnsi="Palatino Linotype"/>
        </w:rPr>
        <w:t xml:space="preserve"> </w:t>
      </w:r>
      <w:r w:rsidRPr="00966429" w:rsidR="00192048">
        <w:rPr>
          <w:rFonts w:ascii="Palatino Linotype" w:hAnsi="Palatino Linotype"/>
        </w:rPr>
        <w:t xml:space="preserve">the </w:t>
      </w:r>
      <w:r w:rsidRPr="00966429" w:rsidR="00752C55">
        <w:rPr>
          <w:rFonts w:ascii="Palatino Linotype" w:hAnsi="Palatino Linotype"/>
        </w:rPr>
        <w:t>fine calculations for standards not met</w:t>
      </w:r>
      <w:r w:rsidRPr="00966429">
        <w:rPr>
          <w:rFonts w:ascii="Palatino Linotype" w:hAnsi="Palatino Linotype"/>
        </w:rPr>
        <w:t>:</w:t>
      </w:r>
    </w:p>
    <w:p w:rsidRPr="00966429" w:rsidR="00953C7C" w:rsidP="00A47F9D" w:rsidRDefault="00953C7C" w14:paraId="3647BF70" w14:textId="77777777">
      <w:pPr>
        <w:tabs>
          <w:tab w:val="right" w:pos="10080"/>
        </w:tabs>
        <w:rPr>
          <w:rFonts w:ascii="Palatino Linotype" w:hAnsi="Palatino Linotype"/>
        </w:rPr>
      </w:pPr>
    </w:p>
    <w:tbl>
      <w:tblPr>
        <w:tblW w:w="7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2"/>
        <w:gridCol w:w="2013"/>
        <w:gridCol w:w="1170"/>
        <w:gridCol w:w="1127"/>
        <w:gridCol w:w="1147"/>
        <w:gridCol w:w="1326"/>
      </w:tblGrid>
      <w:tr w:rsidRPr="00966429" w:rsidR="00A66291" w:rsidTr="00EF351A" w14:paraId="49780068" w14:textId="77777777">
        <w:trPr>
          <w:trHeight w:val="335"/>
          <w:jc w:val="center"/>
        </w:trPr>
        <w:tc>
          <w:tcPr>
            <w:tcW w:w="862" w:type="dxa"/>
            <w:shd w:val="clear" w:color="auto" w:fill="F2F2F2" w:themeFill="background1" w:themeFillShade="F2"/>
            <w:vAlign w:val="center"/>
          </w:tcPr>
          <w:p w:rsidRPr="00EF351A" w:rsidR="00A66291" w:rsidP="00953C7C" w:rsidRDefault="00A66291" w14:paraId="7987FCAF" w14:textId="77777777">
            <w:pPr>
              <w:tabs>
                <w:tab w:val="left" w:pos="3600"/>
              </w:tabs>
              <w:spacing w:before="120" w:after="120"/>
              <w:jc w:val="center"/>
              <w:rPr>
                <w:rFonts w:ascii="Palatino Linotype" w:hAnsi="Palatino Linotype"/>
                <w:b/>
                <w:sz w:val="20"/>
                <w:szCs w:val="20"/>
              </w:rPr>
            </w:pPr>
            <w:r w:rsidRPr="00EF351A">
              <w:rPr>
                <w:rFonts w:ascii="Palatino Linotype" w:hAnsi="Palatino Linotype"/>
                <w:b/>
                <w:sz w:val="20"/>
                <w:szCs w:val="20"/>
              </w:rPr>
              <w:t xml:space="preserve">Advice Letter </w:t>
            </w:r>
          </w:p>
        </w:tc>
        <w:tc>
          <w:tcPr>
            <w:tcW w:w="2013" w:type="dxa"/>
            <w:shd w:val="clear" w:color="auto" w:fill="F2F2F2" w:themeFill="background1" w:themeFillShade="F2"/>
            <w:vAlign w:val="center"/>
          </w:tcPr>
          <w:p w:rsidRPr="00EF351A" w:rsidR="00A66291" w:rsidP="002727FD" w:rsidRDefault="00A66291" w14:paraId="70F5ACF9" w14:textId="77777777">
            <w:pPr>
              <w:tabs>
                <w:tab w:val="left" w:pos="3600"/>
              </w:tabs>
              <w:spacing w:before="120" w:after="120"/>
              <w:jc w:val="center"/>
              <w:rPr>
                <w:rFonts w:ascii="Palatino Linotype" w:hAnsi="Palatino Linotype"/>
                <w:b/>
                <w:sz w:val="20"/>
                <w:szCs w:val="20"/>
              </w:rPr>
            </w:pPr>
            <w:r w:rsidRPr="00EF351A">
              <w:rPr>
                <w:rFonts w:ascii="Palatino Linotype" w:hAnsi="Palatino Linotype"/>
                <w:b/>
                <w:sz w:val="20"/>
                <w:szCs w:val="20"/>
              </w:rPr>
              <w:t>Filed By</w:t>
            </w:r>
          </w:p>
        </w:tc>
        <w:tc>
          <w:tcPr>
            <w:tcW w:w="1170" w:type="dxa"/>
            <w:shd w:val="clear" w:color="auto" w:fill="F2F2F2" w:themeFill="background1" w:themeFillShade="F2"/>
            <w:vAlign w:val="center"/>
          </w:tcPr>
          <w:p w:rsidRPr="00EF351A" w:rsidR="00A66291" w:rsidP="00EA0257" w:rsidRDefault="00A66291" w14:paraId="1BF9BFC6" w14:textId="77777777">
            <w:pPr>
              <w:tabs>
                <w:tab w:val="left" w:pos="3600"/>
              </w:tabs>
              <w:spacing w:before="120" w:after="120"/>
              <w:jc w:val="center"/>
              <w:rPr>
                <w:rFonts w:ascii="Palatino Linotype" w:hAnsi="Palatino Linotype"/>
                <w:b/>
                <w:sz w:val="20"/>
                <w:szCs w:val="20"/>
              </w:rPr>
            </w:pPr>
            <w:r w:rsidRPr="00EF351A">
              <w:rPr>
                <w:rFonts w:ascii="Palatino Linotype" w:hAnsi="Palatino Linotype"/>
                <w:b/>
                <w:sz w:val="20"/>
                <w:szCs w:val="20"/>
              </w:rPr>
              <w:t>Utility No.</w:t>
            </w:r>
          </w:p>
        </w:tc>
        <w:tc>
          <w:tcPr>
            <w:tcW w:w="1127" w:type="dxa"/>
            <w:shd w:val="clear" w:color="auto" w:fill="F2F2F2" w:themeFill="background1" w:themeFillShade="F2"/>
            <w:vAlign w:val="center"/>
          </w:tcPr>
          <w:p w:rsidRPr="00EF351A" w:rsidR="00A66291" w:rsidP="002727FD" w:rsidRDefault="00A66291" w14:paraId="573ED762" w14:textId="77777777">
            <w:pPr>
              <w:tabs>
                <w:tab w:val="left" w:pos="3600"/>
              </w:tabs>
              <w:spacing w:before="120" w:after="120"/>
              <w:jc w:val="center"/>
              <w:rPr>
                <w:rFonts w:ascii="Palatino Linotype" w:hAnsi="Palatino Linotype"/>
                <w:b/>
                <w:sz w:val="20"/>
                <w:szCs w:val="20"/>
              </w:rPr>
            </w:pPr>
            <w:r w:rsidRPr="00EF351A">
              <w:rPr>
                <w:rFonts w:ascii="Palatino Linotype" w:hAnsi="Palatino Linotype"/>
                <w:b/>
                <w:sz w:val="20"/>
                <w:szCs w:val="20"/>
              </w:rPr>
              <w:t>Date Filed</w:t>
            </w:r>
          </w:p>
        </w:tc>
        <w:tc>
          <w:tcPr>
            <w:tcW w:w="1147" w:type="dxa"/>
            <w:shd w:val="clear" w:color="auto" w:fill="F2F2F2" w:themeFill="background1" w:themeFillShade="F2"/>
          </w:tcPr>
          <w:p w:rsidRPr="00EF351A" w:rsidR="00A66291" w:rsidP="002727FD" w:rsidRDefault="00B27918" w14:paraId="20D9BD3E" w14:textId="77777777">
            <w:pPr>
              <w:tabs>
                <w:tab w:val="left" w:pos="3600"/>
              </w:tabs>
              <w:spacing w:before="120" w:after="120"/>
              <w:jc w:val="center"/>
              <w:rPr>
                <w:rFonts w:ascii="Palatino Linotype" w:hAnsi="Palatino Linotype"/>
                <w:b/>
                <w:sz w:val="20"/>
                <w:szCs w:val="20"/>
              </w:rPr>
            </w:pPr>
            <w:r w:rsidRPr="00EF351A">
              <w:rPr>
                <w:rFonts w:ascii="Palatino Linotype" w:hAnsi="Palatino Linotype"/>
                <w:b/>
                <w:sz w:val="20"/>
                <w:szCs w:val="20"/>
              </w:rPr>
              <w:t>On Daily Calendar</w:t>
            </w:r>
          </w:p>
        </w:tc>
        <w:tc>
          <w:tcPr>
            <w:tcW w:w="1326" w:type="dxa"/>
            <w:shd w:val="clear" w:color="auto" w:fill="F2F2F2" w:themeFill="background1" w:themeFillShade="F2"/>
            <w:vAlign w:val="center"/>
          </w:tcPr>
          <w:p w:rsidRPr="00EF351A" w:rsidR="00A66291" w:rsidP="002727FD" w:rsidRDefault="00A66291" w14:paraId="5C3DC9EA" w14:textId="77777777">
            <w:pPr>
              <w:tabs>
                <w:tab w:val="left" w:pos="3600"/>
              </w:tabs>
              <w:spacing w:before="120" w:after="120"/>
              <w:jc w:val="center"/>
              <w:rPr>
                <w:rFonts w:ascii="Palatino Linotype" w:hAnsi="Palatino Linotype"/>
                <w:b/>
                <w:sz w:val="20"/>
                <w:szCs w:val="20"/>
              </w:rPr>
            </w:pPr>
            <w:r w:rsidRPr="00EF351A">
              <w:rPr>
                <w:rFonts w:ascii="Palatino Linotype" w:hAnsi="Palatino Linotype"/>
                <w:b/>
                <w:sz w:val="20"/>
                <w:szCs w:val="20"/>
              </w:rPr>
              <w:t>Proposed Fine</w:t>
            </w:r>
          </w:p>
        </w:tc>
      </w:tr>
      <w:tr w:rsidRPr="00966429" w:rsidR="00A66291" w:rsidTr="00EF351A" w14:paraId="611F696A" w14:textId="77777777">
        <w:trPr>
          <w:trHeight w:val="232"/>
          <w:jc w:val="center"/>
        </w:trPr>
        <w:tc>
          <w:tcPr>
            <w:tcW w:w="862" w:type="dxa"/>
            <w:shd w:val="clear" w:color="auto" w:fill="auto"/>
            <w:vAlign w:val="center"/>
          </w:tcPr>
          <w:p w:rsidRPr="00EF351A" w:rsidR="00A66291" w:rsidP="00953C7C" w:rsidRDefault="00C93994" w14:paraId="1BB46CED" w14:textId="30581B55">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4</w:t>
            </w:r>
            <w:r w:rsidRPr="00EF351A" w:rsidR="00D848D8">
              <w:rPr>
                <w:rFonts w:ascii="Palatino Linotype" w:hAnsi="Palatino Linotype"/>
                <w:sz w:val="20"/>
                <w:szCs w:val="20"/>
              </w:rPr>
              <w:t>333</w:t>
            </w:r>
          </w:p>
        </w:tc>
        <w:tc>
          <w:tcPr>
            <w:tcW w:w="2013" w:type="dxa"/>
            <w:shd w:val="clear" w:color="auto" w:fill="auto"/>
            <w:vAlign w:val="center"/>
          </w:tcPr>
          <w:p w:rsidRPr="00EF351A" w:rsidR="00A66291" w:rsidP="00953C7C" w:rsidRDefault="00A66291" w14:paraId="73C37D16" w14:textId="77777777">
            <w:pPr>
              <w:tabs>
                <w:tab w:val="left" w:pos="3600"/>
              </w:tabs>
              <w:spacing w:before="120" w:after="120"/>
              <w:rPr>
                <w:rFonts w:ascii="Palatino Linotype" w:hAnsi="Palatino Linotype"/>
                <w:sz w:val="20"/>
                <w:szCs w:val="20"/>
              </w:rPr>
            </w:pPr>
            <w:r w:rsidRPr="00EF351A">
              <w:rPr>
                <w:rFonts w:ascii="Palatino Linotype" w:hAnsi="Palatino Linotype"/>
                <w:sz w:val="20"/>
                <w:szCs w:val="20"/>
              </w:rPr>
              <w:t>AT&amp;T Corporation</w:t>
            </w:r>
          </w:p>
        </w:tc>
        <w:tc>
          <w:tcPr>
            <w:tcW w:w="1170" w:type="dxa"/>
            <w:vAlign w:val="center"/>
          </w:tcPr>
          <w:p w:rsidRPr="00EF351A" w:rsidR="00A66291" w:rsidP="00ED3F5A" w:rsidRDefault="00A66291" w14:paraId="2DA2AFA7" w14:textId="77777777">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U-5002-C</w:t>
            </w:r>
          </w:p>
        </w:tc>
        <w:tc>
          <w:tcPr>
            <w:tcW w:w="1127" w:type="dxa"/>
            <w:vAlign w:val="center"/>
          </w:tcPr>
          <w:p w:rsidRPr="00EF351A" w:rsidR="00A66291" w:rsidP="00953C7C" w:rsidRDefault="00A66291" w14:paraId="55395A7B" w14:textId="76D87854">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2/15/201</w:t>
            </w:r>
            <w:r w:rsidRPr="00EF351A" w:rsidR="00471F18">
              <w:rPr>
                <w:rFonts w:ascii="Palatino Linotype" w:hAnsi="Palatino Linotype"/>
                <w:sz w:val="20"/>
                <w:szCs w:val="20"/>
              </w:rPr>
              <w:t>9</w:t>
            </w:r>
          </w:p>
        </w:tc>
        <w:tc>
          <w:tcPr>
            <w:tcW w:w="1147" w:type="dxa"/>
            <w:vAlign w:val="center"/>
          </w:tcPr>
          <w:p w:rsidRPr="00EF351A" w:rsidR="00A66291" w:rsidP="00ED3F5A" w:rsidRDefault="00360F8D" w14:paraId="1450FF19" w14:textId="52970E3C">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2/22/2019</w:t>
            </w:r>
          </w:p>
        </w:tc>
        <w:tc>
          <w:tcPr>
            <w:tcW w:w="1326" w:type="dxa"/>
            <w:vAlign w:val="center"/>
          </w:tcPr>
          <w:p w:rsidRPr="00EF351A" w:rsidR="00A66291" w:rsidP="00953C7C" w:rsidRDefault="00D848D8" w14:paraId="02571077" w14:textId="47444F1A">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$12,600</w:t>
            </w:r>
          </w:p>
        </w:tc>
      </w:tr>
      <w:tr w:rsidRPr="00966429" w:rsidR="00A66291" w:rsidTr="00EF351A" w14:paraId="6D207ABA" w14:textId="77777777">
        <w:trPr>
          <w:trHeight w:val="426"/>
          <w:jc w:val="center"/>
        </w:trPr>
        <w:tc>
          <w:tcPr>
            <w:tcW w:w="862" w:type="dxa"/>
            <w:shd w:val="clear" w:color="auto" w:fill="auto"/>
            <w:vAlign w:val="center"/>
          </w:tcPr>
          <w:p w:rsidRPr="00EF351A" w:rsidR="00A66291" w:rsidP="002727FD" w:rsidRDefault="00D848D8" w14:paraId="0D1BEC98" w14:textId="35D429D7">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1254</w:t>
            </w:r>
          </w:p>
        </w:tc>
        <w:tc>
          <w:tcPr>
            <w:tcW w:w="2013" w:type="dxa"/>
            <w:shd w:val="clear" w:color="auto" w:fill="auto"/>
            <w:vAlign w:val="center"/>
          </w:tcPr>
          <w:p w:rsidRPr="00EF351A" w:rsidR="00A66291" w:rsidP="00953C7C" w:rsidRDefault="00471F18" w14:paraId="0350289D" w14:textId="300E0F1F">
            <w:pPr>
              <w:tabs>
                <w:tab w:val="left" w:pos="3600"/>
              </w:tabs>
              <w:spacing w:before="120" w:after="120"/>
              <w:rPr>
                <w:rFonts w:ascii="Palatino Linotype" w:hAnsi="Palatino Linotype"/>
                <w:sz w:val="20"/>
                <w:szCs w:val="20"/>
              </w:rPr>
            </w:pPr>
            <w:r w:rsidRPr="00EF351A">
              <w:rPr>
                <w:rFonts w:ascii="Palatino Linotype" w:hAnsi="Palatino Linotype"/>
                <w:sz w:val="20"/>
                <w:szCs w:val="20"/>
              </w:rPr>
              <w:t>Frontier Citizens</w:t>
            </w:r>
          </w:p>
        </w:tc>
        <w:tc>
          <w:tcPr>
            <w:tcW w:w="1170" w:type="dxa"/>
            <w:vAlign w:val="center"/>
          </w:tcPr>
          <w:p w:rsidRPr="00EF351A" w:rsidR="00A66291" w:rsidP="00094A89" w:rsidRDefault="00A66291" w14:paraId="75492530" w14:textId="51EA9497">
            <w:pPr>
              <w:tabs>
                <w:tab w:val="left" w:pos="3600"/>
              </w:tabs>
              <w:jc w:val="center"/>
              <w:rPr>
                <w:rFonts w:ascii="Palatino Linotype" w:hAnsi="Palatino Linotype"/>
                <w:sz w:val="20"/>
                <w:szCs w:val="20"/>
              </w:rPr>
            </w:pPr>
            <w:r w:rsidRPr="00EF351A">
              <w:rPr>
                <w:rFonts w:ascii="Palatino Linotype" w:hAnsi="Palatino Linotype"/>
                <w:sz w:val="20"/>
                <w:szCs w:val="20"/>
              </w:rPr>
              <w:t>U-102</w:t>
            </w:r>
            <w:r w:rsidRPr="00EF351A" w:rsidR="00471F18">
              <w:rPr>
                <w:rFonts w:ascii="Palatino Linotype" w:hAnsi="Palatino Linotype"/>
                <w:sz w:val="20"/>
                <w:szCs w:val="20"/>
              </w:rPr>
              <w:t>4</w:t>
            </w:r>
            <w:r w:rsidRPr="00EF351A">
              <w:rPr>
                <w:rFonts w:ascii="Palatino Linotype" w:hAnsi="Palatino Linotype"/>
                <w:sz w:val="20"/>
                <w:szCs w:val="20"/>
              </w:rPr>
              <w:t>-C</w:t>
            </w:r>
          </w:p>
        </w:tc>
        <w:tc>
          <w:tcPr>
            <w:tcW w:w="1127" w:type="dxa"/>
            <w:vAlign w:val="center"/>
          </w:tcPr>
          <w:p w:rsidRPr="00EF351A" w:rsidR="00A66291" w:rsidP="00953C7C" w:rsidRDefault="00A66291" w14:paraId="12248DF6" w14:textId="6712885A">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2/1</w:t>
            </w:r>
            <w:r w:rsidRPr="00EF351A" w:rsidR="00471F18">
              <w:rPr>
                <w:rFonts w:ascii="Palatino Linotype" w:hAnsi="Palatino Linotype"/>
                <w:sz w:val="20"/>
                <w:szCs w:val="20"/>
              </w:rPr>
              <w:t>5</w:t>
            </w:r>
            <w:r w:rsidRPr="00EF351A">
              <w:rPr>
                <w:rFonts w:ascii="Palatino Linotype" w:hAnsi="Palatino Linotype"/>
                <w:sz w:val="20"/>
                <w:szCs w:val="20"/>
              </w:rPr>
              <w:t>/201</w:t>
            </w:r>
            <w:r w:rsidRPr="00EF351A" w:rsidR="00471F18">
              <w:rPr>
                <w:rFonts w:ascii="Palatino Linotype" w:hAnsi="Palatino Linotype"/>
                <w:sz w:val="20"/>
                <w:szCs w:val="20"/>
              </w:rPr>
              <w:t>9</w:t>
            </w:r>
          </w:p>
        </w:tc>
        <w:tc>
          <w:tcPr>
            <w:tcW w:w="1147" w:type="dxa"/>
            <w:vAlign w:val="center"/>
          </w:tcPr>
          <w:p w:rsidRPr="00EF351A" w:rsidR="00972455" w:rsidP="00094A89" w:rsidRDefault="00360F8D" w14:paraId="1F66E305" w14:textId="68C7C18E">
            <w:pPr>
              <w:tabs>
                <w:tab w:val="left" w:pos="3600"/>
              </w:tabs>
              <w:jc w:val="center"/>
              <w:rPr>
                <w:rFonts w:ascii="Palatino Linotype" w:hAnsi="Palatino Linotype"/>
                <w:sz w:val="20"/>
                <w:szCs w:val="20"/>
              </w:rPr>
            </w:pPr>
            <w:r w:rsidRPr="00EF351A">
              <w:rPr>
                <w:rFonts w:ascii="Palatino Linotype" w:hAnsi="Palatino Linotype"/>
                <w:sz w:val="20"/>
                <w:szCs w:val="20"/>
              </w:rPr>
              <w:t>2/22/2019</w:t>
            </w:r>
          </w:p>
        </w:tc>
        <w:tc>
          <w:tcPr>
            <w:tcW w:w="1326" w:type="dxa"/>
            <w:vAlign w:val="center"/>
          </w:tcPr>
          <w:p w:rsidRPr="00EF351A" w:rsidR="00A66291" w:rsidP="00953C7C" w:rsidRDefault="0021464F" w14:paraId="492009B0" w14:textId="45BB0F8E">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$71,238</w:t>
            </w:r>
          </w:p>
        </w:tc>
      </w:tr>
      <w:tr w:rsidRPr="00966429" w:rsidR="00A66291" w:rsidTr="00EF351A" w14:paraId="3031ECC6" w14:textId="77777777">
        <w:trPr>
          <w:trHeight w:val="321"/>
          <w:jc w:val="center"/>
        </w:trPr>
        <w:tc>
          <w:tcPr>
            <w:tcW w:w="862" w:type="dxa"/>
            <w:shd w:val="clear" w:color="auto" w:fill="auto"/>
            <w:vAlign w:val="center"/>
          </w:tcPr>
          <w:p w:rsidRPr="00EF351A" w:rsidR="00A66291" w:rsidP="00953C7C" w:rsidRDefault="00471F18" w14:paraId="121130F4" w14:textId="56B12777">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128</w:t>
            </w:r>
          </w:p>
        </w:tc>
        <w:tc>
          <w:tcPr>
            <w:tcW w:w="2013" w:type="dxa"/>
            <w:shd w:val="clear" w:color="auto" w:fill="auto"/>
            <w:vAlign w:val="center"/>
          </w:tcPr>
          <w:p w:rsidRPr="00EF351A" w:rsidR="00A66291" w:rsidP="00953C7C" w:rsidRDefault="00471F18" w14:paraId="388FAC06" w14:textId="766AF3F5">
            <w:pPr>
              <w:tabs>
                <w:tab w:val="left" w:pos="3600"/>
              </w:tabs>
              <w:spacing w:before="120" w:after="120"/>
              <w:rPr>
                <w:rFonts w:ascii="Palatino Linotype" w:hAnsi="Palatino Linotype"/>
                <w:sz w:val="20"/>
                <w:szCs w:val="20"/>
              </w:rPr>
            </w:pPr>
            <w:r w:rsidRPr="00EF351A">
              <w:rPr>
                <w:rFonts w:ascii="Palatino Linotype" w:hAnsi="Palatino Linotype"/>
                <w:sz w:val="20"/>
                <w:szCs w:val="20"/>
              </w:rPr>
              <w:t>Frontier Southwest</w:t>
            </w:r>
          </w:p>
        </w:tc>
        <w:tc>
          <w:tcPr>
            <w:tcW w:w="1170" w:type="dxa"/>
            <w:vAlign w:val="center"/>
          </w:tcPr>
          <w:p w:rsidRPr="00EF351A" w:rsidR="00A66291" w:rsidP="00ED3F5A" w:rsidRDefault="00A66291" w14:paraId="7AC74289" w14:textId="49B93825">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U-1</w:t>
            </w:r>
            <w:r w:rsidRPr="00EF351A" w:rsidR="00471F18">
              <w:rPr>
                <w:rFonts w:ascii="Palatino Linotype" w:hAnsi="Palatino Linotype"/>
                <w:sz w:val="20"/>
                <w:szCs w:val="20"/>
              </w:rPr>
              <w:t>026</w:t>
            </w:r>
            <w:r w:rsidRPr="00EF351A">
              <w:rPr>
                <w:rFonts w:ascii="Palatino Linotype" w:hAnsi="Palatino Linotype"/>
                <w:sz w:val="20"/>
                <w:szCs w:val="20"/>
              </w:rPr>
              <w:t>-C</w:t>
            </w:r>
          </w:p>
        </w:tc>
        <w:tc>
          <w:tcPr>
            <w:tcW w:w="1127" w:type="dxa"/>
            <w:vAlign w:val="center"/>
          </w:tcPr>
          <w:p w:rsidRPr="00EF351A" w:rsidR="00A66291" w:rsidP="00953C7C" w:rsidRDefault="00471F18" w14:paraId="4950723D" w14:textId="2CD67A0F">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w:t>
            </w:r>
            <w:r w:rsidRPr="00EF351A" w:rsidR="00A66291">
              <w:rPr>
                <w:rFonts w:ascii="Palatino Linotype" w:hAnsi="Palatino Linotype"/>
                <w:sz w:val="20"/>
                <w:szCs w:val="20"/>
              </w:rPr>
              <w:t>/</w:t>
            </w:r>
            <w:r w:rsidRPr="00EF351A">
              <w:rPr>
                <w:rFonts w:ascii="Palatino Linotype" w:hAnsi="Palatino Linotype"/>
                <w:sz w:val="20"/>
                <w:szCs w:val="20"/>
              </w:rPr>
              <w:t>15</w:t>
            </w:r>
            <w:r w:rsidRPr="00EF351A" w:rsidR="00A66291">
              <w:rPr>
                <w:rFonts w:ascii="Palatino Linotype" w:hAnsi="Palatino Linotype"/>
                <w:sz w:val="20"/>
                <w:szCs w:val="20"/>
              </w:rPr>
              <w:t>/201</w:t>
            </w:r>
            <w:r w:rsidRPr="00EF351A">
              <w:rPr>
                <w:rFonts w:ascii="Palatino Linotype" w:hAnsi="Palatino Linotype"/>
                <w:sz w:val="20"/>
                <w:szCs w:val="20"/>
              </w:rPr>
              <w:t>9</w:t>
            </w:r>
          </w:p>
        </w:tc>
        <w:tc>
          <w:tcPr>
            <w:tcW w:w="1147" w:type="dxa"/>
            <w:vAlign w:val="center"/>
          </w:tcPr>
          <w:p w:rsidRPr="00EF351A" w:rsidR="00A66291" w:rsidP="00ED3F5A" w:rsidRDefault="00360F8D" w14:paraId="2E3B5A5D" w14:textId="52594ACA">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2/22/2019</w:t>
            </w:r>
          </w:p>
        </w:tc>
        <w:tc>
          <w:tcPr>
            <w:tcW w:w="1326" w:type="dxa"/>
            <w:vAlign w:val="center"/>
          </w:tcPr>
          <w:p w:rsidRPr="00EF351A" w:rsidR="00A66291" w:rsidP="00953C7C" w:rsidRDefault="00471F18" w14:paraId="36067136" w14:textId="6526D373">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$3,821</w:t>
            </w:r>
          </w:p>
        </w:tc>
      </w:tr>
      <w:tr w:rsidRPr="00966429" w:rsidR="00A66291" w:rsidTr="00EF351A" w14:paraId="04121653" w14:textId="77777777">
        <w:trPr>
          <w:trHeight w:val="521"/>
          <w:jc w:val="center"/>
        </w:trPr>
        <w:tc>
          <w:tcPr>
            <w:tcW w:w="862" w:type="dxa"/>
            <w:shd w:val="clear" w:color="auto" w:fill="auto"/>
            <w:vAlign w:val="center"/>
          </w:tcPr>
          <w:p w:rsidRPr="00EF351A" w:rsidR="00A66291" w:rsidP="00471F18" w:rsidRDefault="00471F18" w14:paraId="06553EB3" w14:textId="04A28BE7">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373</w:t>
            </w:r>
          </w:p>
        </w:tc>
        <w:tc>
          <w:tcPr>
            <w:tcW w:w="2013" w:type="dxa"/>
            <w:shd w:val="clear" w:color="auto" w:fill="auto"/>
            <w:vAlign w:val="center"/>
          </w:tcPr>
          <w:p w:rsidRPr="00EF351A" w:rsidR="00A66291" w:rsidP="00953C7C" w:rsidRDefault="00471F18" w14:paraId="0F53198B" w14:textId="4D933BEF">
            <w:pPr>
              <w:tabs>
                <w:tab w:val="left" w:pos="3600"/>
              </w:tabs>
              <w:spacing w:before="120" w:after="120"/>
              <w:rPr>
                <w:rFonts w:ascii="Palatino Linotype" w:hAnsi="Palatino Linotype"/>
                <w:sz w:val="20"/>
                <w:szCs w:val="20"/>
              </w:rPr>
            </w:pPr>
            <w:r w:rsidRPr="00EF351A">
              <w:rPr>
                <w:rFonts w:ascii="Palatino Linotype" w:hAnsi="Palatino Linotype"/>
                <w:sz w:val="20"/>
                <w:szCs w:val="20"/>
              </w:rPr>
              <w:t>Happy Valley</w:t>
            </w:r>
          </w:p>
        </w:tc>
        <w:tc>
          <w:tcPr>
            <w:tcW w:w="1170" w:type="dxa"/>
            <w:vAlign w:val="center"/>
          </w:tcPr>
          <w:p w:rsidRPr="00EF351A" w:rsidR="00A66291" w:rsidP="00ED3F5A" w:rsidRDefault="00A66291" w14:paraId="0207AC09" w14:textId="0306A0EB">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U-10</w:t>
            </w:r>
            <w:r w:rsidRPr="00EF351A" w:rsidR="00C93994">
              <w:rPr>
                <w:rFonts w:ascii="Palatino Linotype" w:hAnsi="Palatino Linotype"/>
                <w:sz w:val="20"/>
                <w:szCs w:val="20"/>
              </w:rPr>
              <w:t>10</w:t>
            </w:r>
            <w:r w:rsidRPr="00EF351A">
              <w:rPr>
                <w:rFonts w:ascii="Palatino Linotype" w:hAnsi="Palatino Linotype"/>
                <w:sz w:val="20"/>
                <w:szCs w:val="20"/>
              </w:rPr>
              <w:t>-C</w:t>
            </w:r>
          </w:p>
        </w:tc>
        <w:tc>
          <w:tcPr>
            <w:tcW w:w="1127" w:type="dxa"/>
            <w:vAlign w:val="center"/>
          </w:tcPr>
          <w:p w:rsidRPr="00EF351A" w:rsidR="00A66291" w:rsidP="00953C7C" w:rsidRDefault="00471F18" w14:paraId="7B5F9422" w14:textId="477C789C">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w:t>
            </w:r>
            <w:r w:rsidRPr="00EF351A" w:rsidR="00A66291">
              <w:rPr>
                <w:rFonts w:ascii="Palatino Linotype" w:hAnsi="Palatino Linotype"/>
                <w:sz w:val="20"/>
                <w:szCs w:val="20"/>
              </w:rPr>
              <w:t>/</w:t>
            </w:r>
            <w:r w:rsidRPr="00EF351A">
              <w:rPr>
                <w:rFonts w:ascii="Palatino Linotype" w:hAnsi="Palatino Linotype"/>
                <w:sz w:val="20"/>
                <w:szCs w:val="20"/>
              </w:rPr>
              <w:t>8</w:t>
            </w:r>
            <w:r w:rsidRPr="00EF351A" w:rsidR="00A66291">
              <w:rPr>
                <w:rFonts w:ascii="Palatino Linotype" w:hAnsi="Palatino Linotype"/>
                <w:sz w:val="20"/>
                <w:szCs w:val="20"/>
              </w:rPr>
              <w:t>/201</w:t>
            </w:r>
            <w:r w:rsidRPr="00EF351A">
              <w:rPr>
                <w:rFonts w:ascii="Palatino Linotype" w:hAnsi="Palatino Linotype"/>
                <w:sz w:val="20"/>
                <w:szCs w:val="20"/>
              </w:rPr>
              <w:t>9</w:t>
            </w:r>
          </w:p>
        </w:tc>
        <w:tc>
          <w:tcPr>
            <w:tcW w:w="1147" w:type="dxa"/>
            <w:vAlign w:val="center"/>
          </w:tcPr>
          <w:p w:rsidRPr="00EF351A" w:rsidR="00972455" w:rsidP="00EF351A" w:rsidRDefault="00360F8D" w14:paraId="1CC2C568" w14:textId="49C6ABD9">
            <w:pPr>
              <w:tabs>
                <w:tab w:val="left" w:pos="3600"/>
              </w:tabs>
              <w:rPr>
                <w:rFonts w:ascii="Palatino Linotype" w:hAnsi="Palatino Linotype"/>
                <w:sz w:val="20"/>
                <w:szCs w:val="20"/>
              </w:rPr>
            </w:pPr>
            <w:r w:rsidRPr="00EF351A">
              <w:rPr>
                <w:rFonts w:ascii="Palatino Linotype" w:hAnsi="Palatino Linotype"/>
                <w:sz w:val="20"/>
                <w:szCs w:val="20"/>
              </w:rPr>
              <w:t>2/18/2019</w:t>
            </w:r>
          </w:p>
        </w:tc>
        <w:tc>
          <w:tcPr>
            <w:tcW w:w="1326" w:type="dxa"/>
            <w:vAlign w:val="center"/>
          </w:tcPr>
          <w:p w:rsidRPr="00EF351A" w:rsidR="00A66291" w:rsidP="00953C7C" w:rsidRDefault="00471F18" w14:paraId="771BE44B" w14:textId="1A2F592E">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$900</w:t>
            </w:r>
          </w:p>
        </w:tc>
      </w:tr>
      <w:tr w:rsidRPr="00966429" w:rsidR="00471F18" w:rsidTr="00EF351A" w14:paraId="60EC231E" w14:textId="77777777">
        <w:trPr>
          <w:trHeight w:val="327"/>
          <w:jc w:val="center"/>
        </w:trPr>
        <w:tc>
          <w:tcPr>
            <w:tcW w:w="862" w:type="dxa"/>
            <w:shd w:val="clear" w:color="auto" w:fill="auto"/>
            <w:vAlign w:val="center"/>
          </w:tcPr>
          <w:p w:rsidRPr="00EF351A" w:rsidR="00471F18" w:rsidP="00953C7C" w:rsidRDefault="00471F18" w14:paraId="0C224F8D" w14:textId="1A2F7637">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343</w:t>
            </w:r>
          </w:p>
        </w:tc>
        <w:tc>
          <w:tcPr>
            <w:tcW w:w="2013" w:type="dxa"/>
            <w:shd w:val="clear" w:color="auto" w:fill="auto"/>
            <w:vAlign w:val="center"/>
          </w:tcPr>
          <w:p w:rsidRPr="00EF351A" w:rsidR="00471F18" w:rsidP="00953C7C" w:rsidRDefault="00471F18" w14:paraId="1B529DCE" w14:textId="310F3CA7">
            <w:pPr>
              <w:tabs>
                <w:tab w:val="left" w:pos="3600"/>
              </w:tabs>
              <w:spacing w:before="120" w:after="120"/>
              <w:rPr>
                <w:rFonts w:ascii="Palatino Linotype" w:hAnsi="Palatino Linotype"/>
                <w:sz w:val="20"/>
                <w:szCs w:val="20"/>
              </w:rPr>
            </w:pPr>
            <w:r w:rsidRPr="00EF351A">
              <w:rPr>
                <w:rFonts w:ascii="Palatino Linotype" w:hAnsi="Palatino Linotype"/>
                <w:sz w:val="20"/>
                <w:szCs w:val="20"/>
              </w:rPr>
              <w:t>Hornitos</w:t>
            </w:r>
          </w:p>
        </w:tc>
        <w:tc>
          <w:tcPr>
            <w:tcW w:w="1170" w:type="dxa"/>
            <w:vAlign w:val="center"/>
          </w:tcPr>
          <w:p w:rsidRPr="00EF351A" w:rsidR="00471F18" w:rsidP="00471F18" w:rsidRDefault="00471F18" w14:paraId="4B7CA98C" w14:textId="25174341">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U-101</w:t>
            </w:r>
            <w:r w:rsidRPr="00EF351A" w:rsidR="00C93994">
              <w:rPr>
                <w:rFonts w:ascii="Palatino Linotype" w:hAnsi="Palatino Linotype"/>
                <w:sz w:val="20"/>
                <w:szCs w:val="20"/>
              </w:rPr>
              <w:t>1</w:t>
            </w:r>
            <w:r w:rsidRPr="00EF351A">
              <w:rPr>
                <w:rFonts w:ascii="Palatino Linotype" w:hAnsi="Palatino Linotype"/>
                <w:sz w:val="20"/>
                <w:szCs w:val="20"/>
              </w:rPr>
              <w:t>-C</w:t>
            </w:r>
          </w:p>
        </w:tc>
        <w:tc>
          <w:tcPr>
            <w:tcW w:w="1127" w:type="dxa"/>
            <w:vAlign w:val="center"/>
          </w:tcPr>
          <w:p w:rsidRPr="00EF351A" w:rsidR="00471F18" w:rsidP="00953C7C" w:rsidRDefault="00471F18" w14:paraId="0881452B" w14:textId="3A0506E7">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2/8/2019</w:t>
            </w:r>
          </w:p>
        </w:tc>
        <w:tc>
          <w:tcPr>
            <w:tcW w:w="1147" w:type="dxa"/>
            <w:vAlign w:val="center"/>
          </w:tcPr>
          <w:p w:rsidRPr="00EF351A" w:rsidR="00471F18" w:rsidP="00094A89" w:rsidRDefault="00360F8D" w14:paraId="624725E9" w14:textId="6E771EA6">
            <w:pPr>
              <w:tabs>
                <w:tab w:val="left" w:pos="3600"/>
              </w:tabs>
              <w:jc w:val="center"/>
              <w:rPr>
                <w:rFonts w:ascii="Palatino Linotype" w:hAnsi="Palatino Linotype"/>
                <w:sz w:val="20"/>
                <w:szCs w:val="20"/>
              </w:rPr>
            </w:pPr>
            <w:r w:rsidRPr="00EF351A">
              <w:rPr>
                <w:rFonts w:ascii="Palatino Linotype" w:hAnsi="Palatino Linotype"/>
                <w:sz w:val="20"/>
                <w:szCs w:val="20"/>
              </w:rPr>
              <w:t>2/</w:t>
            </w:r>
            <w:r w:rsidRPr="00EF351A" w:rsidR="00C93994">
              <w:rPr>
                <w:rFonts w:ascii="Palatino Linotype" w:hAnsi="Palatino Linotype"/>
                <w:sz w:val="20"/>
                <w:szCs w:val="20"/>
              </w:rPr>
              <w:t>18</w:t>
            </w:r>
            <w:r w:rsidRPr="00EF351A">
              <w:rPr>
                <w:rFonts w:ascii="Palatino Linotype" w:hAnsi="Palatino Linotype"/>
                <w:sz w:val="20"/>
                <w:szCs w:val="20"/>
              </w:rPr>
              <w:t>/2019</w:t>
            </w:r>
          </w:p>
        </w:tc>
        <w:tc>
          <w:tcPr>
            <w:tcW w:w="1326" w:type="dxa"/>
            <w:vAlign w:val="center"/>
          </w:tcPr>
          <w:p w:rsidRPr="00EF351A" w:rsidR="00471F18" w:rsidP="00953C7C" w:rsidRDefault="00471F18" w14:paraId="5E864AB0" w14:textId="35569234">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$525</w:t>
            </w:r>
          </w:p>
        </w:tc>
      </w:tr>
      <w:tr w:rsidRPr="00966429" w:rsidR="00471F18" w:rsidTr="00EF351A" w14:paraId="63B178C4" w14:textId="77777777">
        <w:trPr>
          <w:trHeight w:val="327"/>
          <w:jc w:val="center"/>
        </w:trPr>
        <w:tc>
          <w:tcPr>
            <w:tcW w:w="862" w:type="dxa"/>
            <w:shd w:val="clear" w:color="auto" w:fill="auto"/>
            <w:vAlign w:val="center"/>
          </w:tcPr>
          <w:p w:rsidRPr="00EF351A" w:rsidR="00471F18" w:rsidP="00953C7C" w:rsidRDefault="00471F18" w14:paraId="4258F551" w14:textId="422C3849">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267</w:t>
            </w:r>
          </w:p>
        </w:tc>
        <w:tc>
          <w:tcPr>
            <w:tcW w:w="2013" w:type="dxa"/>
            <w:shd w:val="clear" w:color="auto" w:fill="auto"/>
            <w:vAlign w:val="center"/>
          </w:tcPr>
          <w:p w:rsidRPr="00EF351A" w:rsidR="00471F18" w:rsidP="00953C7C" w:rsidRDefault="00471F18" w14:paraId="69C7F8DE" w14:textId="599B0DA4">
            <w:pPr>
              <w:tabs>
                <w:tab w:val="left" w:pos="3600"/>
              </w:tabs>
              <w:spacing w:before="120" w:after="120"/>
              <w:rPr>
                <w:rFonts w:ascii="Palatino Linotype" w:hAnsi="Palatino Linotype"/>
                <w:sz w:val="20"/>
                <w:szCs w:val="20"/>
              </w:rPr>
            </w:pPr>
            <w:r w:rsidRPr="00EF351A">
              <w:rPr>
                <w:rFonts w:ascii="Palatino Linotype" w:hAnsi="Palatino Linotype"/>
                <w:sz w:val="20"/>
                <w:szCs w:val="20"/>
              </w:rPr>
              <w:t>Winterhaven</w:t>
            </w:r>
          </w:p>
        </w:tc>
        <w:tc>
          <w:tcPr>
            <w:tcW w:w="1170" w:type="dxa"/>
            <w:vAlign w:val="center"/>
          </w:tcPr>
          <w:p w:rsidRPr="00EF351A" w:rsidR="00471F18" w:rsidP="00ED3F5A" w:rsidRDefault="00471F18" w14:paraId="37A351B0" w14:textId="2D0B56CB">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U-1021-C</w:t>
            </w:r>
          </w:p>
        </w:tc>
        <w:tc>
          <w:tcPr>
            <w:tcW w:w="1127" w:type="dxa"/>
            <w:vAlign w:val="center"/>
          </w:tcPr>
          <w:p w:rsidRPr="00EF351A" w:rsidR="00471F18" w:rsidP="00953C7C" w:rsidRDefault="00471F18" w14:paraId="0F819C24" w14:textId="6DE6A741">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2/8/2019</w:t>
            </w:r>
          </w:p>
        </w:tc>
        <w:tc>
          <w:tcPr>
            <w:tcW w:w="1147" w:type="dxa"/>
            <w:vAlign w:val="center"/>
          </w:tcPr>
          <w:p w:rsidRPr="00EF351A" w:rsidR="00471F18" w:rsidP="00094A89" w:rsidRDefault="00360F8D" w14:paraId="7A4FC453" w14:textId="2DD3A417">
            <w:pPr>
              <w:tabs>
                <w:tab w:val="left" w:pos="3600"/>
              </w:tabs>
              <w:jc w:val="center"/>
              <w:rPr>
                <w:rFonts w:ascii="Palatino Linotype" w:hAnsi="Palatino Linotype"/>
                <w:sz w:val="20"/>
                <w:szCs w:val="20"/>
              </w:rPr>
            </w:pPr>
            <w:r w:rsidRPr="00EF351A">
              <w:rPr>
                <w:rFonts w:ascii="Palatino Linotype" w:hAnsi="Palatino Linotype"/>
                <w:sz w:val="20"/>
                <w:szCs w:val="20"/>
              </w:rPr>
              <w:t>2/</w:t>
            </w:r>
            <w:r w:rsidRPr="00EF351A" w:rsidR="00C93994">
              <w:rPr>
                <w:rFonts w:ascii="Palatino Linotype" w:hAnsi="Palatino Linotype"/>
                <w:sz w:val="20"/>
                <w:szCs w:val="20"/>
              </w:rPr>
              <w:t>18</w:t>
            </w:r>
            <w:r w:rsidRPr="00EF351A">
              <w:rPr>
                <w:rFonts w:ascii="Palatino Linotype" w:hAnsi="Palatino Linotype"/>
                <w:sz w:val="20"/>
                <w:szCs w:val="20"/>
              </w:rPr>
              <w:t>/2019</w:t>
            </w:r>
          </w:p>
        </w:tc>
        <w:tc>
          <w:tcPr>
            <w:tcW w:w="1326" w:type="dxa"/>
            <w:vAlign w:val="center"/>
          </w:tcPr>
          <w:p w:rsidRPr="00EF351A" w:rsidR="00471F18" w:rsidP="00953C7C" w:rsidRDefault="00471F18" w14:paraId="612BADA5" w14:textId="00C9FB94">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$525</w:t>
            </w:r>
          </w:p>
        </w:tc>
      </w:tr>
    </w:tbl>
    <w:p w:rsidRPr="00966429" w:rsidR="00953C7C" w:rsidP="00A47F9D" w:rsidRDefault="00953C7C" w14:paraId="44EF120B" w14:textId="77777777">
      <w:pPr>
        <w:tabs>
          <w:tab w:val="right" w:pos="10080"/>
        </w:tabs>
        <w:rPr>
          <w:rFonts w:ascii="Palatino Linotype" w:hAnsi="Palatino Linotype"/>
        </w:rPr>
      </w:pPr>
    </w:p>
    <w:p w:rsidRPr="00966429" w:rsidR="00A47F9D" w:rsidP="00A47F9D" w:rsidRDefault="00A4181C" w14:paraId="22940A10" w14:textId="3C7F2AFE">
      <w:pPr>
        <w:tabs>
          <w:tab w:val="right" w:pos="10080"/>
        </w:tabs>
        <w:rPr>
          <w:rFonts w:ascii="Palatino Linotype" w:hAnsi="Palatino Linotype"/>
        </w:rPr>
      </w:pPr>
      <w:r w:rsidRPr="00966429">
        <w:rPr>
          <w:rFonts w:ascii="Palatino Linotype" w:hAnsi="Palatino Linotype"/>
        </w:rPr>
        <w:t>The Commission did not receive protests for these advice letters.</w:t>
      </w:r>
    </w:p>
    <w:p w:rsidRPr="00966429" w:rsidR="00A4181C" w:rsidP="00EF351A" w:rsidRDefault="00A4181C" w14:paraId="2452C807" w14:textId="77777777">
      <w:pPr>
        <w:tabs>
          <w:tab w:val="right" w:pos="9630"/>
        </w:tabs>
        <w:rPr>
          <w:rFonts w:ascii="Palatino Linotype" w:hAnsi="Palatino Linotype"/>
        </w:rPr>
      </w:pPr>
    </w:p>
    <w:p w:rsidRPr="00966429" w:rsidR="003B1DBD" w:rsidP="00A47F9D" w:rsidRDefault="00797AA5" w14:paraId="16D08192" w14:textId="2D368B8A">
      <w:pPr>
        <w:tabs>
          <w:tab w:val="right" w:pos="10080"/>
        </w:tabs>
        <w:rPr>
          <w:rFonts w:ascii="Palatino Linotype" w:hAnsi="Palatino Linotype"/>
          <w:u w:val="single"/>
        </w:rPr>
      </w:pPr>
      <w:r w:rsidRPr="00966429">
        <w:rPr>
          <w:rFonts w:ascii="Palatino Linotype" w:hAnsi="Palatino Linotype"/>
          <w:b/>
          <w:u w:val="single"/>
        </w:rPr>
        <w:t>D</w:t>
      </w:r>
      <w:r w:rsidRPr="00966429" w:rsidR="00853EA7">
        <w:rPr>
          <w:rFonts w:ascii="Palatino Linotype" w:hAnsi="Palatino Linotype"/>
          <w:b/>
          <w:u w:val="single"/>
        </w:rPr>
        <w:t>ISCUSSION</w:t>
      </w:r>
    </w:p>
    <w:p w:rsidRPr="00966429" w:rsidR="004B467A" w:rsidP="004B467A" w:rsidRDefault="00A47F9D" w14:paraId="58078D63" w14:textId="1B01C3C0">
      <w:pPr>
        <w:tabs>
          <w:tab w:val="left" w:pos="3600"/>
        </w:tabs>
        <w:spacing w:before="120" w:after="120"/>
        <w:rPr>
          <w:rFonts w:ascii="Palatino Linotype" w:hAnsi="Palatino Linotype"/>
        </w:rPr>
      </w:pPr>
      <w:r w:rsidRPr="00966429">
        <w:rPr>
          <w:rFonts w:ascii="Palatino Linotype" w:hAnsi="Palatino Linotype"/>
        </w:rPr>
        <w:t>Throughout 201</w:t>
      </w:r>
      <w:r w:rsidRPr="00966429" w:rsidR="00921B34">
        <w:rPr>
          <w:rFonts w:ascii="Palatino Linotype" w:hAnsi="Palatino Linotype"/>
        </w:rPr>
        <w:t>8</w:t>
      </w:r>
      <w:r w:rsidRPr="00966429">
        <w:rPr>
          <w:rFonts w:ascii="Palatino Linotype" w:hAnsi="Palatino Linotype"/>
        </w:rPr>
        <w:t>, AT&amp;T Corporation (</w:t>
      </w:r>
      <w:r w:rsidRPr="00966429" w:rsidR="00A42F80">
        <w:rPr>
          <w:rFonts w:ascii="Palatino Linotype" w:hAnsi="Palatino Linotype"/>
        </w:rPr>
        <w:t>AT&amp;T</w:t>
      </w:r>
      <w:r w:rsidRPr="00966429" w:rsidR="00EE25CA">
        <w:rPr>
          <w:rFonts w:ascii="Palatino Linotype" w:hAnsi="Palatino Linotype"/>
        </w:rPr>
        <w:t xml:space="preserve"> Corp.</w:t>
      </w:r>
      <w:r w:rsidRPr="00966429">
        <w:rPr>
          <w:rFonts w:ascii="Palatino Linotype" w:hAnsi="Palatino Linotype"/>
        </w:rPr>
        <w:t xml:space="preserve">), </w:t>
      </w:r>
      <w:r w:rsidRPr="00966429" w:rsidR="004D516E">
        <w:rPr>
          <w:rFonts w:ascii="Palatino Linotype" w:hAnsi="Palatino Linotype"/>
        </w:rPr>
        <w:t>Frontier Citizens</w:t>
      </w:r>
      <w:r w:rsidRPr="00966429" w:rsidR="00F206DE">
        <w:rPr>
          <w:rFonts w:ascii="Palatino Linotype" w:hAnsi="Palatino Linotype"/>
        </w:rPr>
        <w:t xml:space="preserve"> Telecommunications Company</w:t>
      </w:r>
      <w:r w:rsidRPr="00966429" w:rsidR="004D516E">
        <w:rPr>
          <w:rFonts w:ascii="Palatino Linotype" w:hAnsi="Palatino Linotype"/>
        </w:rPr>
        <w:t xml:space="preserve"> (Frontier Citizens), </w:t>
      </w:r>
      <w:r w:rsidRPr="00966429">
        <w:rPr>
          <w:rFonts w:ascii="Palatino Linotype" w:hAnsi="Palatino Linotype"/>
        </w:rPr>
        <w:t>Frontier Communications of the Southwest (</w:t>
      </w:r>
      <w:r w:rsidRPr="00966429" w:rsidR="00A42F80">
        <w:rPr>
          <w:rFonts w:ascii="Palatino Linotype" w:hAnsi="Palatino Linotype"/>
        </w:rPr>
        <w:t>Frontier Southwest</w:t>
      </w:r>
      <w:r w:rsidRPr="00966429">
        <w:rPr>
          <w:rFonts w:ascii="Palatino Linotype" w:hAnsi="Palatino Linotype"/>
        </w:rPr>
        <w:t xml:space="preserve">), </w:t>
      </w:r>
      <w:r w:rsidRPr="00966429" w:rsidR="006F6843">
        <w:rPr>
          <w:rFonts w:ascii="Palatino Linotype" w:hAnsi="Palatino Linotype"/>
        </w:rPr>
        <w:t>Happy Valley</w:t>
      </w:r>
      <w:r w:rsidRPr="00966429">
        <w:rPr>
          <w:rFonts w:ascii="Palatino Linotype" w:hAnsi="Palatino Linotype"/>
        </w:rPr>
        <w:t xml:space="preserve"> Telephone (</w:t>
      </w:r>
      <w:r w:rsidRPr="00966429" w:rsidR="006F6843">
        <w:rPr>
          <w:rFonts w:ascii="Palatino Linotype" w:hAnsi="Palatino Linotype"/>
        </w:rPr>
        <w:t>Happy Valley</w:t>
      </w:r>
      <w:r w:rsidRPr="00966429" w:rsidR="00A42F80">
        <w:rPr>
          <w:rFonts w:ascii="Palatino Linotype" w:hAnsi="Palatino Linotype"/>
        </w:rPr>
        <w:t>)</w:t>
      </w:r>
      <w:r w:rsidRPr="00966429">
        <w:rPr>
          <w:rFonts w:ascii="Palatino Linotype" w:hAnsi="Palatino Linotype"/>
        </w:rPr>
        <w:t xml:space="preserve">, </w:t>
      </w:r>
      <w:r w:rsidRPr="00966429" w:rsidR="006F6843">
        <w:rPr>
          <w:rFonts w:ascii="Palatino Linotype" w:hAnsi="Palatino Linotype"/>
        </w:rPr>
        <w:t xml:space="preserve">Hornitos Telephone (Hornitos), </w:t>
      </w:r>
      <w:r w:rsidRPr="00966429">
        <w:rPr>
          <w:rFonts w:ascii="Palatino Linotype" w:hAnsi="Palatino Linotype"/>
        </w:rPr>
        <w:t xml:space="preserve">and </w:t>
      </w:r>
      <w:r w:rsidRPr="00966429" w:rsidR="006F6843">
        <w:rPr>
          <w:rFonts w:ascii="Palatino Linotype" w:hAnsi="Palatino Linotype"/>
        </w:rPr>
        <w:t>Winterhaven</w:t>
      </w:r>
      <w:r w:rsidRPr="00966429">
        <w:rPr>
          <w:rFonts w:ascii="Palatino Linotype" w:hAnsi="Palatino Linotype"/>
        </w:rPr>
        <w:t xml:space="preserve"> Telephone </w:t>
      </w:r>
      <w:r w:rsidRPr="00966429" w:rsidR="00A42F80">
        <w:rPr>
          <w:rFonts w:ascii="Palatino Linotype" w:hAnsi="Palatino Linotype"/>
        </w:rPr>
        <w:t>(</w:t>
      </w:r>
      <w:r w:rsidRPr="00966429" w:rsidR="006F6843">
        <w:rPr>
          <w:rFonts w:ascii="Palatino Linotype" w:hAnsi="Palatino Linotype"/>
        </w:rPr>
        <w:t>Winterhaven</w:t>
      </w:r>
      <w:r w:rsidRPr="00966429" w:rsidR="00A42F80">
        <w:rPr>
          <w:rFonts w:ascii="Palatino Linotype" w:hAnsi="Palatino Linotype"/>
        </w:rPr>
        <w:t>)</w:t>
      </w:r>
      <w:r w:rsidRPr="00966429">
        <w:rPr>
          <w:rFonts w:ascii="Palatino Linotype" w:hAnsi="Palatino Linotype"/>
          <w:b/>
        </w:rPr>
        <w:t xml:space="preserve"> </w:t>
      </w:r>
      <w:r w:rsidRPr="00966429" w:rsidR="00310E43">
        <w:rPr>
          <w:rFonts w:ascii="Palatino Linotype" w:hAnsi="Palatino Linotype"/>
        </w:rPr>
        <w:t xml:space="preserve">submitted </w:t>
      </w:r>
      <w:r w:rsidRPr="00966429" w:rsidR="00F37E88">
        <w:rPr>
          <w:rFonts w:ascii="Palatino Linotype" w:hAnsi="Palatino Linotype"/>
        </w:rPr>
        <w:t>their</w:t>
      </w:r>
      <w:r w:rsidRPr="00966429" w:rsidR="00310E43">
        <w:rPr>
          <w:rFonts w:ascii="Palatino Linotype" w:hAnsi="Palatino Linotype"/>
        </w:rPr>
        <w:t xml:space="preserve"> quarterly service quality reports for </w:t>
      </w:r>
      <w:r w:rsidRPr="00966429" w:rsidR="00310E43">
        <w:rPr>
          <w:rFonts w:ascii="Palatino Linotype" w:hAnsi="Palatino Linotype"/>
          <w:i/>
        </w:rPr>
        <w:t>Customer Trouble Reports</w:t>
      </w:r>
      <w:r w:rsidRPr="00966429" w:rsidR="00310E43">
        <w:rPr>
          <w:rFonts w:ascii="Palatino Linotype" w:hAnsi="Palatino Linotype"/>
        </w:rPr>
        <w:t xml:space="preserve">, </w:t>
      </w:r>
      <w:r w:rsidRPr="00966429" w:rsidR="00310E43">
        <w:rPr>
          <w:rFonts w:ascii="Palatino Linotype" w:hAnsi="Palatino Linotype"/>
          <w:i/>
        </w:rPr>
        <w:t>Out</w:t>
      </w:r>
      <w:r w:rsidRPr="00966429" w:rsidR="00310E43">
        <w:rPr>
          <w:rFonts w:ascii="Palatino Linotype" w:hAnsi="Palatino Linotype"/>
        </w:rPr>
        <w:t xml:space="preserve"> </w:t>
      </w:r>
      <w:r w:rsidRPr="00966429" w:rsidR="00310E43">
        <w:rPr>
          <w:rFonts w:ascii="Palatino Linotype" w:hAnsi="Palatino Linotype"/>
          <w:i/>
        </w:rPr>
        <w:t>of Service Repair Intervals</w:t>
      </w:r>
      <w:r w:rsidRPr="00966429" w:rsidR="00310E43">
        <w:rPr>
          <w:rFonts w:ascii="Palatino Linotype" w:hAnsi="Palatino Linotype"/>
        </w:rPr>
        <w:t>,</w:t>
      </w:r>
      <w:r w:rsidRPr="00966429" w:rsidR="00284D5E">
        <w:rPr>
          <w:rFonts w:ascii="Palatino Linotype" w:hAnsi="Palatino Linotype"/>
        </w:rPr>
        <w:t xml:space="preserve"> </w:t>
      </w:r>
      <w:r w:rsidRPr="00966429" w:rsidR="00310E43">
        <w:rPr>
          <w:rFonts w:ascii="Palatino Linotype" w:hAnsi="Palatino Linotype"/>
          <w:i/>
        </w:rPr>
        <w:t>Answer Time</w:t>
      </w:r>
      <w:r w:rsidRPr="00966429" w:rsidR="00284D5E">
        <w:rPr>
          <w:rFonts w:ascii="Palatino Linotype" w:hAnsi="Palatino Linotype"/>
          <w:i/>
        </w:rPr>
        <w:t xml:space="preserve">, Installation Interval, </w:t>
      </w:r>
      <w:r w:rsidRPr="00966429" w:rsidR="00284D5E">
        <w:rPr>
          <w:rFonts w:ascii="Palatino Linotype" w:hAnsi="Palatino Linotype"/>
        </w:rPr>
        <w:t>and</w:t>
      </w:r>
      <w:r w:rsidRPr="00966429" w:rsidR="00284D5E">
        <w:rPr>
          <w:rFonts w:ascii="Palatino Linotype" w:hAnsi="Palatino Linotype"/>
          <w:i/>
        </w:rPr>
        <w:t xml:space="preserve"> Installation Commitment</w:t>
      </w:r>
      <w:r w:rsidRPr="00966429" w:rsidR="00310E43">
        <w:rPr>
          <w:rFonts w:ascii="Palatino Linotype" w:hAnsi="Palatino Linotype"/>
        </w:rPr>
        <w:t xml:space="preserve"> standards in accordance with GO 133-D, </w:t>
      </w:r>
      <w:r w:rsidRPr="00966429" w:rsidR="00520FBA">
        <w:rPr>
          <w:rFonts w:ascii="Palatino Linotype" w:hAnsi="Palatino Linotype"/>
        </w:rPr>
        <w:t>§</w:t>
      </w:r>
      <w:r w:rsidRPr="00966429" w:rsidR="00284D5E">
        <w:rPr>
          <w:rFonts w:ascii="Palatino Linotype" w:hAnsi="Palatino Linotype"/>
        </w:rPr>
        <w:t>3</w:t>
      </w:r>
      <w:r w:rsidRPr="00966429" w:rsidR="00310E43">
        <w:rPr>
          <w:rFonts w:ascii="Palatino Linotype" w:hAnsi="Palatino Linotype"/>
        </w:rPr>
        <w:t>.</w:t>
      </w:r>
      <w:r w:rsidRPr="00966429" w:rsidR="00284D5E">
        <w:rPr>
          <w:rStyle w:val="FootnoteReference"/>
          <w:rFonts w:ascii="Palatino Linotype" w:hAnsi="Palatino Linotype"/>
        </w:rPr>
        <w:footnoteReference w:id="6"/>
      </w:r>
      <w:r w:rsidRPr="00966429" w:rsidR="00284D5E">
        <w:rPr>
          <w:rFonts w:ascii="Palatino Linotype" w:hAnsi="Palatino Linotype"/>
        </w:rPr>
        <w:t xml:space="preserve">  The monthly performance</w:t>
      </w:r>
      <w:r w:rsidRPr="00966429" w:rsidR="00F206DE">
        <w:rPr>
          <w:rFonts w:ascii="Palatino Linotype" w:hAnsi="Palatino Linotype"/>
        </w:rPr>
        <w:t xml:space="preserve"> data</w:t>
      </w:r>
      <w:r w:rsidRPr="00966429" w:rsidR="00284D5E">
        <w:rPr>
          <w:rFonts w:ascii="Palatino Linotype" w:hAnsi="Palatino Linotype"/>
        </w:rPr>
        <w:t xml:space="preserve"> compared to the minimum standard levels determine whether a carrier is subject to fine penalties.  Those data </w:t>
      </w:r>
      <w:r w:rsidRPr="00966429" w:rsidR="00F206DE">
        <w:rPr>
          <w:rFonts w:ascii="Palatino Linotype" w:hAnsi="Palatino Linotype"/>
        </w:rPr>
        <w:t xml:space="preserve">results </w:t>
      </w:r>
      <w:r w:rsidRPr="00966429" w:rsidR="00284D5E">
        <w:rPr>
          <w:rFonts w:ascii="Palatino Linotype" w:hAnsi="Palatino Linotype"/>
        </w:rPr>
        <w:t>and a unique scaling factor for each carrier determine the fines, as described below.</w:t>
      </w:r>
    </w:p>
    <w:p w:rsidR="00EF351A" w:rsidP="004B467A" w:rsidRDefault="0051468C" w14:paraId="2DBF4B5B" w14:textId="79EC03B0">
      <w:pPr>
        <w:tabs>
          <w:tab w:val="left" w:pos="3600"/>
        </w:tabs>
        <w:spacing w:before="120" w:after="120"/>
        <w:rPr>
          <w:rFonts w:ascii="Palatino Linotype" w:hAnsi="Palatino Linotype"/>
        </w:rPr>
      </w:pPr>
      <w:r w:rsidRPr="00966429">
        <w:rPr>
          <w:rFonts w:ascii="Palatino Linotype" w:hAnsi="Palatino Linotype"/>
        </w:rPr>
        <w:t>Happy Valley, Hornitos and Winterhaven</w:t>
      </w:r>
      <w:r w:rsidRPr="00966429" w:rsidR="001D399B">
        <w:rPr>
          <w:rFonts w:ascii="Palatino Linotype" w:hAnsi="Palatino Linotype"/>
        </w:rPr>
        <w:t xml:space="preserve"> are eligible to </w:t>
      </w:r>
      <w:r w:rsidRPr="00966429">
        <w:rPr>
          <w:rFonts w:ascii="Palatino Linotype" w:hAnsi="Palatino Linotype"/>
        </w:rPr>
        <w:t>draw funds</w:t>
      </w:r>
      <w:r w:rsidRPr="00966429" w:rsidR="0076220F">
        <w:rPr>
          <w:rFonts w:ascii="Palatino Linotype" w:hAnsi="Palatino Linotype"/>
        </w:rPr>
        <w:t xml:space="preserve"> and participate</w:t>
      </w:r>
      <w:r w:rsidRPr="00966429">
        <w:rPr>
          <w:rFonts w:ascii="Palatino Linotype" w:hAnsi="Palatino Linotype"/>
        </w:rPr>
        <w:t xml:space="preserve"> </w:t>
      </w:r>
      <w:r w:rsidRPr="00966429" w:rsidR="0076220F">
        <w:rPr>
          <w:rFonts w:ascii="Palatino Linotype" w:hAnsi="Palatino Linotype"/>
        </w:rPr>
        <w:t xml:space="preserve">in </w:t>
      </w:r>
      <w:r w:rsidRPr="00966429">
        <w:rPr>
          <w:rFonts w:ascii="Palatino Linotype" w:hAnsi="Palatino Linotype"/>
        </w:rPr>
        <w:t>the California High Cost Fund A</w:t>
      </w:r>
      <w:r w:rsidRPr="00966429" w:rsidR="001D399B">
        <w:rPr>
          <w:rFonts w:ascii="Palatino Linotype" w:hAnsi="Palatino Linotype"/>
        </w:rPr>
        <w:t xml:space="preserve"> (CHCF-A).  </w:t>
      </w:r>
      <w:r w:rsidRPr="00966429" w:rsidR="0076220F">
        <w:rPr>
          <w:rFonts w:ascii="Palatino Linotype" w:hAnsi="Palatino Linotype"/>
        </w:rPr>
        <w:t>However, Happy Valley, Hornitos and Winterhaven</w:t>
      </w:r>
      <w:r w:rsidRPr="00966429" w:rsidR="001D399B">
        <w:rPr>
          <w:rFonts w:ascii="Palatino Linotype" w:hAnsi="Palatino Linotype"/>
        </w:rPr>
        <w:t xml:space="preserve"> </w:t>
      </w:r>
      <w:r w:rsidRPr="00966429" w:rsidR="0076220F">
        <w:rPr>
          <w:rFonts w:ascii="Palatino Linotype" w:hAnsi="Palatino Linotype"/>
        </w:rPr>
        <w:t xml:space="preserve">have chosen </w:t>
      </w:r>
      <w:r w:rsidRPr="00966429" w:rsidR="001D399B">
        <w:rPr>
          <w:rFonts w:ascii="Palatino Linotype" w:hAnsi="Palatino Linotype"/>
        </w:rPr>
        <w:t xml:space="preserve">not </w:t>
      </w:r>
      <w:r w:rsidRPr="00966429" w:rsidR="0076220F">
        <w:rPr>
          <w:rFonts w:ascii="Palatino Linotype" w:hAnsi="Palatino Linotype"/>
        </w:rPr>
        <w:t xml:space="preserve">to </w:t>
      </w:r>
      <w:r w:rsidRPr="00966429" w:rsidR="001D399B">
        <w:rPr>
          <w:rFonts w:ascii="Palatino Linotype" w:hAnsi="Palatino Linotype"/>
        </w:rPr>
        <w:t xml:space="preserve">draw </w:t>
      </w:r>
      <w:r w:rsidRPr="00966429" w:rsidR="0076220F">
        <w:rPr>
          <w:rFonts w:ascii="Palatino Linotype" w:hAnsi="Palatino Linotype"/>
        </w:rPr>
        <w:t xml:space="preserve">from </w:t>
      </w:r>
      <w:r w:rsidRPr="00966429" w:rsidR="001D399B">
        <w:rPr>
          <w:rFonts w:ascii="Palatino Linotype" w:hAnsi="Palatino Linotype"/>
        </w:rPr>
        <w:t>CHCF-A</w:t>
      </w:r>
      <w:r w:rsidRPr="00966429" w:rsidR="0076220F">
        <w:rPr>
          <w:rFonts w:ascii="Palatino Linotype" w:hAnsi="Palatino Linotype"/>
        </w:rPr>
        <w:t>.</w:t>
      </w:r>
    </w:p>
    <w:p w:rsidR="00EF351A" w:rsidRDefault="00EF351A" w14:paraId="6E567A5C" w14:textId="77777777">
      <w:pPr>
        <w:rPr>
          <w:rFonts w:ascii="Palatino Linotype" w:hAnsi="Palatino Linotype"/>
        </w:rPr>
      </w:pPr>
      <w:r>
        <w:rPr>
          <w:rFonts w:ascii="Palatino Linotype" w:hAnsi="Palatino Linotype"/>
        </w:rPr>
        <w:br w:type="page"/>
      </w:r>
    </w:p>
    <w:p w:rsidRPr="00966429" w:rsidR="004B467A" w:rsidP="004B467A" w:rsidRDefault="00A031C6" w14:paraId="34C7F684" w14:textId="44799936">
      <w:pPr>
        <w:numPr>
          <w:ilvl w:val="0"/>
          <w:numId w:val="4"/>
        </w:numPr>
        <w:tabs>
          <w:tab w:val="left" w:pos="360"/>
          <w:tab w:val="left" w:pos="3600"/>
        </w:tabs>
        <w:spacing w:before="120" w:after="120"/>
        <w:ind w:left="360"/>
        <w:rPr>
          <w:rFonts w:ascii="Palatino Linotype" w:hAnsi="Palatino Linotype"/>
          <w:b/>
        </w:rPr>
      </w:pPr>
      <w:r w:rsidRPr="00966429">
        <w:rPr>
          <w:rFonts w:ascii="Palatino Linotype" w:hAnsi="Palatino Linotype"/>
          <w:b/>
        </w:rPr>
        <w:lastRenderedPageBreak/>
        <w:t>201</w:t>
      </w:r>
      <w:r w:rsidRPr="00966429" w:rsidR="00921B34">
        <w:rPr>
          <w:rFonts w:ascii="Palatino Linotype" w:hAnsi="Palatino Linotype"/>
          <w:b/>
        </w:rPr>
        <w:t>8</w:t>
      </w:r>
      <w:r w:rsidRPr="00966429">
        <w:rPr>
          <w:rFonts w:ascii="Palatino Linotype" w:hAnsi="Palatino Linotype"/>
          <w:b/>
        </w:rPr>
        <w:t xml:space="preserve"> </w:t>
      </w:r>
      <w:r w:rsidRPr="00966429" w:rsidR="004B467A">
        <w:rPr>
          <w:rFonts w:ascii="Palatino Linotype" w:hAnsi="Palatino Linotype"/>
          <w:b/>
        </w:rPr>
        <w:t>Scaling Factor</w:t>
      </w:r>
    </w:p>
    <w:p w:rsidRPr="00966429" w:rsidR="004B467A" w:rsidP="004B467A" w:rsidRDefault="00763E51" w14:paraId="764900D7" w14:textId="766DE7A3">
      <w:pPr>
        <w:spacing w:before="120" w:after="120"/>
        <w:rPr>
          <w:rFonts w:ascii="Palatino Linotype" w:hAnsi="Palatino Linotype"/>
        </w:rPr>
      </w:pPr>
      <w:r w:rsidRPr="00966429">
        <w:rPr>
          <w:rFonts w:ascii="Palatino Linotype" w:hAnsi="Palatino Linotype"/>
        </w:rPr>
        <w:t>GO</w:t>
      </w:r>
      <w:r w:rsidRPr="00966429" w:rsidR="004B467A">
        <w:rPr>
          <w:rFonts w:ascii="Palatino Linotype" w:hAnsi="Palatino Linotype"/>
        </w:rPr>
        <w:t xml:space="preserve"> 133-D </w:t>
      </w:r>
      <w:r w:rsidRPr="00966429" w:rsidR="008473CD">
        <w:rPr>
          <w:rFonts w:ascii="Palatino Linotype" w:hAnsi="Palatino Linotype"/>
        </w:rPr>
        <w:t>assigns</w:t>
      </w:r>
      <w:r w:rsidRPr="00966429" w:rsidR="004B467A">
        <w:rPr>
          <w:rFonts w:ascii="Palatino Linotype" w:hAnsi="Palatino Linotype"/>
        </w:rPr>
        <w:t xml:space="preserve"> fine amounts using base values specified in </w:t>
      </w:r>
      <w:r w:rsidRPr="00966429" w:rsidR="00520FBA">
        <w:rPr>
          <w:rFonts w:ascii="Palatino Linotype" w:hAnsi="Palatino Linotype"/>
        </w:rPr>
        <w:t xml:space="preserve">§§ </w:t>
      </w:r>
      <w:r w:rsidRPr="00966429" w:rsidR="004B467A">
        <w:rPr>
          <w:rFonts w:ascii="Palatino Linotype" w:hAnsi="Palatino Linotype"/>
        </w:rPr>
        <w:t>9.3, 9.4, and 9.5, adjusted through a formula expressing the relative size of the carrie</w:t>
      </w:r>
      <w:r w:rsidRPr="00966429">
        <w:rPr>
          <w:rFonts w:ascii="Palatino Linotype" w:hAnsi="Palatino Linotype"/>
        </w:rPr>
        <w:t>r within the California market.</w:t>
      </w:r>
      <w:r w:rsidRPr="00966429" w:rsidR="00EE1864">
        <w:rPr>
          <w:rStyle w:val="FootnoteReference"/>
          <w:rFonts w:ascii="Palatino Linotype" w:hAnsi="Palatino Linotype"/>
        </w:rPr>
        <w:footnoteReference w:id="7"/>
      </w:r>
      <w:r w:rsidRPr="00966429">
        <w:rPr>
          <w:rFonts w:ascii="Palatino Linotype" w:hAnsi="Palatino Linotype"/>
        </w:rPr>
        <w:t xml:space="preserve">  </w:t>
      </w:r>
      <w:r w:rsidRPr="00966429" w:rsidR="004B467A">
        <w:rPr>
          <w:rFonts w:ascii="Palatino Linotype" w:hAnsi="Palatino Linotype"/>
        </w:rPr>
        <w:t xml:space="preserve">The scaling </w:t>
      </w:r>
      <w:r w:rsidRPr="00966429" w:rsidR="00A031C6">
        <w:rPr>
          <w:rFonts w:ascii="Palatino Linotype" w:hAnsi="Palatino Linotype"/>
        </w:rPr>
        <w:t xml:space="preserve">factor </w:t>
      </w:r>
      <w:r w:rsidRPr="00966429" w:rsidR="004B467A">
        <w:rPr>
          <w:rFonts w:ascii="Palatino Linotype" w:hAnsi="Palatino Linotype"/>
        </w:rPr>
        <w:t xml:space="preserve">formula </w:t>
      </w:r>
      <w:r w:rsidRPr="00966429" w:rsidR="00823FB7">
        <w:rPr>
          <w:rFonts w:ascii="Palatino Linotype" w:hAnsi="Palatino Linotype"/>
        </w:rPr>
        <w:t>are</w:t>
      </w:r>
      <w:r w:rsidRPr="00966429" w:rsidR="004B467A">
        <w:rPr>
          <w:rFonts w:ascii="Palatino Linotype" w:hAnsi="Palatino Linotype"/>
        </w:rPr>
        <w:t xml:space="preserve"> as follows:</w:t>
      </w:r>
    </w:p>
    <w:p w:rsidRPr="00966429" w:rsidR="004B467A" w:rsidP="00763E51" w:rsidRDefault="004B467A" w14:paraId="69B21E9B" w14:textId="77777777">
      <w:pPr>
        <w:spacing w:before="120" w:after="120"/>
        <w:ind w:left="720" w:right="810"/>
        <w:rPr>
          <w:rFonts w:ascii="Palatino Linotype" w:hAnsi="Palatino Linotype"/>
        </w:rPr>
      </w:pPr>
      <w:r w:rsidRPr="00966429">
        <w:rPr>
          <w:rFonts w:ascii="Palatino Linotype" w:hAnsi="Palatino Linotype"/>
        </w:rPr>
        <w:t xml:space="preserve">(Carrier’s Access Lines / Total CA Access </w:t>
      </w:r>
      <w:proofErr w:type="gramStart"/>
      <w:r w:rsidRPr="00966429">
        <w:rPr>
          <w:rFonts w:ascii="Palatino Linotype" w:hAnsi="Palatino Linotype"/>
        </w:rPr>
        <w:t xml:space="preserve">Lines) </w:t>
      </w:r>
      <w:r w:rsidRPr="00966429" w:rsidR="009248E0">
        <w:rPr>
          <w:rFonts w:ascii="Palatino Linotype" w:hAnsi="Palatino Linotype"/>
        </w:rPr>
        <w:t xml:space="preserve"> </w:t>
      </w:r>
      <w:r w:rsidRPr="00966429">
        <w:rPr>
          <w:rFonts w:ascii="Palatino Linotype" w:hAnsi="Palatino Linotype"/>
        </w:rPr>
        <w:t>=</w:t>
      </w:r>
      <w:proofErr w:type="gramEnd"/>
      <w:r w:rsidRPr="00966429">
        <w:rPr>
          <w:rFonts w:ascii="Palatino Linotype" w:hAnsi="Palatino Linotype"/>
        </w:rPr>
        <w:t xml:space="preserve"> </w:t>
      </w:r>
      <w:r w:rsidRPr="00966429">
        <w:rPr>
          <w:rFonts w:ascii="Palatino Linotype" w:hAnsi="Palatino Linotype"/>
          <w:b/>
        </w:rPr>
        <w:t>Carrier’s Scaling Factor</w:t>
      </w:r>
    </w:p>
    <w:p w:rsidRPr="00966429" w:rsidR="004B467A" w:rsidP="00763E51" w:rsidRDefault="004B467A" w14:paraId="714D0CBA" w14:textId="23FBD553">
      <w:pPr>
        <w:spacing w:before="120" w:after="120"/>
        <w:ind w:left="720" w:right="810"/>
        <w:rPr>
          <w:rFonts w:ascii="Palatino Linotype" w:hAnsi="Palatino Linotype"/>
        </w:rPr>
      </w:pPr>
      <w:r w:rsidRPr="00966429">
        <w:rPr>
          <w:rFonts w:ascii="Palatino Linotype" w:hAnsi="Palatino Linotype"/>
        </w:rPr>
        <w:t xml:space="preserve">(Carrier’s Scaling Factor) </w:t>
      </w:r>
      <w:r w:rsidRPr="00966429" w:rsidR="00763E51">
        <w:rPr>
          <w:rFonts w:ascii="Palatino Linotype" w:hAnsi="Palatino Linotype"/>
        </w:rPr>
        <w:t>x</w:t>
      </w:r>
      <w:r w:rsidRPr="00966429">
        <w:rPr>
          <w:rFonts w:ascii="Palatino Linotype" w:hAnsi="Palatino Linotype"/>
        </w:rPr>
        <w:t xml:space="preserve"> (Monthly Base Fine per Measure) </w:t>
      </w:r>
      <w:r w:rsidRPr="00966429" w:rsidR="00763E51">
        <w:rPr>
          <w:rFonts w:ascii="Palatino Linotype" w:hAnsi="Palatino Linotype"/>
        </w:rPr>
        <w:t>x</w:t>
      </w:r>
      <w:r w:rsidRPr="00966429">
        <w:rPr>
          <w:rFonts w:ascii="Palatino Linotype" w:hAnsi="Palatino Linotype"/>
        </w:rPr>
        <w:t xml:space="preserve"> (Number of Months </w:t>
      </w:r>
      <w:r w:rsidRPr="00966429" w:rsidR="00154B09">
        <w:rPr>
          <w:rFonts w:ascii="Palatino Linotype" w:hAnsi="Palatino Linotype"/>
        </w:rPr>
        <w:t>in Chronic Failure</w:t>
      </w:r>
      <w:r w:rsidRPr="00966429">
        <w:rPr>
          <w:rFonts w:ascii="Palatino Linotype" w:hAnsi="Palatino Linotype"/>
        </w:rPr>
        <w:t xml:space="preserve">) = </w:t>
      </w:r>
      <w:r w:rsidRPr="00966429">
        <w:rPr>
          <w:rFonts w:ascii="Palatino Linotype" w:hAnsi="Palatino Linotype"/>
          <w:b/>
        </w:rPr>
        <w:t>Fine</w:t>
      </w:r>
    </w:p>
    <w:p w:rsidRPr="00966429" w:rsidR="00F37E88" w:rsidP="00EF351A" w:rsidRDefault="00F37E88" w14:paraId="33EE3568" w14:textId="76668A7B">
      <w:pPr>
        <w:tabs>
          <w:tab w:val="left" w:pos="3600"/>
        </w:tabs>
        <w:rPr>
          <w:rFonts w:ascii="Palatino Linotype" w:hAnsi="Palatino Linotype"/>
        </w:rPr>
      </w:pPr>
    </w:p>
    <w:tbl>
      <w:tblPr>
        <w:tblStyle w:val="TableGrid"/>
        <w:tblW w:w="0" w:type="auto"/>
        <w:tblInd w:w="125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2504"/>
        <w:gridCol w:w="1816"/>
        <w:gridCol w:w="1890"/>
      </w:tblGrid>
      <w:tr w:rsidRPr="00966429" w:rsidR="00C1182A" w:rsidTr="00EF351A" w14:paraId="1AF94985" w14:textId="77777777">
        <w:trPr>
          <w:trHeight w:val="91"/>
        </w:trPr>
        <w:tc>
          <w:tcPr>
            <w:tcW w:w="6210" w:type="dxa"/>
            <w:gridSpan w:val="3"/>
            <w:shd w:val="clear" w:color="auto" w:fill="auto"/>
          </w:tcPr>
          <w:p w:rsidRPr="00EF351A" w:rsidR="00C1182A" w:rsidP="00EA0257" w:rsidRDefault="00C1182A" w14:paraId="3DB31A00" w14:textId="26E4A37B">
            <w:pPr>
              <w:tabs>
                <w:tab w:val="left" w:pos="3600"/>
              </w:tabs>
              <w:spacing w:before="120" w:after="120"/>
              <w:jc w:val="center"/>
              <w:rPr>
                <w:rFonts w:ascii="Palatino Linotype" w:hAnsi="Palatino Linotype"/>
                <w:b/>
                <w:sz w:val="20"/>
                <w:szCs w:val="20"/>
              </w:rPr>
            </w:pPr>
            <w:r w:rsidRPr="00EF351A">
              <w:rPr>
                <w:rFonts w:ascii="Palatino Linotype" w:hAnsi="Palatino Linotype"/>
                <w:b/>
                <w:sz w:val="20"/>
                <w:szCs w:val="20"/>
              </w:rPr>
              <w:t>201</w:t>
            </w:r>
            <w:r w:rsidRPr="00EF351A" w:rsidR="00921B34">
              <w:rPr>
                <w:rFonts w:ascii="Palatino Linotype" w:hAnsi="Palatino Linotype"/>
                <w:b/>
                <w:sz w:val="20"/>
                <w:szCs w:val="20"/>
              </w:rPr>
              <w:t>8</w:t>
            </w:r>
            <w:r w:rsidRPr="00EF351A">
              <w:rPr>
                <w:rFonts w:ascii="Palatino Linotype" w:hAnsi="Palatino Linotype"/>
                <w:b/>
                <w:sz w:val="20"/>
                <w:szCs w:val="20"/>
              </w:rPr>
              <w:t xml:space="preserve"> Working Lines and Scaling Factor for Carriers Paying Fines Under GO 133-D</w:t>
            </w:r>
          </w:p>
        </w:tc>
      </w:tr>
      <w:tr w:rsidRPr="00966429" w:rsidR="00C1182A" w:rsidTr="00EF351A" w14:paraId="3444A5DD" w14:textId="77777777">
        <w:trPr>
          <w:trHeight w:val="90"/>
        </w:trPr>
        <w:tc>
          <w:tcPr>
            <w:tcW w:w="2504" w:type="dxa"/>
            <w:tcBorders>
              <w:bottom w:val="single" w:color="auto" w:sz="6" w:space="0"/>
            </w:tcBorders>
            <w:shd w:val="clear" w:color="auto" w:fill="F2F2F2" w:themeFill="background1" w:themeFillShade="F2"/>
          </w:tcPr>
          <w:p w:rsidRPr="00EF351A" w:rsidR="00C1182A" w:rsidP="00EA0257" w:rsidRDefault="00C1182A" w14:paraId="68862CC9" w14:textId="6F44F9F8">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C</w:t>
            </w:r>
            <w:r w:rsidRPr="00EF351A" w:rsidR="00AE294E">
              <w:rPr>
                <w:rFonts w:ascii="Palatino Linotype" w:hAnsi="Palatino Linotype"/>
                <w:sz w:val="20"/>
                <w:szCs w:val="20"/>
              </w:rPr>
              <w:t>arrier</w:t>
            </w:r>
          </w:p>
        </w:tc>
        <w:tc>
          <w:tcPr>
            <w:tcW w:w="1816" w:type="dxa"/>
            <w:shd w:val="clear" w:color="auto" w:fill="F2F2F2" w:themeFill="background1" w:themeFillShade="F2"/>
          </w:tcPr>
          <w:p w:rsidRPr="00EF351A" w:rsidR="00C1182A" w:rsidP="00EA4607" w:rsidRDefault="00C1182A" w14:paraId="7E710112" w14:textId="0BFAD583">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201</w:t>
            </w:r>
            <w:r w:rsidRPr="00EF351A" w:rsidR="00921B34">
              <w:rPr>
                <w:rFonts w:ascii="Palatino Linotype" w:hAnsi="Palatino Linotype"/>
                <w:sz w:val="20"/>
                <w:szCs w:val="20"/>
              </w:rPr>
              <w:t>8</w:t>
            </w:r>
            <w:r w:rsidRPr="00EF351A">
              <w:rPr>
                <w:rFonts w:ascii="Palatino Linotype" w:hAnsi="Palatino Linotype"/>
                <w:sz w:val="20"/>
                <w:szCs w:val="20"/>
              </w:rPr>
              <w:t xml:space="preserve"> L</w:t>
            </w:r>
            <w:r w:rsidRPr="00EF351A" w:rsidR="00AE294E">
              <w:rPr>
                <w:rFonts w:ascii="Palatino Linotype" w:hAnsi="Palatino Linotype"/>
                <w:sz w:val="20"/>
                <w:szCs w:val="20"/>
              </w:rPr>
              <w:t>ines</w:t>
            </w:r>
          </w:p>
        </w:tc>
        <w:tc>
          <w:tcPr>
            <w:tcW w:w="1890" w:type="dxa"/>
            <w:shd w:val="clear" w:color="auto" w:fill="F2F2F2" w:themeFill="background1" w:themeFillShade="F2"/>
          </w:tcPr>
          <w:p w:rsidRPr="00EF351A" w:rsidR="00C1182A" w:rsidP="00EA0257" w:rsidRDefault="00AE294E" w14:paraId="5042F883" w14:textId="30125800">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Scaling Factor</w:t>
            </w:r>
          </w:p>
        </w:tc>
      </w:tr>
      <w:tr w:rsidRPr="00966429" w:rsidR="00C1182A" w:rsidTr="00EF351A" w14:paraId="36F0E247" w14:textId="77777777">
        <w:trPr>
          <w:trHeight w:val="90"/>
        </w:trPr>
        <w:tc>
          <w:tcPr>
            <w:tcW w:w="2504" w:type="dxa"/>
            <w:shd w:val="clear" w:color="auto" w:fill="F2F2F2" w:themeFill="background1" w:themeFillShade="F2"/>
          </w:tcPr>
          <w:p w:rsidRPr="00EF351A" w:rsidR="00C1182A" w:rsidP="00ED3F5A" w:rsidRDefault="00C1182A" w14:paraId="489BD4D2" w14:textId="4AC6C58D">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AT&amp;T Corp.</w:t>
            </w:r>
          </w:p>
        </w:tc>
        <w:tc>
          <w:tcPr>
            <w:tcW w:w="1816" w:type="dxa"/>
            <w:vAlign w:val="center"/>
          </w:tcPr>
          <w:p w:rsidRPr="00EF351A" w:rsidR="00C1182A" w:rsidP="006C40D3" w:rsidRDefault="00D848D8" w14:paraId="1D404559" w14:textId="63654168">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8,342</w:t>
            </w:r>
          </w:p>
        </w:tc>
        <w:tc>
          <w:tcPr>
            <w:tcW w:w="1890" w:type="dxa"/>
            <w:vAlign w:val="center"/>
          </w:tcPr>
          <w:p w:rsidRPr="00EF351A" w:rsidR="00C1182A" w:rsidP="006C40D3" w:rsidRDefault="00D848D8" w14:paraId="45B11EA1" w14:textId="4D01DFEB">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0.14</w:t>
            </w:r>
            <w:r w:rsidRPr="00EF351A" w:rsidR="00C1182A">
              <w:rPr>
                <w:rFonts w:ascii="Palatino Linotype" w:hAnsi="Palatino Linotype"/>
                <w:sz w:val="20"/>
                <w:szCs w:val="20"/>
              </w:rPr>
              <w:t>%</w:t>
            </w:r>
          </w:p>
        </w:tc>
      </w:tr>
      <w:tr w:rsidRPr="00966429" w:rsidR="00C1182A" w:rsidTr="00EF351A" w14:paraId="26131EDF" w14:textId="77777777">
        <w:trPr>
          <w:trHeight w:val="90"/>
        </w:trPr>
        <w:tc>
          <w:tcPr>
            <w:tcW w:w="2504" w:type="dxa"/>
            <w:shd w:val="clear" w:color="auto" w:fill="F2F2F2" w:themeFill="background1" w:themeFillShade="F2"/>
          </w:tcPr>
          <w:p w:rsidRPr="00EF351A" w:rsidR="00C1182A" w:rsidP="00EA0257" w:rsidRDefault="00921B34" w14:paraId="522584D3" w14:textId="2021DAED">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Frontier Citizens</w:t>
            </w:r>
          </w:p>
        </w:tc>
        <w:tc>
          <w:tcPr>
            <w:tcW w:w="1816" w:type="dxa"/>
            <w:vAlign w:val="center"/>
          </w:tcPr>
          <w:p w:rsidRPr="00EF351A" w:rsidR="00C1182A" w:rsidP="006C40D3" w:rsidRDefault="00D848D8" w14:paraId="046573FD" w14:textId="071ABC1F">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73,152</w:t>
            </w:r>
          </w:p>
        </w:tc>
        <w:tc>
          <w:tcPr>
            <w:tcW w:w="1890" w:type="dxa"/>
            <w:vAlign w:val="center"/>
          </w:tcPr>
          <w:p w:rsidRPr="00EF351A" w:rsidR="00C1182A" w:rsidP="006C40D3" w:rsidRDefault="00D848D8" w14:paraId="431F6283" w14:textId="58C10F3E">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1.24</w:t>
            </w:r>
            <w:r w:rsidRPr="00EF351A" w:rsidR="00C1182A">
              <w:rPr>
                <w:rFonts w:ascii="Palatino Linotype" w:hAnsi="Palatino Linotype"/>
                <w:sz w:val="20"/>
                <w:szCs w:val="20"/>
              </w:rPr>
              <w:t>%</w:t>
            </w:r>
          </w:p>
        </w:tc>
      </w:tr>
      <w:tr w:rsidRPr="00966429" w:rsidR="00C1182A" w:rsidTr="00EF351A" w14:paraId="5B720FFF" w14:textId="77777777">
        <w:trPr>
          <w:trHeight w:val="91"/>
        </w:trPr>
        <w:tc>
          <w:tcPr>
            <w:tcW w:w="2504" w:type="dxa"/>
            <w:shd w:val="clear" w:color="auto" w:fill="F2F2F2" w:themeFill="background1" w:themeFillShade="F2"/>
          </w:tcPr>
          <w:p w:rsidRPr="00EF351A" w:rsidR="00C1182A" w:rsidP="00EA0257" w:rsidRDefault="00921B34" w14:paraId="46941E56" w14:textId="169E02AF">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Frontier Southwest</w:t>
            </w:r>
          </w:p>
        </w:tc>
        <w:tc>
          <w:tcPr>
            <w:tcW w:w="1816" w:type="dxa"/>
            <w:vAlign w:val="center"/>
          </w:tcPr>
          <w:p w:rsidRPr="00EF351A" w:rsidR="00C1182A" w:rsidP="006C40D3" w:rsidRDefault="00D848D8" w14:paraId="3B5CB477" w14:textId="59B63845">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5,176</w:t>
            </w:r>
          </w:p>
        </w:tc>
        <w:tc>
          <w:tcPr>
            <w:tcW w:w="1890" w:type="dxa"/>
            <w:vAlign w:val="center"/>
          </w:tcPr>
          <w:p w:rsidRPr="00EF351A" w:rsidR="00C1182A" w:rsidP="006C40D3" w:rsidRDefault="00D848D8" w14:paraId="6E84104B" w14:textId="6429705A">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0.09</w:t>
            </w:r>
            <w:r w:rsidRPr="00EF351A" w:rsidR="00C1182A">
              <w:rPr>
                <w:rFonts w:ascii="Palatino Linotype" w:hAnsi="Palatino Linotype"/>
                <w:sz w:val="20"/>
                <w:szCs w:val="20"/>
              </w:rPr>
              <w:t>%</w:t>
            </w:r>
          </w:p>
        </w:tc>
      </w:tr>
      <w:tr w:rsidRPr="00966429" w:rsidR="00C1182A" w:rsidTr="00EF351A" w14:paraId="40637955" w14:textId="77777777">
        <w:trPr>
          <w:trHeight w:val="204"/>
        </w:trPr>
        <w:tc>
          <w:tcPr>
            <w:tcW w:w="2504" w:type="dxa"/>
            <w:shd w:val="clear" w:color="auto" w:fill="F2F2F2" w:themeFill="background1" w:themeFillShade="F2"/>
          </w:tcPr>
          <w:p w:rsidRPr="00EF351A" w:rsidR="00C1182A" w:rsidP="00EA0257" w:rsidRDefault="00921B34" w14:paraId="41DC8221" w14:textId="35CA803B">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Happy Valley</w:t>
            </w:r>
          </w:p>
        </w:tc>
        <w:tc>
          <w:tcPr>
            <w:tcW w:w="1816" w:type="dxa"/>
            <w:vAlign w:val="center"/>
          </w:tcPr>
          <w:p w:rsidRPr="00EF351A" w:rsidR="00C1182A" w:rsidP="006C40D3" w:rsidRDefault="00D848D8" w14:paraId="4378F352" w14:textId="63668109">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2,168</w:t>
            </w:r>
          </w:p>
        </w:tc>
        <w:tc>
          <w:tcPr>
            <w:tcW w:w="1890" w:type="dxa"/>
            <w:vAlign w:val="center"/>
          </w:tcPr>
          <w:p w:rsidRPr="00EF351A" w:rsidR="00C1182A" w:rsidP="006C40D3" w:rsidRDefault="00D848D8" w14:paraId="121B67A2" w14:textId="78B37585">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0.04</w:t>
            </w:r>
            <w:r w:rsidRPr="00EF351A" w:rsidR="00C1182A">
              <w:rPr>
                <w:rFonts w:ascii="Palatino Linotype" w:hAnsi="Palatino Linotype"/>
                <w:sz w:val="20"/>
                <w:szCs w:val="20"/>
              </w:rPr>
              <w:t>%</w:t>
            </w:r>
          </w:p>
        </w:tc>
      </w:tr>
      <w:tr w:rsidRPr="00966429" w:rsidR="00921B34" w:rsidTr="00EF351A" w14:paraId="47DE742C" w14:textId="77777777">
        <w:trPr>
          <w:trHeight w:val="204"/>
        </w:trPr>
        <w:tc>
          <w:tcPr>
            <w:tcW w:w="2504" w:type="dxa"/>
            <w:shd w:val="clear" w:color="auto" w:fill="F2F2F2" w:themeFill="background1" w:themeFillShade="F2"/>
          </w:tcPr>
          <w:p w:rsidRPr="00EF351A" w:rsidR="00921B34" w:rsidP="00EA0257" w:rsidRDefault="00921B34" w14:paraId="5345CE8F" w14:textId="44216991">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Hornitos</w:t>
            </w:r>
          </w:p>
        </w:tc>
        <w:tc>
          <w:tcPr>
            <w:tcW w:w="1816" w:type="dxa"/>
            <w:vAlign w:val="center"/>
          </w:tcPr>
          <w:p w:rsidRPr="00EF351A" w:rsidR="00921B34" w:rsidP="006C40D3" w:rsidRDefault="00D848D8" w14:paraId="38122D13" w14:textId="7E2C9ACD">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423</w:t>
            </w:r>
          </w:p>
        </w:tc>
        <w:tc>
          <w:tcPr>
            <w:tcW w:w="1890" w:type="dxa"/>
            <w:vAlign w:val="center"/>
          </w:tcPr>
          <w:p w:rsidRPr="00EF351A" w:rsidR="00921B34" w:rsidP="006C40D3" w:rsidRDefault="00D848D8" w14:paraId="2C5805AC" w14:textId="71BE025C">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0.01%</w:t>
            </w:r>
          </w:p>
        </w:tc>
      </w:tr>
      <w:tr w:rsidRPr="00966429" w:rsidR="00921B34" w:rsidTr="00EF351A" w14:paraId="5ABEFC0E" w14:textId="77777777">
        <w:trPr>
          <w:trHeight w:val="204"/>
        </w:trPr>
        <w:tc>
          <w:tcPr>
            <w:tcW w:w="2504" w:type="dxa"/>
            <w:shd w:val="clear" w:color="auto" w:fill="F2F2F2" w:themeFill="background1" w:themeFillShade="F2"/>
          </w:tcPr>
          <w:p w:rsidRPr="00EF351A" w:rsidR="00921B34" w:rsidP="00EA0257" w:rsidRDefault="00921B34" w14:paraId="65B24FF0" w14:textId="2B1ACE5D">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Winterhaven</w:t>
            </w:r>
          </w:p>
        </w:tc>
        <w:tc>
          <w:tcPr>
            <w:tcW w:w="1816" w:type="dxa"/>
            <w:vAlign w:val="center"/>
          </w:tcPr>
          <w:p w:rsidRPr="00EF351A" w:rsidR="00921B34" w:rsidP="006C40D3" w:rsidRDefault="00D848D8" w14:paraId="04B19C3B" w14:textId="230ED882">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580</w:t>
            </w:r>
          </w:p>
        </w:tc>
        <w:tc>
          <w:tcPr>
            <w:tcW w:w="1890" w:type="dxa"/>
            <w:vAlign w:val="center"/>
          </w:tcPr>
          <w:p w:rsidRPr="00EF351A" w:rsidR="00921B34" w:rsidP="006C40D3" w:rsidRDefault="00D848D8" w14:paraId="2CC34872" w14:textId="451F4E49">
            <w:pPr>
              <w:tabs>
                <w:tab w:val="left" w:pos="3600"/>
              </w:tabs>
              <w:spacing w:before="120" w:after="120"/>
              <w:jc w:val="center"/>
              <w:rPr>
                <w:rFonts w:ascii="Palatino Linotype" w:hAnsi="Palatino Linotype"/>
                <w:sz w:val="20"/>
                <w:szCs w:val="20"/>
              </w:rPr>
            </w:pPr>
            <w:r w:rsidRPr="00EF351A">
              <w:rPr>
                <w:rFonts w:ascii="Palatino Linotype" w:hAnsi="Palatino Linotype"/>
                <w:sz w:val="20"/>
                <w:szCs w:val="20"/>
              </w:rPr>
              <w:t>0.01%</w:t>
            </w:r>
          </w:p>
        </w:tc>
      </w:tr>
    </w:tbl>
    <w:p w:rsidRPr="00966429" w:rsidR="00C1182A" w:rsidP="00C1182A" w:rsidRDefault="00C1182A" w14:paraId="433296A8" w14:textId="77777777">
      <w:pPr>
        <w:rPr>
          <w:rFonts w:ascii="Palatino Linotype" w:hAnsi="Palatino Linotype"/>
        </w:rPr>
      </w:pPr>
    </w:p>
    <w:p w:rsidRPr="00966429" w:rsidR="004B467A" w:rsidP="004B467A" w:rsidRDefault="004B467A" w14:paraId="3329C47E" w14:textId="77777777">
      <w:pPr>
        <w:numPr>
          <w:ilvl w:val="0"/>
          <w:numId w:val="4"/>
        </w:numPr>
        <w:tabs>
          <w:tab w:val="left" w:pos="360"/>
          <w:tab w:val="left" w:pos="3600"/>
        </w:tabs>
        <w:spacing w:before="120" w:after="120"/>
        <w:ind w:left="360"/>
        <w:rPr>
          <w:rFonts w:ascii="Palatino Linotype" w:hAnsi="Palatino Linotype"/>
          <w:b/>
        </w:rPr>
      </w:pPr>
      <w:r w:rsidRPr="00966429">
        <w:rPr>
          <w:rFonts w:ascii="Palatino Linotype" w:hAnsi="Palatino Linotype"/>
          <w:b/>
        </w:rPr>
        <w:t>GO-133-D Standards</w:t>
      </w:r>
    </w:p>
    <w:p w:rsidRPr="00966429" w:rsidR="004B467A" w:rsidP="004B467A" w:rsidRDefault="004B467A" w14:paraId="6463EDD0" w14:textId="77777777">
      <w:pPr>
        <w:numPr>
          <w:ilvl w:val="0"/>
          <w:numId w:val="5"/>
        </w:numPr>
        <w:tabs>
          <w:tab w:val="left" w:pos="720"/>
        </w:tabs>
        <w:spacing w:before="120" w:after="120"/>
        <w:ind w:left="720"/>
        <w:rPr>
          <w:rFonts w:ascii="Palatino Linotype" w:hAnsi="Palatino Linotype"/>
          <w:b/>
          <w:i/>
          <w:u w:val="single"/>
        </w:rPr>
      </w:pPr>
      <w:r w:rsidRPr="00966429">
        <w:rPr>
          <w:rFonts w:ascii="Palatino Linotype" w:hAnsi="Palatino Linotype"/>
          <w:b/>
          <w:i/>
          <w:u w:val="single"/>
        </w:rPr>
        <w:t>Out of Service Repair Interval</w:t>
      </w:r>
    </w:p>
    <w:p w:rsidRPr="00966429" w:rsidR="0039325E" w:rsidP="004B467A" w:rsidRDefault="009248E0" w14:paraId="68A72ECF" w14:textId="203899A0">
      <w:pPr>
        <w:spacing w:before="120" w:after="120"/>
        <w:rPr>
          <w:rFonts w:ascii="Palatino Linotype" w:hAnsi="Palatino Linotype"/>
        </w:rPr>
      </w:pPr>
      <w:r w:rsidRPr="00966429">
        <w:rPr>
          <w:rFonts w:ascii="Palatino Linotype" w:hAnsi="Palatino Linotype"/>
        </w:rPr>
        <w:t xml:space="preserve">The </w:t>
      </w:r>
      <w:r w:rsidRPr="00966429" w:rsidR="004B467A">
        <w:rPr>
          <w:rFonts w:ascii="Palatino Linotype" w:hAnsi="Palatino Linotype"/>
          <w:i/>
        </w:rPr>
        <w:t>Out of Service Repair Interva</w:t>
      </w:r>
      <w:r w:rsidRPr="00966429" w:rsidR="00C631AB">
        <w:rPr>
          <w:rFonts w:ascii="Palatino Linotype" w:hAnsi="Palatino Linotype"/>
          <w:i/>
        </w:rPr>
        <w:t xml:space="preserve">l, </w:t>
      </w:r>
      <w:r w:rsidRPr="00966429" w:rsidR="00C631AB">
        <w:rPr>
          <w:rFonts w:ascii="Palatino Linotype" w:hAnsi="Palatino Linotype"/>
        </w:rPr>
        <w:t xml:space="preserve">defined in § 3.4, </w:t>
      </w:r>
      <w:r w:rsidRPr="00966429" w:rsidR="004B467A">
        <w:rPr>
          <w:rFonts w:ascii="Palatino Linotype" w:hAnsi="Palatino Linotype"/>
        </w:rPr>
        <w:t xml:space="preserve">measures </w:t>
      </w:r>
      <w:r w:rsidRPr="00966429" w:rsidR="0039325E">
        <w:rPr>
          <w:rFonts w:ascii="Palatino Linotype" w:hAnsi="Palatino Linotype"/>
        </w:rPr>
        <w:t xml:space="preserve">the average interval between the time a carrier responds to out of service trouble reports and the restoration of the customer’s service.  A carrier measures its average interval by taking the sum of the total number of out of service repair tickets restored within 24 hours and dividing by the total </w:t>
      </w:r>
      <w:r w:rsidRPr="00966429" w:rsidR="0039325E">
        <w:rPr>
          <w:rFonts w:ascii="Palatino Linotype" w:hAnsi="Palatino Linotype"/>
        </w:rPr>
        <w:lastRenderedPageBreak/>
        <w:t>number of reports received.</w:t>
      </w:r>
      <w:r w:rsidRPr="00966429" w:rsidR="0072547C">
        <w:rPr>
          <w:rFonts w:ascii="Palatino Linotype" w:hAnsi="Palatino Linotype" w:eastAsia="Calibri"/>
        </w:rPr>
        <w:t xml:space="preserve">  </w:t>
      </w:r>
      <w:r w:rsidRPr="00966429" w:rsidR="0072547C">
        <w:rPr>
          <w:rFonts w:ascii="Palatino Linotype" w:hAnsi="Palatino Linotype"/>
        </w:rPr>
        <w:t xml:space="preserve">The Minimum Standard Reporting Level for the </w:t>
      </w:r>
      <w:r w:rsidRPr="00966429" w:rsidR="001F7895">
        <w:rPr>
          <w:rFonts w:ascii="Palatino Linotype" w:hAnsi="Palatino Linotype"/>
          <w:i/>
        </w:rPr>
        <w:t>Out of Service Repair Interval</w:t>
      </w:r>
      <w:r w:rsidRPr="00966429" w:rsidR="001F7895">
        <w:rPr>
          <w:rFonts w:ascii="Palatino Linotype" w:hAnsi="Palatino Linotype"/>
        </w:rPr>
        <w:t xml:space="preserve"> </w:t>
      </w:r>
      <w:r w:rsidRPr="00966429" w:rsidR="0072547C">
        <w:rPr>
          <w:rFonts w:ascii="Palatino Linotype" w:hAnsi="Palatino Linotype"/>
        </w:rPr>
        <w:t>is 90% of outages restored within 24 hours or less</w:t>
      </w:r>
      <w:r w:rsidRPr="00966429" w:rsidR="009F25FF">
        <w:rPr>
          <w:rFonts w:ascii="Palatino Linotype" w:hAnsi="Palatino Linotype"/>
        </w:rPr>
        <w:t>.</w:t>
      </w:r>
    </w:p>
    <w:p w:rsidRPr="00966429" w:rsidR="004B467A" w:rsidP="004B467A" w:rsidRDefault="00D57FA9" w14:paraId="70BBAAC4" w14:textId="75B2B342">
      <w:pPr>
        <w:spacing w:before="120" w:after="120"/>
        <w:rPr>
          <w:rFonts w:ascii="Palatino Linotype" w:hAnsi="Palatino Linotype"/>
        </w:rPr>
      </w:pPr>
      <w:r w:rsidRPr="00966429">
        <w:rPr>
          <w:rFonts w:ascii="Palatino Linotype" w:hAnsi="Palatino Linotype"/>
        </w:rPr>
        <w:t>The fine structure is</w:t>
      </w:r>
      <w:r w:rsidRPr="00966429" w:rsidR="004B467A">
        <w:rPr>
          <w:rFonts w:ascii="Palatino Linotype" w:hAnsi="Palatino Linotype"/>
        </w:rPr>
        <w:t xml:space="preserve"> as follows:</w:t>
      </w:r>
    </w:p>
    <w:p w:rsidRPr="00252BB1" w:rsidR="00D57FA9" w:rsidP="00921B34" w:rsidRDefault="00D57FA9" w14:paraId="4FD0340E" w14:textId="3D0F05E4">
      <w:pPr>
        <w:rPr>
          <w:rFonts w:ascii="Palatino Linotype" w:hAnsi="Palatino Linotype"/>
          <w:sz w:val="20"/>
          <w:szCs w:val="20"/>
        </w:rPr>
      </w:pPr>
    </w:p>
    <w:tbl>
      <w:tblPr>
        <w:tblW w:w="7735" w:type="dxa"/>
        <w:jc w:val="center"/>
        <w:tblCellMar>
          <w:left w:w="0" w:type="dxa"/>
          <w:right w:w="0" w:type="dxa"/>
        </w:tblCellMar>
        <w:tblLook w:val="04A0" w:firstRow="1" w:lastRow="0" w:firstColumn="1" w:lastColumn="0" w:noHBand="0" w:noVBand="1"/>
      </w:tblPr>
      <w:tblGrid>
        <w:gridCol w:w="2219"/>
        <w:gridCol w:w="2546"/>
        <w:gridCol w:w="2970"/>
      </w:tblGrid>
      <w:tr w:rsidRPr="00966429" w:rsidR="004B467A" w:rsidTr="00252BB1" w14:paraId="3AE3FADF" w14:textId="77777777">
        <w:trPr>
          <w:trHeight w:val="163"/>
          <w:jc w:val="center"/>
        </w:trPr>
        <w:tc>
          <w:tcPr>
            <w:tcW w:w="7735" w:type="dxa"/>
            <w:gridSpan w:val="3"/>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hideMark/>
          </w:tcPr>
          <w:p w:rsidRPr="00EF351A" w:rsidR="00982EF5" w:rsidP="00DA0399" w:rsidRDefault="004B467A" w14:paraId="265EE805" w14:textId="77777777">
            <w:pPr>
              <w:jc w:val="center"/>
              <w:rPr>
                <w:rFonts w:ascii="Palatino Linotype" w:hAnsi="Palatino Linotype"/>
                <w:b/>
                <w:bCs/>
                <w:color w:val="000000"/>
                <w:sz w:val="22"/>
                <w:szCs w:val="22"/>
              </w:rPr>
            </w:pPr>
            <w:r w:rsidRPr="00EF351A">
              <w:rPr>
                <w:rFonts w:ascii="Palatino Linotype" w:hAnsi="Palatino Linotype"/>
                <w:b/>
                <w:bCs/>
                <w:color w:val="000000"/>
                <w:sz w:val="22"/>
                <w:szCs w:val="22"/>
              </w:rPr>
              <w:t xml:space="preserve">Base </w:t>
            </w:r>
            <w:r w:rsidRPr="00EF351A">
              <w:rPr>
                <w:rFonts w:ascii="Palatino Linotype" w:hAnsi="Palatino Linotype"/>
                <w:b/>
                <w:bCs/>
                <w:i/>
                <w:color w:val="000000"/>
                <w:sz w:val="22"/>
                <w:szCs w:val="22"/>
              </w:rPr>
              <w:t>Out of Service</w:t>
            </w:r>
            <w:r w:rsidRPr="00EF351A" w:rsidR="00982EF5">
              <w:rPr>
                <w:rFonts w:ascii="Palatino Linotype" w:hAnsi="Palatino Linotype"/>
                <w:b/>
                <w:bCs/>
                <w:i/>
                <w:color w:val="000000"/>
                <w:sz w:val="22"/>
                <w:szCs w:val="22"/>
              </w:rPr>
              <w:t xml:space="preserve"> Repair Interval</w:t>
            </w:r>
            <w:r w:rsidRPr="00EF351A" w:rsidR="00982EF5">
              <w:rPr>
                <w:rFonts w:ascii="Palatino Linotype" w:hAnsi="Palatino Linotype"/>
                <w:b/>
                <w:bCs/>
                <w:color w:val="000000"/>
                <w:sz w:val="22"/>
                <w:szCs w:val="22"/>
              </w:rPr>
              <w:t xml:space="preserve"> Fine,</w:t>
            </w:r>
          </w:p>
          <w:p w:rsidRPr="00EF351A" w:rsidR="004B467A" w:rsidP="00DA0399" w:rsidRDefault="004B467A" w14:paraId="21F7CF9A" w14:textId="38FA19B6">
            <w:pPr>
              <w:jc w:val="center"/>
              <w:rPr>
                <w:rFonts w:ascii="Palatino Linotype" w:hAnsi="Palatino Linotype"/>
                <w:bCs/>
                <w:color w:val="000000"/>
                <w:sz w:val="20"/>
                <w:szCs w:val="20"/>
              </w:rPr>
            </w:pPr>
            <w:r w:rsidRPr="00EF351A">
              <w:rPr>
                <w:rFonts w:ascii="Palatino Linotype" w:hAnsi="Palatino Linotype"/>
                <w:b/>
                <w:bCs/>
                <w:color w:val="000000"/>
                <w:sz w:val="22"/>
                <w:szCs w:val="22"/>
              </w:rPr>
              <w:t>GO 133-D</w:t>
            </w:r>
            <w:r w:rsidRPr="00EF351A" w:rsidR="00520FBA">
              <w:rPr>
                <w:rFonts w:ascii="Palatino Linotype" w:hAnsi="Palatino Linotype"/>
                <w:b/>
                <w:bCs/>
                <w:color w:val="000000"/>
                <w:sz w:val="22"/>
                <w:szCs w:val="22"/>
              </w:rPr>
              <w:t>,</w:t>
            </w:r>
            <w:r w:rsidRPr="00EF351A">
              <w:rPr>
                <w:rFonts w:ascii="Palatino Linotype" w:hAnsi="Palatino Linotype"/>
                <w:b/>
                <w:bCs/>
                <w:color w:val="000000"/>
                <w:sz w:val="22"/>
                <w:szCs w:val="22"/>
              </w:rPr>
              <w:t xml:space="preserve"> Section 9.3</w:t>
            </w:r>
          </w:p>
        </w:tc>
      </w:tr>
      <w:tr w:rsidRPr="00966429" w:rsidR="004B467A" w:rsidTr="00252BB1" w14:paraId="397A413C" w14:textId="77777777">
        <w:trPr>
          <w:trHeight w:val="254"/>
          <w:jc w:val="center"/>
        </w:trPr>
        <w:tc>
          <w:tcPr>
            <w:tcW w:w="2219" w:type="dxa"/>
            <w:tcBorders>
              <w:top w:val="nil"/>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966429" w:rsidR="004B467A" w:rsidP="00DA0399" w:rsidRDefault="004B467A" w14:paraId="571C1221" w14:textId="77777777">
            <w:pPr>
              <w:jc w:val="center"/>
              <w:rPr>
                <w:rFonts w:ascii="Palatino Linotype" w:hAnsi="Palatino Linotype"/>
                <w:bCs/>
                <w:color w:val="000000"/>
              </w:rPr>
            </w:pPr>
          </w:p>
        </w:tc>
        <w:tc>
          <w:tcPr>
            <w:tcW w:w="2546" w:type="dxa"/>
            <w:tcBorders>
              <w:top w:val="nil"/>
              <w:left w:val="nil"/>
              <w:bottom w:val="single" w:color="auto" w:sz="4" w:space="0"/>
              <w:right w:val="single" w:color="auto" w:sz="4" w:space="0"/>
            </w:tcBorders>
            <w:shd w:val="clear" w:color="000000" w:fill="F2F2F2" w:themeFill="background1" w:themeFillShade="F2"/>
            <w:tcMar>
              <w:top w:w="15" w:type="dxa"/>
              <w:left w:w="15" w:type="dxa"/>
              <w:bottom w:w="0" w:type="dxa"/>
              <w:right w:w="15" w:type="dxa"/>
            </w:tcMar>
            <w:vAlign w:val="center"/>
            <w:hideMark/>
          </w:tcPr>
          <w:p w:rsidRPr="00EF351A" w:rsidR="004B467A" w:rsidP="00DA0399" w:rsidRDefault="004B467A" w14:paraId="6AF06303" w14:textId="77777777">
            <w:pPr>
              <w:jc w:val="center"/>
              <w:rPr>
                <w:rFonts w:ascii="Palatino Linotype" w:hAnsi="Palatino Linotype"/>
                <w:bCs/>
                <w:color w:val="000000"/>
                <w:sz w:val="20"/>
                <w:szCs w:val="20"/>
              </w:rPr>
            </w:pPr>
            <w:r w:rsidRPr="00EF351A">
              <w:rPr>
                <w:rFonts w:ascii="Palatino Linotype" w:hAnsi="Palatino Linotype"/>
                <w:bCs/>
                <w:color w:val="000000"/>
                <w:sz w:val="20"/>
                <w:szCs w:val="20"/>
              </w:rPr>
              <w:t>1 or 2 Consecutive Months</w:t>
            </w:r>
            <w:r w:rsidRPr="00EF351A" w:rsidR="00982EF5">
              <w:rPr>
                <w:rFonts w:ascii="Palatino Linotype" w:hAnsi="Palatino Linotype"/>
                <w:bCs/>
                <w:color w:val="000000"/>
                <w:sz w:val="20"/>
                <w:szCs w:val="20"/>
              </w:rPr>
              <w:t xml:space="preserve"> of Standard Not Met</w:t>
            </w:r>
          </w:p>
        </w:tc>
        <w:tc>
          <w:tcPr>
            <w:tcW w:w="2970" w:type="dxa"/>
            <w:tcBorders>
              <w:top w:val="nil"/>
              <w:left w:val="nil"/>
              <w:bottom w:val="single" w:color="auto" w:sz="4" w:space="0"/>
              <w:right w:val="single" w:color="auto" w:sz="4" w:space="0"/>
            </w:tcBorders>
            <w:shd w:val="clear" w:color="000000" w:fill="F2F2F2" w:themeFill="background1" w:themeFillShade="F2"/>
            <w:tcMar>
              <w:top w:w="15" w:type="dxa"/>
              <w:left w:w="15" w:type="dxa"/>
              <w:bottom w:w="0" w:type="dxa"/>
              <w:right w:w="15" w:type="dxa"/>
            </w:tcMar>
            <w:vAlign w:val="center"/>
            <w:hideMark/>
          </w:tcPr>
          <w:p w:rsidRPr="00EF351A" w:rsidR="004B467A" w:rsidP="00DA0399" w:rsidRDefault="004B467A" w14:paraId="231360EE" w14:textId="77777777">
            <w:pPr>
              <w:jc w:val="center"/>
              <w:rPr>
                <w:rFonts w:ascii="Palatino Linotype" w:hAnsi="Palatino Linotype"/>
                <w:bCs/>
                <w:color w:val="000000"/>
                <w:sz w:val="20"/>
                <w:szCs w:val="20"/>
              </w:rPr>
            </w:pPr>
            <w:r w:rsidRPr="00EF351A">
              <w:rPr>
                <w:rFonts w:ascii="Palatino Linotype" w:hAnsi="Palatino Linotype"/>
                <w:bCs/>
                <w:color w:val="000000"/>
                <w:sz w:val="20"/>
                <w:szCs w:val="20"/>
              </w:rPr>
              <w:t>3 or more Consecutive Months</w:t>
            </w:r>
            <w:r w:rsidRPr="00EF351A" w:rsidR="00982EF5">
              <w:rPr>
                <w:rFonts w:ascii="Palatino Linotype" w:hAnsi="Palatino Linotype"/>
                <w:bCs/>
                <w:color w:val="000000"/>
                <w:sz w:val="20"/>
                <w:szCs w:val="20"/>
              </w:rPr>
              <w:t xml:space="preserve"> of Standard Not Met</w:t>
            </w:r>
          </w:p>
        </w:tc>
      </w:tr>
      <w:tr w:rsidRPr="00966429" w:rsidR="004B467A" w:rsidTr="00252BB1" w14:paraId="15B173E0" w14:textId="77777777">
        <w:trPr>
          <w:trHeight w:val="473"/>
          <w:jc w:val="center"/>
        </w:trPr>
        <w:tc>
          <w:tcPr>
            <w:tcW w:w="221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EF351A" w:rsidR="004B467A" w:rsidP="00DA0399" w:rsidRDefault="004B467A" w14:paraId="22256C2C" w14:textId="77777777">
            <w:pPr>
              <w:jc w:val="center"/>
              <w:rPr>
                <w:rFonts w:ascii="Palatino Linotype" w:hAnsi="Palatino Linotype"/>
                <w:bCs/>
                <w:color w:val="000000"/>
                <w:sz w:val="20"/>
                <w:szCs w:val="20"/>
              </w:rPr>
            </w:pPr>
            <w:r w:rsidRPr="00EF351A">
              <w:rPr>
                <w:rFonts w:ascii="Palatino Linotype" w:hAnsi="Palatino Linotype"/>
                <w:bCs/>
                <w:color w:val="000000"/>
                <w:sz w:val="20"/>
                <w:szCs w:val="20"/>
              </w:rPr>
              <w:t>Fine Per Day</w:t>
            </w:r>
          </w:p>
        </w:tc>
        <w:tc>
          <w:tcPr>
            <w:tcW w:w="25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EF351A" w:rsidR="004B467A" w:rsidP="00DA0399" w:rsidRDefault="004B467A" w14:paraId="10B39181" w14:textId="77777777">
            <w:pPr>
              <w:jc w:val="center"/>
              <w:rPr>
                <w:rFonts w:ascii="Palatino Linotype" w:hAnsi="Palatino Linotype"/>
                <w:color w:val="000000"/>
                <w:sz w:val="20"/>
                <w:szCs w:val="20"/>
              </w:rPr>
            </w:pPr>
            <w:r w:rsidRPr="00EF351A">
              <w:rPr>
                <w:rFonts w:ascii="Palatino Linotype" w:hAnsi="Palatino Linotype"/>
                <w:color w:val="000000"/>
                <w:sz w:val="20"/>
                <w:szCs w:val="20"/>
              </w:rPr>
              <w:t>$0 per day</w:t>
            </w:r>
          </w:p>
        </w:tc>
        <w:tc>
          <w:tcPr>
            <w:tcW w:w="29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EF351A" w:rsidR="004B467A" w:rsidP="00DA0399" w:rsidRDefault="004B467A" w14:paraId="53E1BA35" w14:textId="77777777">
            <w:pPr>
              <w:jc w:val="center"/>
              <w:rPr>
                <w:rFonts w:ascii="Palatino Linotype" w:hAnsi="Palatino Linotype"/>
                <w:color w:val="000000"/>
                <w:sz w:val="20"/>
                <w:szCs w:val="20"/>
              </w:rPr>
            </w:pPr>
            <w:r w:rsidRPr="00EF351A">
              <w:rPr>
                <w:rFonts w:ascii="Palatino Linotype" w:hAnsi="Palatino Linotype"/>
                <w:color w:val="000000"/>
                <w:sz w:val="20"/>
                <w:szCs w:val="20"/>
              </w:rPr>
              <w:t>$25,000 per day</w:t>
            </w:r>
          </w:p>
        </w:tc>
      </w:tr>
      <w:tr w:rsidRPr="00966429" w:rsidR="004B467A" w:rsidTr="00252BB1" w14:paraId="0AAC37C9" w14:textId="77777777">
        <w:trPr>
          <w:trHeight w:val="254"/>
          <w:jc w:val="center"/>
        </w:trPr>
        <w:tc>
          <w:tcPr>
            <w:tcW w:w="221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EF351A" w:rsidR="004B467A" w:rsidP="00DA0399" w:rsidRDefault="004B467A" w14:paraId="53B70C13" w14:textId="77777777">
            <w:pPr>
              <w:jc w:val="center"/>
              <w:rPr>
                <w:rFonts w:ascii="Palatino Linotype" w:hAnsi="Palatino Linotype"/>
                <w:bCs/>
                <w:color w:val="000000"/>
                <w:sz w:val="20"/>
                <w:szCs w:val="20"/>
              </w:rPr>
            </w:pPr>
            <w:r w:rsidRPr="00EF351A">
              <w:rPr>
                <w:rFonts w:ascii="Palatino Linotype" w:hAnsi="Palatino Linotype"/>
                <w:bCs/>
                <w:color w:val="000000"/>
                <w:sz w:val="20"/>
                <w:szCs w:val="20"/>
              </w:rPr>
              <w:t>Days in a Month</w:t>
            </w:r>
          </w:p>
          <w:p w:rsidRPr="00EF351A" w:rsidR="004B467A" w:rsidP="00DA0399" w:rsidRDefault="004B467A" w14:paraId="30571B7B" w14:textId="77777777">
            <w:pPr>
              <w:jc w:val="center"/>
              <w:rPr>
                <w:rFonts w:ascii="Palatino Linotype" w:hAnsi="Palatino Linotype"/>
                <w:bCs/>
                <w:color w:val="000000"/>
                <w:sz w:val="20"/>
                <w:szCs w:val="20"/>
              </w:rPr>
            </w:pPr>
            <w:r w:rsidRPr="00EF351A">
              <w:rPr>
                <w:rFonts w:ascii="Palatino Linotype" w:hAnsi="Palatino Linotype"/>
                <w:bCs/>
                <w:color w:val="000000"/>
                <w:sz w:val="20"/>
                <w:szCs w:val="20"/>
              </w:rPr>
              <w:t>(for all months)</w:t>
            </w:r>
          </w:p>
        </w:tc>
        <w:tc>
          <w:tcPr>
            <w:tcW w:w="25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EF351A" w:rsidR="004B467A" w:rsidP="00DA0399" w:rsidRDefault="004B467A" w14:paraId="18C60AB6" w14:textId="77777777">
            <w:pPr>
              <w:jc w:val="center"/>
              <w:rPr>
                <w:rFonts w:ascii="Palatino Linotype" w:hAnsi="Palatino Linotype"/>
                <w:color w:val="000000"/>
                <w:sz w:val="20"/>
                <w:szCs w:val="20"/>
              </w:rPr>
            </w:pPr>
            <w:r w:rsidRPr="00EF351A">
              <w:rPr>
                <w:rFonts w:ascii="Palatino Linotype" w:hAnsi="Palatino Linotype"/>
                <w:color w:val="000000"/>
                <w:sz w:val="20"/>
                <w:szCs w:val="20"/>
              </w:rPr>
              <w:t>30 days</w:t>
            </w:r>
          </w:p>
        </w:tc>
        <w:tc>
          <w:tcPr>
            <w:tcW w:w="29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EF351A" w:rsidR="004B467A" w:rsidP="00DA0399" w:rsidRDefault="004B467A" w14:paraId="0095B778" w14:textId="77777777">
            <w:pPr>
              <w:jc w:val="center"/>
              <w:rPr>
                <w:rFonts w:ascii="Palatino Linotype" w:hAnsi="Palatino Linotype"/>
                <w:color w:val="000000"/>
                <w:sz w:val="20"/>
                <w:szCs w:val="20"/>
              </w:rPr>
            </w:pPr>
            <w:r w:rsidRPr="00EF351A">
              <w:rPr>
                <w:rFonts w:ascii="Palatino Linotype" w:hAnsi="Palatino Linotype"/>
                <w:color w:val="000000"/>
                <w:sz w:val="20"/>
                <w:szCs w:val="20"/>
              </w:rPr>
              <w:t>30 days</w:t>
            </w:r>
          </w:p>
        </w:tc>
      </w:tr>
      <w:tr w:rsidRPr="00966429" w:rsidR="004B467A" w:rsidTr="00252BB1" w14:paraId="533D7A9B" w14:textId="77777777">
        <w:trPr>
          <w:trHeight w:val="506"/>
          <w:jc w:val="center"/>
        </w:trPr>
        <w:tc>
          <w:tcPr>
            <w:tcW w:w="221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EF351A" w:rsidR="004B467A" w:rsidP="00DA0399" w:rsidRDefault="004B467A" w14:paraId="0BE4CE8D" w14:textId="77777777">
            <w:pPr>
              <w:jc w:val="center"/>
              <w:rPr>
                <w:rFonts w:ascii="Palatino Linotype" w:hAnsi="Palatino Linotype"/>
                <w:bCs/>
                <w:color w:val="000000"/>
                <w:sz w:val="20"/>
                <w:szCs w:val="20"/>
              </w:rPr>
            </w:pPr>
            <w:r w:rsidRPr="00EF351A">
              <w:rPr>
                <w:rFonts w:ascii="Palatino Linotype" w:hAnsi="Palatino Linotype"/>
                <w:bCs/>
                <w:color w:val="000000"/>
                <w:sz w:val="20"/>
                <w:szCs w:val="20"/>
              </w:rPr>
              <w:t>Base</w:t>
            </w:r>
          </w:p>
          <w:p w:rsidRPr="00EF351A" w:rsidR="004B467A" w:rsidP="00DA0399" w:rsidRDefault="004B467A" w14:paraId="63D49C7F" w14:textId="77777777">
            <w:pPr>
              <w:jc w:val="center"/>
              <w:rPr>
                <w:rFonts w:ascii="Palatino Linotype" w:hAnsi="Palatino Linotype"/>
                <w:bCs/>
                <w:color w:val="000000"/>
                <w:sz w:val="20"/>
                <w:szCs w:val="20"/>
              </w:rPr>
            </w:pPr>
            <w:r w:rsidRPr="00EF351A">
              <w:rPr>
                <w:rFonts w:ascii="Palatino Linotype" w:hAnsi="Palatino Linotype"/>
                <w:bCs/>
                <w:color w:val="000000"/>
                <w:sz w:val="20"/>
                <w:szCs w:val="20"/>
              </w:rPr>
              <w:t>Fine per Month</w:t>
            </w:r>
          </w:p>
        </w:tc>
        <w:tc>
          <w:tcPr>
            <w:tcW w:w="25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EF351A" w:rsidR="004B467A" w:rsidP="00DA0399" w:rsidRDefault="004B467A" w14:paraId="6E84AF34" w14:textId="77777777">
            <w:pPr>
              <w:jc w:val="center"/>
              <w:rPr>
                <w:rFonts w:ascii="Palatino Linotype" w:hAnsi="Palatino Linotype"/>
                <w:color w:val="000000"/>
                <w:sz w:val="20"/>
                <w:szCs w:val="20"/>
              </w:rPr>
            </w:pPr>
            <w:r w:rsidRPr="00EF351A">
              <w:rPr>
                <w:rFonts w:ascii="Palatino Linotype" w:hAnsi="Palatino Linotype"/>
                <w:color w:val="000000"/>
                <w:sz w:val="20"/>
                <w:szCs w:val="20"/>
              </w:rPr>
              <w:t>$0</w:t>
            </w:r>
          </w:p>
        </w:tc>
        <w:tc>
          <w:tcPr>
            <w:tcW w:w="29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EF351A" w:rsidR="004B467A" w:rsidP="00DA0399" w:rsidRDefault="004B467A" w14:paraId="7342582C" w14:textId="77777777">
            <w:pPr>
              <w:jc w:val="center"/>
              <w:rPr>
                <w:rFonts w:ascii="Palatino Linotype" w:hAnsi="Palatino Linotype"/>
                <w:color w:val="000000"/>
                <w:sz w:val="20"/>
                <w:szCs w:val="20"/>
              </w:rPr>
            </w:pPr>
            <w:r w:rsidRPr="00EF351A">
              <w:rPr>
                <w:rFonts w:ascii="Palatino Linotype" w:hAnsi="Palatino Linotype"/>
                <w:color w:val="000000"/>
                <w:sz w:val="20"/>
                <w:szCs w:val="20"/>
              </w:rPr>
              <w:t>$750,000</w:t>
            </w:r>
            <w:r w:rsidRPr="00EF351A" w:rsidR="00424559">
              <w:rPr>
                <w:rFonts w:ascii="Palatino Linotype" w:hAnsi="Palatino Linotype"/>
                <w:color w:val="000000"/>
                <w:sz w:val="20"/>
                <w:szCs w:val="20"/>
              </w:rPr>
              <w:t xml:space="preserve"> per month</w:t>
            </w:r>
          </w:p>
        </w:tc>
      </w:tr>
    </w:tbl>
    <w:p w:rsidRPr="00966429" w:rsidR="00302DB6" w:rsidP="00252BB1" w:rsidRDefault="00302DB6" w14:paraId="7895786D" w14:textId="77777777">
      <w:pPr>
        <w:tabs>
          <w:tab w:val="left" w:pos="3600"/>
        </w:tabs>
        <w:rPr>
          <w:rFonts w:ascii="Palatino Linotype" w:hAnsi="Palatino Linotype"/>
        </w:rPr>
      </w:pPr>
    </w:p>
    <w:p w:rsidRPr="00966429" w:rsidR="009506DB" w:rsidP="00252BB1" w:rsidRDefault="009506DB" w14:paraId="41935549" w14:textId="54A0ACF9">
      <w:pPr>
        <w:tabs>
          <w:tab w:val="left" w:pos="3600"/>
        </w:tabs>
        <w:spacing w:before="120" w:after="120"/>
        <w:rPr>
          <w:rFonts w:ascii="Palatino Linotype" w:hAnsi="Palatino Linotype"/>
        </w:rPr>
      </w:pPr>
      <w:r w:rsidRPr="00966429">
        <w:rPr>
          <w:rFonts w:ascii="Palatino Linotype" w:hAnsi="Palatino Linotype"/>
        </w:rPr>
        <w:t>AT&amp;T</w:t>
      </w:r>
      <w:r w:rsidRPr="00966429" w:rsidR="00EE25CA">
        <w:rPr>
          <w:rFonts w:ascii="Palatino Linotype" w:hAnsi="Palatino Linotype"/>
        </w:rPr>
        <w:t xml:space="preserve"> Corp.</w:t>
      </w:r>
      <w:r w:rsidRPr="00966429" w:rsidR="00523E6A">
        <w:rPr>
          <w:rFonts w:ascii="Palatino Linotype" w:hAnsi="Palatino Linotype"/>
        </w:rPr>
        <w:t xml:space="preserve">, Frontier </w:t>
      </w:r>
      <w:r w:rsidRPr="00966429" w:rsidR="000D5CDC">
        <w:rPr>
          <w:rFonts w:ascii="Palatino Linotype" w:hAnsi="Palatino Linotype"/>
        </w:rPr>
        <w:t>Citizens, Frontier Southwest,</w:t>
      </w:r>
      <w:r w:rsidRPr="00966429">
        <w:rPr>
          <w:rFonts w:ascii="Palatino Linotype" w:hAnsi="Palatino Linotype"/>
        </w:rPr>
        <w:t xml:space="preserve"> </w:t>
      </w:r>
      <w:r w:rsidRPr="00966429" w:rsidR="004D516E">
        <w:rPr>
          <w:rFonts w:ascii="Palatino Linotype" w:hAnsi="Palatino Linotype"/>
        </w:rPr>
        <w:t xml:space="preserve">Happy Valley, Hornitos, and Winterhaven </w:t>
      </w:r>
      <w:r w:rsidRPr="00966429">
        <w:rPr>
          <w:rFonts w:ascii="Palatino Linotype" w:hAnsi="Palatino Linotype"/>
        </w:rPr>
        <w:t xml:space="preserve">failed to meet the </w:t>
      </w:r>
      <w:r w:rsidRPr="00966429">
        <w:rPr>
          <w:rFonts w:ascii="Palatino Linotype" w:hAnsi="Palatino Linotype"/>
          <w:i/>
        </w:rPr>
        <w:t>Out of Service Repair Interval</w:t>
      </w:r>
      <w:r w:rsidRPr="00966429">
        <w:rPr>
          <w:rFonts w:ascii="Palatino Linotype" w:hAnsi="Palatino Linotype"/>
        </w:rPr>
        <w:t xml:space="preserve"> standard for the following months in 201</w:t>
      </w:r>
      <w:r w:rsidRPr="00966429" w:rsidR="00921B34">
        <w:rPr>
          <w:rFonts w:ascii="Palatino Linotype" w:hAnsi="Palatino Linotype"/>
        </w:rPr>
        <w:t>8</w:t>
      </w:r>
      <w:r w:rsidRPr="00966429" w:rsidR="0076220F">
        <w:rPr>
          <w:rStyle w:val="FootnoteReference"/>
          <w:rFonts w:ascii="Palatino Linotype" w:hAnsi="Palatino Linotype"/>
        </w:rPr>
        <w:footnoteReference w:id="8"/>
      </w:r>
      <w:r w:rsidRPr="00966429">
        <w:rPr>
          <w:rFonts w:ascii="Palatino Linotype" w:hAnsi="Palatino Linotype"/>
        </w:rPr>
        <w:t>:</w:t>
      </w:r>
    </w:p>
    <w:tbl>
      <w:tblPr>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CellMar>
          <w:left w:w="0" w:type="dxa"/>
          <w:right w:w="0" w:type="dxa"/>
        </w:tblCellMar>
        <w:tblLook w:val="04A0" w:firstRow="1" w:lastRow="0" w:firstColumn="1" w:lastColumn="0" w:noHBand="0" w:noVBand="1"/>
      </w:tblPr>
      <w:tblGrid>
        <w:gridCol w:w="1405"/>
        <w:gridCol w:w="734"/>
        <w:gridCol w:w="734"/>
        <w:gridCol w:w="734"/>
        <w:gridCol w:w="734"/>
        <w:gridCol w:w="734"/>
        <w:gridCol w:w="734"/>
        <w:gridCol w:w="734"/>
        <w:gridCol w:w="734"/>
        <w:gridCol w:w="734"/>
        <w:gridCol w:w="734"/>
        <w:gridCol w:w="734"/>
        <w:gridCol w:w="734"/>
      </w:tblGrid>
      <w:tr w:rsidRPr="00966429" w:rsidR="009F2202" w:rsidTr="00252BB1" w14:paraId="38065177" w14:textId="77777777">
        <w:trPr>
          <w:trHeight w:val="259"/>
          <w:jc w:val="center"/>
        </w:trPr>
        <w:tc>
          <w:tcPr>
            <w:tcW w:w="1764" w:type="dxa"/>
            <w:shd w:val="clear" w:color="auto" w:fill="F2F2F2" w:themeFill="background1" w:themeFillShade="F2"/>
          </w:tcPr>
          <w:p w:rsidRPr="00252BB1" w:rsidR="0036206C" w:rsidP="007B0E7D" w:rsidRDefault="0036206C" w14:paraId="05444A5D" w14:textId="77777777">
            <w:pPr>
              <w:jc w:val="center"/>
              <w:rPr>
                <w:rFonts w:ascii="Palatino Linotype" w:hAnsi="Palatino Linotype"/>
                <w:bCs/>
                <w:color w:val="000000"/>
                <w:sz w:val="20"/>
                <w:szCs w:val="20"/>
              </w:rPr>
            </w:pPr>
          </w:p>
        </w:tc>
        <w:tc>
          <w:tcPr>
            <w:tcW w:w="8311" w:type="dxa"/>
            <w:gridSpan w:val="12"/>
            <w:shd w:val="clear" w:color="auto" w:fill="FFFFFF" w:themeFill="background1"/>
            <w:tcMar>
              <w:top w:w="15" w:type="dxa"/>
              <w:left w:w="15" w:type="dxa"/>
              <w:bottom w:w="0" w:type="dxa"/>
              <w:right w:w="15" w:type="dxa"/>
            </w:tcMar>
            <w:vAlign w:val="center"/>
            <w:hideMark/>
          </w:tcPr>
          <w:p w:rsidRPr="00252BB1" w:rsidR="0036206C" w:rsidP="007B0E7D" w:rsidRDefault="0036206C" w14:paraId="3D79ED39" w14:textId="54CCE5FC">
            <w:pPr>
              <w:jc w:val="center"/>
              <w:rPr>
                <w:rFonts w:ascii="Palatino Linotype" w:hAnsi="Palatino Linotype"/>
                <w:b/>
                <w:bCs/>
                <w:color w:val="000000"/>
                <w:sz w:val="20"/>
                <w:szCs w:val="20"/>
              </w:rPr>
            </w:pPr>
            <w:r w:rsidRPr="00252BB1">
              <w:rPr>
                <w:rFonts w:ascii="Palatino Linotype" w:hAnsi="Palatino Linotype"/>
                <w:b/>
                <w:bCs/>
                <w:color w:val="000000"/>
                <w:sz w:val="20"/>
                <w:szCs w:val="20"/>
              </w:rPr>
              <w:t>201</w:t>
            </w:r>
            <w:r w:rsidRPr="00252BB1" w:rsidR="00921B34">
              <w:rPr>
                <w:rFonts w:ascii="Palatino Linotype" w:hAnsi="Palatino Linotype"/>
                <w:b/>
                <w:bCs/>
                <w:color w:val="000000"/>
                <w:sz w:val="20"/>
                <w:szCs w:val="20"/>
              </w:rPr>
              <w:t>8</w:t>
            </w:r>
            <w:r w:rsidRPr="00252BB1">
              <w:rPr>
                <w:rFonts w:ascii="Palatino Linotype" w:hAnsi="Palatino Linotype"/>
                <w:b/>
                <w:bCs/>
                <w:color w:val="000000"/>
                <w:sz w:val="20"/>
                <w:szCs w:val="20"/>
              </w:rPr>
              <w:t xml:space="preserve"> Reporting for </w:t>
            </w:r>
            <w:r w:rsidRPr="00252BB1">
              <w:rPr>
                <w:rFonts w:ascii="Palatino Linotype" w:hAnsi="Palatino Linotype"/>
                <w:b/>
                <w:bCs/>
                <w:i/>
                <w:color w:val="000000"/>
                <w:sz w:val="20"/>
                <w:szCs w:val="20"/>
              </w:rPr>
              <w:t>Out of Service Repair Interval</w:t>
            </w:r>
          </w:p>
          <w:p w:rsidRPr="00252BB1" w:rsidR="0036206C" w:rsidP="007B0E7D" w:rsidRDefault="0036206C" w14:paraId="098E6D5D" w14:textId="40CAD06F">
            <w:pPr>
              <w:jc w:val="center"/>
              <w:rPr>
                <w:rFonts w:ascii="Palatino Linotype" w:hAnsi="Palatino Linotype"/>
                <w:bCs/>
                <w:color w:val="000000"/>
                <w:sz w:val="20"/>
                <w:szCs w:val="20"/>
              </w:rPr>
            </w:pPr>
            <w:r w:rsidRPr="00252BB1">
              <w:rPr>
                <w:rFonts w:ascii="Palatino Linotype" w:hAnsi="Palatino Linotype"/>
                <w:b/>
                <w:bCs/>
                <w:color w:val="000000"/>
                <w:sz w:val="20"/>
                <w:szCs w:val="20"/>
              </w:rPr>
              <w:t>GO 133-D</w:t>
            </w:r>
            <w:r w:rsidRPr="00252BB1" w:rsidR="00520FBA">
              <w:rPr>
                <w:rFonts w:ascii="Palatino Linotype" w:hAnsi="Palatino Linotype"/>
                <w:b/>
                <w:bCs/>
                <w:color w:val="000000"/>
                <w:sz w:val="20"/>
                <w:szCs w:val="20"/>
              </w:rPr>
              <w:t>,</w:t>
            </w:r>
            <w:r w:rsidRPr="00252BB1">
              <w:rPr>
                <w:rFonts w:ascii="Palatino Linotype" w:hAnsi="Palatino Linotype"/>
                <w:b/>
                <w:bCs/>
                <w:color w:val="000000"/>
                <w:sz w:val="20"/>
                <w:szCs w:val="20"/>
              </w:rPr>
              <w:t xml:space="preserve"> Section 3.4 – 90% minimum</w:t>
            </w:r>
          </w:p>
        </w:tc>
      </w:tr>
      <w:tr w:rsidRPr="00966429" w:rsidR="00664920" w:rsidTr="00252BB1" w14:paraId="4D260740" w14:textId="77777777">
        <w:tblPrEx>
          <w:tblCellMar>
            <w:left w:w="108" w:type="dxa"/>
            <w:right w:w="108" w:type="dxa"/>
          </w:tblCellMar>
        </w:tblPrEx>
        <w:trPr>
          <w:trHeight w:val="467"/>
          <w:jc w:val="center"/>
        </w:trPr>
        <w:tc>
          <w:tcPr>
            <w:tcW w:w="1764" w:type="dxa"/>
            <w:shd w:val="clear" w:color="auto" w:fill="F2F2F2" w:themeFill="background1" w:themeFillShade="F2"/>
            <w:vAlign w:val="center"/>
          </w:tcPr>
          <w:p w:rsidRPr="00252BB1" w:rsidR="0036206C" w:rsidP="00252BB1" w:rsidRDefault="0036206C" w14:paraId="65702369" w14:textId="454DB289">
            <w:pPr>
              <w:tabs>
                <w:tab w:val="left" w:pos="3600"/>
              </w:tabs>
              <w:spacing w:before="120" w:after="120"/>
              <w:rPr>
                <w:rFonts w:ascii="Palatino Linotype" w:hAnsi="Palatino Linotype"/>
                <w:color w:val="000000" w:themeColor="text1"/>
              </w:rPr>
            </w:pPr>
          </w:p>
        </w:tc>
        <w:tc>
          <w:tcPr>
            <w:tcW w:w="0" w:type="auto"/>
            <w:tcBorders>
              <w:bottom w:val="single" w:color="auto" w:sz="4" w:space="0"/>
            </w:tcBorders>
            <w:shd w:val="clear" w:color="auto" w:fill="F2F2F2" w:themeFill="background1" w:themeFillShade="F2"/>
            <w:vAlign w:val="center"/>
          </w:tcPr>
          <w:p w:rsidRPr="00252BB1" w:rsidR="0036206C" w:rsidP="00EA4607" w:rsidRDefault="0036206C" w14:paraId="2D6C7389" w14:textId="243F026D">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Jan</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1A0B638A" w14:textId="27E59406">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Feb</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41F66A4B"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Mar</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25588BD3"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Apr</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50F8E98E"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May</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7824C67F"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Jun</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35DFF524"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July</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6BCC3B6B"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Aug</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151073CE"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Sept</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333769F2"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Oct</w:t>
            </w:r>
          </w:p>
        </w:tc>
        <w:tc>
          <w:tcPr>
            <w:tcW w:w="0" w:type="auto"/>
            <w:tcBorders>
              <w:bottom w:val="single" w:color="auto" w:sz="4" w:space="0"/>
            </w:tcBorders>
            <w:shd w:val="clear" w:color="auto" w:fill="F2F2F2" w:themeFill="background1" w:themeFillShade="F2"/>
            <w:vAlign w:val="center"/>
          </w:tcPr>
          <w:p w:rsidRPr="00252BB1" w:rsidR="0036206C" w:rsidP="007B0E7D" w:rsidRDefault="0036206C" w14:paraId="6FE84705"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Nov</w:t>
            </w:r>
          </w:p>
        </w:tc>
        <w:tc>
          <w:tcPr>
            <w:tcW w:w="693" w:type="dxa"/>
            <w:tcBorders>
              <w:bottom w:val="single" w:color="auto" w:sz="4" w:space="0"/>
            </w:tcBorders>
            <w:shd w:val="clear" w:color="auto" w:fill="F2F2F2" w:themeFill="background1" w:themeFillShade="F2"/>
            <w:vAlign w:val="center"/>
          </w:tcPr>
          <w:p w:rsidRPr="00252BB1" w:rsidR="0036206C" w:rsidP="007B0E7D" w:rsidRDefault="0036206C" w14:paraId="3CF9906A" w14:textId="1C91CE01">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Dec</w:t>
            </w:r>
          </w:p>
        </w:tc>
      </w:tr>
      <w:tr w:rsidRPr="00966429" w:rsidR="009F2202" w:rsidTr="00252BB1" w14:paraId="26E17838" w14:textId="77777777">
        <w:tblPrEx>
          <w:tblCellMar>
            <w:left w:w="108" w:type="dxa"/>
            <w:right w:w="108" w:type="dxa"/>
          </w:tblCellMar>
        </w:tblPrEx>
        <w:trPr>
          <w:trHeight w:val="653"/>
          <w:jc w:val="center"/>
        </w:trPr>
        <w:tc>
          <w:tcPr>
            <w:tcW w:w="1764" w:type="dxa"/>
            <w:shd w:val="clear" w:color="auto" w:fill="F2F2F2" w:themeFill="background1" w:themeFillShade="F2"/>
            <w:vAlign w:val="center"/>
          </w:tcPr>
          <w:p w:rsidRPr="00252BB1" w:rsidR="0036206C" w:rsidP="007B0E7D" w:rsidRDefault="0036206C" w14:paraId="46F10CCC" w14:textId="441C3D2C">
            <w:pPr>
              <w:tabs>
                <w:tab w:val="left" w:pos="3600"/>
              </w:tabs>
              <w:spacing w:before="120" w:after="120"/>
              <w:jc w:val="center"/>
              <w:rPr>
                <w:rFonts w:ascii="Palatino Linotype" w:hAnsi="Palatino Linotype"/>
                <w:b/>
                <w:color w:val="000000" w:themeColor="text1"/>
                <w:sz w:val="20"/>
                <w:szCs w:val="20"/>
              </w:rPr>
            </w:pPr>
            <w:r w:rsidRPr="00252BB1">
              <w:rPr>
                <w:rFonts w:ascii="Palatino Linotype" w:hAnsi="Palatino Linotype"/>
                <w:b/>
                <w:color w:val="000000" w:themeColor="text1"/>
                <w:sz w:val="20"/>
                <w:szCs w:val="20"/>
              </w:rPr>
              <w:t>AT&amp;T</w:t>
            </w:r>
            <w:r w:rsidRPr="00252BB1" w:rsidR="000A4BFA">
              <w:rPr>
                <w:rFonts w:ascii="Palatino Linotype" w:hAnsi="Palatino Linotype"/>
                <w:b/>
                <w:color w:val="000000" w:themeColor="text1"/>
                <w:sz w:val="20"/>
                <w:szCs w:val="20"/>
              </w:rPr>
              <w:t xml:space="preserve"> Corp.</w:t>
            </w:r>
          </w:p>
        </w:tc>
        <w:tc>
          <w:tcPr>
            <w:tcW w:w="0" w:type="auto"/>
            <w:shd w:val="clear" w:color="auto" w:fill="FFFFFF" w:themeFill="background1"/>
            <w:vAlign w:val="center"/>
          </w:tcPr>
          <w:p w:rsidRPr="00252BB1" w:rsidR="0036206C" w:rsidP="00523E6A" w:rsidRDefault="009D3850" w14:paraId="71B7E5DA" w14:textId="64FF4659">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50.3%</w:t>
            </w:r>
          </w:p>
        </w:tc>
        <w:tc>
          <w:tcPr>
            <w:tcW w:w="0" w:type="auto"/>
            <w:shd w:val="clear" w:color="auto" w:fill="FFFFFF" w:themeFill="background1"/>
            <w:vAlign w:val="center"/>
          </w:tcPr>
          <w:p w:rsidRPr="00252BB1" w:rsidR="0036206C" w:rsidP="00523E6A" w:rsidRDefault="002448EB" w14:paraId="2884D330" w14:textId="61E4404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67.6%</w:t>
            </w:r>
          </w:p>
        </w:tc>
        <w:tc>
          <w:tcPr>
            <w:tcW w:w="0" w:type="auto"/>
            <w:shd w:val="clear" w:color="auto" w:fill="FFFFFF" w:themeFill="background1"/>
            <w:vAlign w:val="center"/>
          </w:tcPr>
          <w:p w:rsidRPr="00252BB1" w:rsidR="0036206C" w:rsidP="00523E6A" w:rsidRDefault="002448EB" w14:paraId="0AA6B38E" w14:textId="2E77E9D1">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52.7%</w:t>
            </w:r>
          </w:p>
        </w:tc>
        <w:tc>
          <w:tcPr>
            <w:tcW w:w="0" w:type="auto"/>
            <w:shd w:val="clear" w:color="auto" w:fill="FFFFFF" w:themeFill="background1"/>
            <w:vAlign w:val="center"/>
          </w:tcPr>
          <w:p w:rsidRPr="00252BB1" w:rsidR="0036206C" w:rsidP="00523E6A" w:rsidRDefault="002448EB" w14:paraId="3842FD44" w14:textId="7CD561A1">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57.4%</w:t>
            </w:r>
          </w:p>
        </w:tc>
        <w:tc>
          <w:tcPr>
            <w:tcW w:w="0" w:type="auto"/>
            <w:shd w:val="clear" w:color="auto" w:fill="FFFFFF" w:themeFill="background1"/>
            <w:vAlign w:val="center"/>
          </w:tcPr>
          <w:p w:rsidRPr="00252BB1" w:rsidR="0036206C" w:rsidP="00523E6A" w:rsidRDefault="002448EB" w14:paraId="7CFAF9C2" w14:textId="1F0C106A">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73.6%</w:t>
            </w:r>
          </w:p>
        </w:tc>
        <w:tc>
          <w:tcPr>
            <w:tcW w:w="0" w:type="auto"/>
            <w:shd w:val="clear" w:color="auto" w:fill="FFFFFF" w:themeFill="background1"/>
            <w:vAlign w:val="center"/>
          </w:tcPr>
          <w:p w:rsidRPr="00252BB1" w:rsidR="0036206C" w:rsidP="00523E6A" w:rsidRDefault="002448EB" w14:paraId="434C826F" w14:textId="08BF6856">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72.7%</w:t>
            </w:r>
          </w:p>
        </w:tc>
        <w:tc>
          <w:tcPr>
            <w:tcW w:w="0" w:type="auto"/>
            <w:shd w:val="clear" w:color="auto" w:fill="FFFFFF" w:themeFill="background1"/>
            <w:vAlign w:val="center"/>
          </w:tcPr>
          <w:p w:rsidRPr="00252BB1" w:rsidR="0036206C" w:rsidP="00523E6A" w:rsidRDefault="002448EB" w14:paraId="6934B902" w14:textId="5181FD2A">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60.3%</w:t>
            </w:r>
          </w:p>
        </w:tc>
        <w:tc>
          <w:tcPr>
            <w:tcW w:w="0" w:type="auto"/>
            <w:shd w:val="clear" w:color="auto" w:fill="FFFFFF" w:themeFill="background1"/>
            <w:vAlign w:val="center"/>
          </w:tcPr>
          <w:p w:rsidRPr="00252BB1" w:rsidR="0036206C" w:rsidP="00523E6A" w:rsidRDefault="002448EB" w14:paraId="26AA7604" w14:textId="25539FA9">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57.8%</w:t>
            </w:r>
          </w:p>
        </w:tc>
        <w:tc>
          <w:tcPr>
            <w:tcW w:w="0" w:type="auto"/>
            <w:shd w:val="clear" w:color="auto" w:fill="FFFFFF" w:themeFill="background1"/>
            <w:vAlign w:val="center"/>
          </w:tcPr>
          <w:p w:rsidRPr="00252BB1" w:rsidR="0036206C" w:rsidP="00523E6A" w:rsidRDefault="002448EB" w14:paraId="747E4DB1" w14:textId="099A2884">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73.9%</w:t>
            </w:r>
          </w:p>
        </w:tc>
        <w:tc>
          <w:tcPr>
            <w:tcW w:w="0" w:type="auto"/>
            <w:shd w:val="clear" w:color="auto" w:fill="FFFFFF" w:themeFill="background1"/>
            <w:vAlign w:val="center"/>
          </w:tcPr>
          <w:p w:rsidRPr="00252BB1" w:rsidR="0036206C" w:rsidP="00523E6A" w:rsidRDefault="002448EB" w14:paraId="2C778221" w14:textId="0192A347">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60.3%</w:t>
            </w:r>
          </w:p>
        </w:tc>
        <w:tc>
          <w:tcPr>
            <w:tcW w:w="0" w:type="auto"/>
            <w:shd w:val="clear" w:color="auto" w:fill="FFFFFF" w:themeFill="background1"/>
            <w:vAlign w:val="center"/>
          </w:tcPr>
          <w:p w:rsidRPr="00252BB1" w:rsidR="0036206C" w:rsidP="00523E6A" w:rsidRDefault="002448EB" w14:paraId="7FC7E501" w14:textId="5E809EA8">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70.3%</w:t>
            </w:r>
          </w:p>
        </w:tc>
        <w:tc>
          <w:tcPr>
            <w:tcW w:w="693" w:type="dxa"/>
            <w:shd w:val="clear" w:color="auto" w:fill="FFFFFF" w:themeFill="background1"/>
            <w:vAlign w:val="center"/>
          </w:tcPr>
          <w:p w:rsidRPr="00252BB1" w:rsidR="0036206C" w:rsidP="00523E6A" w:rsidRDefault="002448EB" w14:paraId="32A96055" w14:textId="32052C4C">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45.3%</w:t>
            </w:r>
          </w:p>
        </w:tc>
      </w:tr>
      <w:tr w:rsidRPr="00966429" w:rsidR="009F2202" w:rsidTr="00252BB1" w14:paraId="232A51F7" w14:textId="77777777">
        <w:tblPrEx>
          <w:tblCellMar>
            <w:left w:w="108" w:type="dxa"/>
            <w:right w:w="108" w:type="dxa"/>
          </w:tblCellMar>
        </w:tblPrEx>
        <w:trPr>
          <w:trHeight w:val="653"/>
          <w:jc w:val="center"/>
        </w:trPr>
        <w:tc>
          <w:tcPr>
            <w:tcW w:w="1764" w:type="dxa"/>
            <w:shd w:val="clear" w:color="auto" w:fill="F2F2F2" w:themeFill="background1" w:themeFillShade="F2"/>
            <w:vAlign w:val="center"/>
          </w:tcPr>
          <w:p w:rsidRPr="00252BB1" w:rsidR="0036206C" w:rsidP="007B0E7D" w:rsidRDefault="000A4BFA" w14:paraId="535D1071" w14:textId="124B95F1">
            <w:pPr>
              <w:tabs>
                <w:tab w:val="left" w:pos="3600"/>
              </w:tabs>
              <w:spacing w:before="120" w:after="120"/>
              <w:jc w:val="center"/>
              <w:rPr>
                <w:rFonts w:ascii="Palatino Linotype" w:hAnsi="Palatino Linotype"/>
                <w:b/>
                <w:color w:val="000000" w:themeColor="text1"/>
                <w:sz w:val="20"/>
                <w:szCs w:val="20"/>
              </w:rPr>
            </w:pPr>
            <w:r w:rsidRPr="00252BB1">
              <w:rPr>
                <w:rFonts w:ascii="Palatino Linotype" w:hAnsi="Palatino Linotype"/>
                <w:b/>
                <w:color w:val="000000" w:themeColor="text1"/>
                <w:sz w:val="20"/>
                <w:szCs w:val="20"/>
              </w:rPr>
              <w:t>Frontier Citizens</w:t>
            </w:r>
          </w:p>
        </w:tc>
        <w:tc>
          <w:tcPr>
            <w:tcW w:w="0" w:type="auto"/>
            <w:shd w:val="clear" w:color="auto" w:fill="FFFFFF" w:themeFill="background1"/>
            <w:vAlign w:val="center"/>
          </w:tcPr>
          <w:p w:rsidRPr="00252BB1" w:rsidR="0036206C" w:rsidP="00523E6A" w:rsidRDefault="002448EB" w14:paraId="344CA029" w14:textId="7D19FFF9">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80.4%</w:t>
            </w:r>
          </w:p>
        </w:tc>
        <w:tc>
          <w:tcPr>
            <w:tcW w:w="0" w:type="auto"/>
            <w:shd w:val="clear" w:color="auto" w:fill="FFFFFF" w:themeFill="background1"/>
            <w:vAlign w:val="center"/>
          </w:tcPr>
          <w:p w:rsidRPr="00252BB1" w:rsidR="0036206C" w:rsidP="00523E6A" w:rsidRDefault="002448EB" w14:paraId="7AA907F4" w14:textId="336A6C5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84.3%</w:t>
            </w:r>
          </w:p>
        </w:tc>
        <w:tc>
          <w:tcPr>
            <w:tcW w:w="0" w:type="auto"/>
            <w:shd w:val="clear" w:color="auto" w:fill="FFFFFF" w:themeFill="background1"/>
            <w:vAlign w:val="center"/>
          </w:tcPr>
          <w:p w:rsidRPr="00252BB1" w:rsidR="0036206C" w:rsidP="00523E6A" w:rsidRDefault="002448EB" w14:paraId="41A30B49" w14:textId="3483847B">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90.2%</w:t>
            </w:r>
          </w:p>
        </w:tc>
        <w:tc>
          <w:tcPr>
            <w:tcW w:w="0" w:type="auto"/>
            <w:shd w:val="clear" w:color="auto" w:fill="FFFFFF" w:themeFill="background1"/>
            <w:vAlign w:val="center"/>
          </w:tcPr>
          <w:p w:rsidRPr="00252BB1" w:rsidR="0036206C" w:rsidP="00523E6A" w:rsidRDefault="002448EB" w14:paraId="26F4BBB9" w14:textId="303C3177">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75.9%</w:t>
            </w:r>
          </w:p>
        </w:tc>
        <w:tc>
          <w:tcPr>
            <w:tcW w:w="0" w:type="auto"/>
            <w:shd w:val="clear" w:color="auto" w:fill="FFFFFF" w:themeFill="background1"/>
            <w:vAlign w:val="center"/>
          </w:tcPr>
          <w:p w:rsidRPr="00252BB1" w:rsidR="0036206C" w:rsidP="00523E6A" w:rsidRDefault="002448EB" w14:paraId="15D277A2" w14:textId="44C34137">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87.8%</w:t>
            </w:r>
          </w:p>
        </w:tc>
        <w:tc>
          <w:tcPr>
            <w:tcW w:w="0" w:type="auto"/>
            <w:shd w:val="clear" w:color="auto" w:fill="FFFFFF" w:themeFill="background1"/>
            <w:vAlign w:val="center"/>
          </w:tcPr>
          <w:p w:rsidRPr="00252BB1" w:rsidR="0036206C" w:rsidP="00523E6A" w:rsidRDefault="002448EB" w14:paraId="46444A02" w14:textId="10CB28AC">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86.9%</w:t>
            </w:r>
          </w:p>
        </w:tc>
        <w:tc>
          <w:tcPr>
            <w:tcW w:w="0" w:type="auto"/>
            <w:shd w:val="clear" w:color="auto" w:fill="FFFFFF" w:themeFill="background1"/>
            <w:vAlign w:val="center"/>
          </w:tcPr>
          <w:p w:rsidRPr="00252BB1" w:rsidR="0036206C" w:rsidP="00523E6A" w:rsidRDefault="002448EB" w14:paraId="44D8057E" w14:textId="0A459146">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87.5%</w:t>
            </w:r>
          </w:p>
        </w:tc>
        <w:tc>
          <w:tcPr>
            <w:tcW w:w="0" w:type="auto"/>
            <w:shd w:val="clear" w:color="auto" w:fill="FFFFFF" w:themeFill="background1"/>
            <w:vAlign w:val="center"/>
          </w:tcPr>
          <w:p w:rsidRPr="00252BB1" w:rsidR="0036206C" w:rsidP="00523E6A" w:rsidRDefault="002448EB" w14:paraId="2E5799A7" w14:textId="6CC1DD20">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91.3%</w:t>
            </w:r>
          </w:p>
        </w:tc>
        <w:tc>
          <w:tcPr>
            <w:tcW w:w="0" w:type="auto"/>
            <w:shd w:val="clear" w:color="auto" w:fill="FFFFFF" w:themeFill="background1"/>
            <w:vAlign w:val="center"/>
          </w:tcPr>
          <w:p w:rsidRPr="00252BB1" w:rsidR="0036206C" w:rsidP="00523E6A" w:rsidRDefault="002448EB" w14:paraId="71AE5E34" w14:textId="1C838947">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90.1%</w:t>
            </w:r>
          </w:p>
        </w:tc>
        <w:tc>
          <w:tcPr>
            <w:tcW w:w="0" w:type="auto"/>
            <w:shd w:val="clear" w:color="auto" w:fill="FFFFFF" w:themeFill="background1"/>
            <w:vAlign w:val="center"/>
          </w:tcPr>
          <w:p w:rsidRPr="00252BB1" w:rsidR="0036206C" w:rsidP="00523E6A" w:rsidRDefault="002448EB" w14:paraId="4960D61E" w14:textId="2B9DD0AF">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78.7%</w:t>
            </w:r>
          </w:p>
        </w:tc>
        <w:tc>
          <w:tcPr>
            <w:tcW w:w="0" w:type="auto"/>
            <w:shd w:val="clear" w:color="auto" w:fill="FFFFFF" w:themeFill="background1"/>
            <w:vAlign w:val="center"/>
          </w:tcPr>
          <w:p w:rsidRPr="00252BB1" w:rsidR="0036206C" w:rsidP="00523E6A" w:rsidRDefault="002448EB" w14:paraId="23032606" w14:textId="68C71436">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81.9%</w:t>
            </w:r>
          </w:p>
        </w:tc>
        <w:tc>
          <w:tcPr>
            <w:tcW w:w="693" w:type="dxa"/>
            <w:shd w:val="clear" w:color="auto" w:fill="FFFFFF" w:themeFill="background1"/>
            <w:vAlign w:val="center"/>
          </w:tcPr>
          <w:p w:rsidRPr="00252BB1" w:rsidR="0036206C" w:rsidP="00523E6A" w:rsidRDefault="002448EB" w14:paraId="4AD687F3" w14:textId="4EC35877">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71.1%</w:t>
            </w:r>
          </w:p>
        </w:tc>
      </w:tr>
      <w:tr w:rsidRPr="00966429" w:rsidR="000A4BFA" w:rsidTr="00252BB1" w14:paraId="4ED6B931" w14:textId="77777777">
        <w:tblPrEx>
          <w:tblCellMar>
            <w:left w:w="108" w:type="dxa"/>
            <w:right w:w="108" w:type="dxa"/>
          </w:tblCellMar>
        </w:tblPrEx>
        <w:trPr>
          <w:trHeight w:val="653"/>
          <w:jc w:val="center"/>
        </w:trPr>
        <w:tc>
          <w:tcPr>
            <w:tcW w:w="1764" w:type="dxa"/>
            <w:shd w:val="clear" w:color="auto" w:fill="F2F2F2" w:themeFill="background1" w:themeFillShade="F2"/>
            <w:vAlign w:val="center"/>
          </w:tcPr>
          <w:p w:rsidRPr="00252BB1" w:rsidR="000A4BFA" w:rsidP="007B0E7D" w:rsidRDefault="000A4BFA" w14:paraId="2715FBDA" w14:textId="7B004FBB">
            <w:pPr>
              <w:tabs>
                <w:tab w:val="left" w:pos="3600"/>
              </w:tabs>
              <w:spacing w:before="120" w:after="120"/>
              <w:jc w:val="center"/>
              <w:rPr>
                <w:rFonts w:ascii="Palatino Linotype" w:hAnsi="Palatino Linotype"/>
                <w:b/>
                <w:color w:val="000000" w:themeColor="text1"/>
                <w:sz w:val="20"/>
                <w:szCs w:val="20"/>
              </w:rPr>
            </w:pPr>
            <w:r w:rsidRPr="00252BB1">
              <w:rPr>
                <w:rFonts w:ascii="Palatino Linotype" w:hAnsi="Palatino Linotype"/>
                <w:b/>
                <w:color w:val="000000" w:themeColor="text1"/>
                <w:sz w:val="20"/>
                <w:szCs w:val="20"/>
              </w:rPr>
              <w:t>Frontier Southwest</w:t>
            </w:r>
          </w:p>
        </w:tc>
        <w:tc>
          <w:tcPr>
            <w:tcW w:w="0" w:type="auto"/>
            <w:shd w:val="clear" w:color="auto" w:fill="FFFFFF" w:themeFill="background1"/>
            <w:vAlign w:val="center"/>
          </w:tcPr>
          <w:p w:rsidRPr="00252BB1" w:rsidR="000A4BFA" w:rsidP="00523E6A" w:rsidRDefault="002448EB" w14:paraId="116BA9D9" w14:textId="70D96CDC">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w:t>
            </w:r>
            <w:r w:rsidRPr="00252BB1" w:rsidR="00516452">
              <w:rPr>
                <w:rFonts w:ascii="Palatino Linotype" w:hAnsi="Palatino Linotype"/>
                <w:sz w:val="20"/>
                <w:szCs w:val="20"/>
              </w:rPr>
              <w:t>1</w:t>
            </w:r>
            <w:r w:rsidRPr="00252BB1">
              <w:rPr>
                <w:rFonts w:ascii="Palatino Linotype" w:hAnsi="Palatino Linotype"/>
                <w:sz w:val="20"/>
                <w:szCs w:val="20"/>
              </w:rPr>
              <w:t>.3%</w:t>
            </w:r>
          </w:p>
        </w:tc>
        <w:tc>
          <w:tcPr>
            <w:tcW w:w="0" w:type="auto"/>
            <w:shd w:val="clear" w:color="auto" w:fill="FFFFFF" w:themeFill="background1"/>
            <w:vAlign w:val="center"/>
          </w:tcPr>
          <w:p w:rsidRPr="00252BB1" w:rsidR="000A4BFA" w:rsidP="00523E6A" w:rsidRDefault="002448EB" w14:paraId="6A5FA087" w14:textId="5DD05C6A">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92.9%</w:t>
            </w:r>
          </w:p>
        </w:tc>
        <w:tc>
          <w:tcPr>
            <w:tcW w:w="0" w:type="auto"/>
            <w:shd w:val="clear" w:color="auto" w:fill="FFFFFF" w:themeFill="background1"/>
            <w:vAlign w:val="center"/>
          </w:tcPr>
          <w:p w:rsidRPr="00252BB1" w:rsidR="002448EB" w:rsidP="002448EB" w:rsidRDefault="002448EB" w14:paraId="719E4BCF" w14:textId="73B4E02A">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85.4%</w:t>
            </w:r>
          </w:p>
        </w:tc>
        <w:tc>
          <w:tcPr>
            <w:tcW w:w="0" w:type="auto"/>
            <w:shd w:val="clear" w:color="auto" w:fill="FFFFFF" w:themeFill="background1"/>
            <w:vAlign w:val="center"/>
          </w:tcPr>
          <w:p w:rsidRPr="00252BB1" w:rsidR="000A4BFA" w:rsidP="00523E6A" w:rsidRDefault="002448EB" w14:paraId="60CF2C33" w14:textId="2400D91C">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70%</w:t>
            </w:r>
          </w:p>
        </w:tc>
        <w:tc>
          <w:tcPr>
            <w:tcW w:w="0" w:type="auto"/>
            <w:shd w:val="clear" w:color="auto" w:fill="FFFFFF" w:themeFill="background1"/>
            <w:vAlign w:val="center"/>
          </w:tcPr>
          <w:p w:rsidRPr="00252BB1" w:rsidR="000A4BFA" w:rsidP="00523E6A" w:rsidRDefault="002448EB" w14:paraId="06DF7EDE" w14:textId="3AA4934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88%</w:t>
            </w:r>
          </w:p>
        </w:tc>
        <w:tc>
          <w:tcPr>
            <w:tcW w:w="0" w:type="auto"/>
            <w:shd w:val="clear" w:color="auto" w:fill="FFFFFF" w:themeFill="background1"/>
            <w:vAlign w:val="center"/>
          </w:tcPr>
          <w:p w:rsidRPr="00252BB1" w:rsidR="000A4BFA" w:rsidP="00523E6A" w:rsidRDefault="002448EB" w14:paraId="4712B210" w14:textId="604D2E9A">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c>
          <w:tcPr>
            <w:tcW w:w="0" w:type="auto"/>
            <w:shd w:val="clear" w:color="auto" w:fill="FFFFFF" w:themeFill="background1"/>
            <w:vAlign w:val="center"/>
          </w:tcPr>
          <w:p w:rsidRPr="00252BB1" w:rsidR="000A4BFA" w:rsidP="00523E6A" w:rsidRDefault="002448EB" w14:paraId="3345D81F" w14:textId="10AD477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81.3%</w:t>
            </w:r>
          </w:p>
        </w:tc>
        <w:tc>
          <w:tcPr>
            <w:tcW w:w="0" w:type="auto"/>
            <w:shd w:val="clear" w:color="auto" w:fill="FFFFFF" w:themeFill="background1"/>
            <w:vAlign w:val="center"/>
          </w:tcPr>
          <w:p w:rsidRPr="00252BB1" w:rsidR="000A4BFA" w:rsidP="00523E6A" w:rsidRDefault="002448EB" w14:paraId="1980DB9B" w14:textId="2B214472">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81.1%</w:t>
            </w:r>
          </w:p>
        </w:tc>
        <w:tc>
          <w:tcPr>
            <w:tcW w:w="0" w:type="auto"/>
            <w:shd w:val="clear" w:color="auto" w:fill="FFFFFF" w:themeFill="background1"/>
            <w:vAlign w:val="center"/>
          </w:tcPr>
          <w:p w:rsidRPr="00252BB1" w:rsidR="000A4BFA" w:rsidP="00523E6A" w:rsidRDefault="00B42FE3" w14:paraId="7F758194" w14:textId="01DA636B">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w:t>
            </w:r>
            <w:r w:rsidRPr="00252BB1" w:rsidR="000B686E">
              <w:rPr>
                <w:rFonts w:ascii="Palatino Linotype" w:hAnsi="Palatino Linotype"/>
                <w:sz w:val="20"/>
                <w:szCs w:val="20"/>
              </w:rPr>
              <w:t>5.2</w:t>
            </w:r>
            <w:r w:rsidRPr="00252BB1" w:rsidR="002448EB">
              <w:rPr>
                <w:rFonts w:ascii="Palatino Linotype" w:hAnsi="Palatino Linotype"/>
                <w:sz w:val="20"/>
                <w:szCs w:val="20"/>
              </w:rPr>
              <w:t>%</w:t>
            </w:r>
          </w:p>
        </w:tc>
        <w:tc>
          <w:tcPr>
            <w:tcW w:w="0" w:type="auto"/>
            <w:shd w:val="clear" w:color="auto" w:fill="FFFFFF" w:themeFill="background1"/>
            <w:vAlign w:val="center"/>
          </w:tcPr>
          <w:p w:rsidRPr="00252BB1" w:rsidR="000A4BFA" w:rsidP="00523E6A" w:rsidRDefault="002448EB" w14:paraId="59F8F46A" w14:textId="28602FBC">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89.3%</w:t>
            </w:r>
          </w:p>
        </w:tc>
        <w:tc>
          <w:tcPr>
            <w:tcW w:w="0" w:type="auto"/>
            <w:shd w:val="clear" w:color="auto" w:fill="FFFFFF" w:themeFill="background1"/>
            <w:vAlign w:val="center"/>
          </w:tcPr>
          <w:p w:rsidRPr="00252BB1" w:rsidR="000A4BFA" w:rsidP="00523E6A" w:rsidRDefault="002448EB" w14:paraId="3EC564D8" w14:textId="69992859">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93.</w:t>
            </w:r>
            <w:r w:rsidRPr="00252BB1" w:rsidR="00516452">
              <w:rPr>
                <w:rFonts w:ascii="Palatino Linotype" w:hAnsi="Palatino Linotype"/>
                <w:sz w:val="20"/>
                <w:szCs w:val="20"/>
              </w:rPr>
              <w:t>8</w:t>
            </w:r>
            <w:r w:rsidRPr="00252BB1">
              <w:rPr>
                <w:rFonts w:ascii="Palatino Linotype" w:hAnsi="Palatino Linotype"/>
                <w:sz w:val="20"/>
                <w:szCs w:val="20"/>
              </w:rPr>
              <w:t>%</w:t>
            </w:r>
          </w:p>
        </w:tc>
        <w:tc>
          <w:tcPr>
            <w:tcW w:w="693" w:type="dxa"/>
            <w:shd w:val="clear" w:color="auto" w:fill="FFFFFF" w:themeFill="background1"/>
            <w:vAlign w:val="center"/>
          </w:tcPr>
          <w:p w:rsidRPr="00252BB1" w:rsidR="000A4BFA" w:rsidP="00523E6A" w:rsidRDefault="002448EB" w14:paraId="35BA803F" w14:textId="65CBCAF5">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95.5%</w:t>
            </w:r>
          </w:p>
        </w:tc>
      </w:tr>
      <w:tr w:rsidRPr="00966429" w:rsidR="009F2202" w:rsidTr="00252BB1" w14:paraId="249E74B8" w14:textId="77777777">
        <w:tblPrEx>
          <w:tblCellMar>
            <w:left w:w="108" w:type="dxa"/>
            <w:right w:w="108" w:type="dxa"/>
          </w:tblCellMar>
        </w:tblPrEx>
        <w:trPr>
          <w:trHeight w:val="653"/>
          <w:jc w:val="center"/>
        </w:trPr>
        <w:tc>
          <w:tcPr>
            <w:tcW w:w="1764" w:type="dxa"/>
            <w:shd w:val="clear" w:color="auto" w:fill="F2F2F2" w:themeFill="background1" w:themeFillShade="F2"/>
            <w:vAlign w:val="center"/>
          </w:tcPr>
          <w:p w:rsidRPr="00252BB1" w:rsidR="0036206C" w:rsidP="007B0E7D" w:rsidRDefault="000A4BFA" w14:paraId="382E966E" w14:textId="659A47DA">
            <w:pPr>
              <w:tabs>
                <w:tab w:val="left" w:pos="3600"/>
              </w:tabs>
              <w:spacing w:before="120" w:after="120"/>
              <w:jc w:val="center"/>
              <w:rPr>
                <w:rFonts w:ascii="Palatino Linotype" w:hAnsi="Palatino Linotype"/>
                <w:b/>
                <w:color w:val="000000" w:themeColor="text1"/>
                <w:sz w:val="20"/>
                <w:szCs w:val="20"/>
              </w:rPr>
            </w:pPr>
            <w:r w:rsidRPr="00252BB1">
              <w:rPr>
                <w:rFonts w:ascii="Palatino Linotype" w:hAnsi="Palatino Linotype"/>
                <w:b/>
                <w:color w:val="000000" w:themeColor="text1"/>
                <w:sz w:val="20"/>
                <w:szCs w:val="20"/>
              </w:rPr>
              <w:t>Happy Valley</w:t>
            </w:r>
          </w:p>
        </w:tc>
        <w:tc>
          <w:tcPr>
            <w:tcW w:w="0" w:type="auto"/>
            <w:shd w:val="clear" w:color="auto" w:fill="FFFFFF" w:themeFill="background1"/>
            <w:vAlign w:val="center"/>
          </w:tcPr>
          <w:p w:rsidRPr="00252BB1" w:rsidR="0036206C" w:rsidP="00523E6A" w:rsidRDefault="002448EB" w14:paraId="6E4DC08A" w14:textId="7DD62619">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87.</w:t>
            </w:r>
            <w:r w:rsidRPr="00252BB1" w:rsidR="00516452">
              <w:rPr>
                <w:rFonts w:ascii="Palatino Linotype" w:hAnsi="Palatino Linotype"/>
                <w:color w:val="FF0000"/>
                <w:sz w:val="20"/>
                <w:szCs w:val="20"/>
                <w:u w:val="single"/>
              </w:rPr>
              <w:t>5</w:t>
            </w:r>
            <w:r w:rsidRPr="00252BB1">
              <w:rPr>
                <w:rFonts w:ascii="Palatino Linotype" w:hAnsi="Palatino Linotype"/>
                <w:color w:val="FF0000"/>
                <w:sz w:val="20"/>
                <w:szCs w:val="20"/>
                <w:u w:val="single"/>
              </w:rPr>
              <w:t>%</w:t>
            </w:r>
          </w:p>
        </w:tc>
        <w:tc>
          <w:tcPr>
            <w:tcW w:w="0" w:type="auto"/>
            <w:shd w:val="clear" w:color="auto" w:fill="FFFFFF" w:themeFill="background1"/>
            <w:vAlign w:val="center"/>
          </w:tcPr>
          <w:p w:rsidRPr="00252BB1" w:rsidR="0036206C" w:rsidP="00523E6A" w:rsidRDefault="002448EB" w14:paraId="37E07262" w14:textId="5754B5C4">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c>
          <w:tcPr>
            <w:tcW w:w="0" w:type="auto"/>
            <w:shd w:val="clear" w:color="auto" w:fill="FFFFFF" w:themeFill="background1"/>
            <w:vAlign w:val="center"/>
          </w:tcPr>
          <w:p w:rsidRPr="00252BB1" w:rsidR="0036206C" w:rsidP="00523E6A" w:rsidRDefault="002448EB" w14:paraId="3890E402" w14:textId="42015BE1">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c>
          <w:tcPr>
            <w:tcW w:w="0" w:type="auto"/>
            <w:shd w:val="clear" w:color="auto" w:fill="FFFFFF" w:themeFill="background1"/>
            <w:vAlign w:val="center"/>
          </w:tcPr>
          <w:p w:rsidRPr="00252BB1" w:rsidR="0036206C" w:rsidP="00523E6A" w:rsidRDefault="002448EB" w14:paraId="2987E25E" w14:textId="46D79BC0">
            <w:pPr>
              <w:tabs>
                <w:tab w:val="left" w:pos="3600"/>
              </w:tabs>
              <w:spacing w:before="120" w:after="120"/>
              <w:jc w:val="center"/>
              <w:rPr>
                <w:rFonts w:ascii="Palatino Linotype" w:hAnsi="Palatino Linotype"/>
                <w:sz w:val="20"/>
                <w:szCs w:val="20"/>
              </w:rPr>
            </w:pPr>
            <w:r w:rsidRPr="00252BB1">
              <w:rPr>
                <w:rFonts w:ascii="Palatino Linotype" w:hAnsi="Palatino Linotype"/>
                <w:color w:val="FF0000"/>
                <w:sz w:val="20"/>
                <w:szCs w:val="20"/>
              </w:rPr>
              <w:t>75%</w:t>
            </w:r>
          </w:p>
        </w:tc>
        <w:tc>
          <w:tcPr>
            <w:tcW w:w="0" w:type="auto"/>
            <w:shd w:val="clear" w:color="auto" w:fill="FFFFFF" w:themeFill="background1"/>
            <w:vAlign w:val="center"/>
          </w:tcPr>
          <w:p w:rsidRPr="00252BB1" w:rsidR="0036206C" w:rsidP="00523E6A" w:rsidRDefault="002448EB" w14:paraId="5D03E81E" w14:textId="472B410C">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c>
          <w:tcPr>
            <w:tcW w:w="0" w:type="auto"/>
            <w:shd w:val="clear" w:color="auto" w:fill="FFFFFF" w:themeFill="background1"/>
            <w:vAlign w:val="center"/>
          </w:tcPr>
          <w:p w:rsidRPr="00252BB1" w:rsidR="0036206C" w:rsidP="00523E6A" w:rsidRDefault="002448EB" w14:paraId="79ECBB09" w14:textId="0C01ACDF">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69.6%</w:t>
            </w:r>
          </w:p>
        </w:tc>
        <w:tc>
          <w:tcPr>
            <w:tcW w:w="0" w:type="auto"/>
            <w:shd w:val="clear" w:color="auto" w:fill="FFFFFF" w:themeFill="background1"/>
            <w:vAlign w:val="center"/>
          </w:tcPr>
          <w:p w:rsidRPr="00252BB1" w:rsidR="0036206C" w:rsidP="00523E6A" w:rsidRDefault="002448EB" w14:paraId="09D036F1" w14:textId="66FEE75B">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85.7%</w:t>
            </w:r>
          </w:p>
        </w:tc>
        <w:tc>
          <w:tcPr>
            <w:tcW w:w="0" w:type="auto"/>
            <w:shd w:val="clear" w:color="auto" w:fill="FFFFFF" w:themeFill="background1"/>
            <w:vAlign w:val="center"/>
          </w:tcPr>
          <w:p w:rsidRPr="00252BB1" w:rsidR="0036206C" w:rsidP="00523E6A" w:rsidRDefault="002448EB" w14:paraId="13D879F8" w14:textId="54D10FD7">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70.6%</w:t>
            </w:r>
          </w:p>
        </w:tc>
        <w:tc>
          <w:tcPr>
            <w:tcW w:w="0" w:type="auto"/>
            <w:shd w:val="clear" w:color="auto" w:fill="FFFFFF" w:themeFill="background1"/>
            <w:vAlign w:val="center"/>
          </w:tcPr>
          <w:p w:rsidRPr="00252BB1" w:rsidR="0036206C" w:rsidP="00523E6A" w:rsidRDefault="002448EB" w14:paraId="72CBDE55" w14:textId="46353A75">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77.8%</w:t>
            </w:r>
          </w:p>
        </w:tc>
        <w:tc>
          <w:tcPr>
            <w:tcW w:w="0" w:type="auto"/>
            <w:shd w:val="clear" w:color="auto" w:fill="FFFFFF" w:themeFill="background1"/>
            <w:vAlign w:val="center"/>
          </w:tcPr>
          <w:p w:rsidRPr="00252BB1" w:rsidR="0036206C" w:rsidP="00523E6A" w:rsidRDefault="002448EB" w14:paraId="121D4869" w14:textId="2C1A9AC1">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7.69%</w:t>
            </w:r>
          </w:p>
        </w:tc>
        <w:tc>
          <w:tcPr>
            <w:tcW w:w="0" w:type="auto"/>
            <w:shd w:val="clear" w:color="auto" w:fill="FFFFFF" w:themeFill="background1"/>
            <w:vAlign w:val="center"/>
          </w:tcPr>
          <w:p w:rsidRPr="00252BB1" w:rsidR="0036206C" w:rsidP="00523E6A" w:rsidRDefault="002448EB" w14:paraId="086F9C6B" w14:textId="2318B8B5">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c>
          <w:tcPr>
            <w:tcW w:w="693" w:type="dxa"/>
            <w:shd w:val="clear" w:color="auto" w:fill="FFFFFF" w:themeFill="background1"/>
            <w:vAlign w:val="center"/>
          </w:tcPr>
          <w:p w:rsidRPr="00252BB1" w:rsidR="0036206C" w:rsidP="00523E6A" w:rsidRDefault="002448EB" w14:paraId="3CD07828" w14:textId="274F6677">
            <w:pPr>
              <w:tabs>
                <w:tab w:val="left" w:pos="3600"/>
              </w:tabs>
              <w:spacing w:before="120" w:after="120"/>
              <w:jc w:val="center"/>
              <w:rPr>
                <w:rFonts w:ascii="Palatino Linotype" w:hAnsi="Palatino Linotype"/>
                <w:sz w:val="20"/>
                <w:szCs w:val="20"/>
                <w:u w:val="single"/>
              </w:rPr>
            </w:pPr>
            <w:r w:rsidRPr="00252BB1">
              <w:rPr>
                <w:rFonts w:ascii="Palatino Linotype" w:hAnsi="Palatino Linotype"/>
                <w:color w:val="FF0000"/>
                <w:sz w:val="20"/>
                <w:szCs w:val="20"/>
                <w:u w:val="single"/>
              </w:rPr>
              <w:t>85.7%</w:t>
            </w:r>
          </w:p>
        </w:tc>
      </w:tr>
      <w:tr w:rsidRPr="00966429" w:rsidR="009F2202" w:rsidTr="00252BB1" w14:paraId="4F66031A" w14:textId="77777777">
        <w:tblPrEx>
          <w:tblCellMar>
            <w:left w:w="108" w:type="dxa"/>
            <w:right w:w="108" w:type="dxa"/>
          </w:tblCellMar>
        </w:tblPrEx>
        <w:trPr>
          <w:trHeight w:val="653"/>
          <w:jc w:val="center"/>
        </w:trPr>
        <w:tc>
          <w:tcPr>
            <w:tcW w:w="1764" w:type="dxa"/>
            <w:shd w:val="clear" w:color="auto" w:fill="F2F2F2" w:themeFill="background1" w:themeFillShade="F2"/>
            <w:vAlign w:val="center"/>
          </w:tcPr>
          <w:p w:rsidRPr="00252BB1" w:rsidR="0036206C" w:rsidP="007B0E7D" w:rsidRDefault="000A4BFA" w14:paraId="2D87A3EA" w14:textId="2B00DB22">
            <w:pPr>
              <w:tabs>
                <w:tab w:val="left" w:pos="3600"/>
              </w:tabs>
              <w:spacing w:before="120" w:after="120"/>
              <w:jc w:val="center"/>
              <w:rPr>
                <w:rFonts w:ascii="Palatino Linotype" w:hAnsi="Palatino Linotype"/>
                <w:b/>
                <w:color w:val="000000" w:themeColor="text1"/>
                <w:sz w:val="20"/>
                <w:szCs w:val="20"/>
              </w:rPr>
            </w:pPr>
            <w:r w:rsidRPr="00252BB1">
              <w:rPr>
                <w:rFonts w:ascii="Palatino Linotype" w:hAnsi="Palatino Linotype"/>
                <w:b/>
                <w:color w:val="000000" w:themeColor="text1"/>
                <w:sz w:val="20"/>
                <w:szCs w:val="20"/>
              </w:rPr>
              <w:t>Hornitos</w:t>
            </w:r>
          </w:p>
        </w:tc>
        <w:tc>
          <w:tcPr>
            <w:tcW w:w="0" w:type="auto"/>
            <w:shd w:val="clear" w:color="auto" w:fill="FFFFFF" w:themeFill="background1"/>
            <w:vAlign w:val="center"/>
          </w:tcPr>
          <w:p w:rsidRPr="00252BB1" w:rsidR="0036206C" w:rsidP="00523E6A" w:rsidRDefault="002448EB" w14:paraId="47A80573" w14:textId="5DB78015">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83%</w:t>
            </w:r>
          </w:p>
        </w:tc>
        <w:tc>
          <w:tcPr>
            <w:tcW w:w="0" w:type="auto"/>
            <w:shd w:val="clear" w:color="auto" w:fill="FFFFFF" w:themeFill="background1"/>
            <w:vAlign w:val="center"/>
          </w:tcPr>
          <w:p w:rsidRPr="00252BB1" w:rsidR="0036206C" w:rsidP="00523E6A" w:rsidRDefault="002448EB" w14:paraId="13E5E485" w14:textId="13485844">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57%</w:t>
            </w:r>
          </w:p>
        </w:tc>
        <w:tc>
          <w:tcPr>
            <w:tcW w:w="0" w:type="auto"/>
            <w:shd w:val="clear" w:color="auto" w:fill="FFFFFF" w:themeFill="background1"/>
            <w:vAlign w:val="center"/>
          </w:tcPr>
          <w:p w:rsidRPr="00252BB1" w:rsidR="0036206C" w:rsidP="00523E6A" w:rsidRDefault="002448EB" w14:paraId="757C90B0" w14:textId="5F7984BA">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18%</w:t>
            </w:r>
          </w:p>
        </w:tc>
        <w:tc>
          <w:tcPr>
            <w:tcW w:w="0" w:type="auto"/>
            <w:shd w:val="clear" w:color="auto" w:fill="FFFFFF" w:themeFill="background1"/>
            <w:vAlign w:val="center"/>
          </w:tcPr>
          <w:p w:rsidRPr="00252BB1" w:rsidR="0036206C" w:rsidP="00523E6A" w:rsidRDefault="002448EB" w14:paraId="46C7AFFD" w14:textId="6F87C4F0">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76%</w:t>
            </w:r>
          </w:p>
        </w:tc>
        <w:tc>
          <w:tcPr>
            <w:tcW w:w="0" w:type="auto"/>
            <w:shd w:val="clear" w:color="auto" w:fill="FFFFFF" w:themeFill="background1"/>
            <w:vAlign w:val="center"/>
          </w:tcPr>
          <w:p w:rsidRPr="00252BB1" w:rsidR="0036206C" w:rsidP="00523E6A" w:rsidRDefault="002448EB" w14:paraId="75B76715" w14:textId="0AAF0F79">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50%</w:t>
            </w:r>
          </w:p>
        </w:tc>
        <w:tc>
          <w:tcPr>
            <w:tcW w:w="0" w:type="auto"/>
            <w:shd w:val="clear" w:color="auto" w:fill="FFFFFF" w:themeFill="background1"/>
            <w:vAlign w:val="center"/>
          </w:tcPr>
          <w:p w:rsidRPr="00252BB1" w:rsidR="0036206C" w:rsidP="00523E6A" w:rsidRDefault="002448EB" w14:paraId="17FA793B" w14:textId="4AD2535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43%</w:t>
            </w:r>
          </w:p>
        </w:tc>
        <w:tc>
          <w:tcPr>
            <w:tcW w:w="0" w:type="auto"/>
            <w:shd w:val="clear" w:color="auto" w:fill="FFFFFF" w:themeFill="background1"/>
            <w:vAlign w:val="center"/>
          </w:tcPr>
          <w:p w:rsidRPr="00252BB1" w:rsidR="0036206C" w:rsidP="00523E6A" w:rsidRDefault="002448EB" w14:paraId="7F0995C9" w14:textId="4394ECFA">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c>
          <w:tcPr>
            <w:tcW w:w="0" w:type="auto"/>
            <w:shd w:val="clear" w:color="auto" w:fill="FFFFFF" w:themeFill="background1"/>
            <w:vAlign w:val="center"/>
          </w:tcPr>
          <w:p w:rsidRPr="00252BB1" w:rsidR="0036206C" w:rsidP="00523E6A" w:rsidRDefault="002448EB" w14:paraId="2DC4398E" w14:textId="6BE0029A">
            <w:pPr>
              <w:tabs>
                <w:tab w:val="left" w:pos="3600"/>
              </w:tabs>
              <w:spacing w:before="120" w:after="120"/>
              <w:jc w:val="center"/>
              <w:rPr>
                <w:rFonts w:ascii="Palatino Linotype" w:hAnsi="Palatino Linotype"/>
                <w:sz w:val="20"/>
                <w:szCs w:val="20"/>
                <w:u w:val="single"/>
              </w:rPr>
            </w:pPr>
            <w:r w:rsidRPr="00252BB1">
              <w:rPr>
                <w:rFonts w:ascii="Palatino Linotype" w:hAnsi="Palatino Linotype"/>
                <w:color w:val="FF0000"/>
                <w:sz w:val="20"/>
                <w:szCs w:val="20"/>
                <w:u w:val="single"/>
              </w:rPr>
              <w:t>83%</w:t>
            </w:r>
          </w:p>
        </w:tc>
        <w:tc>
          <w:tcPr>
            <w:tcW w:w="0" w:type="auto"/>
            <w:shd w:val="clear" w:color="auto" w:fill="FFFFFF" w:themeFill="background1"/>
            <w:vAlign w:val="center"/>
          </w:tcPr>
          <w:p w:rsidRPr="00252BB1" w:rsidR="0036206C" w:rsidP="00523E6A" w:rsidRDefault="002448EB" w14:paraId="5BE0C7E3" w14:textId="61170D6F">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c>
          <w:tcPr>
            <w:tcW w:w="0" w:type="auto"/>
            <w:shd w:val="clear" w:color="auto" w:fill="FFFFFF" w:themeFill="background1"/>
            <w:vAlign w:val="center"/>
          </w:tcPr>
          <w:p w:rsidRPr="00252BB1" w:rsidR="0036206C" w:rsidP="00523E6A" w:rsidRDefault="002448EB" w14:paraId="59613E5C" w14:textId="4A89A65A">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sz w:val="20"/>
                <w:szCs w:val="20"/>
              </w:rPr>
              <w:t>94%</w:t>
            </w:r>
          </w:p>
        </w:tc>
        <w:tc>
          <w:tcPr>
            <w:tcW w:w="0" w:type="auto"/>
            <w:shd w:val="clear" w:color="auto" w:fill="FFFFFF" w:themeFill="background1"/>
            <w:vAlign w:val="center"/>
          </w:tcPr>
          <w:p w:rsidRPr="00252BB1" w:rsidR="0036206C" w:rsidP="00523E6A" w:rsidRDefault="002448EB" w14:paraId="02A222AC" w14:textId="3EC763CF">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86%</w:t>
            </w:r>
          </w:p>
        </w:tc>
        <w:tc>
          <w:tcPr>
            <w:tcW w:w="693" w:type="dxa"/>
            <w:shd w:val="clear" w:color="auto" w:fill="FFFFFF" w:themeFill="background1"/>
            <w:vAlign w:val="center"/>
          </w:tcPr>
          <w:p w:rsidRPr="00252BB1" w:rsidR="0036206C" w:rsidP="00523E6A" w:rsidRDefault="002448EB" w14:paraId="2118CC65" w14:textId="2AC866AE">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r>
      <w:tr w:rsidRPr="00966429" w:rsidR="000A4BFA" w:rsidTr="00252BB1" w14:paraId="0BADA5F0" w14:textId="77777777">
        <w:tblPrEx>
          <w:tblCellMar>
            <w:left w:w="108" w:type="dxa"/>
            <w:right w:w="108" w:type="dxa"/>
          </w:tblCellMar>
        </w:tblPrEx>
        <w:trPr>
          <w:trHeight w:val="653"/>
          <w:jc w:val="center"/>
        </w:trPr>
        <w:tc>
          <w:tcPr>
            <w:tcW w:w="1764" w:type="dxa"/>
            <w:shd w:val="clear" w:color="auto" w:fill="F2F2F2" w:themeFill="background1" w:themeFillShade="F2"/>
            <w:vAlign w:val="center"/>
          </w:tcPr>
          <w:p w:rsidRPr="00252BB1" w:rsidR="000A4BFA" w:rsidP="007B0E7D" w:rsidRDefault="000A4BFA" w14:paraId="33BC6248" w14:textId="5B3164BE">
            <w:pPr>
              <w:tabs>
                <w:tab w:val="left" w:pos="3600"/>
              </w:tabs>
              <w:spacing w:before="120" w:after="120"/>
              <w:jc w:val="center"/>
              <w:rPr>
                <w:rFonts w:ascii="Palatino Linotype" w:hAnsi="Palatino Linotype"/>
                <w:b/>
                <w:color w:val="000000" w:themeColor="text1"/>
                <w:sz w:val="20"/>
                <w:szCs w:val="20"/>
              </w:rPr>
            </w:pPr>
            <w:r w:rsidRPr="00252BB1">
              <w:rPr>
                <w:rFonts w:ascii="Palatino Linotype" w:hAnsi="Palatino Linotype"/>
                <w:b/>
                <w:color w:val="000000" w:themeColor="text1"/>
                <w:sz w:val="20"/>
                <w:szCs w:val="20"/>
              </w:rPr>
              <w:t>Winterhaven</w:t>
            </w:r>
          </w:p>
        </w:tc>
        <w:tc>
          <w:tcPr>
            <w:tcW w:w="0" w:type="auto"/>
            <w:shd w:val="clear" w:color="auto" w:fill="FFFFFF" w:themeFill="background1"/>
            <w:vAlign w:val="center"/>
          </w:tcPr>
          <w:p w:rsidRPr="00252BB1" w:rsidR="000A4BFA" w:rsidP="00523E6A" w:rsidRDefault="002448EB" w14:paraId="5D134077" w14:textId="644C01F3">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91%</w:t>
            </w:r>
          </w:p>
        </w:tc>
        <w:tc>
          <w:tcPr>
            <w:tcW w:w="0" w:type="auto"/>
            <w:shd w:val="clear" w:color="auto" w:fill="FFFFFF" w:themeFill="background1"/>
            <w:vAlign w:val="center"/>
          </w:tcPr>
          <w:p w:rsidRPr="00252BB1" w:rsidR="000A4BFA" w:rsidP="00523E6A" w:rsidRDefault="002448EB" w14:paraId="469D0D0A" w14:textId="0A6F60C4">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57%</w:t>
            </w:r>
          </w:p>
        </w:tc>
        <w:tc>
          <w:tcPr>
            <w:tcW w:w="0" w:type="auto"/>
            <w:shd w:val="clear" w:color="auto" w:fill="FFFFFF" w:themeFill="background1"/>
            <w:vAlign w:val="center"/>
          </w:tcPr>
          <w:p w:rsidRPr="00252BB1" w:rsidR="000A4BFA" w:rsidP="00523E6A" w:rsidRDefault="002448EB" w14:paraId="120A237C" w14:textId="271D8B19">
            <w:pPr>
              <w:tabs>
                <w:tab w:val="left" w:pos="3600"/>
              </w:tabs>
              <w:spacing w:before="120" w:after="120"/>
              <w:jc w:val="center"/>
              <w:rPr>
                <w:rFonts w:ascii="Palatino Linotype" w:hAnsi="Palatino Linotype"/>
                <w:color w:val="FF0000"/>
                <w:sz w:val="20"/>
                <w:szCs w:val="20"/>
              </w:rPr>
            </w:pPr>
            <w:r w:rsidRPr="00252BB1">
              <w:rPr>
                <w:rFonts w:ascii="Palatino Linotype" w:hAnsi="Palatino Linotype"/>
                <w:color w:val="FF0000"/>
                <w:sz w:val="20"/>
                <w:szCs w:val="20"/>
              </w:rPr>
              <w:t>86%</w:t>
            </w:r>
          </w:p>
        </w:tc>
        <w:tc>
          <w:tcPr>
            <w:tcW w:w="0" w:type="auto"/>
            <w:shd w:val="clear" w:color="auto" w:fill="FFFFFF" w:themeFill="background1"/>
            <w:vAlign w:val="center"/>
          </w:tcPr>
          <w:p w:rsidRPr="00252BB1" w:rsidR="000A4BFA" w:rsidP="00523E6A" w:rsidRDefault="002448EB" w14:paraId="2A000046" w14:textId="4B381015">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80%</w:t>
            </w:r>
          </w:p>
        </w:tc>
        <w:tc>
          <w:tcPr>
            <w:tcW w:w="0" w:type="auto"/>
            <w:shd w:val="clear" w:color="auto" w:fill="FFFFFF" w:themeFill="background1"/>
            <w:vAlign w:val="center"/>
          </w:tcPr>
          <w:p w:rsidRPr="00252BB1" w:rsidR="000A4BFA" w:rsidP="00523E6A" w:rsidRDefault="002448EB" w14:paraId="5D17480F" w14:textId="6204BFA6">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50%</w:t>
            </w:r>
          </w:p>
        </w:tc>
        <w:tc>
          <w:tcPr>
            <w:tcW w:w="0" w:type="auto"/>
            <w:shd w:val="clear" w:color="auto" w:fill="FFFFFF" w:themeFill="background1"/>
            <w:vAlign w:val="center"/>
          </w:tcPr>
          <w:p w:rsidRPr="00252BB1" w:rsidR="000A4BFA" w:rsidP="00523E6A" w:rsidRDefault="002448EB" w14:paraId="61343DFD" w14:textId="6A1DAEA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86%</w:t>
            </w:r>
          </w:p>
        </w:tc>
        <w:tc>
          <w:tcPr>
            <w:tcW w:w="0" w:type="auto"/>
            <w:shd w:val="clear" w:color="auto" w:fill="FFFFFF" w:themeFill="background1"/>
            <w:vAlign w:val="center"/>
          </w:tcPr>
          <w:p w:rsidRPr="00252BB1" w:rsidR="000A4BFA" w:rsidP="00523E6A" w:rsidRDefault="002448EB" w14:paraId="2C3B0B3F" w14:textId="7780170A">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90%</w:t>
            </w:r>
          </w:p>
        </w:tc>
        <w:tc>
          <w:tcPr>
            <w:tcW w:w="0" w:type="auto"/>
            <w:shd w:val="clear" w:color="auto" w:fill="FFFFFF" w:themeFill="background1"/>
            <w:vAlign w:val="center"/>
          </w:tcPr>
          <w:p w:rsidRPr="00252BB1" w:rsidR="000A4BFA" w:rsidP="00523E6A" w:rsidRDefault="002448EB" w14:paraId="702B3EC9" w14:textId="5B3C6B54">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89%</w:t>
            </w:r>
          </w:p>
        </w:tc>
        <w:tc>
          <w:tcPr>
            <w:tcW w:w="0" w:type="auto"/>
            <w:shd w:val="clear" w:color="auto" w:fill="FFFFFF" w:themeFill="background1"/>
            <w:vAlign w:val="center"/>
          </w:tcPr>
          <w:p w:rsidRPr="00252BB1" w:rsidR="000A4BFA" w:rsidP="00523E6A" w:rsidRDefault="002448EB" w14:paraId="46148920" w14:textId="08F8DE1C">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80%</w:t>
            </w:r>
          </w:p>
        </w:tc>
        <w:tc>
          <w:tcPr>
            <w:tcW w:w="0" w:type="auto"/>
            <w:shd w:val="clear" w:color="auto" w:fill="FFFFFF" w:themeFill="background1"/>
            <w:vAlign w:val="center"/>
          </w:tcPr>
          <w:p w:rsidRPr="00252BB1" w:rsidR="000A4BFA" w:rsidP="00523E6A" w:rsidRDefault="002448EB" w14:paraId="1CDD5DE1" w14:textId="42E8C610">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79%</w:t>
            </w:r>
          </w:p>
        </w:tc>
        <w:tc>
          <w:tcPr>
            <w:tcW w:w="0" w:type="auto"/>
            <w:shd w:val="clear" w:color="auto" w:fill="FFFFFF" w:themeFill="background1"/>
            <w:vAlign w:val="center"/>
          </w:tcPr>
          <w:p w:rsidRPr="00252BB1" w:rsidR="000A4BFA" w:rsidP="00523E6A" w:rsidRDefault="002448EB" w14:paraId="73673EA0" w14:textId="48972497">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60%</w:t>
            </w:r>
          </w:p>
        </w:tc>
        <w:tc>
          <w:tcPr>
            <w:tcW w:w="693" w:type="dxa"/>
            <w:shd w:val="clear" w:color="auto" w:fill="FFFFFF" w:themeFill="background1"/>
            <w:vAlign w:val="center"/>
          </w:tcPr>
          <w:p w:rsidRPr="00252BB1" w:rsidR="000A4BFA" w:rsidP="00523E6A" w:rsidRDefault="002448EB" w14:paraId="5ADA81AD" w14:textId="119DF4A3">
            <w:pPr>
              <w:tabs>
                <w:tab w:val="left" w:pos="3600"/>
              </w:tabs>
              <w:spacing w:before="120" w:after="120"/>
              <w:jc w:val="center"/>
              <w:rPr>
                <w:rFonts w:ascii="Palatino Linotype" w:hAnsi="Palatino Linotype"/>
                <w:sz w:val="20"/>
                <w:szCs w:val="20"/>
              </w:rPr>
            </w:pPr>
            <w:r w:rsidRPr="00252BB1">
              <w:rPr>
                <w:rFonts w:ascii="Palatino Linotype" w:hAnsi="Palatino Linotype"/>
                <w:sz w:val="20"/>
                <w:szCs w:val="20"/>
              </w:rPr>
              <w:t>100%</w:t>
            </w:r>
          </w:p>
        </w:tc>
      </w:tr>
    </w:tbl>
    <w:p w:rsidRPr="00966429" w:rsidR="009C6301" w:rsidP="00664920" w:rsidRDefault="00EB480B" w14:paraId="11BCF9ED" w14:textId="657EA335">
      <w:pPr>
        <w:tabs>
          <w:tab w:val="left" w:pos="3600"/>
        </w:tabs>
        <w:spacing w:before="120" w:after="120"/>
        <w:rPr>
          <w:rFonts w:ascii="Palatino Linotype" w:hAnsi="Palatino Linotype"/>
        </w:rPr>
      </w:pPr>
      <w:r w:rsidRPr="00966429">
        <w:rPr>
          <w:rFonts w:ascii="Palatino Linotype" w:hAnsi="Palatino Linotype"/>
        </w:rPr>
        <w:lastRenderedPageBreak/>
        <w:t xml:space="preserve"> AT&amp;T Corp. failed to meet the standard from January through December 2018. As a result, of substandard performance in 2017, AT&amp;T Corp has been in “chronic failure status” and incurring fines for each month of its substandard performance in 2018.</w:t>
      </w:r>
      <w:r w:rsidRPr="00966429">
        <w:rPr>
          <w:rStyle w:val="FootnoteReference"/>
          <w:rFonts w:ascii="Palatino Linotype" w:hAnsi="Palatino Linotype"/>
        </w:rPr>
        <w:footnoteReference w:id="9"/>
      </w:r>
      <w:r w:rsidRPr="00966429">
        <w:rPr>
          <w:rFonts w:ascii="Palatino Linotype" w:hAnsi="Palatino Linotype"/>
        </w:rPr>
        <w:t xml:space="preserve"> </w:t>
      </w:r>
      <w:r w:rsidRPr="00966429" w:rsidR="009C6301">
        <w:rPr>
          <w:rFonts w:ascii="Palatino Linotype" w:hAnsi="Palatino Linotype"/>
        </w:rPr>
        <w:t xml:space="preserve">  </w:t>
      </w:r>
    </w:p>
    <w:p w:rsidRPr="00966429" w:rsidR="00664920" w:rsidP="00664920" w:rsidRDefault="00664920" w14:paraId="2B7ABB8E" w14:textId="1DEC9912">
      <w:pPr>
        <w:tabs>
          <w:tab w:val="left" w:pos="3600"/>
        </w:tabs>
        <w:spacing w:before="120" w:after="120"/>
        <w:rPr>
          <w:rFonts w:ascii="Palatino Linotype" w:hAnsi="Palatino Linotype"/>
        </w:rPr>
      </w:pPr>
      <w:r w:rsidRPr="00966429">
        <w:rPr>
          <w:rFonts w:ascii="Palatino Linotype" w:hAnsi="Palatino Linotype"/>
        </w:rPr>
        <w:t>Consequently, AT&amp;T</w:t>
      </w:r>
      <w:r w:rsidRPr="00966429" w:rsidR="00EE25CA">
        <w:rPr>
          <w:rFonts w:ascii="Palatino Linotype" w:hAnsi="Palatino Linotype"/>
        </w:rPr>
        <w:t xml:space="preserve"> Corp.</w:t>
      </w:r>
      <w:r w:rsidRPr="00966429" w:rsidR="00080D6D">
        <w:rPr>
          <w:rFonts w:ascii="Palatino Linotype" w:hAnsi="Palatino Linotype"/>
        </w:rPr>
        <w:t xml:space="preserve"> </w:t>
      </w:r>
      <w:r w:rsidRPr="00966429">
        <w:rPr>
          <w:rFonts w:ascii="Palatino Linotype" w:hAnsi="Palatino Linotype"/>
        </w:rPr>
        <w:t xml:space="preserve">calculated its fine on </w:t>
      </w:r>
      <w:r w:rsidRPr="00966429" w:rsidR="006E1097">
        <w:rPr>
          <w:rFonts w:ascii="Palatino Linotype" w:hAnsi="Palatino Linotype"/>
        </w:rPr>
        <w:t>12</w:t>
      </w:r>
      <w:r w:rsidRPr="00966429">
        <w:rPr>
          <w:rFonts w:ascii="Palatino Linotype" w:hAnsi="Palatino Linotype"/>
        </w:rPr>
        <w:t xml:space="preserve"> months from </w:t>
      </w:r>
      <w:r w:rsidRPr="00966429" w:rsidR="006E1097">
        <w:rPr>
          <w:rFonts w:ascii="Palatino Linotype" w:hAnsi="Palatino Linotype"/>
        </w:rPr>
        <w:t>January</w:t>
      </w:r>
      <w:r w:rsidRPr="00966429">
        <w:rPr>
          <w:rFonts w:ascii="Palatino Linotype" w:hAnsi="Palatino Linotype"/>
        </w:rPr>
        <w:t xml:space="preserve"> through December </w:t>
      </w:r>
      <w:r w:rsidRPr="00966429" w:rsidR="00C631AB">
        <w:rPr>
          <w:rFonts w:ascii="Palatino Linotype" w:hAnsi="Palatino Linotype"/>
        </w:rPr>
        <w:t>for failure to meet</w:t>
      </w:r>
      <w:r w:rsidRPr="00966429">
        <w:rPr>
          <w:rFonts w:ascii="Palatino Linotype" w:hAnsi="Palatino Linotype"/>
        </w:rPr>
        <w:t xml:space="preserve"> the </w:t>
      </w:r>
      <w:r w:rsidRPr="00966429">
        <w:rPr>
          <w:rFonts w:ascii="Palatino Linotype" w:hAnsi="Palatino Linotype"/>
          <w:i/>
        </w:rPr>
        <w:t>Out of Service Repair Interval</w:t>
      </w:r>
      <w:r w:rsidRPr="00966429">
        <w:rPr>
          <w:rFonts w:ascii="Palatino Linotype" w:hAnsi="Palatino Linotype"/>
        </w:rPr>
        <w:t xml:space="preserve"> standard.  Staff agrees that AT&amp;T</w:t>
      </w:r>
      <w:r w:rsidRPr="00966429" w:rsidR="00AC25D0">
        <w:rPr>
          <w:rFonts w:ascii="Palatino Linotype" w:hAnsi="Palatino Linotype"/>
        </w:rPr>
        <w:t xml:space="preserve"> Corp.’s </w:t>
      </w:r>
      <w:r w:rsidRPr="00966429">
        <w:rPr>
          <w:rFonts w:ascii="Palatino Linotype" w:hAnsi="Palatino Linotype"/>
        </w:rPr>
        <w:t xml:space="preserve">calculations proposed in </w:t>
      </w:r>
      <w:r w:rsidRPr="00966429" w:rsidR="00520FBA">
        <w:rPr>
          <w:rFonts w:ascii="Palatino Linotype" w:hAnsi="Palatino Linotype"/>
        </w:rPr>
        <w:t>its advice letter</w:t>
      </w:r>
      <w:r w:rsidRPr="00966429">
        <w:rPr>
          <w:rFonts w:ascii="Palatino Linotype" w:hAnsi="Palatino Linotype"/>
        </w:rPr>
        <w:t xml:space="preserve"> are accurate.</w:t>
      </w:r>
    </w:p>
    <w:p w:rsidRPr="00966429" w:rsidR="006226DC" w:rsidP="00094A89" w:rsidRDefault="004B3034" w14:paraId="5737B2E2" w14:textId="2A4EB996">
      <w:pPr>
        <w:spacing w:before="120" w:after="120"/>
        <w:ind w:right="180"/>
        <w:rPr>
          <w:rFonts w:ascii="Palatino Linotype" w:hAnsi="Palatino Linotype"/>
        </w:rPr>
      </w:pPr>
      <w:r w:rsidRPr="00966429">
        <w:rPr>
          <w:rFonts w:ascii="Palatino Linotype" w:hAnsi="Palatino Linotype"/>
        </w:rPr>
        <w:t>AT&amp;T</w:t>
      </w:r>
      <w:r w:rsidRPr="00966429" w:rsidR="00EE25CA">
        <w:rPr>
          <w:rFonts w:ascii="Palatino Linotype" w:hAnsi="Palatino Linotype"/>
        </w:rPr>
        <w:t xml:space="preserve"> Corp.</w:t>
      </w:r>
      <w:r w:rsidRPr="00966429">
        <w:rPr>
          <w:rFonts w:ascii="Palatino Linotype" w:hAnsi="Palatino Linotype"/>
        </w:rPr>
        <w:t xml:space="preserve"> incur</w:t>
      </w:r>
      <w:r w:rsidRPr="00966429" w:rsidR="00AC25D0">
        <w:rPr>
          <w:rFonts w:ascii="Palatino Linotype" w:hAnsi="Palatino Linotype"/>
        </w:rPr>
        <w:t>red</w:t>
      </w:r>
      <w:r w:rsidRPr="00966429">
        <w:rPr>
          <w:rFonts w:ascii="Palatino Linotype" w:hAnsi="Palatino Linotype"/>
        </w:rPr>
        <w:t xml:space="preserve"> fines for unmet performance:</w:t>
      </w:r>
    </w:p>
    <w:p w:rsidRPr="00966429" w:rsidR="00EA058D" w:rsidP="00094A89" w:rsidRDefault="00664920" w14:paraId="1F432D44" w14:textId="79EF7A53">
      <w:pPr>
        <w:spacing w:before="120" w:after="120"/>
        <w:ind w:right="180" w:firstLine="720"/>
        <w:rPr>
          <w:rFonts w:ascii="Palatino Linotype" w:hAnsi="Palatino Linotype"/>
        </w:rPr>
      </w:pPr>
      <w:r w:rsidRPr="00966429">
        <w:rPr>
          <w:rFonts w:ascii="Palatino Linotype" w:hAnsi="Palatino Linotype"/>
        </w:rPr>
        <w:t xml:space="preserve">(Carrier’s Scaling Factor </w:t>
      </w:r>
      <w:r w:rsidRPr="00966429">
        <w:rPr>
          <w:rFonts w:ascii="Palatino Linotype" w:hAnsi="Palatino Linotype"/>
          <w:u w:val="single"/>
        </w:rPr>
        <w:t>0.001</w:t>
      </w:r>
      <w:r w:rsidRPr="00966429" w:rsidR="000A4BFA">
        <w:rPr>
          <w:rFonts w:ascii="Palatino Linotype" w:hAnsi="Palatino Linotype"/>
          <w:u w:val="single"/>
        </w:rPr>
        <w:t>4</w:t>
      </w:r>
      <w:r w:rsidRPr="00966429">
        <w:rPr>
          <w:rFonts w:ascii="Palatino Linotype" w:hAnsi="Palatino Linotype"/>
        </w:rPr>
        <w:t>)</w:t>
      </w:r>
      <w:r w:rsidRPr="00966429" w:rsidR="006226DC">
        <w:rPr>
          <w:rFonts w:ascii="Palatino Linotype" w:hAnsi="Palatino Linotype"/>
        </w:rPr>
        <w:t xml:space="preserve"> </w:t>
      </w:r>
      <w:r w:rsidRPr="00966429" w:rsidR="00F36A16">
        <w:rPr>
          <w:rFonts w:ascii="Palatino Linotype" w:hAnsi="Palatino Linotype"/>
        </w:rPr>
        <w:t>X</w:t>
      </w:r>
      <w:r w:rsidRPr="00966429">
        <w:rPr>
          <w:rFonts w:ascii="Palatino Linotype" w:hAnsi="Palatino Linotype"/>
        </w:rPr>
        <w:t xml:space="preserve"> (Monthly Base Fine per Measure </w:t>
      </w:r>
      <w:r w:rsidRPr="00966429">
        <w:rPr>
          <w:rFonts w:ascii="Palatino Linotype" w:hAnsi="Palatino Linotype"/>
          <w:u w:val="single"/>
        </w:rPr>
        <w:t>$750,000</w:t>
      </w:r>
      <w:r w:rsidRPr="00966429">
        <w:rPr>
          <w:rFonts w:ascii="Palatino Linotype" w:hAnsi="Palatino Linotype"/>
        </w:rPr>
        <w:t xml:space="preserve">) </w:t>
      </w:r>
    </w:p>
    <w:p w:rsidRPr="00966429" w:rsidR="00664920" w:rsidP="00094A89" w:rsidRDefault="00F36A16" w14:paraId="1F031564" w14:textId="546261E9">
      <w:pPr>
        <w:spacing w:before="120" w:after="120"/>
        <w:ind w:left="720" w:right="180" w:firstLine="720"/>
        <w:rPr>
          <w:rFonts w:ascii="Palatino Linotype" w:hAnsi="Palatino Linotype"/>
        </w:rPr>
      </w:pPr>
      <w:r w:rsidRPr="00966429">
        <w:rPr>
          <w:rFonts w:ascii="Palatino Linotype" w:hAnsi="Palatino Linotype"/>
        </w:rPr>
        <w:t>X</w:t>
      </w:r>
      <w:r w:rsidRPr="00966429" w:rsidR="00664920">
        <w:rPr>
          <w:rFonts w:ascii="Palatino Linotype" w:hAnsi="Palatino Linotype"/>
        </w:rPr>
        <w:t xml:space="preserve"> (Number of Months</w:t>
      </w:r>
      <w:r w:rsidRPr="00966429" w:rsidR="00154B09">
        <w:rPr>
          <w:rFonts w:ascii="Palatino Linotype" w:hAnsi="Palatino Linotype"/>
        </w:rPr>
        <w:t xml:space="preserve"> in Chronic Failure</w:t>
      </w:r>
      <w:r w:rsidRPr="00966429" w:rsidR="00664920">
        <w:rPr>
          <w:rFonts w:ascii="Palatino Linotype" w:hAnsi="Palatino Linotype"/>
        </w:rPr>
        <w:t xml:space="preserve"> </w:t>
      </w:r>
      <w:r w:rsidRPr="00966429" w:rsidR="004D516E">
        <w:rPr>
          <w:rFonts w:ascii="Palatino Linotype" w:hAnsi="Palatino Linotype"/>
          <w:u w:val="single"/>
        </w:rPr>
        <w:t>12</w:t>
      </w:r>
      <w:r w:rsidRPr="00966429" w:rsidR="00664920">
        <w:rPr>
          <w:rFonts w:ascii="Palatino Linotype" w:hAnsi="Palatino Linotype"/>
        </w:rPr>
        <w:t>) =</w:t>
      </w:r>
      <w:r w:rsidRPr="00966429" w:rsidR="000A4BFA">
        <w:rPr>
          <w:rFonts w:ascii="Palatino Linotype" w:hAnsi="Palatino Linotype"/>
        </w:rPr>
        <w:t xml:space="preserve"> </w:t>
      </w:r>
      <w:r w:rsidRPr="00966429" w:rsidR="004D516E">
        <w:rPr>
          <w:rFonts w:ascii="Palatino Linotype" w:hAnsi="Palatino Linotype"/>
        </w:rPr>
        <w:t>$12,600</w:t>
      </w:r>
    </w:p>
    <w:p w:rsidRPr="00966429" w:rsidR="009C6301" w:rsidP="00094A89" w:rsidRDefault="00664920" w14:paraId="1C645E0D" w14:textId="550A3441">
      <w:pPr>
        <w:spacing w:before="120" w:after="120"/>
        <w:ind w:right="180"/>
        <w:rPr>
          <w:rFonts w:ascii="Palatino Linotype" w:hAnsi="Palatino Linotype"/>
        </w:rPr>
      </w:pPr>
      <w:r w:rsidRPr="00966429">
        <w:rPr>
          <w:rFonts w:ascii="Palatino Linotype" w:hAnsi="Palatino Linotype"/>
        </w:rPr>
        <w:t xml:space="preserve">Frontier </w:t>
      </w:r>
      <w:r w:rsidRPr="00966429" w:rsidR="00584072">
        <w:rPr>
          <w:rFonts w:ascii="Palatino Linotype" w:hAnsi="Palatino Linotype"/>
        </w:rPr>
        <w:t>Citizens</w:t>
      </w:r>
      <w:r w:rsidRPr="00966429" w:rsidR="004B3034">
        <w:rPr>
          <w:rFonts w:ascii="Palatino Linotype" w:hAnsi="Palatino Linotype"/>
        </w:rPr>
        <w:t xml:space="preserve"> </w:t>
      </w:r>
      <w:r w:rsidRPr="00966429" w:rsidR="009C6301">
        <w:rPr>
          <w:rFonts w:ascii="Palatino Linotype" w:hAnsi="Palatino Linotype"/>
        </w:rPr>
        <w:t xml:space="preserve">failed to meet the minimum </w:t>
      </w:r>
      <w:r w:rsidRPr="00966429" w:rsidR="009C6301">
        <w:rPr>
          <w:rFonts w:ascii="Palatino Linotype" w:hAnsi="Palatino Linotype"/>
          <w:i/>
        </w:rPr>
        <w:t xml:space="preserve">Out of Service Repair Interval </w:t>
      </w:r>
      <w:r w:rsidRPr="00966429" w:rsidR="009C6301">
        <w:rPr>
          <w:rFonts w:ascii="Palatino Linotype" w:hAnsi="Palatino Linotype"/>
        </w:rPr>
        <w:t>standard</w:t>
      </w:r>
      <w:r w:rsidRPr="00966429" w:rsidR="009C6301">
        <w:rPr>
          <w:rFonts w:ascii="Palatino Linotype" w:hAnsi="Palatino Linotype"/>
          <w:i/>
        </w:rPr>
        <w:t xml:space="preserve"> </w:t>
      </w:r>
      <w:r w:rsidRPr="00966429" w:rsidR="009C6301">
        <w:rPr>
          <w:rFonts w:ascii="Palatino Linotype" w:hAnsi="Palatino Linotype"/>
        </w:rPr>
        <w:t xml:space="preserve">and </w:t>
      </w:r>
      <w:r w:rsidRPr="00966429" w:rsidR="004B3034">
        <w:rPr>
          <w:rFonts w:ascii="Palatino Linotype" w:hAnsi="Palatino Linotype"/>
        </w:rPr>
        <w:t>incur</w:t>
      </w:r>
      <w:r w:rsidRPr="00966429" w:rsidR="00AC25D0">
        <w:rPr>
          <w:rFonts w:ascii="Palatino Linotype" w:hAnsi="Palatino Linotype"/>
        </w:rPr>
        <w:t>red</w:t>
      </w:r>
      <w:r w:rsidRPr="00966429" w:rsidR="004B3034">
        <w:rPr>
          <w:rFonts w:ascii="Palatino Linotype" w:hAnsi="Palatino Linotype"/>
        </w:rPr>
        <w:t xml:space="preserve"> fines for unmet performance for </w:t>
      </w:r>
      <w:r w:rsidRPr="00966429" w:rsidR="00465FC4">
        <w:rPr>
          <w:rFonts w:ascii="Palatino Linotype" w:hAnsi="Palatino Linotype"/>
        </w:rPr>
        <w:t>the months</w:t>
      </w:r>
      <w:r w:rsidRPr="00966429" w:rsidR="009C6301">
        <w:rPr>
          <w:rFonts w:ascii="Palatino Linotype" w:hAnsi="Palatino Linotype"/>
        </w:rPr>
        <w:t>,</w:t>
      </w:r>
      <w:r w:rsidRPr="00966429" w:rsidR="004B3034">
        <w:rPr>
          <w:rFonts w:ascii="Palatino Linotype" w:hAnsi="Palatino Linotype"/>
        </w:rPr>
        <w:t xml:space="preserve"> J</w:t>
      </w:r>
      <w:r w:rsidRPr="00966429" w:rsidR="006E1097">
        <w:rPr>
          <w:rFonts w:ascii="Palatino Linotype" w:hAnsi="Palatino Linotype"/>
        </w:rPr>
        <w:t>anuary and February, March through July, and December</w:t>
      </w:r>
      <w:r w:rsidRPr="00966429" w:rsidR="004B3034">
        <w:rPr>
          <w:rFonts w:ascii="Palatino Linotype" w:hAnsi="Palatino Linotype"/>
        </w:rPr>
        <w:t xml:space="preserve">:  </w:t>
      </w:r>
    </w:p>
    <w:p w:rsidRPr="00966429" w:rsidR="004B3034" w:rsidP="009C6301" w:rsidRDefault="00E63DCD" w14:paraId="4A359D08" w14:textId="10F4DA38">
      <w:pPr>
        <w:spacing w:before="120" w:after="120"/>
        <w:ind w:right="180" w:firstLine="720"/>
        <w:rPr>
          <w:rFonts w:ascii="Palatino Linotype" w:hAnsi="Palatino Linotype"/>
        </w:rPr>
      </w:pPr>
      <w:r w:rsidRPr="00966429">
        <w:rPr>
          <w:rFonts w:ascii="Palatino Linotype" w:hAnsi="Palatino Linotype"/>
        </w:rPr>
        <w:t>(</w:t>
      </w:r>
      <w:r w:rsidRPr="00966429" w:rsidR="004B3034">
        <w:rPr>
          <w:rFonts w:ascii="Palatino Linotype" w:hAnsi="Palatino Linotype"/>
        </w:rPr>
        <w:t>0.0</w:t>
      </w:r>
      <w:r w:rsidRPr="00966429" w:rsidR="006E1097">
        <w:rPr>
          <w:rFonts w:ascii="Palatino Linotype" w:hAnsi="Palatino Linotype"/>
        </w:rPr>
        <w:t>124</w:t>
      </w:r>
      <w:r w:rsidRPr="00966429">
        <w:rPr>
          <w:rFonts w:ascii="Palatino Linotype" w:hAnsi="Palatino Linotype"/>
        </w:rPr>
        <w:t>)</w:t>
      </w:r>
      <w:r w:rsidRPr="00966429" w:rsidR="004B3034">
        <w:rPr>
          <w:rFonts w:ascii="Palatino Linotype" w:hAnsi="Palatino Linotype"/>
        </w:rPr>
        <w:t xml:space="preserve"> x </w:t>
      </w:r>
      <w:r w:rsidRPr="00966429">
        <w:rPr>
          <w:rFonts w:ascii="Palatino Linotype" w:hAnsi="Palatino Linotype"/>
        </w:rPr>
        <w:t>(</w:t>
      </w:r>
      <w:r w:rsidRPr="00966429" w:rsidR="004B3034">
        <w:rPr>
          <w:rFonts w:ascii="Palatino Linotype" w:hAnsi="Palatino Linotype"/>
        </w:rPr>
        <w:t>$750,000</w:t>
      </w:r>
      <w:r w:rsidRPr="00966429">
        <w:rPr>
          <w:rFonts w:ascii="Palatino Linotype" w:hAnsi="Palatino Linotype"/>
        </w:rPr>
        <w:t>)</w:t>
      </w:r>
      <w:r w:rsidRPr="00966429" w:rsidR="004B3034">
        <w:rPr>
          <w:rFonts w:ascii="Palatino Linotype" w:hAnsi="Palatino Linotype"/>
        </w:rPr>
        <w:t xml:space="preserve"> x</w:t>
      </w:r>
      <w:r w:rsidRPr="00966429" w:rsidR="00584072">
        <w:rPr>
          <w:rFonts w:ascii="Palatino Linotype" w:hAnsi="Palatino Linotype"/>
        </w:rPr>
        <w:t xml:space="preserve"> </w:t>
      </w:r>
      <w:r w:rsidRPr="00966429">
        <w:rPr>
          <w:rFonts w:ascii="Palatino Linotype" w:hAnsi="Palatino Linotype"/>
        </w:rPr>
        <w:t>(</w:t>
      </w:r>
      <w:r w:rsidRPr="00966429" w:rsidR="006E1097">
        <w:rPr>
          <w:rFonts w:ascii="Palatino Linotype" w:hAnsi="Palatino Linotype"/>
        </w:rPr>
        <w:t>7</w:t>
      </w:r>
      <w:r w:rsidRPr="00966429" w:rsidR="004B3034">
        <w:rPr>
          <w:rFonts w:ascii="Palatino Linotype" w:hAnsi="Palatino Linotype"/>
        </w:rPr>
        <w:t xml:space="preserve"> </w:t>
      </w:r>
      <w:r w:rsidRPr="00966429">
        <w:rPr>
          <w:rFonts w:ascii="Palatino Linotype" w:hAnsi="Palatino Linotype"/>
        </w:rPr>
        <w:t xml:space="preserve">months) </w:t>
      </w:r>
      <w:r w:rsidRPr="00966429" w:rsidR="004B3034">
        <w:rPr>
          <w:rFonts w:ascii="Palatino Linotype" w:hAnsi="Palatino Linotype"/>
        </w:rPr>
        <w:t xml:space="preserve">= </w:t>
      </w:r>
      <w:r w:rsidRPr="00966429" w:rsidR="006E1097">
        <w:rPr>
          <w:rFonts w:ascii="Palatino Linotype" w:hAnsi="Palatino Linotype"/>
        </w:rPr>
        <w:t>$65,100</w:t>
      </w:r>
    </w:p>
    <w:p w:rsidRPr="00966429" w:rsidR="009C6301" w:rsidP="00094A89" w:rsidRDefault="000A4BFA" w14:paraId="27043B3D" w14:textId="7FBDD836">
      <w:pPr>
        <w:spacing w:before="120" w:after="120"/>
        <w:ind w:right="180"/>
        <w:rPr>
          <w:rFonts w:ascii="Palatino Linotype" w:hAnsi="Palatino Linotype"/>
        </w:rPr>
      </w:pPr>
      <w:r w:rsidRPr="00966429">
        <w:rPr>
          <w:rFonts w:ascii="Palatino Linotype" w:hAnsi="Palatino Linotype"/>
        </w:rPr>
        <w:t xml:space="preserve">Frontier </w:t>
      </w:r>
      <w:r w:rsidRPr="00966429" w:rsidR="00584072">
        <w:rPr>
          <w:rFonts w:ascii="Palatino Linotype" w:hAnsi="Palatino Linotype"/>
        </w:rPr>
        <w:t xml:space="preserve">Southwest </w:t>
      </w:r>
      <w:r w:rsidRPr="00966429" w:rsidR="009C6301">
        <w:rPr>
          <w:rFonts w:ascii="Palatino Linotype" w:hAnsi="Palatino Linotype"/>
        </w:rPr>
        <w:t>failed to meet the minimum standard for five months and entered into “chronic failure status”</w:t>
      </w:r>
      <w:r w:rsidRPr="00966429" w:rsidR="00584072">
        <w:rPr>
          <w:rFonts w:ascii="Palatino Linotype" w:hAnsi="Palatino Linotype"/>
        </w:rPr>
        <w:t xml:space="preserve"> for </w:t>
      </w:r>
      <w:r w:rsidRPr="00966429" w:rsidR="006E1097">
        <w:rPr>
          <w:rFonts w:ascii="Palatino Linotype" w:hAnsi="Palatino Linotype"/>
        </w:rPr>
        <w:t>May, and</w:t>
      </w:r>
      <w:r w:rsidRPr="00966429" w:rsidR="009C6301">
        <w:rPr>
          <w:rFonts w:ascii="Palatino Linotype" w:hAnsi="Palatino Linotype"/>
        </w:rPr>
        <w:t xml:space="preserve"> once again for</w:t>
      </w:r>
      <w:r w:rsidRPr="00966429" w:rsidR="006E1097">
        <w:rPr>
          <w:rFonts w:ascii="Palatino Linotype" w:hAnsi="Palatino Linotype"/>
        </w:rPr>
        <w:t xml:space="preserve"> July through October:  </w:t>
      </w:r>
    </w:p>
    <w:p w:rsidRPr="00966429" w:rsidR="000A4BFA" w:rsidP="009C6301" w:rsidRDefault="00E63DCD" w14:paraId="33032DE4" w14:textId="5178EC0B">
      <w:pPr>
        <w:spacing w:before="120" w:after="120"/>
        <w:ind w:right="180" w:firstLine="720"/>
        <w:rPr>
          <w:rFonts w:ascii="Palatino Linotype" w:hAnsi="Palatino Linotype"/>
        </w:rPr>
      </w:pPr>
      <w:r w:rsidRPr="00966429">
        <w:rPr>
          <w:rFonts w:ascii="Palatino Linotype" w:hAnsi="Palatino Linotype"/>
        </w:rPr>
        <w:t>(</w:t>
      </w:r>
      <w:r w:rsidRPr="00966429" w:rsidR="006E1097">
        <w:rPr>
          <w:rFonts w:ascii="Palatino Linotype" w:hAnsi="Palatino Linotype"/>
        </w:rPr>
        <w:t>0.0009</w:t>
      </w:r>
      <w:r w:rsidRPr="00966429">
        <w:rPr>
          <w:rFonts w:ascii="Palatino Linotype" w:hAnsi="Palatino Linotype"/>
        </w:rPr>
        <w:t>)</w:t>
      </w:r>
      <w:r w:rsidRPr="00966429" w:rsidR="006E1097">
        <w:rPr>
          <w:rFonts w:ascii="Palatino Linotype" w:hAnsi="Palatino Linotype"/>
        </w:rPr>
        <w:t xml:space="preserve"> x </w:t>
      </w:r>
      <w:r w:rsidRPr="00966429">
        <w:rPr>
          <w:rFonts w:ascii="Palatino Linotype" w:hAnsi="Palatino Linotype"/>
        </w:rPr>
        <w:t>(</w:t>
      </w:r>
      <w:r w:rsidRPr="00966429" w:rsidR="006E1097">
        <w:rPr>
          <w:rFonts w:ascii="Palatino Linotype" w:hAnsi="Palatino Linotype"/>
        </w:rPr>
        <w:t>$750,000</w:t>
      </w:r>
      <w:r w:rsidRPr="00966429">
        <w:rPr>
          <w:rFonts w:ascii="Palatino Linotype" w:hAnsi="Palatino Linotype"/>
        </w:rPr>
        <w:t>)</w:t>
      </w:r>
      <w:r w:rsidRPr="00966429" w:rsidR="006E1097">
        <w:rPr>
          <w:rFonts w:ascii="Palatino Linotype" w:hAnsi="Palatino Linotype"/>
        </w:rPr>
        <w:t xml:space="preserve"> x </w:t>
      </w:r>
      <w:r w:rsidRPr="00966429">
        <w:rPr>
          <w:rFonts w:ascii="Palatino Linotype" w:hAnsi="Palatino Linotype"/>
        </w:rPr>
        <w:t>(</w:t>
      </w:r>
      <w:r w:rsidRPr="00966429" w:rsidR="006E1097">
        <w:rPr>
          <w:rFonts w:ascii="Palatino Linotype" w:hAnsi="Palatino Linotype"/>
        </w:rPr>
        <w:t>5</w:t>
      </w:r>
      <w:r w:rsidRPr="00966429">
        <w:rPr>
          <w:rFonts w:ascii="Palatino Linotype" w:hAnsi="Palatino Linotype"/>
        </w:rPr>
        <w:t xml:space="preserve"> months)</w:t>
      </w:r>
      <w:r w:rsidRPr="00966429" w:rsidR="006E1097">
        <w:rPr>
          <w:rFonts w:ascii="Palatino Linotype" w:hAnsi="Palatino Linotype"/>
        </w:rPr>
        <w:t xml:space="preserve"> = $3,375</w:t>
      </w:r>
    </w:p>
    <w:p w:rsidRPr="00966429" w:rsidR="009C6301" w:rsidP="00D80D40" w:rsidRDefault="000A4BFA" w14:paraId="78CB36C5" w14:textId="739C4A72">
      <w:pPr>
        <w:spacing w:before="120" w:after="120"/>
        <w:ind w:right="180"/>
        <w:rPr>
          <w:rFonts w:ascii="Palatino Linotype" w:hAnsi="Palatino Linotype"/>
        </w:rPr>
      </w:pPr>
      <w:r w:rsidRPr="00966429">
        <w:rPr>
          <w:rFonts w:ascii="Palatino Linotype" w:hAnsi="Palatino Linotype"/>
        </w:rPr>
        <w:t>Happy Valley</w:t>
      </w:r>
      <w:r w:rsidRPr="00966429" w:rsidR="004D516E">
        <w:rPr>
          <w:rFonts w:ascii="Palatino Linotype" w:hAnsi="Palatino Linotype"/>
        </w:rPr>
        <w:t xml:space="preserve"> </w:t>
      </w:r>
      <w:r w:rsidRPr="00966429" w:rsidR="00D80D40">
        <w:rPr>
          <w:rFonts w:ascii="Palatino Linotype" w:hAnsi="Palatino Linotype"/>
        </w:rPr>
        <w:t>incur</w:t>
      </w:r>
      <w:r w:rsidRPr="00966429" w:rsidR="00AC25D0">
        <w:rPr>
          <w:rFonts w:ascii="Palatino Linotype" w:hAnsi="Palatino Linotype"/>
        </w:rPr>
        <w:t>red</w:t>
      </w:r>
      <w:r w:rsidRPr="00966429" w:rsidR="00D80D40">
        <w:rPr>
          <w:rFonts w:ascii="Palatino Linotype" w:hAnsi="Palatino Linotype"/>
        </w:rPr>
        <w:t xml:space="preserve"> fine</w:t>
      </w:r>
      <w:r w:rsidRPr="00966429" w:rsidR="004D516E">
        <w:rPr>
          <w:rFonts w:ascii="Palatino Linotype" w:hAnsi="Palatino Linotype"/>
        </w:rPr>
        <w:t>s</w:t>
      </w:r>
      <w:r w:rsidRPr="00966429" w:rsidR="00D80D40">
        <w:rPr>
          <w:rFonts w:ascii="Palatino Linotype" w:hAnsi="Palatino Linotype"/>
        </w:rPr>
        <w:t xml:space="preserve"> for </w:t>
      </w:r>
      <w:r w:rsidRPr="00966429" w:rsidR="009C6301">
        <w:rPr>
          <w:rFonts w:ascii="Palatino Linotype" w:hAnsi="Palatino Linotype"/>
        </w:rPr>
        <w:t xml:space="preserve">three months, </w:t>
      </w:r>
      <w:r w:rsidRPr="00966429" w:rsidR="004D516E">
        <w:rPr>
          <w:rFonts w:ascii="Palatino Linotype" w:hAnsi="Palatino Linotype"/>
        </w:rPr>
        <w:t>January, August and September</w:t>
      </w:r>
      <w:r w:rsidRPr="00966429" w:rsidR="00D80D40">
        <w:rPr>
          <w:rFonts w:ascii="Palatino Linotype" w:hAnsi="Palatino Linotype"/>
        </w:rPr>
        <w:t xml:space="preserve">:  </w:t>
      </w:r>
    </w:p>
    <w:p w:rsidRPr="00966429" w:rsidR="00D80D40" w:rsidP="009C6301" w:rsidRDefault="00E63DCD" w14:paraId="1A85B317" w14:textId="68615372">
      <w:pPr>
        <w:spacing w:before="120" w:after="120"/>
        <w:ind w:right="180" w:firstLine="720"/>
        <w:rPr>
          <w:rFonts w:ascii="Palatino Linotype" w:hAnsi="Palatino Linotype"/>
        </w:rPr>
      </w:pPr>
      <w:r w:rsidRPr="00966429">
        <w:rPr>
          <w:rFonts w:ascii="Palatino Linotype" w:hAnsi="Palatino Linotype"/>
        </w:rPr>
        <w:t>(</w:t>
      </w:r>
      <w:r w:rsidRPr="00966429" w:rsidR="00D80D40">
        <w:rPr>
          <w:rFonts w:ascii="Palatino Linotype" w:hAnsi="Palatino Linotype"/>
        </w:rPr>
        <w:t>0.00</w:t>
      </w:r>
      <w:r w:rsidRPr="00966429" w:rsidR="004D516E">
        <w:rPr>
          <w:rFonts w:ascii="Palatino Linotype" w:hAnsi="Palatino Linotype"/>
        </w:rPr>
        <w:t>0</w:t>
      </w:r>
      <w:r w:rsidRPr="00966429" w:rsidR="00D80D40">
        <w:rPr>
          <w:rFonts w:ascii="Palatino Linotype" w:hAnsi="Palatino Linotype"/>
        </w:rPr>
        <w:t>4</w:t>
      </w:r>
      <w:r w:rsidRPr="00966429">
        <w:rPr>
          <w:rFonts w:ascii="Palatino Linotype" w:hAnsi="Palatino Linotype"/>
        </w:rPr>
        <w:t>)</w:t>
      </w:r>
      <w:r w:rsidRPr="00966429" w:rsidR="00D80D40">
        <w:rPr>
          <w:rFonts w:ascii="Palatino Linotype" w:hAnsi="Palatino Linotype"/>
        </w:rPr>
        <w:t xml:space="preserve"> x </w:t>
      </w:r>
      <w:r w:rsidRPr="00966429">
        <w:rPr>
          <w:rFonts w:ascii="Palatino Linotype" w:hAnsi="Palatino Linotype"/>
        </w:rPr>
        <w:t>(</w:t>
      </w:r>
      <w:r w:rsidRPr="00966429" w:rsidR="00D80D40">
        <w:rPr>
          <w:rFonts w:ascii="Palatino Linotype" w:hAnsi="Palatino Linotype"/>
        </w:rPr>
        <w:t>$750,000</w:t>
      </w:r>
      <w:r w:rsidRPr="00966429">
        <w:rPr>
          <w:rFonts w:ascii="Palatino Linotype" w:hAnsi="Palatino Linotype"/>
        </w:rPr>
        <w:t>)</w:t>
      </w:r>
      <w:r w:rsidRPr="00966429" w:rsidR="00D80D40">
        <w:rPr>
          <w:rFonts w:ascii="Palatino Linotype" w:hAnsi="Palatino Linotype"/>
        </w:rPr>
        <w:t xml:space="preserve"> x </w:t>
      </w:r>
      <w:r w:rsidRPr="00966429">
        <w:rPr>
          <w:rFonts w:ascii="Palatino Linotype" w:hAnsi="Palatino Linotype"/>
        </w:rPr>
        <w:t>(</w:t>
      </w:r>
      <w:r w:rsidRPr="00966429" w:rsidR="004D516E">
        <w:rPr>
          <w:rFonts w:ascii="Palatino Linotype" w:hAnsi="Palatino Linotype"/>
        </w:rPr>
        <w:t>3</w:t>
      </w:r>
      <w:r w:rsidRPr="00966429">
        <w:rPr>
          <w:rFonts w:ascii="Palatino Linotype" w:hAnsi="Palatino Linotype"/>
        </w:rPr>
        <w:t xml:space="preserve"> months)</w:t>
      </w:r>
      <w:r w:rsidRPr="00966429" w:rsidR="00D80D40">
        <w:rPr>
          <w:rFonts w:ascii="Palatino Linotype" w:hAnsi="Palatino Linotype"/>
        </w:rPr>
        <w:t xml:space="preserve"> = $</w:t>
      </w:r>
      <w:r w:rsidRPr="00966429" w:rsidR="004D516E">
        <w:rPr>
          <w:rFonts w:ascii="Palatino Linotype" w:hAnsi="Palatino Linotype"/>
        </w:rPr>
        <w:t>900</w:t>
      </w:r>
    </w:p>
    <w:p w:rsidRPr="00966429" w:rsidR="009C6301" w:rsidP="00094A89" w:rsidRDefault="000A4BFA" w14:paraId="6F958774" w14:textId="1D0F5CFB">
      <w:pPr>
        <w:spacing w:before="120" w:after="120"/>
        <w:ind w:right="180"/>
        <w:rPr>
          <w:rFonts w:ascii="Palatino Linotype" w:hAnsi="Palatino Linotype"/>
        </w:rPr>
      </w:pPr>
      <w:r w:rsidRPr="00966429">
        <w:rPr>
          <w:rFonts w:ascii="Palatino Linotype" w:hAnsi="Palatino Linotype"/>
        </w:rPr>
        <w:t>Hornitos</w:t>
      </w:r>
      <w:r w:rsidRPr="00966429" w:rsidR="004D516E">
        <w:rPr>
          <w:rFonts w:ascii="Palatino Linotype" w:hAnsi="Palatino Linotype"/>
        </w:rPr>
        <w:t xml:space="preserve"> incur</w:t>
      </w:r>
      <w:r w:rsidRPr="00966429" w:rsidR="00AC25D0">
        <w:rPr>
          <w:rFonts w:ascii="Palatino Linotype" w:hAnsi="Palatino Linotype"/>
        </w:rPr>
        <w:t>red</w:t>
      </w:r>
      <w:r w:rsidRPr="00966429" w:rsidR="004D516E">
        <w:rPr>
          <w:rFonts w:ascii="Palatino Linotype" w:hAnsi="Palatino Linotype"/>
        </w:rPr>
        <w:t xml:space="preserve"> fines for</w:t>
      </w:r>
      <w:r w:rsidRPr="00966429" w:rsidR="009C6301">
        <w:rPr>
          <w:rFonts w:ascii="Palatino Linotype" w:hAnsi="Palatino Linotype"/>
        </w:rPr>
        <w:t xml:space="preserve"> seven months,</w:t>
      </w:r>
      <w:r w:rsidRPr="00966429" w:rsidR="004D516E">
        <w:rPr>
          <w:rFonts w:ascii="Palatino Linotype" w:hAnsi="Palatino Linotype"/>
        </w:rPr>
        <w:t xml:space="preserve"> January through June, and August</w:t>
      </w:r>
      <w:r w:rsidRPr="00966429" w:rsidR="00BC601B">
        <w:rPr>
          <w:rFonts w:ascii="Palatino Linotype" w:hAnsi="Palatino Linotype"/>
        </w:rPr>
        <w:t xml:space="preserve">:  </w:t>
      </w:r>
    </w:p>
    <w:p w:rsidRPr="00966429" w:rsidR="004B3034" w:rsidP="009C6301" w:rsidRDefault="00E63DCD" w14:paraId="59C1A50F" w14:textId="27011529">
      <w:pPr>
        <w:spacing w:before="120" w:after="120"/>
        <w:ind w:right="180" w:firstLine="720"/>
        <w:rPr>
          <w:rFonts w:ascii="Palatino Linotype" w:hAnsi="Palatino Linotype"/>
        </w:rPr>
      </w:pPr>
      <w:r w:rsidRPr="00966429">
        <w:rPr>
          <w:rFonts w:ascii="Palatino Linotype" w:hAnsi="Palatino Linotype"/>
        </w:rPr>
        <w:t>(</w:t>
      </w:r>
      <w:r w:rsidRPr="00966429" w:rsidR="00BC601B">
        <w:rPr>
          <w:rFonts w:ascii="Palatino Linotype" w:hAnsi="Palatino Linotype"/>
        </w:rPr>
        <w:t>0.000</w:t>
      </w:r>
      <w:r w:rsidRPr="00966429" w:rsidR="004D516E">
        <w:rPr>
          <w:rFonts w:ascii="Palatino Linotype" w:hAnsi="Palatino Linotype"/>
        </w:rPr>
        <w:t>1</w:t>
      </w:r>
      <w:r w:rsidRPr="00966429">
        <w:rPr>
          <w:rFonts w:ascii="Palatino Linotype" w:hAnsi="Palatino Linotype"/>
        </w:rPr>
        <w:t>)</w:t>
      </w:r>
      <w:r w:rsidRPr="00966429" w:rsidR="00BC601B">
        <w:rPr>
          <w:rFonts w:ascii="Palatino Linotype" w:hAnsi="Palatino Linotype"/>
        </w:rPr>
        <w:t xml:space="preserve"> x </w:t>
      </w:r>
      <w:r w:rsidRPr="00966429">
        <w:rPr>
          <w:rFonts w:ascii="Palatino Linotype" w:hAnsi="Palatino Linotype"/>
        </w:rPr>
        <w:t>(</w:t>
      </w:r>
      <w:r w:rsidRPr="00966429" w:rsidR="00BC601B">
        <w:rPr>
          <w:rFonts w:ascii="Palatino Linotype" w:hAnsi="Palatino Linotype"/>
        </w:rPr>
        <w:t>$750,000</w:t>
      </w:r>
      <w:r w:rsidRPr="00966429">
        <w:rPr>
          <w:rFonts w:ascii="Palatino Linotype" w:hAnsi="Palatino Linotype"/>
        </w:rPr>
        <w:t>)</w:t>
      </w:r>
      <w:r w:rsidRPr="00966429" w:rsidR="00BC601B">
        <w:rPr>
          <w:rFonts w:ascii="Palatino Linotype" w:hAnsi="Palatino Linotype"/>
        </w:rPr>
        <w:t xml:space="preserve"> x </w:t>
      </w:r>
      <w:r w:rsidRPr="00966429">
        <w:rPr>
          <w:rFonts w:ascii="Palatino Linotype" w:hAnsi="Palatino Linotype"/>
        </w:rPr>
        <w:t>(</w:t>
      </w:r>
      <w:r w:rsidRPr="00966429" w:rsidR="004D516E">
        <w:rPr>
          <w:rFonts w:ascii="Palatino Linotype" w:hAnsi="Palatino Linotype"/>
        </w:rPr>
        <w:t>7</w:t>
      </w:r>
      <w:r w:rsidRPr="00966429">
        <w:rPr>
          <w:rFonts w:ascii="Palatino Linotype" w:hAnsi="Palatino Linotype"/>
        </w:rPr>
        <w:t xml:space="preserve"> months)</w:t>
      </w:r>
      <w:r w:rsidRPr="00966429" w:rsidR="00BC601B">
        <w:rPr>
          <w:rFonts w:ascii="Palatino Linotype" w:hAnsi="Palatino Linotype"/>
        </w:rPr>
        <w:t xml:space="preserve"> = $</w:t>
      </w:r>
      <w:r w:rsidRPr="00966429" w:rsidR="004D516E">
        <w:rPr>
          <w:rFonts w:ascii="Palatino Linotype" w:hAnsi="Palatino Linotype"/>
        </w:rPr>
        <w:t>5</w:t>
      </w:r>
      <w:r w:rsidRPr="00966429" w:rsidR="00E068F3">
        <w:rPr>
          <w:rFonts w:ascii="Palatino Linotype" w:hAnsi="Palatino Linotype"/>
        </w:rPr>
        <w:t>25</w:t>
      </w:r>
    </w:p>
    <w:p w:rsidRPr="00966429" w:rsidR="009C6301" w:rsidP="00094A89" w:rsidRDefault="000A4BFA" w14:paraId="3162BF0F" w14:textId="257D3CEE">
      <w:pPr>
        <w:spacing w:before="120" w:after="120"/>
        <w:ind w:right="180"/>
        <w:rPr>
          <w:rFonts w:ascii="Palatino Linotype" w:hAnsi="Palatino Linotype"/>
        </w:rPr>
      </w:pPr>
      <w:r w:rsidRPr="00966429">
        <w:rPr>
          <w:rFonts w:ascii="Palatino Linotype" w:hAnsi="Palatino Linotype"/>
        </w:rPr>
        <w:t xml:space="preserve">Winterhaven </w:t>
      </w:r>
      <w:r w:rsidRPr="00966429" w:rsidR="004D516E">
        <w:rPr>
          <w:rFonts w:ascii="Palatino Linotype" w:hAnsi="Palatino Linotype"/>
        </w:rPr>
        <w:t>incur</w:t>
      </w:r>
      <w:r w:rsidRPr="00966429" w:rsidR="00AC25D0">
        <w:rPr>
          <w:rFonts w:ascii="Palatino Linotype" w:hAnsi="Palatino Linotype"/>
        </w:rPr>
        <w:t>red</w:t>
      </w:r>
      <w:r w:rsidRPr="00966429" w:rsidR="004D516E">
        <w:rPr>
          <w:rFonts w:ascii="Palatino Linotype" w:hAnsi="Palatino Linotype"/>
        </w:rPr>
        <w:t xml:space="preserve"> fines</w:t>
      </w:r>
      <w:r w:rsidRPr="00966429" w:rsidR="009C6301">
        <w:rPr>
          <w:rFonts w:ascii="Palatino Linotype" w:hAnsi="Palatino Linotype"/>
        </w:rPr>
        <w:t xml:space="preserve"> for seven months,</w:t>
      </w:r>
      <w:r w:rsidRPr="00966429" w:rsidR="004D516E">
        <w:rPr>
          <w:rFonts w:ascii="Palatino Linotype" w:hAnsi="Palatino Linotype"/>
        </w:rPr>
        <w:t xml:space="preserve"> April through June, and August through November:  </w:t>
      </w:r>
    </w:p>
    <w:p w:rsidRPr="00966429" w:rsidR="000A4BFA" w:rsidP="009C6301" w:rsidRDefault="00E63DCD" w14:paraId="3A75C04E" w14:textId="567A6ADF">
      <w:pPr>
        <w:spacing w:before="120" w:after="120"/>
        <w:ind w:right="180" w:firstLine="720"/>
        <w:rPr>
          <w:rFonts w:ascii="Palatino Linotype" w:hAnsi="Palatino Linotype"/>
        </w:rPr>
      </w:pPr>
      <w:r w:rsidRPr="00966429">
        <w:rPr>
          <w:rFonts w:ascii="Palatino Linotype" w:hAnsi="Palatino Linotype"/>
        </w:rPr>
        <w:t>(</w:t>
      </w:r>
      <w:r w:rsidRPr="00966429" w:rsidR="004D516E">
        <w:rPr>
          <w:rFonts w:ascii="Palatino Linotype" w:hAnsi="Palatino Linotype"/>
        </w:rPr>
        <w:t>0.0001</w:t>
      </w:r>
      <w:r w:rsidRPr="00966429">
        <w:rPr>
          <w:rFonts w:ascii="Palatino Linotype" w:hAnsi="Palatino Linotype"/>
        </w:rPr>
        <w:t>)</w:t>
      </w:r>
      <w:r w:rsidRPr="00966429" w:rsidR="004D516E">
        <w:rPr>
          <w:rFonts w:ascii="Palatino Linotype" w:hAnsi="Palatino Linotype"/>
        </w:rPr>
        <w:t xml:space="preserve"> x </w:t>
      </w:r>
      <w:r w:rsidRPr="00966429">
        <w:rPr>
          <w:rFonts w:ascii="Palatino Linotype" w:hAnsi="Palatino Linotype"/>
        </w:rPr>
        <w:t>($750,000) x (</w:t>
      </w:r>
      <w:r w:rsidRPr="00966429" w:rsidR="004D516E">
        <w:rPr>
          <w:rFonts w:ascii="Palatino Linotype" w:hAnsi="Palatino Linotype"/>
        </w:rPr>
        <w:t>7</w:t>
      </w:r>
      <w:r w:rsidRPr="00966429">
        <w:rPr>
          <w:rFonts w:ascii="Palatino Linotype" w:hAnsi="Palatino Linotype"/>
        </w:rPr>
        <w:t xml:space="preserve"> months)</w:t>
      </w:r>
      <w:r w:rsidRPr="00966429" w:rsidR="004D516E">
        <w:rPr>
          <w:rFonts w:ascii="Palatino Linotype" w:hAnsi="Palatino Linotype"/>
        </w:rPr>
        <w:t xml:space="preserve"> = $525</w:t>
      </w:r>
    </w:p>
    <w:p w:rsidRPr="00966429" w:rsidR="004B467A" w:rsidP="004B467A" w:rsidRDefault="007C50B0" w14:paraId="1939F1EC" w14:textId="77777777">
      <w:pPr>
        <w:numPr>
          <w:ilvl w:val="0"/>
          <w:numId w:val="5"/>
        </w:numPr>
        <w:tabs>
          <w:tab w:val="left" w:pos="720"/>
        </w:tabs>
        <w:spacing w:before="120" w:after="120"/>
        <w:ind w:left="720"/>
        <w:rPr>
          <w:rFonts w:ascii="Palatino Linotype" w:hAnsi="Palatino Linotype"/>
          <w:b/>
          <w:i/>
          <w:u w:val="single"/>
        </w:rPr>
      </w:pPr>
      <w:r w:rsidRPr="00966429">
        <w:rPr>
          <w:rFonts w:ascii="Palatino Linotype" w:hAnsi="Palatino Linotype"/>
          <w:b/>
          <w:i/>
          <w:u w:val="single"/>
        </w:rPr>
        <w:t xml:space="preserve">Customer Trouble Reports </w:t>
      </w:r>
    </w:p>
    <w:p w:rsidRPr="00966429" w:rsidR="00353649" w:rsidP="00353649" w:rsidRDefault="004B467A" w14:paraId="5F02BC2E" w14:textId="561A52A5">
      <w:pPr>
        <w:spacing w:before="120" w:after="120"/>
        <w:rPr>
          <w:rFonts w:ascii="Palatino Linotype" w:hAnsi="Palatino Linotype"/>
        </w:rPr>
      </w:pPr>
      <w:r w:rsidRPr="00966429">
        <w:rPr>
          <w:rFonts w:ascii="Palatino Linotype" w:hAnsi="Palatino Linotype"/>
        </w:rPr>
        <w:t xml:space="preserve">The </w:t>
      </w:r>
      <w:r w:rsidRPr="00966429" w:rsidR="007C50B0">
        <w:rPr>
          <w:rFonts w:ascii="Palatino Linotype" w:hAnsi="Palatino Linotype"/>
          <w:i/>
        </w:rPr>
        <w:t>Customer Trouble Reports</w:t>
      </w:r>
      <w:r w:rsidRPr="00966429" w:rsidR="00424559">
        <w:rPr>
          <w:rFonts w:ascii="Palatino Linotype" w:hAnsi="Palatino Linotype"/>
          <w:i/>
        </w:rPr>
        <w:t xml:space="preserve"> </w:t>
      </w:r>
      <w:r w:rsidRPr="00966429">
        <w:rPr>
          <w:rFonts w:ascii="Palatino Linotype" w:hAnsi="Palatino Linotype"/>
        </w:rPr>
        <w:t>standard</w:t>
      </w:r>
      <w:r w:rsidRPr="00966429" w:rsidR="00353649">
        <w:rPr>
          <w:rFonts w:ascii="Palatino Linotype" w:hAnsi="Palatino Linotype"/>
        </w:rPr>
        <w:t>, defined in</w:t>
      </w:r>
      <w:r w:rsidRPr="00966429" w:rsidR="00C631AB">
        <w:rPr>
          <w:rFonts w:ascii="Palatino Linotype" w:hAnsi="Palatino Linotype"/>
        </w:rPr>
        <w:t xml:space="preserve"> </w:t>
      </w:r>
      <w:r w:rsidRPr="00966429" w:rsidR="00232EAF">
        <w:rPr>
          <w:rFonts w:ascii="Palatino Linotype" w:hAnsi="Palatino Linotype"/>
        </w:rPr>
        <w:t xml:space="preserve">§ </w:t>
      </w:r>
      <w:r w:rsidRPr="00966429" w:rsidR="00353649">
        <w:rPr>
          <w:rFonts w:ascii="Palatino Linotype" w:hAnsi="Palatino Linotype"/>
        </w:rPr>
        <w:t>3.3,</w:t>
      </w:r>
      <w:r w:rsidRPr="00966429">
        <w:rPr>
          <w:rFonts w:ascii="Palatino Linotype" w:hAnsi="Palatino Linotype"/>
        </w:rPr>
        <w:t xml:space="preserve"> measures </w:t>
      </w:r>
      <w:r w:rsidRPr="00966429" w:rsidR="00DE74E4">
        <w:rPr>
          <w:rFonts w:ascii="Palatino Linotype" w:hAnsi="Palatino Linotype"/>
        </w:rPr>
        <w:t xml:space="preserve">the number of reports a carrier receives from its customers regarding their dissatisfaction with telephone company services. The Minimum Standard Reporting Level for the </w:t>
      </w:r>
      <w:r w:rsidRPr="00966429" w:rsidR="00DE74E4">
        <w:rPr>
          <w:rFonts w:ascii="Palatino Linotype" w:hAnsi="Palatino Linotype"/>
          <w:i/>
        </w:rPr>
        <w:t>Customer Trouble Reports</w:t>
      </w:r>
      <w:r w:rsidRPr="00966429" w:rsidR="00DE74E4">
        <w:rPr>
          <w:rFonts w:ascii="Palatino Linotype" w:hAnsi="Palatino Linotype"/>
        </w:rPr>
        <w:t xml:space="preserve"> measurement varies based on the number of working lines per reporting unit</w:t>
      </w:r>
      <w:r w:rsidRPr="00966429" w:rsidR="00353649">
        <w:rPr>
          <w:rFonts w:ascii="Palatino Linotype" w:hAnsi="Palatino Linotype"/>
        </w:rPr>
        <w:t xml:space="preserve">. </w:t>
      </w:r>
    </w:p>
    <w:p w:rsidRPr="00966429" w:rsidR="0008653C" w:rsidP="007142A3" w:rsidRDefault="003E790E" w14:paraId="06FA1B90" w14:textId="7F2C497F">
      <w:pPr>
        <w:spacing w:before="120" w:after="120"/>
        <w:rPr>
          <w:rFonts w:ascii="Palatino Linotype" w:hAnsi="Palatino Linotype"/>
        </w:rPr>
      </w:pPr>
      <w:r w:rsidRPr="00966429">
        <w:rPr>
          <w:rFonts w:ascii="Palatino Linotype" w:hAnsi="Palatino Linotype"/>
        </w:rPr>
        <w:lastRenderedPageBreak/>
        <w:t>In 2018</w:t>
      </w:r>
      <w:r w:rsidRPr="00966429" w:rsidR="00353649">
        <w:rPr>
          <w:rFonts w:ascii="Palatino Linotype" w:hAnsi="Palatino Linotype"/>
        </w:rPr>
        <w:t>, AT&amp;T</w:t>
      </w:r>
      <w:r w:rsidRPr="00966429" w:rsidR="00EE25CA">
        <w:rPr>
          <w:rFonts w:ascii="Palatino Linotype" w:hAnsi="Palatino Linotype"/>
        </w:rPr>
        <w:t xml:space="preserve"> Corp.</w:t>
      </w:r>
      <w:r w:rsidRPr="00966429" w:rsidR="00353649">
        <w:rPr>
          <w:rFonts w:ascii="Palatino Linotype" w:hAnsi="Palatino Linotype"/>
        </w:rPr>
        <w:t xml:space="preserve">, Frontier </w:t>
      </w:r>
      <w:r w:rsidRPr="00966429">
        <w:rPr>
          <w:rFonts w:ascii="Palatino Linotype" w:hAnsi="Palatino Linotype"/>
        </w:rPr>
        <w:t>Citizens, Frontier Southwest, Happy Valley, Hornitos</w:t>
      </w:r>
      <w:r w:rsidRPr="00966429" w:rsidR="00353649">
        <w:rPr>
          <w:rFonts w:ascii="Palatino Linotype" w:hAnsi="Palatino Linotype"/>
        </w:rPr>
        <w:t xml:space="preserve">, and </w:t>
      </w:r>
      <w:r w:rsidRPr="00966429" w:rsidR="00E068F3">
        <w:rPr>
          <w:rFonts w:ascii="Palatino Linotype" w:hAnsi="Palatino Linotype"/>
        </w:rPr>
        <w:t>Winterhaven</w:t>
      </w:r>
      <w:r w:rsidRPr="00966429" w:rsidR="00353649">
        <w:rPr>
          <w:rFonts w:ascii="Palatino Linotype" w:hAnsi="Palatino Linotype"/>
        </w:rPr>
        <w:t xml:space="preserve"> all met the </w:t>
      </w:r>
      <w:r w:rsidRPr="00966429" w:rsidR="00353649">
        <w:rPr>
          <w:rFonts w:ascii="Palatino Linotype" w:hAnsi="Palatino Linotype"/>
          <w:i/>
        </w:rPr>
        <w:t xml:space="preserve">Customer Trouble Reports </w:t>
      </w:r>
      <w:r w:rsidRPr="00966429" w:rsidR="00353649">
        <w:rPr>
          <w:rFonts w:ascii="Palatino Linotype" w:hAnsi="Palatino Linotype"/>
        </w:rPr>
        <w:t>standard.</w:t>
      </w:r>
    </w:p>
    <w:p w:rsidRPr="00966429" w:rsidR="007C50B0" w:rsidP="007C50B0" w:rsidRDefault="007C50B0" w14:paraId="4400178A" w14:textId="77777777">
      <w:pPr>
        <w:numPr>
          <w:ilvl w:val="0"/>
          <w:numId w:val="5"/>
        </w:numPr>
        <w:tabs>
          <w:tab w:val="left" w:pos="720"/>
        </w:tabs>
        <w:spacing w:before="120" w:after="120"/>
        <w:ind w:left="720"/>
        <w:rPr>
          <w:rFonts w:ascii="Palatino Linotype" w:hAnsi="Palatino Linotype"/>
          <w:b/>
          <w:i/>
          <w:u w:val="single"/>
        </w:rPr>
      </w:pPr>
      <w:r w:rsidRPr="00966429">
        <w:rPr>
          <w:rFonts w:ascii="Palatino Linotype" w:hAnsi="Palatino Linotype"/>
          <w:b/>
          <w:i/>
          <w:u w:val="single"/>
        </w:rPr>
        <w:t xml:space="preserve">Answer Time </w:t>
      </w:r>
      <w:r w:rsidRPr="00966429" w:rsidR="00FF270E">
        <w:rPr>
          <w:rFonts w:ascii="Palatino Linotype" w:hAnsi="Palatino Linotype"/>
          <w:b/>
          <w:i/>
          <w:u w:val="single"/>
        </w:rPr>
        <w:t>for Trouble Reports and Billing and Non-</w:t>
      </w:r>
      <w:r w:rsidRPr="00966429" w:rsidR="0014432E">
        <w:rPr>
          <w:rFonts w:ascii="Palatino Linotype" w:hAnsi="Palatino Linotype"/>
          <w:b/>
          <w:i/>
          <w:u w:val="single"/>
        </w:rPr>
        <w:t>B</w:t>
      </w:r>
      <w:r w:rsidRPr="00966429" w:rsidR="00FF270E">
        <w:rPr>
          <w:rFonts w:ascii="Palatino Linotype" w:hAnsi="Palatino Linotype"/>
          <w:b/>
          <w:i/>
          <w:u w:val="single"/>
        </w:rPr>
        <w:t>illing Inquiries</w:t>
      </w:r>
    </w:p>
    <w:p w:rsidRPr="00966429" w:rsidR="007C50B0" w:rsidP="007C50B0" w:rsidRDefault="007C50B0" w14:paraId="5293D3C3" w14:textId="6F254064">
      <w:pPr>
        <w:spacing w:before="120" w:after="120"/>
        <w:rPr>
          <w:rFonts w:ascii="Palatino Linotype" w:hAnsi="Palatino Linotype"/>
        </w:rPr>
      </w:pPr>
      <w:r w:rsidRPr="00966429">
        <w:rPr>
          <w:rFonts w:ascii="Palatino Linotype" w:hAnsi="Palatino Linotype"/>
        </w:rPr>
        <w:t xml:space="preserve">The </w:t>
      </w:r>
      <w:r w:rsidRPr="00966429">
        <w:rPr>
          <w:rFonts w:ascii="Palatino Linotype" w:hAnsi="Palatino Linotype"/>
          <w:i/>
        </w:rPr>
        <w:t xml:space="preserve">Answer Time </w:t>
      </w:r>
      <w:r w:rsidRPr="00966429">
        <w:rPr>
          <w:rFonts w:ascii="Palatino Linotype" w:hAnsi="Palatino Linotype"/>
        </w:rPr>
        <w:t>standard</w:t>
      </w:r>
      <w:r w:rsidRPr="00966429" w:rsidR="00232EAF">
        <w:rPr>
          <w:rFonts w:ascii="Palatino Linotype" w:hAnsi="Palatino Linotype"/>
        </w:rPr>
        <w:t>, defined in §</w:t>
      </w:r>
      <w:r w:rsidRPr="00966429" w:rsidR="00520FBA">
        <w:rPr>
          <w:rFonts w:ascii="Palatino Linotype" w:hAnsi="Palatino Linotype"/>
        </w:rPr>
        <w:t xml:space="preserve"> </w:t>
      </w:r>
      <w:r w:rsidRPr="00966429" w:rsidR="00232EAF">
        <w:rPr>
          <w:rFonts w:ascii="Palatino Linotype" w:hAnsi="Palatino Linotype"/>
        </w:rPr>
        <w:t>3.5,</w:t>
      </w:r>
      <w:r w:rsidRPr="00966429">
        <w:rPr>
          <w:rFonts w:ascii="Palatino Linotype" w:hAnsi="Palatino Linotype"/>
        </w:rPr>
        <w:t xml:space="preserve"> measures the amount of time it takes for an operator to answer the phone when customers call a business office for billing and non-billing inquiries or a repair office for trouble reports.  The value is</w:t>
      </w:r>
      <w:r w:rsidRPr="00966429" w:rsidR="00AB779A">
        <w:rPr>
          <w:rFonts w:ascii="Palatino Linotype" w:hAnsi="Palatino Linotype"/>
        </w:rPr>
        <w:t xml:space="preserve"> </w:t>
      </w:r>
      <w:r w:rsidRPr="00966429">
        <w:rPr>
          <w:rFonts w:ascii="Palatino Linotype" w:hAnsi="Palatino Linotype"/>
        </w:rPr>
        <w:t>calculated as an average answer time</w:t>
      </w:r>
      <w:r w:rsidRPr="00966429" w:rsidR="00BF215A">
        <w:rPr>
          <w:rFonts w:ascii="Palatino Linotype" w:hAnsi="Palatino Linotype"/>
        </w:rPr>
        <w:t xml:space="preserve"> of</w:t>
      </w:r>
      <w:r w:rsidRPr="00966429">
        <w:rPr>
          <w:rFonts w:ascii="Palatino Linotype" w:hAnsi="Palatino Linotype"/>
        </w:rPr>
        <w:t xml:space="preserve"> a sample of </w:t>
      </w:r>
      <w:r w:rsidRPr="00966429" w:rsidR="00BF215A">
        <w:rPr>
          <w:rFonts w:ascii="Palatino Linotype" w:hAnsi="Palatino Linotype"/>
        </w:rPr>
        <w:t xml:space="preserve">the answering interval of </w:t>
      </w:r>
      <w:r w:rsidRPr="00966429">
        <w:rPr>
          <w:rFonts w:ascii="Palatino Linotype" w:hAnsi="Palatino Linotype"/>
        </w:rPr>
        <w:t>calls to</w:t>
      </w:r>
      <w:r w:rsidRPr="00966429" w:rsidR="00ED3F5A">
        <w:rPr>
          <w:rFonts w:ascii="Palatino Linotype" w:hAnsi="Palatino Linotype"/>
        </w:rPr>
        <w:t xml:space="preserve"> </w:t>
      </w:r>
      <w:r w:rsidRPr="00966429">
        <w:rPr>
          <w:rFonts w:ascii="Palatino Linotype" w:hAnsi="Palatino Linotype"/>
        </w:rPr>
        <w:t>business and repair office</w:t>
      </w:r>
      <w:r w:rsidRPr="00966429" w:rsidR="00BF215A">
        <w:rPr>
          <w:rFonts w:ascii="Palatino Linotype" w:hAnsi="Palatino Linotype"/>
        </w:rPr>
        <w:t>s</w:t>
      </w:r>
      <w:r w:rsidRPr="00966429">
        <w:rPr>
          <w:rFonts w:ascii="Palatino Linotype" w:hAnsi="Palatino Linotype"/>
        </w:rPr>
        <w:t xml:space="preserve"> that is representative of the reported period.</w:t>
      </w:r>
    </w:p>
    <w:p w:rsidRPr="00966429" w:rsidR="00DC2903" w:rsidP="00DC2903" w:rsidRDefault="00A556AF" w14:paraId="0C2FB663" w14:textId="3C929CDA">
      <w:pPr>
        <w:spacing w:before="120" w:after="120"/>
        <w:rPr>
          <w:rFonts w:ascii="Palatino Linotype" w:hAnsi="Palatino Linotype"/>
        </w:rPr>
      </w:pPr>
      <w:r w:rsidRPr="00966429">
        <w:rPr>
          <w:rFonts w:ascii="Palatino Linotype" w:hAnsi="Palatino Linotype"/>
        </w:rPr>
        <w:t xml:space="preserve">The </w:t>
      </w:r>
      <w:r w:rsidRPr="00966429" w:rsidR="0092760C">
        <w:rPr>
          <w:rFonts w:ascii="Palatino Linotype" w:hAnsi="Palatino Linotype"/>
        </w:rPr>
        <w:t>M</w:t>
      </w:r>
      <w:r w:rsidRPr="00966429">
        <w:rPr>
          <w:rFonts w:ascii="Palatino Linotype" w:hAnsi="Palatino Linotype"/>
        </w:rPr>
        <w:t xml:space="preserve">inimum </w:t>
      </w:r>
      <w:r w:rsidRPr="00966429" w:rsidR="0092760C">
        <w:rPr>
          <w:rFonts w:ascii="Palatino Linotype" w:hAnsi="Palatino Linotype"/>
        </w:rPr>
        <w:t>S</w:t>
      </w:r>
      <w:r w:rsidRPr="00966429">
        <w:rPr>
          <w:rFonts w:ascii="Palatino Linotype" w:hAnsi="Palatino Linotype"/>
        </w:rPr>
        <w:t xml:space="preserve">tandard </w:t>
      </w:r>
      <w:r w:rsidRPr="00966429" w:rsidR="0092760C">
        <w:rPr>
          <w:rFonts w:ascii="Palatino Linotype" w:hAnsi="Palatino Linotype"/>
        </w:rPr>
        <w:t>R</w:t>
      </w:r>
      <w:r w:rsidRPr="00966429">
        <w:rPr>
          <w:rFonts w:ascii="Palatino Linotype" w:hAnsi="Palatino Linotype"/>
        </w:rPr>
        <w:t xml:space="preserve">eporting </w:t>
      </w:r>
      <w:r w:rsidRPr="00966429" w:rsidR="0092760C">
        <w:rPr>
          <w:rFonts w:ascii="Palatino Linotype" w:hAnsi="Palatino Linotype"/>
        </w:rPr>
        <w:t>L</w:t>
      </w:r>
      <w:r w:rsidRPr="00966429" w:rsidR="007C50B0">
        <w:rPr>
          <w:rFonts w:ascii="Palatino Linotype" w:hAnsi="Palatino Linotype"/>
        </w:rPr>
        <w:t xml:space="preserve">evel for </w:t>
      </w:r>
      <w:r w:rsidRPr="00966429" w:rsidR="007C50B0">
        <w:rPr>
          <w:rFonts w:ascii="Palatino Linotype" w:hAnsi="Palatino Linotype"/>
          <w:i/>
        </w:rPr>
        <w:t>Answer Time</w:t>
      </w:r>
      <w:r w:rsidRPr="00966429" w:rsidR="007C50B0">
        <w:rPr>
          <w:rFonts w:ascii="Palatino Linotype" w:hAnsi="Palatino Linotype"/>
        </w:rPr>
        <w:t xml:space="preserve"> is 80% of calls answered by an operator within 60 seconds when speaking to a live agent, or 80% of calls answered within 60 seconds </w:t>
      </w:r>
      <w:r w:rsidRPr="00966429" w:rsidR="0092760C">
        <w:rPr>
          <w:rFonts w:ascii="Palatino Linotype" w:hAnsi="Palatino Linotype"/>
        </w:rPr>
        <w:t xml:space="preserve">when speaking to a live agent </w:t>
      </w:r>
      <w:r w:rsidRPr="00966429" w:rsidR="007C50B0">
        <w:rPr>
          <w:rFonts w:ascii="Palatino Linotype" w:hAnsi="Palatino Linotype"/>
        </w:rPr>
        <w:t xml:space="preserve">after completing an interactive voice response or automatic response unit system.  </w:t>
      </w:r>
    </w:p>
    <w:p w:rsidRPr="00966429" w:rsidR="00482EFC" w:rsidP="00DC2903" w:rsidRDefault="00482EFC" w14:paraId="1CD11285" w14:textId="77777777">
      <w:pPr>
        <w:spacing w:before="120" w:after="120"/>
        <w:rPr>
          <w:rFonts w:ascii="Palatino Linotype" w:hAnsi="Palatino Linotype"/>
        </w:rPr>
      </w:pPr>
    </w:p>
    <w:tbl>
      <w:tblPr>
        <w:tblW w:w="9270" w:type="dxa"/>
        <w:jc w:val="center"/>
        <w:tblLook w:val="04A0" w:firstRow="1" w:lastRow="0" w:firstColumn="1" w:lastColumn="0" w:noHBand="0" w:noVBand="1"/>
      </w:tblPr>
      <w:tblGrid>
        <w:gridCol w:w="1345"/>
        <w:gridCol w:w="1530"/>
        <w:gridCol w:w="1625"/>
        <w:gridCol w:w="1615"/>
        <w:gridCol w:w="1530"/>
        <w:gridCol w:w="1625"/>
      </w:tblGrid>
      <w:tr w:rsidRPr="00966429" w:rsidR="00232EAF" w:rsidTr="00252BB1" w14:paraId="1AF8CBC4" w14:textId="77777777">
        <w:trPr>
          <w:trHeight w:val="300"/>
          <w:jc w:val="center"/>
        </w:trPr>
        <w:tc>
          <w:tcPr>
            <w:tcW w:w="9270" w:type="dxa"/>
            <w:gridSpan w:val="6"/>
            <w:tcBorders>
              <w:top w:val="single" w:color="auto" w:sz="4" w:space="0"/>
              <w:left w:val="single" w:color="auto" w:sz="4" w:space="0"/>
              <w:right w:val="single" w:color="auto" w:sz="4" w:space="0"/>
            </w:tcBorders>
            <w:shd w:val="clear" w:color="auto" w:fill="auto"/>
            <w:vAlign w:val="center"/>
            <w:hideMark/>
          </w:tcPr>
          <w:p w:rsidRPr="00252BB1" w:rsidR="00232EAF" w:rsidP="007B0E7D" w:rsidRDefault="00232EAF" w14:paraId="10AFE515" w14:textId="77777777">
            <w:pPr>
              <w:jc w:val="center"/>
              <w:rPr>
                <w:rFonts w:ascii="Palatino Linotype" w:hAnsi="Palatino Linotype"/>
                <w:b/>
                <w:bCs/>
                <w:color w:val="000000"/>
                <w:sz w:val="22"/>
                <w:szCs w:val="22"/>
              </w:rPr>
            </w:pPr>
            <w:r w:rsidRPr="00252BB1">
              <w:rPr>
                <w:rFonts w:ascii="Palatino Linotype" w:hAnsi="Palatino Linotype"/>
                <w:b/>
                <w:bCs/>
                <w:color w:val="000000"/>
                <w:sz w:val="22"/>
                <w:szCs w:val="22"/>
              </w:rPr>
              <w:t>Base Answer Time Fine,</w:t>
            </w:r>
          </w:p>
          <w:p w:rsidRPr="00252BB1" w:rsidR="00232EAF" w:rsidP="00520FBA" w:rsidRDefault="00232EAF" w14:paraId="32F92478" w14:textId="4CCDFDBE">
            <w:pPr>
              <w:jc w:val="center"/>
              <w:rPr>
                <w:rFonts w:ascii="Palatino Linotype" w:hAnsi="Palatino Linotype"/>
                <w:b/>
                <w:bCs/>
                <w:color w:val="000000"/>
                <w:sz w:val="20"/>
                <w:szCs w:val="20"/>
              </w:rPr>
            </w:pPr>
            <w:r w:rsidRPr="00252BB1">
              <w:rPr>
                <w:rFonts w:ascii="Palatino Linotype" w:hAnsi="Palatino Linotype"/>
                <w:b/>
                <w:bCs/>
                <w:color w:val="000000"/>
                <w:sz w:val="22"/>
                <w:szCs w:val="22"/>
              </w:rPr>
              <w:t>GO 133-D</w:t>
            </w:r>
            <w:r w:rsidRPr="00252BB1" w:rsidR="00520FBA">
              <w:rPr>
                <w:rFonts w:ascii="Palatino Linotype" w:hAnsi="Palatino Linotype"/>
                <w:b/>
                <w:bCs/>
                <w:color w:val="000000"/>
                <w:sz w:val="22"/>
                <w:szCs w:val="22"/>
              </w:rPr>
              <w:t>, Section</w:t>
            </w:r>
            <w:r w:rsidRPr="00252BB1">
              <w:rPr>
                <w:rFonts w:ascii="Palatino Linotype" w:hAnsi="Palatino Linotype"/>
                <w:b/>
                <w:bCs/>
                <w:color w:val="000000"/>
                <w:sz w:val="22"/>
                <w:szCs w:val="22"/>
              </w:rPr>
              <w:t xml:space="preserve"> 9.5</w:t>
            </w:r>
          </w:p>
        </w:tc>
      </w:tr>
      <w:tr w:rsidRPr="00966429" w:rsidR="00232EAF" w:rsidTr="00252BB1" w14:paraId="42A5170A" w14:textId="77777777">
        <w:trPr>
          <w:trHeight w:val="575"/>
          <w:jc w:val="center"/>
        </w:trPr>
        <w:tc>
          <w:tcPr>
            <w:tcW w:w="1345" w:type="dxa"/>
            <w:tcBorders>
              <w:top w:val="nil"/>
              <w:left w:val="single" w:color="auto" w:sz="4" w:space="0"/>
              <w:bottom w:val="single" w:color="auto" w:sz="4" w:space="0"/>
              <w:right w:val="single" w:color="auto" w:sz="4" w:space="0"/>
            </w:tcBorders>
            <w:shd w:val="clear" w:color="000000" w:fill="F2F2F2" w:themeFill="background1" w:themeFillShade="F2"/>
            <w:vAlign w:val="center"/>
            <w:hideMark/>
          </w:tcPr>
          <w:p w:rsidRPr="00966429" w:rsidR="00232EAF" w:rsidP="007B0E7D" w:rsidRDefault="00232EAF" w14:paraId="55ADCC35" w14:textId="77777777">
            <w:pPr>
              <w:jc w:val="center"/>
              <w:rPr>
                <w:rFonts w:ascii="Palatino Linotype" w:hAnsi="Palatino Linotype"/>
                <w:bCs/>
                <w:color w:val="000000"/>
              </w:rPr>
            </w:pPr>
          </w:p>
        </w:tc>
        <w:tc>
          <w:tcPr>
            <w:tcW w:w="1530" w:type="dxa"/>
            <w:tcBorders>
              <w:top w:val="nil"/>
              <w:left w:val="nil"/>
              <w:bottom w:val="single" w:color="auto" w:sz="4" w:space="0"/>
              <w:right w:val="single" w:color="auto" w:sz="4" w:space="0"/>
            </w:tcBorders>
            <w:shd w:val="clear" w:color="000000" w:fill="F2F2F2" w:themeFill="background1" w:themeFillShade="F2"/>
            <w:vAlign w:val="center"/>
            <w:hideMark/>
          </w:tcPr>
          <w:p w:rsidRPr="00252BB1" w:rsidR="00232EAF" w:rsidP="007B0E7D" w:rsidRDefault="00232EAF" w14:paraId="077FFB54" w14:textId="77777777">
            <w:pPr>
              <w:jc w:val="center"/>
              <w:rPr>
                <w:rFonts w:ascii="Palatino Linotype" w:hAnsi="Palatino Linotype"/>
                <w:bCs/>
                <w:color w:val="000000"/>
                <w:sz w:val="20"/>
                <w:szCs w:val="20"/>
              </w:rPr>
            </w:pPr>
            <w:r w:rsidRPr="00252BB1">
              <w:rPr>
                <w:rFonts w:ascii="Palatino Linotype" w:hAnsi="Palatino Linotype"/>
                <w:bCs/>
                <w:color w:val="000000"/>
                <w:sz w:val="20"/>
                <w:szCs w:val="20"/>
              </w:rPr>
              <w:t>1 or 2 Consecutive Months</w:t>
            </w:r>
          </w:p>
        </w:tc>
        <w:tc>
          <w:tcPr>
            <w:tcW w:w="1625" w:type="dxa"/>
            <w:tcBorders>
              <w:top w:val="nil"/>
              <w:left w:val="nil"/>
              <w:bottom w:val="single" w:color="auto" w:sz="4" w:space="0"/>
              <w:right w:val="single" w:color="auto" w:sz="4" w:space="0"/>
            </w:tcBorders>
            <w:shd w:val="clear" w:color="000000" w:fill="F2F2F2" w:themeFill="background1" w:themeFillShade="F2"/>
            <w:vAlign w:val="center"/>
            <w:hideMark/>
          </w:tcPr>
          <w:p w:rsidRPr="00252BB1" w:rsidR="00232EAF" w:rsidP="007B0E7D" w:rsidRDefault="00232EAF" w14:paraId="53D97279" w14:textId="77777777">
            <w:pPr>
              <w:jc w:val="center"/>
              <w:rPr>
                <w:rFonts w:ascii="Palatino Linotype" w:hAnsi="Palatino Linotype"/>
                <w:bCs/>
                <w:color w:val="000000"/>
                <w:sz w:val="20"/>
                <w:szCs w:val="20"/>
              </w:rPr>
            </w:pPr>
            <w:r w:rsidRPr="00252BB1">
              <w:rPr>
                <w:rFonts w:ascii="Palatino Linotype" w:hAnsi="Palatino Linotype"/>
                <w:bCs/>
                <w:color w:val="000000"/>
                <w:sz w:val="20"/>
                <w:szCs w:val="20"/>
              </w:rPr>
              <w:t>3 to 5 Consecutive Months</w:t>
            </w:r>
          </w:p>
        </w:tc>
        <w:tc>
          <w:tcPr>
            <w:tcW w:w="1615" w:type="dxa"/>
            <w:tcBorders>
              <w:top w:val="nil"/>
              <w:left w:val="nil"/>
              <w:bottom w:val="single" w:color="auto" w:sz="4" w:space="0"/>
              <w:right w:val="single" w:color="auto" w:sz="4" w:space="0"/>
            </w:tcBorders>
            <w:shd w:val="clear" w:color="000000" w:fill="F2F2F2" w:themeFill="background1" w:themeFillShade="F2"/>
            <w:vAlign w:val="center"/>
            <w:hideMark/>
          </w:tcPr>
          <w:p w:rsidRPr="00252BB1" w:rsidR="00232EAF" w:rsidP="007B0E7D" w:rsidRDefault="00232EAF" w14:paraId="58096532" w14:textId="77777777">
            <w:pPr>
              <w:jc w:val="center"/>
              <w:rPr>
                <w:rFonts w:ascii="Palatino Linotype" w:hAnsi="Palatino Linotype"/>
                <w:bCs/>
                <w:color w:val="000000"/>
                <w:sz w:val="20"/>
                <w:szCs w:val="20"/>
              </w:rPr>
            </w:pPr>
            <w:r w:rsidRPr="00252BB1">
              <w:rPr>
                <w:rFonts w:ascii="Palatino Linotype" w:hAnsi="Palatino Linotype"/>
                <w:bCs/>
                <w:color w:val="000000"/>
                <w:sz w:val="20"/>
                <w:szCs w:val="20"/>
              </w:rPr>
              <w:t>6 to 8 Consecutive Months</w:t>
            </w:r>
          </w:p>
        </w:tc>
        <w:tc>
          <w:tcPr>
            <w:tcW w:w="1530" w:type="dxa"/>
            <w:tcBorders>
              <w:top w:val="nil"/>
              <w:left w:val="nil"/>
              <w:bottom w:val="single" w:color="auto" w:sz="4" w:space="0"/>
              <w:right w:val="single" w:color="auto" w:sz="4" w:space="0"/>
            </w:tcBorders>
            <w:shd w:val="clear" w:color="000000" w:fill="F2F2F2" w:themeFill="background1" w:themeFillShade="F2"/>
            <w:vAlign w:val="center"/>
            <w:hideMark/>
          </w:tcPr>
          <w:p w:rsidRPr="00252BB1" w:rsidR="00232EAF" w:rsidP="007B0E7D" w:rsidRDefault="00232EAF" w14:paraId="7B7C15D0" w14:textId="77777777">
            <w:pPr>
              <w:jc w:val="center"/>
              <w:rPr>
                <w:rFonts w:ascii="Palatino Linotype" w:hAnsi="Palatino Linotype"/>
                <w:bCs/>
                <w:color w:val="000000"/>
                <w:sz w:val="20"/>
                <w:szCs w:val="20"/>
              </w:rPr>
            </w:pPr>
            <w:r w:rsidRPr="00252BB1">
              <w:rPr>
                <w:rFonts w:ascii="Palatino Linotype" w:hAnsi="Palatino Linotype"/>
                <w:bCs/>
                <w:color w:val="000000"/>
                <w:sz w:val="20"/>
                <w:szCs w:val="20"/>
              </w:rPr>
              <w:t>9 to 11 Consecutive Months</w:t>
            </w:r>
          </w:p>
        </w:tc>
        <w:tc>
          <w:tcPr>
            <w:tcW w:w="1625" w:type="dxa"/>
            <w:tcBorders>
              <w:top w:val="nil"/>
              <w:left w:val="nil"/>
              <w:bottom w:val="single" w:color="auto" w:sz="4" w:space="0"/>
              <w:right w:val="single" w:color="auto" w:sz="4" w:space="0"/>
            </w:tcBorders>
            <w:shd w:val="clear" w:color="000000" w:fill="F2F2F2" w:themeFill="background1" w:themeFillShade="F2"/>
            <w:vAlign w:val="center"/>
            <w:hideMark/>
          </w:tcPr>
          <w:p w:rsidRPr="00252BB1" w:rsidR="00232EAF" w:rsidP="007B0E7D" w:rsidRDefault="00232EAF" w14:paraId="625DC6EB" w14:textId="77777777">
            <w:pPr>
              <w:jc w:val="center"/>
              <w:rPr>
                <w:rFonts w:ascii="Palatino Linotype" w:hAnsi="Palatino Linotype"/>
                <w:bCs/>
                <w:color w:val="000000"/>
                <w:sz w:val="20"/>
                <w:szCs w:val="20"/>
              </w:rPr>
            </w:pPr>
            <w:r w:rsidRPr="00252BB1">
              <w:rPr>
                <w:rFonts w:ascii="Palatino Linotype" w:hAnsi="Palatino Linotype"/>
                <w:bCs/>
                <w:color w:val="000000"/>
                <w:sz w:val="20"/>
                <w:szCs w:val="20"/>
              </w:rPr>
              <w:t>12 or More Consecutive Months</w:t>
            </w:r>
          </w:p>
        </w:tc>
      </w:tr>
      <w:tr w:rsidRPr="00966429" w:rsidR="00232EAF" w:rsidTr="00252BB1" w14:paraId="3AB39462" w14:textId="77777777">
        <w:trPr>
          <w:trHeight w:val="782"/>
          <w:jc w:val="center"/>
        </w:trPr>
        <w:tc>
          <w:tcPr>
            <w:tcW w:w="1345" w:type="dxa"/>
            <w:tcBorders>
              <w:top w:val="single" w:color="auto" w:sz="4" w:space="0"/>
              <w:left w:val="single" w:color="auto" w:sz="4" w:space="0"/>
              <w:bottom w:val="single" w:color="auto" w:sz="4" w:space="0"/>
              <w:right w:val="single" w:color="auto" w:sz="4" w:space="0"/>
            </w:tcBorders>
            <w:shd w:val="clear" w:color="000000" w:fill="F2F2F2" w:themeFill="background1" w:themeFillShade="F2"/>
            <w:vAlign w:val="center"/>
            <w:hideMark/>
          </w:tcPr>
          <w:p w:rsidRPr="00252BB1" w:rsidR="00232EAF" w:rsidP="007B0E7D" w:rsidRDefault="00232EAF" w14:paraId="5271A32A" w14:textId="77777777">
            <w:pPr>
              <w:jc w:val="center"/>
              <w:rPr>
                <w:rFonts w:ascii="Palatino Linotype" w:hAnsi="Palatino Linotype"/>
                <w:bCs/>
                <w:color w:val="000000"/>
                <w:sz w:val="20"/>
                <w:szCs w:val="20"/>
              </w:rPr>
            </w:pPr>
            <w:r w:rsidRPr="00252BB1">
              <w:rPr>
                <w:rFonts w:ascii="Palatino Linotype" w:hAnsi="Palatino Linotype"/>
                <w:bCs/>
                <w:color w:val="000000"/>
                <w:sz w:val="20"/>
                <w:szCs w:val="20"/>
              </w:rPr>
              <w:t>Fine Per Day</w:t>
            </w:r>
          </w:p>
        </w:tc>
        <w:tc>
          <w:tcPr>
            <w:tcW w:w="1530"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6C8D5580"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$0 per day</w:t>
            </w:r>
          </w:p>
        </w:tc>
        <w:tc>
          <w:tcPr>
            <w:tcW w:w="162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05160823"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$500 per day</w:t>
            </w:r>
          </w:p>
        </w:tc>
        <w:tc>
          <w:tcPr>
            <w:tcW w:w="161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3942EB20"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$1,000 per day</w:t>
            </w:r>
          </w:p>
        </w:tc>
        <w:tc>
          <w:tcPr>
            <w:tcW w:w="1530"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5742FE3E"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$1,500 per day</w:t>
            </w:r>
          </w:p>
        </w:tc>
        <w:tc>
          <w:tcPr>
            <w:tcW w:w="162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402085A3"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$2,000 per day</w:t>
            </w:r>
          </w:p>
        </w:tc>
      </w:tr>
      <w:tr w:rsidRPr="00966429" w:rsidR="00232EAF" w:rsidTr="00252BB1" w14:paraId="7D97DF52" w14:textId="77777777">
        <w:trPr>
          <w:trHeight w:val="600"/>
          <w:jc w:val="center"/>
        </w:trPr>
        <w:tc>
          <w:tcPr>
            <w:tcW w:w="1345" w:type="dxa"/>
            <w:tcBorders>
              <w:top w:val="single" w:color="auto" w:sz="4" w:space="0"/>
              <w:left w:val="single" w:color="auto" w:sz="4" w:space="0"/>
              <w:bottom w:val="single" w:color="auto" w:sz="4" w:space="0"/>
              <w:right w:val="single" w:color="auto" w:sz="4" w:space="0"/>
            </w:tcBorders>
            <w:shd w:val="clear" w:color="000000" w:fill="F2F2F2" w:themeFill="background1" w:themeFillShade="F2"/>
            <w:vAlign w:val="center"/>
            <w:hideMark/>
          </w:tcPr>
          <w:p w:rsidRPr="00252BB1" w:rsidR="00232EAF" w:rsidP="007B0E7D" w:rsidRDefault="00232EAF" w14:paraId="16504919" w14:textId="77777777">
            <w:pPr>
              <w:jc w:val="center"/>
              <w:rPr>
                <w:rFonts w:ascii="Palatino Linotype" w:hAnsi="Palatino Linotype"/>
                <w:bCs/>
                <w:color w:val="000000"/>
                <w:sz w:val="20"/>
                <w:szCs w:val="20"/>
              </w:rPr>
            </w:pPr>
            <w:r w:rsidRPr="00252BB1">
              <w:rPr>
                <w:rFonts w:ascii="Palatino Linotype" w:hAnsi="Palatino Linotype"/>
                <w:bCs/>
                <w:color w:val="000000"/>
                <w:sz w:val="20"/>
                <w:szCs w:val="20"/>
              </w:rPr>
              <w:t>Days in a Month (for all months)</w:t>
            </w:r>
          </w:p>
        </w:tc>
        <w:tc>
          <w:tcPr>
            <w:tcW w:w="1530"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2111013A"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30 days</w:t>
            </w:r>
          </w:p>
        </w:tc>
        <w:tc>
          <w:tcPr>
            <w:tcW w:w="162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2468C9F1"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30 days</w:t>
            </w:r>
          </w:p>
        </w:tc>
        <w:tc>
          <w:tcPr>
            <w:tcW w:w="161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6317DB0B"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30 days</w:t>
            </w:r>
          </w:p>
        </w:tc>
        <w:tc>
          <w:tcPr>
            <w:tcW w:w="1530"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253B338D"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30 days</w:t>
            </w:r>
          </w:p>
        </w:tc>
        <w:tc>
          <w:tcPr>
            <w:tcW w:w="162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6B357A0B"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30 days</w:t>
            </w:r>
          </w:p>
        </w:tc>
      </w:tr>
      <w:tr w:rsidRPr="00966429" w:rsidR="00232EAF" w:rsidTr="00252BB1" w14:paraId="3CA6072E" w14:textId="77777777">
        <w:trPr>
          <w:trHeight w:val="600"/>
          <w:jc w:val="center"/>
        </w:trPr>
        <w:tc>
          <w:tcPr>
            <w:tcW w:w="1345" w:type="dxa"/>
            <w:tcBorders>
              <w:top w:val="single" w:color="auto" w:sz="4" w:space="0"/>
              <w:left w:val="single" w:color="auto" w:sz="4" w:space="0"/>
              <w:bottom w:val="single" w:color="auto" w:sz="4" w:space="0"/>
              <w:right w:val="single" w:color="auto" w:sz="4" w:space="0"/>
            </w:tcBorders>
            <w:shd w:val="clear" w:color="000000" w:fill="F2F2F2" w:themeFill="background1" w:themeFillShade="F2"/>
            <w:vAlign w:val="center"/>
            <w:hideMark/>
          </w:tcPr>
          <w:p w:rsidRPr="00252BB1" w:rsidR="00232EAF" w:rsidP="007B0E7D" w:rsidRDefault="00232EAF" w14:paraId="465F3936" w14:textId="77777777">
            <w:pPr>
              <w:jc w:val="center"/>
              <w:rPr>
                <w:rFonts w:ascii="Palatino Linotype" w:hAnsi="Palatino Linotype"/>
                <w:bCs/>
                <w:color w:val="000000"/>
                <w:sz w:val="20"/>
                <w:szCs w:val="20"/>
              </w:rPr>
            </w:pPr>
            <w:r w:rsidRPr="00252BB1">
              <w:rPr>
                <w:rFonts w:ascii="Palatino Linotype" w:hAnsi="Palatino Linotype"/>
                <w:bCs/>
                <w:color w:val="000000"/>
                <w:sz w:val="20"/>
                <w:szCs w:val="20"/>
              </w:rPr>
              <w:t>Base Fine per Month</w:t>
            </w:r>
          </w:p>
        </w:tc>
        <w:tc>
          <w:tcPr>
            <w:tcW w:w="1530"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4E22A029"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 xml:space="preserve">$0 </w:t>
            </w:r>
          </w:p>
        </w:tc>
        <w:tc>
          <w:tcPr>
            <w:tcW w:w="162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2167330B"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 xml:space="preserve">$15,000 </w:t>
            </w:r>
          </w:p>
        </w:tc>
        <w:tc>
          <w:tcPr>
            <w:tcW w:w="161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0F1DE0ED"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 xml:space="preserve">$30,000 </w:t>
            </w:r>
          </w:p>
        </w:tc>
        <w:tc>
          <w:tcPr>
            <w:tcW w:w="1530"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084A92DB"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 xml:space="preserve">$45,000 </w:t>
            </w:r>
          </w:p>
        </w:tc>
        <w:tc>
          <w:tcPr>
            <w:tcW w:w="1625" w:type="dxa"/>
            <w:tcBorders>
              <w:top w:val="nil"/>
              <w:left w:val="nil"/>
              <w:bottom w:val="single" w:color="auto" w:sz="4" w:space="0"/>
              <w:right w:val="single" w:color="auto" w:sz="4" w:space="0"/>
            </w:tcBorders>
            <w:shd w:val="clear" w:color="auto" w:fill="auto"/>
            <w:vAlign w:val="center"/>
            <w:hideMark/>
          </w:tcPr>
          <w:p w:rsidRPr="00252BB1" w:rsidR="00232EAF" w:rsidP="007B0E7D" w:rsidRDefault="00232EAF" w14:paraId="2FF09C39" w14:textId="77777777">
            <w:pPr>
              <w:jc w:val="center"/>
              <w:rPr>
                <w:rFonts w:ascii="Palatino Linotype" w:hAnsi="Palatino Linotype"/>
                <w:color w:val="000000"/>
                <w:sz w:val="20"/>
                <w:szCs w:val="20"/>
              </w:rPr>
            </w:pPr>
            <w:r w:rsidRPr="00252BB1">
              <w:rPr>
                <w:rFonts w:ascii="Palatino Linotype" w:hAnsi="Palatino Linotype"/>
                <w:color w:val="000000"/>
                <w:sz w:val="20"/>
                <w:szCs w:val="20"/>
              </w:rPr>
              <w:t xml:space="preserve">$60,000 </w:t>
            </w:r>
          </w:p>
        </w:tc>
      </w:tr>
    </w:tbl>
    <w:p w:rsidRPr="00966429" w:rsidR="00232EAF" w:rsidRDefault="00232EAF" w14:paraId="40323F1E" w14:textId="71A90440">
      <w:pPr>
        <w:rPr>
          <w:rFonts w:ascii="Palatino Linotype" w:hAnsi="Palatino Linotype"/>
        </w:rPr>
      </w:pPr>
    </w:p>
    <w:p w:rsidRPr="00966429" w:rsidR="00232EAF" w:rsidP="00325212" w:rsidRDefault="00921B34" w14:paraId="627A209E" w14:textId="0ADA86D9">
      <w:pPr>
        <w:rPr>
          <w:rFonts w:ascii="Palatino Linotype" w:hAnsi="Palatino Linotype"/>
        </w:rPr>
      </w:pPr>
      <w:r w:rsidRPr="00966429">
        <w:rPr>
          <w:rFonts w:ascii="Palatino Linotype" w:hAnsi="Palatino Linotype"/>
        </w:rPr>
        <w:t>T</w:t>
      </w:r>
      <w:r w:rsidRPr="00966429" w:rsidR="00232EAF">
        <w:rPr>
          <w:rFonts w:ascii="Palatino Linotype" w:hAnsi="Palatino Linotype"/>
        </w:rPr>
        <w:t>he carriers’ results follow:</w:t>
      </w:r>
    </w:p>
    <w:tbl>
      <w:tblPr>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CellMar>
          <w:left w:w="0" w:type="dxa"/>
          <w:right w:w="0" w:type="dxa"/>
        </w:tblCellMar>
        <w:tblLook w:val="04A0" w:firstRow="1" w:lastRow="0" w:firstColumn="1" w:lastColumn="0" w:noHBand="0" w:noVBand="1"/>
      </w:tblPr>
      <w:tblGrid>
        <w:gridCol w:w="1255"/>
        <w:gridCol w:w="836"/>
        <w:gridCol w:w="734"/>
        <w:gridCol w:w="734"/>
        <w:gridCol w:w="734"/>
        <w:gridCol w:w="734"/>
        <w:gridCol w:w="734"/>
        <w:gridCol w:w="734"/>
        <w:gridCol w:w="734"/>
        <w:gridCol w:w="734"/>
        <w:gridCol w:w="734"/>
        <w:gridCol w:w="734"/>
        <w:gridCol w:w="824"/>
      </w:tblGrid>
      <w:tr w:rsidRPr="00966429" w:rsidR="00232EAF" w:rsidTr="00252BB1" w14:paraId="1EECA058" w14:textId="77777777">
        <w:trPr>
          <w:trHeight w:val="259"/>
          <w:jc w:val="center"/>
        </w:trPr>
        <w:tc>
          <w:tcPr>
            <w:tcW w:w="1255" w:type="dxa"/>
            <w:shd w:val="clear" w:color="auto" w:fill="F2F2F2" w:themeFill="background1" w:themeFillShade="F2"/>
          </w:tcPr>
          <w:p w:rsidRPr="00252BB1" w:rsidR="00232EAF" w:rsidP="007B0E7D" w:rsidRDefault="00232EAF" w14:paraId="521A7193" w14:textId="77777777">
            <w:pPr>
              <w:jc w:val="center"/>
              <w:rPr>
                <w:rFonts w:ascii="Palatino Linotype" w:hAnsi="Palatino Linotype"/>
                <w:bCs/>
                <w:color w:val="000000"/>
                <w:sz w:val="20"/>
                <w:szCs w:val="20"/>
              </w:rPr>
            </w:pPr>
          </w:p>
        </w:tc>
        <w:tc>
          <w:tcPr>
            <w:tcW w:w="9000" w:type="dxa"/>
            <w:gridSpan w:val="12"/>
            <w:shd w:val="clear" w:color="auto" w:fill="FFFFFF" w:themeFill="background1"/>
            <w:tcMar>
              <w:top w:w="15" w:type="dxa"/>
              <w:left w:w="15" w:type="dxa"/>
              <w:bottom w:w="0" w:type="dxa"/>
              <w:right w:w="15" w:type="dxa"/>
            </w:tcMar>
            <w:vAlign w:val="center"/>
            <w:hideMark/>
          </w:tcPr>
          <w:p w:rsidRPr="00252BB1" w:rsidR="00232EAF" w:rsidP="007B0E7D" w:rsidRDefault="00232EAF" w14:paraId="5B83FCC7" w14:textId="0770BE31">
            <w:pPr>
              <w:jc w:val="center"/>
              <w:rPr>
                <w:rFonts w:ascii="Palatino Linotype" w:hAnsi="Palatino Linotype"/>
                <w:b/>
                <w:bCs/>
                <w:color w:val="000000"/>
                <w:sz w:val="20"/>
                <w:szCs w:val="20"/>
              </w:rPr>
            </w:pPr>
            <w:r w:rsidRPr="00252BB1">
              <w:rPr>
                <w:rFonts w:ascii="Palatino Linotype" w:hAnsi="Palatino Linotype"/>
                <w:b/>
                <w:bCs/>
                <w:color w:val="000000"/>
                <w:sz w:val="20"/>
                <w:szCs w:val="20"/>
              </w:rPr>
              <w:t>201</w:t>
            </w:r>
            <w:r w:rsidRPr="00252BB1" w:rsidR="00921B34">
              <w:rPr>
                <w:rFonts w:ascii="Palatino Linotype" w:hAnsi="Palatino Linotype"/>
                <w:b/>
                <w:bCs/>
                <w:color w:val="000000"/>
                <w:sz w:val="20"/>
                <w:szCs w:val="20"/>
              </w:rPr>
              <w:t>8</w:t>
            </w:r>
            <w:r w:rsidRPr="00252BB1">
              <w:rPr>
                <w:rFonts w:ascii="Palatino Linotype" w:hAnsi="Palatino Linotype"/>
                <w:b/>
                <w:bCs/>
                <w:color w:val="000000"/>
                <w:sz w:val="20"/>
                <w:szCs w:val="20"/>
              </w:rPr>
              <w:t xml:space="preserve"> Reporting for </w:t>
            </w:r>
            <w:r w:rsidRPr="00252BB1">
              <w:rPr>
                <w:rFonts w:ascii="Palatino Linotype" w:hAnsi="Palatino Linotype"/>
                <w:b/>
                <w:bCs/>
                <w:i/>
                <w:color w:val="000000"/>
                <w:sz w:val="20"/>
                <w:szCs w:val="20"/>
              </w:rPr>
              <w:t>Answer Time,</w:t>
            </w:r>
          </w:p>
          <w:p w:rsidRPr="00252BB1" w:rsidR="00232EAF" w:rsidP="007B0E7D" w:rsidRDefault="00232EAF" w14:paraId="7185391A" w14:textId="0F93F427">
            <w:pPr>
              <w:jc w:val="center"/>
              <w:rPr>
                <w:rFonts w:ascii="Palatino Linotype" w:hAnsi="Palatino Linotype"/>
                <w:bCs/>
                <w:color w:val="000000"/>
                <w:sz w:val="20"/>
                <w:szCs w:val="20"/>
              </w:rPr>
            </w:pPr>
            <w:r w:rsidRPr="00252BB1">
              <w:rPr>
                <w:rFonts w:ascii="Palatino Linotype" w:hAnsi="Palatino Linotype"/>
                <w:b/>
                <w:bCs/>
                <w:color w:val="000000"/>
                <w:sz w:val="20"/>
                <w:szCs w:val="20"/>
              </w:rPr>
              <w:t>GO 133-D Section 3.4 – 80% minimum</w:t>
            </w:r>
          </w:p>
        </w:tc>
      </w:tr>
      <w:tr w:rsidRPr="00966429" w:rsidR="00195530" w:rsidTr="00252BB1" w14:paraId="6987C780" w14:textId="77777777">
        <w:tblPrEx>
          <w:tblCellMar>
            <w:left w:w="108" w:type="dxa"/>
            <w:right w:w="108" w:type="dxa"/>
          </w:tblCellMar>
        </w:tblPrEx>
        <w:trPr>
          <w:trHeight w:val="467"/>
          <w:jc w:val="center"/>
        </w:trPr>
        <w:tc>
          <w:tcPr>
            <w:tcW w:w="1255" w:type="dxa"/>
            <w:shd w:val="clear" w:color="auto" w:fill="F2F2F2" w:themeFill="background1" w:themeFillShade="F2"/>
            <w:vAlign w:val="center"/>
          </w:tcPr>
          <w:p w:rsidRPr="00252BB1" w:rsidR="00232EAF" w:rsidP="00252BB1" w:rsidRDefault="00232EAF" w14:paraId="288AD6C6" w14:textId="77777777">
            <w:pPr>
              <w:tabs>
                <w:tab w:val="left" w:pos="3600"/>
              </w:tabs>
              <w:spacing w:before="120" w:after="120"/>
              <w:rPr>
                <w:rFonts w:ascii="Palatino Linotype" w:hAnsi="Palatino Linotype"/>
                <w:color w:val="000000" w:themeColor="text1"/>
              </w:rPr>
            </w:pPr>
          </w:p>
        </w:tc>
        <w:tc>
          <w:tcPr>
            <w:tcW w:w="836" w:type="dxa"/>
            <w:tcBorders>
              <w:bottom w:val="single" w:color="auto" w:sz="4" w:space="0"/>
            </w:tcBorders>
            <w:shd w:val="clear" w:color="auto" w:fill="F2F2F2" w:themeFill="background1" w:themeFillShade="F2"/>
            <w:vAlign w:val="center"/>
          </w:tcPr>
          <w:p w:rsidRPr="00252BB1" w:rsidR="00232EAF" w:rsidP="007B0E7D" w:rsidRDefault="00232EAF" w14:paraId="715E2A24"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Jan</w:t>
            </w:r>
          </w:p>
        </w:tc>
        <w:tc>
          <w:tcPr>
            <w:tcW w:w="734" w:type="dxa"/>
            <w:tcBorders>
              <w:bottom w:val="single" w:color="auto" w:sz="4" w:space="0"/>
            </w:tcBorders>
            <w:shd w:val="clear" w:color="auto" w:fill="F2F2F2" w:themeFill="background1" w:themeFillShade="F2"/>
            <w:vAlign w:val="center"/>
          </w:tcPr>
          <w:p w:rsidRPr="00252BB1" w:rsidR="00232EAF" w:rsidP="007B0E7D" w:rsidRDefault="00232EAF" w14:paraId="44839A78"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Feb</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07C9BCF2"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Mar</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6162511A"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Apr</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13CE2D56"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May</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67ADFC61"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Jun</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18B801AA"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July</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662483DD"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Aug</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21E39C77"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Sept</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33F63947"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Oct</w:t>
            </w:r>
          </w:p>
        </w:tc>
        <w:tc>
          <w:tcPr>
            <w:tcW w:w="0" w:type="auto"/>
            <w:tcBorders>
              <w:bottom w:val="single" w:color="auto" w:sz="4" w:space="0"/>
            </w:tcBorders>
            <w:shd w:val="clear" w:color="auto" w:fill="F2F2F2" w:themeFill="background1" w:themeFillShade="F2"/>
            <w:vAlign w:val="center"/>
          </w:tcPr>
          <w:p w:rsidRPr="00252BB1" w:rsidR="00232EAF" w:rsidP="007B0E7D" w:rsidRDefault="00232EAF" w14:paraId="08002D8A"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Nov</w:t>
            </w:r>
          </w:p>
        </w:tc>
        <w:tc>
          <w:tcPr>
            <w:tcW w:w="824" w:type="dxa"/>
            <w:tcBorders>
              <w:bottom w:val="single" w:color="auto" w:sz="4" w:space="0"/>
            </w:tcBorders>
            <w:shd w:val="clear" w:color="auto" w:fill="F2F2F2" w:themeFill="background1" w:themeFillShade="F2"/>
            <w:vAlign w:val="center"/>
          </w:tcPr>
          <w:p w:rsidRPr="00252BB1" w:rsidR="00232EAF" w:rsidP="007B0E7D" w:rsidRDefault="00232EAF" w14:paraId="09DFCB52" w14:textId="77777777">
            <w:pPr>
              <w:tabs>
                <w:tab w:val="left" w:pos="3600"/>
              </w:tabs>
              <w:spacing w:before="120" w:after="120"/>
              <w:jc w:val="center"/>
              <w:rPr>
                <w:rFonts w:ascii="Palatino Linotype" w:hAnsi="Palatino Linotype"/>
                <w:b/>
                <w:sz w:val="20"/>
                <w:szCs w:val="20"/>
              </w:rPr>
            </w:pPr>
            <w:r w:rsidRPr="00252BB1">
              <w:rPr>
                <w:rFonts w:ascii="Palatino Linotype" w:hAnsi="Palatino Linotype"/>
                <w:b/>
                <w:sz w:val="20"/>
                <w:szCs w:val="20"/>
              </w:rPr>
              <w:t>Dec</w:t>
            </w:r>
          </w:p>
        </w:tc>
      </w:tr>
      <w:tr w:rsidRPr="00966429" w:rsidR="00195530" w:rsidTr="00252BB1" w14:paraId="6959704B" w14:textId="77777777">
        <w:tblPrEx>
          <w:tblCellMar>
            <w:left w:w="108" w:type="dxa"/>
            <w:right w:w="108" w:type="dxa"/>
          </w:tblCellMar>
        </w:tblPrEx>
        <w:trPr>
          <w:trHeight w:val="341"/>
          <w:jc w:val="center"/>
        </w:trPr>
        <w:tc>
          <w:tcPr>
            <w:tcW w:w="1255" w:type="dxa"/>
            <w:shd w:val="clear" w:color="auto" w:fill="F2F2F2" w:themeFill="background1" w:themeFillShade="F2"/>
            <w:vAlign w:val="center"/>
          </w:tcPr>
          <w:p w:rsidRPr="00252BB1" w:rsidR="009350CD" w:rsidP="007B0E7D" w:rsidRDefault="009350CD" w14:paraId="56AC694B" w14:textId="4648272F">
            <w:pPr>
              <w:tabs>
                <w:tab w:val="left" w:pos="3600"/>
              </w:tabs>
              <w:spacing w:before="120" w:after="120"/>
              <w:jc w:val="center"/>
              <w:rPr>
                <w:rFonts w:ascii="Palatino Linotype" w:hAnsi="Palatino Linotype"/>
                <w:b/>
                <w:color w:val="000000" w:themeColor="text1"/>
                <w:sz w:val="12"/>
                <w:szCs w:val="12"/>
              </w:rPr>
            </w:pPr>
          </w:p>
        </w:tc>
        <w:tc>
          <w:tcPr>
            <w:tcW w:w="836" w:type="dxa"/>
            <w:tcBorders>
              <w:bottom w:val="single" w:color="auto" w:sz="4" w:space="0"/>
            </w:tcBorders>
            <w:shd w:val="clear" w:color="auto" w:fill="auto"/>
            <w:vAlign w:val="center"/>
          </w:tcPr>
          <w:p w:rsidRPr="00252BB1" w:rsidR="009350CD" w:rsidP="007B0E7D" w:rsidRDefault="009350CD" w14:paraId="2F5048F9" w14:textId="59140460">
            <w:pPr>
              <w:tabs>
                <w:tab w:val="left" w:pos="3600"/>
              </w:tabs>
              <w:spacing w:before="120" w:after="120"/>
              <w:jc w:val="center"/>
              <w:rPr>
                <w:rFonts w:ascii="Palatino Linotype" w:hAnsi="Palatino Linotype"/>
                <w:sz w:val="12"/>
                <w:szCs w:val="12"/>
              </w:rPr>
            </w:pPr>
          </w:p>
        </w:tc>
        <w:tc>
          <w:tcPr>
            <w:tcW w:w="734" w:type="dxa"/>
            <w:tcBorders>
              <w:bottom w:val="single" w:color="auto" w:sz="4" w:space="0"/>
            </w:tcBorders>
            <w:shd w:val="clear" w:color="auto" w:fill="auto"/>
            <w:vAlign w:val="center"/>
          </w:tcPr>
          <w:p w:rsidRPr="00252BB1" w:rsidR="009350CD" w:rsidP="007B0E7D" w:rsidRDefault="009350CD" w14:paraId="360C536C" w14:textId="6FF8A998">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11E91D58" w14:textId="318F1A71">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37177AE8" w14:textId="59F61C05">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1AD2EA21" w14:textId="519DC3C8">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286CB148" w14:textId="2C6CB2F0">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6CD9E0F5" w14:textId="61196E83">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7D9813FB" w14:textId="27B182D0">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4E43837C" w14:textId="5FF43CA1">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0F181D44" w14:textId="37C6C8E0">
            <w:pPr>
              <w:tabs>
                <w:tab w:val="left" w:pos="3600"/>
              </w:tabs>
              <w:spacing w:before="120" w:after="120"/>
              <w:jc w:val="center"/>
              <w:rPr>
                <w:rFonts w:ascii="Palatino Linotype" w:hAnsi="Palatino Linotype"/>
                <w:sz w:val="12"/>
                <w:szCs w:val="12"/>
              </w:rPr>
            </w:pPr>
          </w:p>
        </w:tc>
        <w:tc>
          <w:tcPr>
            <w:tcW w:w="0" w:type="auto"/>
            <w:tcBorders>
              <w:bottom w:val="single" w:color="auto" w:sz="4" w:space="0"/>
            </w:tcBorders>
            <w:shd w:val="clear" w:color="auto" w:fill="auto"/>
            <w:vAlign w:val="center"/>
          </w:tcPr>
          <w:p w:rsidRPr="00252BB1" w:rsidR="009350CD" w:rsidP="007B0E7D" w:rsidRDefault="009350CD" w14:paraId="2B277ECA" w14:textId="601511CA">
            <w:pPr>
              <w:tabs>
                <w:tab w:val="left" w:pos="3600"/>
              </w:tabs>
              <w:spacing w:before="120" w:after="120"/>
              <w:jc w:val="center"/>
              <w:rPr>
                <w:rFonts w:ascii="Palatino Linotype" w:hAnsi="Palatino Linotype"/>
                <w:sz w:val="12"/>
                <w:szCs w:val="12"/>
              </w:rPr>
            </w:pPr>
          </w:p>
        </w:tc>
        <w:tc>
          <w:tcPr>
            <w:tcW w:w="824" w:type="dxa"/>
            <w:tcBorders>
              <w:bottom w:val="single" w:color="auto" w:sz="4" w:space="0"/>
            </w:tcBorders>
            <w:shd w:val="clear" w:color="auto" w:fill="auto"/>
            <w:vAlign w:val="center"/>
          </w:tcPr>
          <w:p w:rsidRPr="00252BB1" w:rsidR="009350CD" w:rsidP="007B0E7D" w:rsidRDefault="009350CD" w14:paraId="2537D0FE" w14:textId="2358591D">
            <w:pPr>
              <w:tabs>
                <w:tab w:val="left" w:pos="3600"/>
              </w:tabs>
              <w:spacing w:before="120" w:after="120"/>
              <w:jc w:val="center"/>
              <w:rPr>
                <w:rFonts w:ascii="Palatino Linotype" w:hAnsi="Palatino Linotype"/>
                <w:sz w:val="12"/>
                <w:szCs w:val="12"/>
              </w:rPr>
            </w:pPr>
          </w:p>
        </w:tc>
      </w:tr>
      <w:tr w:rsidRPr="00966429" w:rsidR="00195530" w:rsidTr="00252BB1" w14:paraId="47707A4F" w14:textId="77777777">
        <w:trPr>
          <w:trHeight w:val="653"/>
          <w:jc w:val="center"/>
        </w:trPr>
        <w:tc>
          <w:tcPr>
            <w:tcW w:w="1255" w:type="dxa"/>
            <w:shd w:val="clear" w:color="auto" w:fill="F2F2F2" w:themeFill="background1" w:themeFillShade="F2"/>
            <w:vAlign w:val="center"/>
          </w:tcPr>
          <w:p w:rsidRPr="00252BB1" w:rsidR="00232EAF" w:rsidP="007B0E7D" w:rsidRDefault="00E63DCD" w14:paraId="18FD7AFB" w14:textId="62CB32B2">
            <w:pPr>
              <w:tabs>
                <w:tab w:val="left" w:pos="3600"/>
              </w:tabs>
              <w:spacing w:before="120" w:after="120"/>
              <w:jc w:val="center"/>
              <w:rPr>
                <w:rFonts w:ascii="Palatino Linotype" w:hAnsi="Palatino Linotype"/>
                <w:b/>
                <w:color w:val="000000" w:themeColor="text1"/>
                <w:sz w:val="20"/>
                <w:szCs w:val="20"/>
              </w:rPr>
            </w:pPr>
            <w:r w:rsidRPr="00252BB1">
              <w:rPr>
                <w:rFonts w:ascii="Palatino Linotype" w:hAnsi="Palatino Linotype"/>
                <w:b/>
                <w:color w:val="000000" w:themeColor="text1"/>
                <w:sz w:val="20"/>
                <w:szCs w:val="20"/>
              </w:rPr>
              <w:t>Frontier Citizens</w:t>
            </w:r>
          </w:p>
        </w:tc>
        <w:tc>
          <w:tcPr>
            <w:tcW w:w="836" w:type="dxa"/>
            <w:shd w:val="clear" w:color="auto" w:fill="FFFFFF" w:themeFill="background1"/>
            <w:vAlign w:val="center"/>
          </w:tcPr>
          <w:p w:rsidRPr="00252BB1" w:rsidR="00232EAF" w:rsidP="00ED3573" w:rsidRDefault="00195530" w14:paraId="4F639DDD" w14:textId="6F5A8D13">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33.2%</w:t>
            </w:r>
          </w:p>
        </w:tc>
        <w:tc>
          <w:tcPr>
            <w:tcW w:w="734" w:type="dxa"/>
            <w:shd w:val="clear" w:color="auto" w:fill="FFFFFF" w:themeFill="background1"/>
            <w:vAlign w:val="center"/>
          </w:tcPr>
          <w:p w:rsidRPr="00252BB1" w:rsidR="00232EAF" w:rsidP="007B0E7D" w:rsidRDefault="00195530" w14:paraId="3BAC0758" w14:textId="4156F328">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49.0%</w:t>
            </w:r>
          </w:p>
        </w:tc>
        <w:tc>
          <w:tcPr>
            <w:tcW w:w="0" w:type="auto"/>
            <w:shd w:val="clear" w:color="auto" w:fill="FFFFFF" w:themeFill="background1"/>
            <w:vAlign w:val="center"/>
          </w:tcPr>
          <w:p w:rsidRPr="00252BB1" w:rsidR="00232EAF" w:rsidP="007B0E7D" w:rsidRDefault="00195530" w14:paraId="51A28F90" w14:textId="0D69C566">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56.4%</w:t>
            </w:r>
          </w:p>
        </w:tc>
        <w:tc>
          <w:tcPr>
            <w:tcW w:w="0" w:type="auto"/>
            <w:shd w:val="clear" w:color="auto" w:fill="FFFFFF" w:themeFill="background1"/>
            <w:vAlign w:val="center"/>
          </w:tcPr>
          <w:p w:rsidRPr="00252BB1" w:rsidR="00232EAF" w:rsidP="007B0E7D" w:rsidRDefault="00195530" w14:paraId="646A63EC" w14:textId="17D05E22">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67.1%</w:t>
            </w:r>
          </w:p>
        </w:tc>
        <w:tc>
          <w:tcPr>
            <w:tcW w:w="0" w:type="auto"/>
            <w:shd w:val="clear" w:color="auto" w:fill="FFFFFF" w:themeFill="background1"/>
            <w:vAlign w:val="center"/>
          </w:tcPr>
          <w:p w:rsidRPr="00252BB1" w:rsidR="00232EAF" w:rsidP="007B0E7D" w:rsidRDefault="00195530" w14:paraId="6088420E" w14:textId="0EBE83BC">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79.8%</w:t>
            </w:r>
          </w:p>
        </w:tc>
        <w:tc>
          <w:tcPr>
            <w:tcW w:w="0" w:type="auto"/>
            <w:shd w:val="clear" w:color="auto" w:fill="FFFFFF" w:themeFill="background1"/>
            <w:vAlign w:val="center"/>
          </w:tcPr>
          <w:p w:rsidRPr="00252BB1" w:rsidR="00232EAF" w:rsidP="007B0E7D" w:rsidRDefault="00195530" w14:paraId="665AED73" w14:textId="59725CD9">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77.6%</w:t>
            </w:r>
          </w:p>
        </w:tc>
        <w:tc>
          <w:tcPr>
            <w:tcW w:w="0" w:type="auto"/>
            <w:shd w:val="clear" w:color="auto" w:fill="FFFFFF" w:themeFill="background1"/>
            <w:vAlign w:val="center"/>
          </w:tcPr>
          <w:p w:rsidRPr="00252BB1" w:rsidR="00232EAF" w:rsidP="007B0E7D" w:rsidRDefault="00195530" w14:paraId="495430DD" w14:textId="1D21C29B">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66.4%</w:t>
            </w:r>
          </w:p>
        </w:tc>
        <w:tc>
          <w:tcPr>
            <w:tcW w:w="0" w:type="auto"/>
            <w:shd w:val="clear" w:color="auto" w:fill="FFFFFF" w:themeFill="background1"/>
            <w:vAlign w:val="center"/>
          </w:tcPr>
          <w:p w:rsidRPr="00252BB1" w:rsidR="00232EAF" w:rsidP="007B0E7D" w:rsidRDefault="00195530" w14:paraId="3DE37131" w14:textId="3D0DC0E8">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63.4%</w:t>
            </w:r>
          </w:p>
        </w:tc>
        <w:tc>
          <w:tcPr>
            <w:tcW w:w="0" w:type="auto"/>
            <w:shd w:val="clear" w:color="auto" w:fill="FFFFFF" w:themeFill="background1"/>
            <w:vAlign w:val="center"/>
          </w:tcPr>
          <w:p w:rsidRPr="00252BB1" w:rsidR="00232EAF" w:rsidP="007B0E7D" w:rsidRDefault="00195530" w14:paraId="597A35A6" w14:textId="5E5C1C26">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61.0%</w:t>
            </w:r>
          </w:p>
        </w:tc>
        <w:tc>
          <w:tcPr>
            <w:tcW w:w="0" w:type="auto"/>
            <w:shd w:val="clear" w:color="auto" w:fill="FFFFFF" w:themeFill="background1"/>
            <w:vAlign w:val="center"/>
          </w:tcPr>
          <w:p w:rsidRPr="00252BB1" w:rsidR="00232EAF" w:rsidP="007B0E7D" w:rsidRDefault="00195530" w14:paraId="4068FAC5" w14:textId="021457C1">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61.3%</w:t>
            </w:r>
          </w:p>
        </w:tc>
        <w:tc>
          <w:tcPr>
            <w:tcW w:w="0" w:type="auto"/>
            <w:shd w:val="clear" w:color="auto" w:fill="FFFFFF" w:themeFill="background1"/>
            <w:vAlign w:val="center"/>
          </w:tcPr>
          <w:p w:rsidRPr="00252BB1" w:rsidR="00232EAF" w:rsidP="007B0E7D" w:rsidRDefault="00195530" w14:paraId="16692CC3" w14:textId="5C64C100">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65.1%</w:t>
            </w:r>
          </w:p>
        </w:tc>
        <w:tc>
          <w:tcPr>
            <w:tcW w:w="824" w:type="dxa"/>
            <w:shd w:val="clear" w:color="auto" w:fill="FFFFFF" w:themeFill="background1"/>
            <w:vAlign w:val="center"/>
          </w:tcPr>
          <w:p w:rsidRPr="00252BB1" w:rsidR="00232EAF" w:rsidP="007B0E7D" w:rsidRDefault="00195530" w14:paraId="5BE6FC78" w14:textId="4CFBBC29">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63.3%</w:t>
            </w:r>
          </w:p>
        </w:tc>
      </w:tr>
      <w:tr w:rsidRPr="00966429" w:rsidR="00195530" w:rsidTr="00252BB1" w14:paraId="2B63E4B1" w14:textId="77777777">
        <w:tblPrEx>
          <w:tblCellMar>
            <w:left w:w="108" w:type="dxa"/>
            <w:right w:w="108" w:type="dxa"/>
          </w:tblCellMar>
        </w:tblPrEx>
        <w:trPr>
          <w:trHeight w:val="653"/>
          <w:jc w:val="center"/>
        </w:trPr>
        <w:tc>
          <w:tcPr>
            <w:tcW w:w="1255" w:type="dxa"/>
            <w:shd w:val="clear" w:color="auto" w:fill="F2F2F2" w:themeFill="background1" w:themeFillShade="F2"/>
            <w:vAlign w:val="center"/>
          </w:tcPr>
          <w:p w:rsidRPr="00252BB1" w:rsidR="00232EAF" w:rsidP="007B0E7D" w:rsidRDefault="00E63DCD" w14:paraId="4111060F" w14:textId="0CEB4DA5">
            <w:pPr>
              <w:tabs>
                <w:tab w:val="left" w:pos="3600"/>
              </w:tabs>
              <w:spacing w:before="120" w:after="120"/>
              <w:jc w:val="center"/>
              <w:rPr>
                <w:rFonts w:ascii="Palatino Linotype" w:hAnsi="Palatino Linotype"/>
                <w:b/>
                <w:color w:val="000000" w:themeColor="text1"/>
                <w:sz w:val="20"/>
                <w:szCs w:val="20"/>
              </w:rPr>
            </w:pPr>
            <w:r w:rsidRPr="00252BB1">
              <w:rPr>
                <w:rFonts w:ascii="Palatino Linotype" w:hAnsi="Palatino Linotype"/>
                <w:b/>
                <w:color w:val="000000" w:themeColor="text1"/>
                <w:sz w:val="20"/>
                <w:szCs w:val="20"/>
              </w:rPr>
              <w:t>Frontier Southwest</w:t>
            </w:r>
          </w:p>
        </w:tc>
        <w:tc>
          <w:tcPr>
            <w:tcW w:w="836" w:type="dxa"/>
            <w:shd w:val="clear" w:color="auto" w:fill="FFFFFF" w:themeFill="background1"/>
            <w:vAlign w:val="center"/>
          </w:tcPr>
          <w:p w:rsidRPr="00252BB1" w:rsidR="00232EAF" w:rsidP="007B0E7D" w:rsidRDefault="00195530" w14:paraId="452253BA" w14:textId="0C24C8D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33.2%</w:t>
            </w:r>
          </w:p>
        </w:tc>
        <w:tc>
          <w:tcPr>
            <w:tcW w:w="734" w:type="dxa"/>
            <w:shd w:val="clear" w:color="auto" w:fill="FFFFFF" w:themeFill="background1"/>
            <w:vAlign w:val="center"/>
          </w:tcPr>
          <w:p w:rsidRPr="00252BB1" w:rsidR="00232EAF" w:rsidP="007B0E7D" w:rsidRDefault="00195530" w14:paraId="50F2DE16" w14:textId="04A1EB59">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49.0%</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103ED1D4" w14:textId="7CFF8426">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56.4%</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550471B4" w14:textId="0E613008">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67.1%</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268AEF5E" w14:textId="4799D188">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79.8%</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3B0DAEFB" w14:textId="4D541DA1">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77.6%</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16FEB81D" w14:textId="768DA98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66.4%</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44E9FDB6" w14:textId="11C5C235">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63.4%</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5FB70C67" w14:textId="23B5247C">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61.0%</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0C63AABB" w14:textId="20B75A56">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61.3%</w:t>
            </w:r>
            <w:r w:rsidRPr="00252BB1" w:rsidR="003E0CE6">
              <w:rPr>
                <w:rFonts w:ascii="Palatino Linotype" w:hAnsi="Palatino Linotype"/>
                <w:color w:val="FF0000"/>
                <w:sz w:val="20"/>
                <w:szCs w:val="20"/>
                <w:u w:val="single"/>
              </w:rPr>
              <w:t xml:space="preserve"> </w:t>
            </w:r>
          </w:p>
        </w:tc>
        <w:tc>
          <w:tcPr>
            <w:tcW w:w="0" w:type="auto"/>
            <w:shd w:val="clear" w:color="auto" w:fill="FFFFFF" w:themeFill="background1"/>
            <w:vAlign w:val="center"/>
          </w:tcPr>
          <w:p w:rsidRPr="00252BB1" w:rsidR="00232EAF" w:rsidP="007B0E7D" w:rsidRDefault="00195530" w14:paraId="66997D35" w14:textId="11BAC2FF">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65.1%</w:t>
            </w:r>
            <w:r w:rsidRPr="00252BB1" w:rsidR="003E0CE6">
              <w:rPr>
                <w:rFonts w:ascii="Palatino Linotype" w:hAnsi="Palatino Linotype"/>
                <w:color w:val="FF0000"/>
                <w:sz w:val="20"/>
                <w:szCs w:val="20"/>
                <w:u w:val="single"/>
              </w:rPr>
              <w:t xml:space="preserve"> </w:t>
            </w:r>
          </w:p>
        </w:tc>
        <w:tc>
          <w:tcPr>
            <w:tcW w:w="824" w:type="dxa"/>
            <w:shd w:val="clear" w:color="auto" w:fill="FFFFFF" w:themeFill="background1"/>
            <w:vAlign w:val="center"/>
          </w:tcPr>
          <w:p w:rsidRPr="00252BB1" w:rsidR="00232EAF" w:rsidP="007B0E7D" w:rsidRDefault="00195530" w14:paraId="296539B7" w14:textId="6929B59E">
            <w:pPr>
              <w:tabs>
                <w:tab w:val="left" w:pos="3600"/>
              </w:tabs>
              <w:spacing w:before="120" w:after="120"/>
              <w:jc w:val="center"/>
              <w:rPr>
                <w:rFonts w:ascii="Palatino Linotype" w:hAnsi="Palatino Linotype"/>
                <w:color w:val="FF0000"/>
                <w:sz w:val="20"/>
                <w:szCs w:val="20"/>
                <w:u w:val="single"/>
              </w:rPr>
            </w:pPr>
            <w:r w:rsidRPr="00252BB1">
              <w:rPr>
                <w:rFonts w:ascii="Palatino Linotype" w:hAnsi="Palatino Linotype"/>
                <w:color w:val="FF0000"/>
                <w:sz w:val="20"/>
                <w:szCs w:val="20"/>
                <w:u w:val="single"/>
              </w:rPr>
              <w:t>63.3%</w:t>
            </w:r>
            <w:r w:rsidRPr="00252BB1" w:rsidR="003E0CE6">
              <w:rPr>
                <w:rFonts w:ascii="Palatino Linotype" w:hAnsi="Palatino Linotype"/>
                <w:color w:val="FF0000"/>
                <w:sz w:val="20"/>
                <w:szCs w:val="20"/>
                <w:u w:val="single"/>
              </w:rPr>
              <w:t xml:space="preserve"> </w:t>
            </w:r>
          </w:p>
        </w:tc>
      </w:tr>
    </w:tbl>
    <w:p w:rsidRPr="00966429" w:rsidR="00457BCE" w:rsidP="00232EAF" w:rsidRDefault="006D7007" w14:paraId="63EF172F" w14:textId="1DF666B0">
      <w:pPr>
        <w:spacing w:before="120" w:after="120"/>
        <w:ind w:right="180"/>
        <w:rPr>
          <w:rFonts w:ascii="Palatino Linotype" w:hAnsi="Palatino Linotype"/>
        </w:rPr>
      </w:pPr>
      <w:r w:rsidRPr="00966429">
        <w:rPr>
          <w:rFonts w:ascii="Palatino Linotype" w:hAnsi="Palatino Linotype"/>
        </w:rPr>
        <w:lastRenderedPageBreak/>
        <w:t xml:space="preserve">Frontier </w:t>
      </w:r>
      <w:r w:rsidRPr="00966429" w:rsidR="00516452">
        <w:rPr>
          <w:rFonts w:ascii="Palatino Linotype" w:hAnsi="Palatino Linotype"/>
        </w:rPr>
        <w:t>Citizens</w:t>
      </w:r>
      <w:r w:rsidRPr="00966429">
        <w:rPr>
          <w:rFonts w:ascii="Palatino Linotype" w:hAnsi="Palatino Linotype"/>
        </w:rPr>
        <w:t xml:space="preserve"> failed to meet the standard from </w:t>
      </w:r>
      <w:r w:rsidRPr="00966429" w:rsidR="00516452">
        <w:rPr>
          <w:rFonts w:ascii="Palatino Linotype" w:hAnsi="Palatino Linotype"/>
        </w:rPr>
        <w:t>January</w:t>
      </w:r>
      <w:r w:rsidRPr="00966429">
        <w:rPr>
          <w:rFonts w:ascii="Palatino Linotype" w:hAnsi="Palatino Linotype"/>
        </w:rPr>
        <w:t xml:space="preserve"> through December 201</w:t>
      </w:r>
      <w:r w:rsidRPr="00966429" w:rsidR="00516452">
        <w:rPr>
          <w:rFonts w:ascii="Palatino Linotype" w:hAnsi="Palatino Linotype"/>
        </w:rPr>
        <w:t>8</w:t>
      </w:r>
      <w:r w:rsidRPr="00966429">
        <w:rPr>
          <w:rFonts w:ascii="Palatino Linotype" w:hAnsi="Palatino Linotype"/>
        </w:rPr>
        <w:t>. As a result,</w:t>
      </w:r>
      <w:r w:rsidRPr="00966429" w:rsidR="00F206DE">
        <w:rPr>
          <w:rFonts w:ascii="Palatino Linotype" w:hAnsi="Palatino Linotype"/>
        </w:rPr>
        <w:t xml:space="preserve"> Frontier Citizens has been in “chronic failure status” and incurring fines for its substandard performance since October 2017.</w:t>
      </w:r>
      <w:r w:rsidRPr="00966429" w:rsidR="00232EAF">
        <w:rPr>
          <w:rFonts w:ascii="Palatino Linotype" w:hAnsi="Palatino Linotype"/>
        </w:rPr>
        <w:t xml:space="preserve"> </w:t>
      </w:r>
      <w:r w:rsidRPr="00966429" w:rsidR="00457BCE">
        <w:rPr>
          <w:rFonts w:ascii="Palatino Linotype" w:hAnsi="Palatino Linotype"/>
        </w:rPr>
        <w:t>Staff agrees with the proposed fine calculated as</w:t>
      </w:r>
      <w:r w:rsidRPr="00966429" w:rsidR="00232EAF">
        <w:rPr>
          <w:rFonts w:ascii="Palatino Linotype" w:hAnsi="Palatino Linotype"/>
        </w:rPr>
        <w:t xml:space="preserve">: </w:t>
      </w:r>
    </w:p>
    <w:p w:rsidRPr="00966429" w:rsidR="00F206DE" w:rsidP="00F206DE" w:rsidRDefault="00F206DE" w14:paraId="2D1CF6D3" w14:textId="0E4A29C4">
      <w:pPr>
        <w:spacing w:before="120" w:after="120"/>
        <w:ind w:right="180"/>
        <w:rPr>
          <w:rFonts w:ascii="Palatino Linotype" w:hAnsi="Palatino Linotype"/>
          <w:u w:val="single"/>
        </w:rPr>
      </w:pPr>
      <w:r w:rsidRPr="00966429">
        <w:rPr>
          <w:rFonts w:ascii="Palatino Linotype" w:hAnsi="Palatino Linotype"/>
        </w:rPr>
        <w:tab/>
      </w:r>
      <w:r w:rsidRPr="00966429">
        <w:rPr>
          <w:rFonts w:ascii="Palatino Linotype" w:hAnsi="Palatino Linotype"/>
          <w:u w:val="single"/>
        </w:rPr>
        <w:t xml:space="preserve">Scaling Factor   x   Base </w:t>
      </w:r>
      <w:proofErr w:type="gramStart"/>
      <w:r w:rsidRPr="00966429">
        <w:rPr>
          <w:rFonts w:ascii="Palatino Linotype" w:hAnsi="Palatino Linotype"/>
          <w:u w:val="single"/>
        </w:rPr>
        <w:t>Fine  x</w:t>
      </w:r>
      <w:proofErr w:type="gramEnd"/>
      <w:r w:rsidRPr="00966429">
        <w:rPr>
          <w:rFonts w:ascii="Palatino Linotype" w:hAnsi="Palatino Linotype"/>
          <w:u w:val="single"/>
        </w:rPr>
        <w:t xml:space="preserve">   Number of Months</w:t>
      </w:r>
    </w:p>
    <w:p w:rsidRPr="00966429" w:rsidR="00232EAF" w:rsidP="00F206DE" w:rsidRDefault="00232EAF" w14:paraId="2508F900" w14:textId="3032EF8E">
      <w:pPr>
        <w:spacing w:before="120" w:after="120"/>
        <w:ind w:left="720" w:right="180"/>
        <w:rPr>
          <w:rFonts w:ascii="Palatino Linotype" w:hAnsi="Palatino Linotype"/>
        </w:rPr>
      </w:pPr>
      <w:r w:rsidRPr="00966429">
        <w:rPr>
          <w:rFonts w:ascii="Palatino Linotype" w:hAnsi="Palatino Linotype"/>
        </w:rPr>
        <w:t>(0.0</w:t>
      </w:r>
      <w:r w:rsidRPr="00966429" w:rsidR="00516452">
        <w:rPr>
          <w:rFonts w:ascii="Palatino Linotype" w:hAnsi="Palatino Linotype"/>
        </w:rPr>
        <w:t>124</w:t>
      </w:r>
      <w:r w:rsidRPr="00966429">
        <w:rPr>
          <w:rFonts w:ascii="Palatino Linotype" w:hAnsi="Palatino Linotype"/>
        </w:rPr>
        <w:t xml:space="preserve">) x </w:t>
      </w:r>
      <w:r w:rsidRPr="00966429" w:rsidR="00457BCE">
        <w:rPr>
          <w:rFonts w:ascii="Palatino Linotype" w:hAnsi="Palatino Linotype"/>
        </w:rPr>
        <w:t>(</w:t>
      </w:r>
      <w:r w:rsidRPr="00966429">
        <w:rPr>
          <w:rFonts w:ascii="Palatino Linotype" w:hAnsi="Palatino Linotype"/>
        </w:rPr>
        <w:t>$15,000) x (</w:t>
      </w:r>
      <w:r w:rsidRPr="00966429" w:rsidR="00325496">
        <w:rPr>
          <w:rFonts w:ascii="Palatino Linotype" w:hAnsi="Palatino Linotype"/>
        </w:rPr>
        <w:t>2</w:t>
      </w:r>
      <w:r w:rsidRPr="00966429" w:rsidR="00457BCE">
        <w:rPr>
          <w:rFonts w:ascii="Palatino Linotype" w:hAnsi="Palatino Linotype"/>
        </w:rPr>
        <w:t xml:space="preserve"> months</w:t>
      </w:r>
      <w:r w:rsidRPr="00966429">
        <w:rPr>
          <w:rFonts w:ascii="Palatino Linotype" w:hAnsi="Palatino Linotype"/>
        </w:rPr>
        <w:t xml:space="preserve">) = Fine </w:t>
      </w:r>
      <w:r w:rsidRPr="00966429" w:rsidR="00516452">
        <w:rPr>
          <w:rFonts w:ascii="Palatino Linotype" w:hAnsi="Palatino Linotype"/>
        </w:rPr>
        <w:t>$</w:t>
      </w:r>
      <w:r w:rsidRPr="00966429" w:rsidR="006504C0">
        <w:rPr>
          <w:rFonts w:ascii="Palatino Linotype" w:hAnsi="Palatino Linotype"/>
        </w:rPr>
        <w:t>372</w:t>
      </w:r>
    </w:p>
    <w:p w:rsidRPr="00966429" w:rsidR="00457BCE" w:rsidP="00457BCE" w:rsidRDefault="00457BCE" w14:paraId="0E256935" w14:textId="2A17FF7C">
      <w:pPr>
        <w:spacing w:before="120" w:after="120"/>
        <w:ind w:right="180" w:firstLine="720"/>
        <w:rPr>
          <w:rFonts w:ascii="Palatino Linotype" w:hAnsi="Palatino Linotype"/>
        </w:rPr>
      </w:pPr>
      <w:r w:rsidRPr="00966429">
        <w:rPr>
          <w:rFonts w:ascii="Palatino Linotype" w:hAnsi="Palatino Linotype"/>
        </w:rPr>
        <w:t>(0.0124) x ($30,000) x (3 months) = Fine $</w:t>
      </w:r>
      <w:r w:rsidRPr="00966429" w:rsidR="006504C0">
        <w:rPr>
          <w:rFonts w:ascii="Palatino Linotype" w:hAnsi="Palatino Linotype"/>
        </w:rPr>
        <w:t>1,116</w:t>
      </w:r>
    </w:p>
    <w:p w:rsidRPr="00966429" w:rsidR="00457BCE" w:rsidP="00457BCE" w:rsidRDefault="00457BCE" w14:paraId="64CBF8AC" w14:textId="71868F57">
      <w:pPr>
        <w:spacing w:before="120" w:after="120"/>
        <w:ind w:right="180" w:firstLine="720"/>
        <w:rPr>
          <w:rFonts w:ascii="Palatino Linotype" w:hAnsi="Palatino Linotype"/>
        </w:rPr>
      </w:pPr>
      <w:r w:rsidRPr="00966429">
        <w:rPr>
          <w:rFonts w:ascii="Palatino Linotype" w:hAnsi="Palatino Linotype"/>
        </w:rPr>
        <w:t>(0.0124) x ($45,000) x (3 months) = Fine $</w:t>
      </w:r>
      <w:r w:rsidRPr="00966429" w:rsidR="006504C0">
        <w:rPr>
          <w:rFonts w:ascii="Palatino Linotype" w:hAnsi="Palatino Linotype"/>
        </w:rPr>
        <w:t>1,674</w:t>
      </w:r>
    </w:p>
    <w:p w:rsidRPr="00966429" w:rsidR="00457BCE" w:rsidP="00457BCE" w:rsidRDefault="00457BCE" w14:paraId="2F8A8008" w14:textId="78006920">
      <w:pPr>
        <w:spacing w:before="120" w:after="120"/>
        <w:ind w:right="180" w:firstLine="720"/>
        <w:rPr>
          <w:rFonts w:ascii="Palatino Linotype" w:hAnsi="Palatino Linotype"/>
        </w:rPr>
      </w:pPr>
      <w:r w:rsidRPr="00966429">
        <w:rPr>
          <w:rFonts w:ascii="Palatino Linotype" w:hAnsi="Palatino Linotype"/>
        </w:rPr>
        <w:t>(0.0124) x ($60,000) x (4 months) = Fine $</w:t>
      </w:r>
      <w:r w:rsidRPr="00966429" w:rsidR="006504C0">
        <w:rPr>
          <w:rFonts w:ascii="Palatino Linotype" w:hAnsi="Palatino Linotype"/>
        </w:rPr>
        <w:t>2,976</w:t>
      </w:r>
    </w:p>
    <w:p w:rsidRPr="00966429" w:rsidR="00457BCE" w:rsidP="00457BCE" w:rsidRDefault="00457BCE" w14:paraId="36C5DF01" w14:textId="5F0E577F">
      <w:pPr>
        <w:spacing w:before="120" w:after="120"/>
        <w:ind w:right="180" w:firstLine="720"/>
        <w:rPr>
          <w:rFonts w:ascii="Palatino Linotype" w:hAnsi="Palatino Linotype"/>
          <w:b/>
        </w:rPr>
      </w:pPr>
      <w:r w:rsidRPr="00966429">
        <w:rPr>
          <w:rFonts w:ascii="Palatino Linotype" w:hAnsi="Palatino Linotype"/>
          <w:b/>
        </w:rPr>
        <w:t>Total Fine = $</w:t>
      </w:r>
      <w:r w:rsidRPr="00966429" w:rsidR="006504C0">
        <w:rPr>
          <w:rFonts w:ascii="Palatino Linotype" w:hAnsi="Palatino Linotype"/>
          <w:b/>
        </w:rPr>
        <w:t>6,138</w:t>
      </w:r>
    </w:p>
    <w:p w:rsidRPr="00966429" w:rsidR="00457BCE" w:rsidP="002953E3" w:rsidRDefault="00457BCE" w14:paraId="225EF284" w14:textId="77777777">
      <w:pPr>
        <w:ind w:right="180" w:firstLine="720"/>
        <w:rPr>
          <w:rFonts w:ascii="Palatino Linotype" w:hAnsi="Palatino Linotype"/>
        </w:rPr>
      </w:pPr>
    </w:p>
    <w:p w:rsidRPr="00966429" w:rsidR="00457BCE" w:rsidP="00516452" w:rsidRDefault="00516452" w14:paraId="186B1717" w14:textId="12884AC9">
      <w:pPr>
        <w:spacing w:before="120" w:after="120"/>
        <w:ind w:right="180"/>
        <w:rPr>
          <w:rFonts w:ascii="Palatino Linotype" w:hAnsi="Palatino Linotype"/>
        </w:rPr>
      </w:pPr>
      <w:r w:rsidRPr="00966429">
        <w:rPr>
          <w:rFonts w:ascii="Palatino Linotype" w:hAnsi="Palatino Linotype"/>
        </w:rPr>
        <w:t>Frontier Southwest also failed to meet the standard from</w:t>
      </w:r>
      <w:r w:rsidRPr="00966429" w:rsidR="00325496">
        <w:rPr>
          <w:rFonts w:ascii="Palatino Linotype" w:hAnsi="Palatino Linotype"/>
        </w:rPr>
        <w:t xml:space="preserve"> January</w:t>
      </w:r>
      <w:r w:rsidRPr="00966429">
        <w:rPr>
          <w:rFonts w:ascii="Palatino Linotype" w:hAnsi="Palatino Linotype"/>
        </w:rPr>
        <w:t xml:space="preserve"> through </w:t>
      </w:r>
      <w:r w:rsidRPr="00966429" w:rsidR="00325496">
        <w:rPr>
          <w:rFonts w:ascii="Palatino Linotype" w:hAnsi="Palatino Linotype"/>
        </w:rPr>
        <w:t>December</w:t>
      </w:r>
      <w:r w:rsidRPr="00966429">
        <w:rPr>
          <w:rFonts w:ascii="Palatino Linotype" w:hAnsi="Palatino Linotype"/>
        </w:rPr>
        <w:t xml:space="preserve"> 2018.</w:t>
      </w:r>
      <w:r w:rsidRPr="00966429" w:rsidR="006504C0">
        <w:rPr>
          <w:rFonts w:ascii="Palatino Linotype" w:hAnsi="Palatino Linotype"/>
        </w:rPr>
        <w:t xml:space="preserve">  </w:t>
      </w:r>
      <w:r w:rsidRPr="00966429" w:rsidR="00101211">
        <w:rPr>
          <w:rFonts w:ascii="Palatino Linotype" w:hAnsi="Palatino Linotype"/>
        </w:rPr>
        <w:t xml:space="preserve">Frontier Southwest has been in “chronic failure status” and incurring fines for its substandard performance since </w:t>
      </w:r>
      <w:r w:rsidRPr="00966429" w:rsidR="001514BA">
        <w:rPr>
          <w:rFonts w:ascii="Palatino Linotype" w:hAnsi="Palatino Linotype"/>
        </w:rPr>
        <w:t xml:space="preserve">October 2017.  </w:t>
      </w:r>
      <w:r w:rsidRPr="00966429" w:rsidR="006504C0">
        <w:rPr>
          <w:rFonts w:ascii="Palatino Linotype" w:hAnsi="Palatino Linotype"/>
        </w:rPr>
        <w:t>Staff agrees with the proposed fine calculated as</w:t>
      </w:r>
      <w:r w:rsidRPr="00966429">
        <w:rPr>
          <w:rFonts w:ascii="Palatino Linotype" w:hAnsi="Palatino Linotype"/>
        </w:rPr>
        <w:t xml:space="preserve">: </w:t>
      </w:r>
    </w:p>
    <w:p w:rsidRPr="00966429" w:rsidR="00F206DE" w:rsidP="00457BCE" w:rsidRDefault="00F206DE" w14:paraId="45D3EEF3" w14:textId="6E82B804">
      <w:pPr>
        <w:spacing w:before="120" w:after="120"/>
        <w:ind w:right="180" w:firstLine="720"/>
        <w:rPr>
          <w:rFonts w:ascii="Palatino Linotype" w:hAnsi="Palatino Linotype"/>
        </w:rPr>
      </w:pPr>
      <w:r w:rsidRPr="00966429">
        <w:rPr>
          <w:rFonts w:ascii="Palatino Linotype" w:hAnsi="Palatino Linotype"/>
          <w:u w:val="single"/>
        </w:rPr>
        <w:t xml:space="preserve">Scaling Factor   x   Base </w:t>
      </w:r>
      <w:proofErr w:type="gramStart"/>
      <w:r w:rsidRPr="00966429">
        <w:rPr>
          <w:rFonts w:ascii="Palatino Linotype" w:hAnsi="Palatino Linotype"/>
          <w:u w:val="single"/>
        </w:rPr>
        <w:t>Fine  x</w:t>
      </w:r>
      <w:proofErr w:type="gramEnd"/>
      <w:r w:rsidRPr="00966429">
        <w:rPr>
          <w:rFonts w:ascii="Palatino Linotype" w:hAnsi="Palatino Linotype"/>
          <w:u w:val="single"/>
        </w:rPr>
        <w:t xml:space="preserve">   Number of Months</w:t>
      </w:r>
    </w:p>
    <w:p w:rsidRPr="00966429" w:rsidR="00516452" w:rsidP="00457BCE" w:rsidRDefault="00516452" w14:paraId="0CC0F457" w14:textId="6C77AA7A">
      <w:pPr>
        <w:spacing w:before="120" w:after="120"/>
        <w:ind w:right="180" w:firstLine="720"/>
        <w:rPr>
          <w:rFonts w:ascii="Palatino Linotype" w:hAnsi="Palatino Linotype"/>
        </w:rPr>
      </w:pPr>
      <w:r w:rsidRPr="00966429">
        <w:rPr>
          <w:rFonts w:ascii="Palatino Linotype" w:hAnsi="Palatino Linotype"/>
        </w:rPr>
        <w:t>(0.000</w:t>
      </w:r>
      <w:r w:rsidRPr="00966429" w:rsidR="00325496">
        <w:rPr>
          <w:rFonts w:ascii="Palatino Linotype" w:hAnsi="Palatino Linotype"/>
        </w:rPr>
        <w:t>9</w:t>
      </w:r>
      <w:r w:rsidRPr="00966429">
        <w:rPr>
          <w:rFonts w:ascii="Palatino Linotype" w:hAnsi="Palatino Linotype"/>
        </w:rPr>
        <w:t>) x ($15,000) x (</w:t>
      </w:r>
      <w:r w:rsidRPr="00966429" w:rsidR="00325496">
        <w:rPr>
          <w:rFonts w:ascii="Palatino Linotype" w:hAnsi="Palatino Linotype"/>
        </w:rPr>
        <w:t>2</w:t>
      </w:r>
      <w:r w:rsidRPr="00966429">
        <w:rPr>
          <w:rFonts w:ascii="Palatino Linotype" w:hAnsi="Palatino Linotype"/>
        </w:rPr>
        <w:t>) = Fine $</w:t>
      </w:r>
      <w:r w:rsidRPr="00966429" w:rsidR="00457BCE">
        <w:rPr>
          <w:rFonts w:ascii="Palatino Linotype" w:hAnsi="Palatino Linotype"/>
        </w:rPr>
        <w:t>27</w:t>
      </w:r>
    </w:p>
    <w:p w:rsidRPr="00966429" w:rsidR="00457BCE" w:rsidP="00457BCE" w:rsidRDefault="00457BCE" w14:paraId="7232BC35" w14:textId="21C6E412">
      <w:pPr>
        <w:spacing w:before="120" w:after="120"/>
        <w:ind w:right="180" w:firstLine="720"/>
        <w:rPr>
          <w:rFonts w:ascii="Palatino Linotype" w:hAnsi="Palatino Linotype"/>
        </w:rPr>
      </w:pPr>
      <w:r w:rsidRPr="00966429">
        <w:rPr>
          <w:rFonts w:ascii="Palatino Linotype" w:hAnsi="Palatino Linotype"/>
        </w:rPr>
        <w:t>(0.0009) x ($30,000) x (3) = Fine $81</w:t>
      </w:r>
    </w:p>
    <w:p w:rsidRPr="00966429" w:rsidR="00457BCE" w:rsidP="00457BCE" w:rsidRDefault="00457BCE" w14:paraId="1D511046" w14:textId="79BD9E54">
      <w:pPr>
        <w:spacing w:before="120" w:after="120"/>
        <w:ind w:right="180" w:firstLine="720"/>
        <w:rPr>
          <w:rFonts w:ascii="Palatino Linotype" w:hAnsi="Palatino Linotype"/>
        </w:rPr>
      </w:pPr>
      <w:r w:rsidRPr="00966429">
        <w:rPr>
          <w:rFonts w:ascii="Palatino Linotype" w:hAnsi="Palatino Linotype"/>
        </w:rPr>
        <w:t>(0.0009) x ($45,000) x (3) = Fine $122</w:t>
      </w:r>
    </w:p>
    <w:p w:rsidRPr="00966429" w:rsidR="00457BCE" w:rsidP="00457BCE" w:rsidRDefault="00457BCE" w14:paraId="065B657F" w14:textId="2F2BB742">
      <w:pPr>
        <w:spacing w:before="120" w:after="120"/>
        <w:ind w:right="180" w:firstLine="720"/>
        <w:rPr>
          <w:rFonts w:ascii="Palatino Linotype" w:hAnsi="Palatino Linotype"/>
        </w:rPr>
      </w:pPr>
      <w:r w:rsidRPr="00966429">
        <w:rPr>
          <w:rFonts w:ascii="Palatino Linotype" w:hAnsi="Palatino Linotype"/>
        </w:rPr>
        <w:t>(0.0009) x ($60,000) x (4) = Fine $216</w:t>
      </w:r>
    </w:p>
    <w:p w:rsidR="00457BCE" w:rsidP="00457BCE" w:rsidRDefault="00457BCE" w14:paraId="6D2D8530" w14:textId="7CF219FF">
      <w:pPr>
        <w:spacing w:before="120" w:after="120"/>
        <w:ind w:right="180" w:firstLine="720"/>
        <w:rPr>
          <w:rFonts w:ascii="Palatino Linotype" w:hAnsi="Palatino Linotype"/>
          <w:b/>
        </w:rPr>
      </w:pPr>
      <w:r w:rsidRPr="00966429">
        <w:rPr>
          <w:rFonts w:ascii="Palatino Linotype" w:hAnsi="Palatino Linotype"/>
          <w:b/>
        </w:rPr>
        <w:t>Total Fine = $446</w:t>
      </w:r>
    </w:p>
    <w:p w:rsidRPr="00966429" w:rsidR="002953E3" w:rsidP="002953E3" w:rsidRDefault="002953E3" w14:paraId="6EDC4EC2" w14:textId="77777777">
      <w:pPr>
        <w:ind w:right="180" w:firstLine="720"/>
        <w:rPr>
          <w:rFonts w:ascii="Palatino Linotype" w:hAnsi="Palatino Linotype"/>
          <w:b/>
        </w:rPr>
      </w:pPr>
    </w:p>
    <w:p w:rsidRPr="00966429" w:rsidR="002E66FD" w:rsidP="007142A3" w:rsidRDefault="002A6369" w14:paraId="4952473B" w14:textId="1E95F2EE">
      <w:pPr>
        <w:tabs>
          <w:tab w:val="left" w:pos="3600"/>
        </w:tabs>
        <w:spacing w:before="120" w:after="120"/>
        <w:rPr>
          <w:rFonts w:ascii="Palatino Linotype" w:hAnsi="Palatino Linotype"/>
          <w:color w:val="FF0000"/>
        </w:rPr>
      </w:pPr>
      <w:r w:rsidRPr="00966429">
        <w:rPr>
          <w:rFonts w:ascii="Palatino Linotype" w:hAnsi="Palatino Linotype"/>
        </w:rPr>
        <w:t xml:space="preserve">AT&amp;T Corp. met the </w:t>
      </w:r>
      <w:r w:rsidRPr="00966429">
        <w:rPr>
          <w:rFonts w:ascii="Palatino Linotype" w:hAnsi="Palatino Linotype"/>
          <w:i/>
        </w:rPr>
        <w:t>Answer Time</w:t>
      </w:r>
      <w:r w:rsidRPr="00966429">
        <w:rPr>
          <w:rFonts w:ascii="Palatino Linotype" w:hAnsi="Palatino Linotype"/>
        </w:rPr>
        <w:t xml:space="preserve"> minimum standard for all months in 2018.  </w:t>
      </w:r>
      <w:r w:rsidRPr="00966429" w:rsidR="00516452">
        <w:rPr>
          <w:rFonts w:ascii="Palatino Linotype" w:hAnsi="Palatino Linotype"/>
        </w:rPr>
        <w:t>Happy Valley, Hornitos, and Winterhaven</w:t>
      </w:r>
      <w:r w:rsidRPr="00966429" w:rsidR="002E66FD">
        <w:rPr>
          <w:rFonts w:ascii="Palatino Linotype" w:hAnsi="Palatino Linotype"/>
        </w:rPr>
        <w:t xml:space="preserve"> did not submit any data because </w:t>
      </w:r>
      <w:r w:rsidRPr="00966429" w:rsidR="00F206DE">
        <w:rPr>
          <w:rFonts w:ascii="Palatino Linotype" w:hAnsi="Palatino Linotype"/>
        </w:rPr>
        <w:t>they each</w:t>
      </w:r>
      <w:r w:rsidRPr="00966429" w:rsidR="002E66FD">
        <w:rPr>
          <w:rFonts w:ascii="Palatino Linotype" w:hAnsi="Palatino Linotype"/>
        </w:rPr>
        <w:t xml:space="preserve"> reported less than the minimum 10,000 working lines required under the GO for the </w:t>
      </w:r>
      <w:r w:rsidRPr="00966429" w:rsidR="002E66FD">
        <w:rPr>
          <w:rFonts w:ascii="Palatino Linotype" w:hAnsi="Palatino Linotype"/>
          <w:i/>
        </w:rPr>
        <w:t xml:space="preserve">Answer Time </w:t>
      </w:r>
      <w:r w:rsidRPr="00966429" w:rsidR="002E66FD">
        <w:rPr>
          <w:rFonts w:ascii="Palatino Linotype" w:hAnsi="Palatino Linotype"/>
        </w:rPr>
        <w:t>standard.</w:t>
      </w:r>
      <w:r w:rsidRPr="00966429" w:rsidR="002E66FD">
        <w:rPr>
          <w:rStyle w:val="FootnoteReference"/>
          <w:rFonts w:ascii="Palatino Linotype" w:hAnsi="Palatino Linotype"/>
        </w:rPr>
        <w:footnoteReference w:id="10"/>
      </w:r>
    </w:p>
    <w:p w:rsidRPr="002953E3" w:rsidR="0008653C" w:rsidP="002953E3" w:rsidRDefault="0008653C" w14:paraId="1E1A994E" w14:textId="7AD377DB">
      <w:pPr>
        <w:pStyle w:val="ListParagraph"/>
        <w:numPr>
          <w:ilvl w:val="0"/>
          <w:numId w:val="5"/>
        </w:numPr>
        <w:tabs>
          <w:tab w:val="left" w:pos="3600"/>
        </w:tabs>
        <w:spacing w:before="120" w:after="120"/>
        <w:ind w:left="720"/>
        <w:rPr>
          <w:rFonts w:ascii="Palatino Linotype" w:hAnsi="Palatino Linotype"/>
        </w:rPr>
      </w:pPr>
      <w:r w:rsidRPr="002953E3">
        <w:rPr>
          <w:rFonts w:ascii="Palatino Linotype" w:hAnsi="Palatino Linotype"/>
          <w:b/>
          <w:i/>
          <w:u w:val="single"/>
        </w:rPr>
        <w:t>Installation Interval</w:t>
      </w:r>
      <w:r w:rsidRPr="002953E3" w:rsidR="009E161E">
        <w:rPr>
          <w:rFonts w:ascii="Palatino Linotype" w:hAnsi="Palatino Linotype"/>
          <w:u w:val="single"/>
        </w:rPr>
        <w:t xml:space="preserve"> </w:t>
      </w:r>
    </w:p>
    <w:p w:rsidRPr="00966429" w:rsidR="0008653C" w:rsidP="0008653C" w:rsidRDefault="004A025A" w14:paraId="7D780313" w14:textId="31C0C90E">
      <w:pPr>
        <w:tabs>
          <w:tab w:val="left" w:pos="3600"/>
        </w:tabs>
        <w:spacing w:before="120" w:after="120"/>
        <w:rPr>
          <w:rFonts w:ascii="Palatino Linotype" w:hAnsi="Palatino Linotype"/>
        </w:rPr>
      </w:pPr>
      <w:r w:rsidRPr="00966429">
        <w:rPr>
          <w:rFonts w:ascii="Palatino Linotype" w:hAnsi="Palatino Linotype"/>
        </w:rPr>
        <w:t xml:space="preserve">The standard for </w:t>
      </w:r>
      <w:r w:rsidRPr="00966429">
        <w:rPr>
          <w:rFonts w:ascii="Palatino Linotype" w:hAnsi="Palatino Linotype"/>
          <w:i/>
        </w:rPr>
        <w:t>Installation Interval</w:t>
      </w:r>
      <w:r w:rsidRPr="00966429" w:rsidR="009350CD">
        <w:rPr>
          <w:rFonts w:ascii="Palatino Linotype" w:hAnsi="Palatino Linotype"/>
          <w:i/>
        </w:rPr>
        <w:t xml:space="preserve">, </w:t>
      </w:r>
      <w:r w:rsidRPr="00966429" w:rsidR="009350CD">
        <w:rPr>
          <w:rFonts w:ascii="Palatino Linotype" w:hAnsi="Palatino Linotype"/>
        </w:rPr>
        <w:t>defined in § 3.1,</w:t>
      </w:r>
      <w:r w:rsidRPr="00966429">
        <w:rPr>
          <w:rFonts w:ascii="Palatino Linotype" w:hAnsi="Palatino Linotype"/>
        </w:rPr>
        <w:t xml:space="preserve"> appl</w:t>
      </w:r>
      <w:r w:rsidRPr="00966429" w:rsidR="009350CD">
        <w:rPr>
          <w:rFonts w:ascii="Palatino Linotype" w:hAnsi="Palatino Linotype"/>
        </w:rPr>
        <w:t>ies</w:t>
      </w:r>
      <w:r w:rsidRPr="00966429">
        <w:rPr>
          <w:rFonts w:ascii="Palatino Linotype" w:hAnsi="Palatino Linotype"/>
        </w:rPr>
        <w:t xml:space="preserve"> only to the GRC ILECs.  </w:t>
      </w:r>
      <w:r w:rsidRPr="00966429" w:rsidR="00325496">
        <w:rPr>
          <w:rFonts w:ascii="Palatino Linotype" w:hAnsi="Palatino Linotype"/>
        </w:rPr>
        <w:t xml:space="preserve">Happy Valley, Hornitos, and Winterhaven all </w:t>
      </w:r>
      <w:r w:rsidRPr="00966429">
        <w:rPr>
          <w:rFonts w:ascii="Palatino Linotype" w:hAnsi="Palatino Linotype"/>
        </w:rPr>
        <w:t>met t</w:t>
      </w:r>
      <w:r w:rsidRPr="00966429" w:rsidR="009350CD">
        <w:rPr>
          <w:rFonts w:ascii="Palatino Linotype" w:hAnsi="Palatino Linotype"/>
        </w:rPr>
        <w:t xml:space="preserve">he </w:t>
      </w:r>
      <w:r w:rsidRPr="00966429">
        <w:rPr>
          <w:rFonts w:ascii="Palatino Linotype" w:hAnsi="Palatino Linotype"/>
        </w:rPr>
        <w:t>standard</w:t>
      </w:r>
      <w:r w:rsidRPr="00966429" w:rsidR="00677A00">
        <w:rPr>
          <w:rFonts w:ascii="Palatino Linotype" w:hAnsi="Palatino Linotype"/>
        </w:rPr>
        <w:t xml:space="preserve"> in 201</w:t>
      </w:r>
      <w:r w:rsidRPr="00966429" w:rsidR="00325496">
        <w:rPr>
          <w:rFonts w:ascii="Palatino Linotype" w:hAnsi="Palatino Linotype"/>
        </w:rPr>
        <w:t>8</w:t>
      </w:r>
      <w:r w:rsidRPr="00966429">
        <w:rPr>
          <w:rFonts w:ascii="Palatino Linotype" w:hAnsi="Palatino Linotype"/>
        </w:rPr>
        <w:t>.</w:t>
      </w:r>
    </w:p>
    <w:p w:rsidRPr="002953E3" w:rsidR="00677A00" w:rsidP="002953E3" w:rsidRDefault="00677A00" w14:paraId="0F39C05D" w14:textId="56FD6CB5">
      <w:pPr>
        <w:pStyle w:val="ListParagraph"/>
        <w:numPr>
          <w:ilvl w:val="0"/>
          <w:numId w:val="5"/>
        </w:numPr>
        <w:tabs>
          <w:tab w:val="left" w:pos="3600"/>
        </w:tabs>
        <w:spacing w:before="120" w:after="120"/>
        <w:ind w:left="720"/>
        <w:rPr>
          <w:rFonts w:ascii="Palatino Linotype" w:hAnsi="Palatino Linotype"/>
        </w:rPr>
      </w:pPr>
      <w:r w:rsidRPr="002953E3">
        <w:rPr>
          <w:rFonts w:ascii="Palatino Linotype" w:hAnsi="Palatino Linotype"/>
          <w:b/>
          <w:i/>
          <w:u w:val="single"/>
        </w:rPr>
        <w:lastRenderedPageBreak/>
        <w:t>Installation Commitments</w:t>
      </w:r>
    </w:p>
    <w:p w:rsidR="00677A00" w:rsidP="00677A00" w:rsidRDefault="00677A00" w14:paraId="41CE1354" w14:textId="12399474">
      <w:pPr>
        <w:tabs>
          <w:tab w:val="left" w:pos="3600"/>
        </w:tabs>
        <w:spacing w:before="120" w:after="120"/>
        <w:rPr>
          <w:rFonts w:ascii="Palatino Linotype" w:hAnsi="Palatino Linotype"/>
        </w:rPr>
      </w:pPr>
      <w:r w:rsidRPr="00966429">
        <w:rPr>
          <w:rFonts w:ascii="Palatino Linotype" w:hAnsi="Palatino Linotype"/>
        </w:rPr>
        <w:t xml:space="preserve">The standard for </w:t>
      </w:r>
      <w:r w:rsidRPr="00966429">
        <w:rPr>
          <w:rFonts w:ascii="Palatino Linotype" w:hAnsi="Palatino Linotype"/>
          <w:i/>
        </w:rPr>
        <w:t>Installation Commitments</w:t>
      </w:r>
      <w:r w:rsidRPr="00966429" w:rsidR="009350CD">
        <w:rPr>
          <w:rFonts w:ascii="Palatino Linotype" w:hAnsi="Palatino Linotype"/>
        </w:rPr>
        <w:t xml:space="preserve">, defined in § 3.2, </w:t>
      </w:r>
      <w:r w:rsidRPr="00966429">
        <w:rPr>
          <w:rFonts w:ascii="Palatino Linotype" w:hAnsi="Palatino Linotype"/>
        </w:rPr>
        <w:t>appl</w:t>
      </w:r>
      <w:r w:rsidRPr="00966429" w:rsidR="009350CD">
        <w:rPr>
          <w:rFonts w:ascii="Palatino Linotype" w:hAnsi="Palatino Linotype"/>
        </w:rPr>
        <w:t>ies</w:t>
      </w:r>
      <w:r w:rsidRPr="00966429">
        <w:rPr>
          <w:rFonts w:ascii="Palatino Linotype" w:hAnsi="Palatino Linotype"/>
        </w:rPr>
        <w:t xml:space="preserve"> only to the GRC ILECs.  </w:t>
      </w:r>
      <w:r w:rsidRPr="00966429" w:rsidR="00325496">
        <w:rPr>
          <w:rFonts w:ascii="Palatino Linotype" w:hAnsi="Palatino Linotype"/>
        </w:rPr>
        <w:t>Happy Valley, Hornitos, and Winterhaven all</w:t>
      </w:r>
      <w:r w:rsidRPr="00966429">
        <w:rPr>
          <w:rFonts w:ascii="Palatino Linotype" w:hAnsi="Palatino Linotype"/>
        </w:rPr>
        <w:t xml:space="preserve"> met the standard in 201</w:t>
      </w:r>
      <w:r w:rsidRPr="00966429" w:rsidR="00325496">
        <w:rPr>
          <w:rFonts w:ascii="Palatino Linotype" w:hAnsi="Palatino Linotype"/>
        </w:rPr>
        <w:t>8</w:t>
      </w:r>
      <w:r w:rsidRPr="00966429">
        <w:rPr>
          <w:rFonts w:ascii="Palatino Linotype" w:hAnsi="Palatino Linotype"/>
        </w:rPr>
        <w:t>.</w:t>
      </w:r>
    </w:p>
    <w:p w:rsidRPr="00966429" w:rsidR="00195AD8" w:rsidP="00195AD8" w:rsidRDefault="00195AD8" w14:paraId="4600E3F5" w14:textId="77777777">
      <w:pPr>
        <w:tabs>
          <w:tab w:val="left" w:pos="3600"/>
        </w:tabs>
        <w:rPr>
          <w:rFonts w:ascii="Palatino Linotype" w:hAnsi="Palatino Linotype"/>
        </w:rPr>
      </w:pPr>
    </w:p>
    <w:p w:rsidRPr="00966429" w:rsidR="004B467A" w:rsidP="009E161E" w:rsidRDefault="004B467A" w14:paraId="22972349" w14:textId="77777777">
      <w:pPr>
        <w:numPr>
          <w:ilvl w:val="0"/>
          <w:numId w:val="4"/>
        </w:numPr>
        <w:tabs>
          <w:tab w:val="left" w:pos="360"/>
          <w:tab w:val="left" w:pos="3600"/>
        </w:tabs>
        <w:spacing w:before="120" w:after="120"/>
        <w:ind w:left="360"/>
        <w:rPr>
          <w:rFonts w:ascii="Palatino Linotype" w:hAnsi="Palatino Linotype"/>
          <w:b/>
        </w:rPr>
      </w:pPr>
      <w:r w:rsidRPr="00966429">
        <w:rPr>
          <w:rFonts w:ascii="Palatino Linotype" w:hAnsi="Palatino Linotype"/>
          <w:b/>
        </w:rPr>
        <w:t>Total Fine Amount</w:t>
      </w:r>
      <w:r w:rsidRPr="00966429" w:rsidR="001B282F">
        <w:rPr>
          <w:rFonts w:ascii="Palatino Linotype" w:hAnsi="Palatino Linotype"/>
          <w:b/>
        </w:rPr>
        <w:t xml:space="preserve"> per Carrier</w:t>
      </w:r>
    </w:p>
    <w:p w:rsidRPr="00966429" w:rsidR="004B467A" w:rsidP="004B467A" w:rsidRDefault="009350CD" w14:paraId="1B316351" w14:textId="4F6EAAF9">
      <w:pPr>
        <w:tabs>
          <w:tab w:val="left" w:pos="3600"/>
        </w:tabs>
        <w:spacing w:before="120" w:after="120"/>
        <w:rPr>
          <w:rFonts w:ascii="Palatino Linotype" w:hAnsi="Palatino Linotype"/>
        </w:rPr>
      </w:pPr>
      <w:r w:rsidRPr="00966429">
        <w:rPr>
          <w:rFonts w:ascii="Palatino Linotype" w:hAnsi="Palatino Linotype"/>
        </w:rPr>
        <w:t>Based on the scaling factors and number of months</w:t>
      </w:r>
      <w:r w:rsidRPr="00966429" w:rsidR="002A6369">
        <w:rPr>
          <w:rFonts w:ascii="Palatino Linotype" w:hAnsi="Palatino Linotype"/>
        </w:rPr>
        <w:t xml:space="preserve"> the carriers </w:t>
      </w:r>
      <w:r w:rsidRPr="00966429" w:rsidR="00F206DE">
        <w:rPr>
          <w:rFonts w:ascii="Palatino Linotype" w:hAnsi="Palatino Linotype"/>
        </w:rPr>
        <w:t>failed</w:t>
      </w:r>
      <w:r w:rsidRPr="00966429">
        <w:rPr>
          <w:rFonts w:ascii="Palatino Linotype" w:hAnsi="Palatino Linotype"/>
        </w:rPr>
        <w:t xml:space="preserve"> to meet the </w:t>
      </w:r>
      <w:r w:rsidRPr="00966429" w:rsidR="00F206DE">
        <w:rPr>
          <w:rFonts w:ascii="Palatino Linotype" w:hAnsi="Palatino Linotype"/>
        </w:rPr>
        <w:t xml:space="preserve">minimum </w:t>
      </w:r>
      <w:r w:rsidRPr="00966429">
        <w:rPr>
          <w:rFonts w:ascii="Palatino Linotype" w:hAnsi="Palatino Linotype"/>
        </w:rPr>
        <w:t xml:space="preserve">performance </w:t>
      </w:r>
      <w:r w:rsidRPr="00966429" w:rsidR="00F206DE">
        <w:rPr>
          <w:rFonts w:ascii="Palatino Linotype" w:hAnsi="Palatino Linotype"/>
        </w:rPr>
        <w:t>standards</w:t>
      </w:r>
      <w:r w:rsidRPr="00966429">
        <w:rPr>
          <w:rFonts w:ascii="Palatino Linotype" w:hAnsi="Palatino Linotype"/>
        </w:rPr>
        <w:t>, t</w:t>
      </w:r>
      <w:r w:rsidRPr="00966429" w:rsidR="000902F2">
        <w:rPr>
          <w:rFonts w:ascii="Palatino Linotype" w:hAnsi="Palatino Linotype"/>
        </w:rPr>
        <w:t>he</w:t>
      </w:r>
      <w:r w:rsidRPr="00966429" w:rsidR="004B467A">
        <w:rPr>
          <w:rFonts w:ascii="Palatino Linotype" w:hAnsi="Palatino Linotype"/>
        </w:rPr>
        <w:t xml:space="preserve"> total fines for </w:t>
      </w:r>
      <w:r w:rsidRPr="00966429" w:rsidR="009E161E">
        <w:rPr>
          <w:rFonts w:ascii="Palatino Linotype" w:hAnsi="Palatino Linotype"/>
        </w:rPr>
        <w:t>th</w:t>
      </w:r>
      <w:r w:rsidRPr="00966429" w:rsidR="0023547A">
        <w:rPr>
          <w:rFonts w:ascii="Palatino Linotype" w:hAnsi="Palatino Linotype"/>
        </w:rPr>
        <w:t>es</w:t>
      </w:r>
      <w:r w:rsidRPr="00966429" w:rsidR="009E161E">
        <w:rPr>
          <w:rFonts w:ascii="Palatino Linotype" w:hAnsi="Palatino Linotype"/>
        </w:rPr>
        <w:t xml:space="preserve">e </w:t>
      </w:r>
      <w:r w:rsidRPr="00966429" w:rsidR="0023547A">
        <w:rPr>
          <w:rFonts w:ascii="Palatino Linotype" w:hAnsi="Palatino Linotype"/>
        </w:rPr>
        <w:t>carriers’</w:t>
      </w:r>
      <w:r w:rsidRPr="00966429" w:rsidR="000902F2">
        <w:rPr>
          <w:rFonts w:ascii="Palatino Linotype" w:hAnsi="Palatino Linotype"/>
        </w:rPr>
        <w:t xml:space="preserve"> service quality performance</w:t>
      </w:r>
      <w:r w:rsidRPr="00966429">
        <w:rPr>
          <w:rFonts w:ascii="Palatino Linotype" w:hAnsi="Palatino Linotype"/>
        </w:rPr>
        <w:t xml:space="preserve"> </w:t>
      </w:r>
      <w:r w:rsidRPr="00966429" w:rsidR="000902F2">
        <w:rPr>
          <w:rFonts w:ascii="Palatino Linotype" w:hAnsi="Palatino Linotype"/>
        </w:rPr>
        <w:t xml:space="preserve">in </w:t>
      </w:r>
      <w:r w:rsidRPr="00966429" w:rsidR="007C50B0">
        <w:rPr>
          <w:rFonts w:ascii="Palatino Linotype" w:hAnsi="Palatino Linotype"/>
        </w:rPr>
        <w:t xml:space="preserve">Year </w:t>
      </w:r>
      <w:r w:rsidRPr="00966429" w:rsidR="004B467A">
        <w:rPr>
          <w:rFonts w:ascii="Palatino Linotype" w:hAnsi="Palatino Linotype"/>
        </w:rPr>
        <w:t>201</w:t>
      </w:r>
      <w:r w:rsidRPr="00966429" w:rsidR="00325496">
        <w:rPr>
          <w:rFonts w:ascii="Palatino Linotype" w:hAnsi="Palatino Linotype"/>
        </w:rPr>
        <w:t>8</w:t>
      </w:r>
      <w:r w:rsidRPr="00966429">
        <w:rPr>
          <w:rFonts w:ascii="Palatino Linotype" w:hAnsi="Palatino Linotype"/>
        </w:rPr>
        <w:t>, as follows</w:t>
      </w:r>
      <w:r w:rsidRPr="00966429" w:rsidR="0008653C">
        <w:rPr>
          <w:rFonts w:ascii="Palatino Linotype" w:hAnsi="Palatino Linotype"/>
        </w:rPr>
        <w:t>:</w:t>
      </w: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7"/>
        <w:gridCol w:w="1368"/>
        <w:gridCol w:w="1299"/>
        <w:gridCol w:w="1783"/>
        <w:gridCol w:w="1194"/>
        <w:gridCol w:w="1290"/>
        <w:gridCol w:w="1549"/>
      </w:tblGrid>
      <w:tr w:rsidRPr="00966429" w:rsidR="000D1702" w:rsidTr="002953E3" w14:paraId="28C9D2C0" w14:textId="77777777">
        <w:trPr>
          <w:trHeight w:val="145"/>
          <w:jc w:val="center"/>
        </w:trPr>
        <w:tc>
          <w:tcPr>
            <w:tcW w:w="1993" w:type="dxa"/>
            <w:tcBorders>
              <w:bottom w:val="single" w:color="auto" w:sz="4" w:space="0"/>
            </w:tcBorders>
            <w:shd w:val="clear" w:color="auto" w:fill="F2F2F2" w:themeFill="background1" w:themeFillShade="F2"/>
            <w:vAlign w:val="center"/>
          </w:tcPr>
          <w:p w:rsidRPr="002953E3" w:rsidR="000D1702" w:rsidP="002953E3" w:rsidRDefault="000D1702" w14:paraId="17629710" w14:textId="77777777">
            <w:pPr>
              <w:tabs>
                <w:tab w:val="left" w:pos="3600"/>
              </w:tabs>
              <w:spacing w:before="120" w:after="120"/>
              <w:ind w:left="-30"/>
              <w:jc w:val="center"/>
              <w:rPr>
                <w:rFonts w:ascii="Palatino Linotype" w:hAnsi="Palatino Linotype"/>
                <w:b/>
                <w:sz w:val="20"/>
                <w:szCs w:val="20"/>
              </w:rPr>
            </w:pPr>
            <w:bookmarkStart w:name="_Hlk2938220" w:id="0"/>
            <w:r w:rsidRPr="002953E3">
              <w:rPr>
                <w:rFonts w:ascii="Palatino Linotype" w:hAnsi="Palatino Linotype"/>
                <w:b/>
                <w:sz w:val="20"/>
                <w:szCs w:val="20"/>
              </w:rPr>
              <w:t>Service Quality Standard</w:t>
            </w:r>
          </w:p>
        </w:tc>
        <w:tc>
          <w:tcPr>
            <w:tcW w:w="1379" w:type="dxa"/>
            <w:shd w:val="clear" w:color="auto" w:fill="F2F2F2" w:themeFill="background1" w:themeFillShade="F2"/>
            <w:vAlign w:val="center"/>
          </w:tcPr>
          <w:p w:rsidRPr="002953E3" w:rsidR="000D1702" w:rsidP="00EA0257" w:rsidRDefault="000D1702" w14:paraId="3C49F3D7" w14:textId="77777777">
            <w:pPr>
              <w:tabs>
                <w:tab w:val="left" w:pos="3600"/>
              </w:tabs>
              <w:jc w:val="center"/>
              <w:rPr>
                <w:rFonts w:ascii="Palatino Linotype" w:hAnsi="Palatino Linotype"/>
                <w:b/>
                <w:sz w:val="20"/>
                <w:szCs w:val="20"/>
              </w:rPr>
            </w:pPr>
            <w:r w:rsidRPr="002953E3">
              <w:rPr>
                <w:rFonts w:ascii="Palatino Linotype" w:hAnsi="Palatino Linotype"/>
                <w:b/>
                <w:sz w:val="20"/>
                <w:szCs w:val="20"/>
              </w:rPr>
              <w:t xml:space="preserve">AT&amp;T </w:t>
            </w:r>
          </w:p>
          <w:p w:rsidRPr="002953E3" w:rsidR="000D1702" w:rsidP="00EA0257" w:rsidRDefault="000D1702" w14:paraId="7C1C4D54" w14:textId="77777777">
            <w:pPr>
              <w:tabs>
                <w:tab w:val="left" w:pos="3600"/>
              </w:tabs>
              <w:jc w:val="center"/>
              <w:rPr>
                <w:rFonts w:ascii="Palatino Linotype" w:hAnsi="Palatino Linotype"/>
                <w:b/>
                <w:sz w:val="20"/>
                <w:szCs w:val="20"/>
              </w:rPr>
            </w:pPr>
            <w:r w:rsidRPr="002953E3">
              <w:rPr>
                <w:rFonts w:ascii="Palatino Linotype" w:hAnsi="Palatino Linotype"/>
                <w:b/>
                <w:sz w:val="20"/>
                <w:szCs w:val="20"/>
              </w:rPr>
              <w:t>Corporation</w:t>
            </w:r>
          </w:p>
          <w:p w:rsidRPr="002953E3" w:rsidR="000D1702" w:rsidP="00EA0257" w:rsidRDefault="000D1702" w14:paraId="64CF81A1" w14:textId="77777777">
            <w:pPr>
              <w:tabs>
                <w:tab w:val="left" w:pos="3600"/>
              </w:tabs>
              <w:jc w:val="center"/>
              <w:rPr>
                <w:rFonts w:ascii="Palatino Linotype" w:hAnsi="Palatino Linotype"/>
                <w:b/>
                <w:sz w:val="20"/>
                <w:szCs w:val="20"/>
              </w:rPr>
            </w:pPr>
            <w:r w:rsidRPr="002953E3">
              <w:rPr>
                <w:rFonts w:ascii="Palatino Linotype" w:hAnsi="Palatino Linotype"/>
                <w:b/>
                <w:sz w:val="20"/>
                <w:szCs w:val="20"/>
              </w:rPr>
              <w:t>(U-5002-C)</w:t>
            </w:r>
          </w:p>
        </w:tc>
        <w:tc>
          <w:tcPr>
            <w:tcW w:w="1393" w:type="dxa"/>
            <w:shd w:val="clear" w:color="auto" w:fill="F2F2F2" w:themeFill="background1" w:themeFillShade="F2"/>
          </w:tcPr>
          <w:p w:rsidRPr="002953E3" w:rsidR="000D1702" w:rsidP="00FA6482" w:rsidRDefault="000D1702" w14:paraId="25BFE6DE" w14:textId="77777777">
            <w:pPr>
              <w:tabs>
                <w:tab w:val="left" w:pos="3600"/>
              </w:tabs>
              <w:rPr>
                <w:rFonts w:ascii="Palatino Linotype" w:hAnsi="Palatino Linotype"/>
                <w:b/>
                <w:sz w:val="20"/>
                <w:szCs w:val="20"/>
              </w:rPr>
            </w:pPr>
          </w:p>
          <w:p w:rsidRPr="002953E3" w:rsidR="000D1702" w:rsidP="00FA6482" w:rsidRDefault="000D1702" w14:paraId="07DC28F9" w14:textId="37F0A392">
            <w:pPr>
              <w:tabs>
                <w:tab w:val="left" w:pos="3600"/>
              </w:tabs>
              <w:jc w:val="center"/>
              <w:rPr>
                <w:rFonts w:ascii="Palatino Linotype" w:hAnsi="Palatino Linotype"/>
                <w:b/>
                <w:sz w:val="20"/>
                <w:szCs w:val="20"/>
              </w:rPr>
            </w:pPr>
            <w:r w:rsidRPr="002953E3">
              <w:rPr>
                <w:rFonts w:ascii="Palatino Linotype" w:hAnsi="Palatino Linotype"/>
                <w:b/>
                <w:sz w:val="20"/>
                <w:szCs w:val="20"/>
              </w:rPr>
              <w:t>Frontier</w:t>
            </w:r>
          </w:p>
          <w:p w:rsidRPr="002953E3" w:rsidR="000D1702" w:rsidP="000D1702" w:rsidRDefault="000D1702" w14:paraId="3625C1DD" w14:textId="00200C1F">
            <w:pPr>
              <w:tabs>
                <w:tab w:val="left" w:pos="3600"/>
              </w:tabs>
              <w:jc w:val="center"/>
              <w:rPr>
                <w:rFonts w:ascii="Palatino Linotype" w:hAnsi="Palatino Linotype"/>
                <w:b/>
                <w:sz w:val="20"/>
                <w:szCs w:val="20"/>
              </w:rPr>
            </w:pPr>
            <w:r w:rsidRPr="002953E3">
              <w:rPr>
                <w:rFonts w:ascii="Palatino Linotype" w:hAnsi="Palatino Linotype"/>
                <w:b/>
                <w:sz w:val="20"/>
                <w:szCs w:val="20"/>
              </w:rPr>
              <w:t>Citizens (U-1024-C)</w:t>
            </w:r>
          </w:p>
        </w:tc>
        <w:tc>
          <w:tcPr>
            <w:tcW w:w="1393" w:type="dxa"/>
            <w:shd w:val="clear" w:color="auto" w:fill="F2F2F2" w:themeFill="background1" w:themeFillShade="F2"/>
            <w:vAlign w:val="center"/>
          </w:tcPr>
          <w:p w:rsidRPr="002953E3" w:rsidR="000D1702" w:rsidP="00EA0257" w:rsidRDefault="000D1702" w14:paraId="07ACEFE8" w14:textId="0C3DB3C2">
            <w:pPr>
              <w:tabs>
                <w:tab w:val="left" w:pos="3600"/>
              </w:tabs>
              <w:spacing w:before="120" w:after="120"/>
              <w:jc w:val="center"/>
              <w:rPr>
                <w:rFonts w:ascii="Palatino Linotype" w:hAnsi="Palatino Linotype"/>
                <w:b/>
                <w:sz w:val="20"/>
                <w:szCs w:val="20"/>
              </w:rPr>
            </w:pPr>
            <w:r w:rsidRPr="002953E3">
              <w:rPr>
                <w:rFonts w:ascii="Palatino Linotype" w:hAnsi="Palatino Linotype"/>
                <w:b/>
                <w:sz w:val="20"/>
                <w:szCs w:val="20"/>
              </w:rPr>
              <w:t>Frontier Communications of the Southwest (U-1026-C)</w:t>
            </w:r>
          </w:p>
        </w:tc>
        <w:tc>
          <w:tcPr>
            <w:tcW w:w="1194" w:type="dxa"/>
            <w:shd w:val="clear" w:color="auto" w:fill="F2F2F2" w:themeFill="background1" w:themeFillShade="F2"/>
          </w:tcPr>
          <w:p w:rsidRPr="002953E3" w:rsidR="002953E3" w:rsidP="002953E3" w:rsidRDefault="002953E3" w14:paraId="263EA184" w14:textId="77777777">
            <w:pPr>
              <w:tabs>
                <w:tab w:val="left" w:pos="3600"/>
              </w:tabs>
              <w:jc w:val="center"/>
              <w:rPr>
                <w:rFonts w:ascii="Palatino Linotype" w:hAnsi="Palatino Linotype"/>
                <w:b/>
                <w:sz w:val="16"/>
                <w:szCs w:val="16"/>
              </w:rPr>
            </w:pPr>
          </w:p>
          <w:p w:rsidRPr="002953E3" w:rsidR="000D1702" w:rsidP="002953E3" w:rsidRDefault="000D1702" w14:paraId="3311AF85" w14:textId="517590BE">
            <w:pPr>
              <w:tabs>
                <w:tab w:val="left" w:pos="3600"/>
              </w:tabs>
              <w:jc w:val="center"/>
              <w:rPr>
                <w:rFonts w:ascii="Palatino Linotype" w:hAnsi="Palatino Linotype"/>
                <w:b/>
                <w:sz w:val="20"/>
                <w:szCs w:val="20"/>
              </w:rPr>
            </w:pPr>
            <w:r w:rsidRPr="002953E3">
              <w:rPr>
                <w:rFonts w:ascii="Palatino Linotype" w:hAnsi="Palatino Linotype"/>
                <w:b/>
                <w:sz w:val="20"/>
                <w:szCs w:val="20"/>
              </w:rPr>
              <w:t xml:space="preserve">Happy </w:t>
            </w:r>
            <w:r w:rsidR="002953E3">
              <w:rPr>
                <w:rFonts w:ascii="Palatino Linotype" w:hAnsi="Palatino Linotype"/>
                <w:b/>
                <w:sz w:val="20"/>
                <w:szCs w:val="20"/>
              </w:rPr>
              <w:t>V</w:t>
            </w:r>
            <w:r w:rsidRPr="002953E3">
              <w:rPr>
                <w:rFonts w:ascii="Palatino Linotype" w:hAnsi="Palatino Linotype"/>
                <w:b/>
                <w:sz w:val="20"/>
                <w:szCs w:val="20"/>
              </w:rPr>
              <w:t>alley</w:t>
            </w:r>
          </w:p>
          <w:p w:rsidRPr="002953E3" w:rsidR="000D1702" w:rsidP="002953E3" w:rsidRDefault="000D1702" w14:paraId="63AB706D" w14:textId="60DD9C18">
            <w:pPr>
              <w:tabs>
                <w:tab w:val="left" w:pos="3600"/>
              </w:tabs>
              <w:jc w:val="center"/>
              <w:rPr>
                <w:rFonts w:ascii="Palatino Linotype" w:hAnsi="Palatino Linotype"/>
                <w:b/>
                <w:sz w:val="20"/>
                <w:szCs w:val="20"/>
              </w:rPr>
            </w:pPr>
            <w:r w:rsidRPr="002953E3">
              <w:rPr>
                <w:rFonts w:ascii="Palatino Linotype" w:hAnsi="Palatino Linotype"/>
                <w:b/>
                <w:sz w:val="20"/>
                <w:szCs w:val="20"/>
              </w:rPr>
              <w:t>Telephone (U-10</w:t>
            </w:r>
            <w:r w:rsidRPr="002953E3" w:rsidR="004114DC">
              <w:rPr>
                <w:rFonts w:ascii="Palatino Linotype" w:hAnsi="Palatino Linotype"/>
                <w:b/>
                <w:sz w:val="20"/>
                <w:szCs w:val="20"/>
              </w:rPr>
              <w:t>10</w:t>
            </w:r>
            <w:r w:rsidRPr="002953E3">
              <w:rPr>
                <w:rFonts w:ascii="Palatino Linotype" w:hAnsi="Palatino Linotype"/>
                <w:b/>
                <w:sz w:val="20"/>
                <w:szCs w:val="20"/>
              </w:rPr>
              <w:t>-C)</w:t>
            </w:r>
          </w:p>
        </w:tc>
        <w:tc>
          <w:tcPr>
            <w:tcW w:w="1318" w:type="dxa"/>
            <w:shd w:val="clear" w:color="auto" w:fill="F2F2F2" w:themeFill="background1" w:themeFillShade="F2"/>
            <w:vAlign w:val="center"/>
          </w:tcPr>
          <w:p w:rsidRPr="002953E3" w:rsidR="000D1702" w:rsidP="00EA0257" w:rsidRDefault="000D1702" w14:paraId="107C58C6" w14:textId="6F2A8602">
            <w:pPr>
              <w:tabs>
                <w:tab w:val="left" w:pos="3600"/>
              </w:tabs>
              <w:spacing w:before="120" w:after="120"/>
              <w:jc w:val="center"/>
              <w:rPr>
                <w:rFonts w:ascii="Palatino Linotype" w:hAnsi="Palatino Linotype"/>
                <w:b/>
                <w:sz w:val="20"/>
                <w:szCs w:val="20"/>
              </w:rPr>
            </w:pPr>
            <w:r w:rsidRPr="002953E3">
              <w:rPr>
                <w:rFonts w:ascii="Palatino Linotype" w:hAnsi="Palatino Linotype"/>
                <w:b/>
                <w:sz w:val="20"/>
                <w:szCs w:val="20"/>
              </w:rPr>
              <w:t>Hornitos Telephone (U-101</w:t>
            </w:r>
            <w:r w:rsidRPr="002953E3" w:rsidR="004114DC">
              <w:rPr>
                <w:rFonts w:ascii="Palatino Linotype" w:hAnsi="Palatino Linotype"/>
                <w:b/>
                <w:sz w:val="20"/>
                <w:szCs w:val="20"/>
              </w:rPr>
              <w:t>1</w:t>
            </w:r>
            <w:r w:rsidRPr="002953E3">
              <w:rPr>
                <w:rFonts w:ascii="Palatino Linotype" w:hAnsi="Palatino Linotype"/>
                <w:b/>
                <w:sz w:val="20"/>
                <w:szCs w:val="20"/>
              </w:rPr>
              <w:t>-C)</w:t>
            </w:r>
          </w:p>
        </w:tc>
        <w:tc>
          <w:tcPr>
            <w:tcW w:w="1590" w:type="dxa"/>
            <w:shd w:val="clear" w:color="auto" w:fill="F2F2F2" w:themeFill="background1" w:themeFillShade="F2"/>
            <w:vAlign w:val="center"/>
          </w:tcPr>
          <w:p w:rsidRPr="002953E3" w:rsidR="000D1702" w:rsidP="00EA0257" w:rsidRDefault="000D1702" w14:paraId="0D664DF8" w14:textId="679B4110">
            <w:pPr>
              <w:tabs>
                <w:tab w:val="left" w:pos="3600"/>
              </w:tabs>
              <w:spacing w:before="120" w:after="120"/>
              <w:jc w:val="center"/>
              <w:rPr>
                <w:rFonts w:ascii="Palatino Linotype" w:hAnsi="Palatino Linotype"/>
                <w:b/>
                <w:sz w:val="20"/>
                <w:szCs w:val="20"/>
              </w:rPr>
            </w:pPr>
            <w:r w:rsidRPr="002953E3">
              <w:rPr>
                <w:rFonts w:ascii="Palatino Linotype" w:hAnsi="Palatino Linotype"/>
                <w:b/>
                <w:sz w:val="20"/>
                <w:szCs w:val="20"/>
              </w:rPr>
              <w:t>Winterhaven Telephone (U-1021-C)</w:t>
            </w:r>
          </w:p>
        </w:tc>
      </w:tr>
      <w:tr w:rsidRPr="00966429" w:rsidR="000D1702" w:rsidTr="002953E3" w14:paraId="729754A0" w14:textId="77777777">
        <w:trPr>
          <w:trHeight w:val="300"/>
          <w:jc w:val="center"/>
        </w:trPr>
        <w:tc>
          <w:tcPr>
            <w:tcW w:w="1993" w:type="dxa"/>
            <w:shd w:val="clear" w:color="auto" w:fill="F2F2F2" w:themeFill="background1" w:themeFillShade="F2"/>
            <w:vAlign w:val="center"/>
          </w:tcPr>
          <w:p w:rsidRPr="002953E3" w:rsidR="000D1702" w:rsidP="00EA0257" w:rsidRDefault="000D1702" w14:paraId="61A6D74E" w14:textId="77777777">
            <w:pPr>
              <w:tabs>
                <w:tab w:val="left" w:pos="3600"/>
              </w:tabs>
              <w:spacing w:before="120" w:after="120"/>
              <w:rPr>
                <w:rFonts w:ascii="Palatino Linotype" w:hAnsi="Palatino Linotype"/>
                <w:sz w:val="20"/>
                <w:szCs w:val="20"/>
              </w:rPr>
            </w:pPr>
            <w:r w:rsidRPr="002953E3">
              <w:rPr>
                <w:rFonts w:ascii="Palatino Linotype" w:hAnsi="Palatino Linotype"/>
                <w:sz w:val="20"/>
                <w:szCs w:val="20"/>
              </w:rPr>
              <w:t>Out of Service Repair Interval</w:t>
            </w:r>
          </w:p>
        </w:tc>
        <w:tc>
          <w:tcPr>
            <w:tcW w:w="1379" w:type="dxa"/>
            <w:shd w:val="clear" w:color="auto" w:fill="auto"/>
            <w:vAlign w:val="center"/>
          </w:tcPr>
          <w:p w:rsidRPr="002953E3" w:rsidR="000D1702" w:rsidP="005B5135" w:rsidRDefault="00761AF9" w14:paraId="589EB715" w14:textId="5264C0B6">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w:t>
            </w:r>
            <w:r w:rsidRPr="002953E3" w:rsidR="002661BE">
              <w:rPr>
                <w:rFonts w:ascii="Palatino Linotype" w:hAnsi="Palatino Linotype"/>
                <w:sz w:val="20"/>
                <w:szCs w:val="20"/>
              </w:rPr>
              <w:t>12,600</w:t>
            </w:r>
          </w:p>
        </w:tc>
        <w:tc>
          <w:tcPr>
            <w:tcW w:w="1393" w:type="dxa"/>
          </w:tcPr>
          <w:p w:rsidRPr="002953E3" w:rsidR="000D1702" w:rsidP="005B5135" w:rsidRDefault="00EB6887" w14:paraId="2F2964A3" w14:textId="6F494304">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$65,100</w:t>
            </w:r>
          </w:p>
        </w:tc>
        <w:tc>
          <w:tcPr>
            <w:tcW w:w="1393" w:type="dxa"/>
            <w:vAlign w:val="center"/>
          </w:tcPr>
          <w:p w:rsidRPr="002953E3" w:rsidR="000D1702" w:rsidP="00EA0257" w:rsidRDefault="00EB6887" w14:paraId="5BE2821C" w14:textId="2281440D">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$3,375</w:t>
            </w:r>
          </w:p>
        </w:tc>
        <w:tc>
          <w:tcPr>
            <w:tcW w:w="1194" w:type="dxa"/>
          </w:tcPr>
          <w:p w:rsidRPr="002953E3" w:rsidR="000D1702" w:rsidP="00EA0257" w:rsidRDefault="00761AF9" w14:paraId="327FFDDD" w14:textId="0345EF85">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$900</w:t>
            </w:r>
          </w:p>
        </w:tc>
        <w:tc>
          <w:tcPr>
            <w:tcW w:w="1318" w:type="dxa"/>
            <w:vAlign w:val="center"/>
          </w:tcPr>
          <w:p w:rsidRPr="002953E3" w:rsidR="000D1702" w:rsidP="00EA0257" w:rsidRDefault="000D1702" w14:paraId="1BA65214" w14:textId="7FE3D6DA">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w:t>
            </w:r>
            <w:r w:rsidRPr="002953E3" w:rsidR="00761AF9">
              <w:rPr>
                <w:rFonts w:ascii="Palatino Linotype" w:hAnsi="Palatino Linotype"/>
                <w:sz w:val="20"/>
                <w:szCs w:val="20"/>
              </w:rPr>
              <w:t>525</w:t>
            </w:r>
          </w:p>
        </w:tc>
        <w:tc>
          <w:tcPr>
            <w:tcW w:w="1590" w:type="dxa"/>
            <w:vAlign w:val="center"/>
          </w:tcPr>
          <w:p w:rsidRPr="002953E3" w:rsidR="000D1702" w:rsidP="00EA0257" w:rsidRDefault="000D1702" w14:paraId="56A77DF0" w14:textId="57213CFD">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w:t>
            </w:r>
            <w:r w:rsidRPr="002953E3" w:rsidR="00761AF9">
              <w:rPr>
                <w:rFonts w:ascii="Palatino Linotype" w:hAnsi="Palatino Linotype"/>
                <w:sz w:val="20"/>
                <w:szCs w:val="20"/>
              </w:rPr>
              <w:t>525</w:t>
            </w:r>
          </w:p>
        </w:tc>
      </w:tr>
      <w:tr w:rsidRPr="00966429" w:rsidR="000D1702" w:rsidTr="002953E3" w14:paraId="27AECAC4" w14:textId="77777777">
        <w:trPr>
          <w:trHeight w:val="194"/>
          <w:jc w:val="center"/>
        </w:trPr>
        <w:tc>
          <w:tcPr>
            <w:tcW w:w="1993" w:type="dxa"/>
            <w:shd w:val="clear" w:color="auto" w:fill="F2F2F2" w:themeFill="background1" w:themeFillShade="F2"/>
            <w:vAlign w:val="center"/>
          </w:tcPr>
          <w:p w:rsidRPr="002953E3" w:rsidR="000D1702" w:rsidP="00EA0257" w:rsidRDefault="000D1702" w14:paraId="5B29917A" w14:textId="77777777">
            <w:pPr>
              <w:tabs>
                <w:tab w:val="left" w:pos="3600"/>
              </w:tabs>
              <w:spacing w:before="120" w:after="120"/>
              <w:rPr>
                <w:rFonts w:ascii="Palatino Linotype" w:hAnsi="Palatino Linotype"/>
                <w:sz w:val="20"/>
                <w:szCs w:val="20"/>
              </w:rPr>
            </w:pPr>
            <w:r w:rsidRPr="002953E3">
              <w:rPr>
                <w:rFonts w:ascii="Palatino Linotype" w:hAnsi="Palatino Linotype"/>
                <w:sz w:val="20"/>
                <w:szCs w:val="20"/>
              </w:rPr>
              <w:t>Answer Time</w:t>
            </w:r>
          </w:p>
        </w:tc>
        <w:tc>
          <w:tcPr>
            <w:tcW w:w="1379" w:type="dxa"/>
            <w:shd w:val="clear" w:color="auto" w:fill="auto"/>
            <w:vAlign w:val="center"/>
          </w:tcPr>
          <w:p w:rsidRPr="002953E3" w:rsidR="000D1702" w:rsidP="00EA0257" w:rsidRDefault="000D1702" w14:paraId="64BEE569" w14:textId="77777777">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$0</w:t>
            </w:r>
          </w:p>
        </w:tc>
        <w:tc>
          <w:tcPr>
            <w:tcW w:w="1393" w:type="dxa"/>
          </w:tcPr>
          <w:p w:rsidRPr="002953E3" w:rsidR="000D1702" w:rsidP="00EA0257" w:rsidRDefault="00EB6887" w14:paraId="2E2A4B4A" w14:textId="5358F664">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$6,138</w:t>
            </w:r>
          </w:p>
        </w:tc>
        <w:tc>
          <w:tcPr>
            <w:tcW w:w="1393" w:type="dxa"/>
            <w:vAlign w:val="center"/>
          </w:tcPr>
          <w:p w:rsidRPr="002953E3" w:rsidR="000D1702" w:rsidP="00EA0257" w:rsidRDefault="000D1702" w14:paraId="0A73E329" w14:textId="6FF89BF8">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w:t>
            </w:r>
            <w:r w:rsidRPr="002953E3" w:rsidR="00EB6887">
              <w:rPr>
                <w:rFonts w:ascii="Palatino Linotype" w:hAnsi="Palatino Linotype"/>
                <w:sz w:val="20"/>
                <w:szCs w:val="20"/>
              </w:rPr>
              <w:t>446</w:t>
            </w:r>
          </w:p>
        </w:tc>
        <w:tc>
          <w:tcPr>
            <w:tcW w:w="1194" w:type="dxa"/>
          </w:tcPr>
          <w:p w:rsidRPr="002953E3" w:rsidR="000D1702" w:rsidP="00EA0257" w:rsidRDefault="00761AF9" w14:paraId="3082EC59" w14:textId="3B0A94C5">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$0</w:t>
            </w:r>
          </w:p>
        </w:tc>
        <w:tc>
          <w:tcPr>
            <w:tcW w:w="1318" w:type="dxa"/>
            <w:vAlign w:val="center"/>
          </w:tcPr>
          <w:p w:rsidRPr="002953E3" w:rsidR="000D1702" w:rsidP="00EA0257" w:rsidRDefault="000D1702" w14:paraId="1ADE5298" w14:textId="733AC420">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$0</w:t>
            </w:r>
          </w:p>
        </w:tc>
        <w:tc>
          <w:tcPr>
            <w:tcW w:w="1590" w:type="dxa"/>
            <w:vAlign w:val="center"/>
          </w:tcPr>
          <w:p w:rsidRPr="002953E3" w:rsidR="000D1702" w:rsidP="00EA0257" w:rsidRDefault="000D1702" w14:paraId="5E135B9F" w14:textId="77777777">
            <w:pPr>
              <w:tabs>
                <w:tab w:val="left" w:pos="3600"/>
              </w:tabs>
              <w:spacing w:before="120" w:after="120"/>
              <w:jc w:val="center"/>
              <w:rPr>
                <w:rFonts w:ascii="Palatino Linotype" w:hAnsi="Palatino Linotype"/>
                <w:sz w:val="20"/>
                <w:szCs w:val="20"/>
              </w:rPr>
            </w:pPr>
            <w:r w:rsidRPr="002953E3">
              <w:rPr>
                <w:rFonts w:ascii="Palatino Linotype" w:hAnsi="Palatino Linotype"/>
                <w:sz w:val="20"/>
                <w:szCs w:val="20"/>
              </w:rPr>
              <w:t>$0</w:t>
            </w:r>
          </w:p>
        </w:tc>
      </w:tr>
      <w:tr w:rsidRPr="00966429" w:rsidR="000D1702" w:rsidTr="002953E3" w14:paraId="1774707B" w14:textId="77777777">
        <w:trPr>
          <w:trHeight w:val="197"/>
          <w:jc w:val="center"/>
        </w:trPr>
        <w:tc>
          <w:tcPr>
            <w:tcW w:w="1993" w:type="dxa"/>
            <w:shd w:val="clear" w:color="auto" w:fill="F2F2F2" w:themeFill="background1" w:themeFillShade="F2"/>
            <w:vAlign w:val="center"/>
          </w:tcPr>
          <w:p w:rsidRPr="002953E3" w:rsidR="000D1702" w:rsidP="00EA0257" w:rsidRDefault="000D1702" w14:paraId="77A5792C" w14:textId="77777777">
            <w:pPr>
              <w:tabs>
                <w:tab w:val="left" w:pos="3600"/>
              </w:tabs>
              <w:spacing w:before="120" w:after="120"/>
              <w:rPr>
                <w:rFonts w:ascii="Palatino Linotype" w:hAnsi="Palatino Linotype"/>
                <w:sz w:val="20"/>
                <w:szCs w:val="20"/>
              </w:rPr>
            </w:pPr>
            <w:r w:rsidRPr="002953E3">
              <w:rPr>
                <w:rFonts w:ascii="Palatino Linotype" w:hAnsi="Palatino Linotype"/>
                <w:b/>
                <w:sz w:val="20"/>
                <w:szCs w:val="20"/>
              </w:rPr>
              <w:t>Total</w:t>
            </w:r>
          </w:p>
        </w:tc>
        <w:tc>
          <w:tcPr>
            <w:tcW w:w="1379" w:type="dxa"/>
            <w:shd w:val="clear" w:color="auto" w:fill="auto"/>
            <w:vAlign w:val="center"/>
          </w:tcPr>
          <w:p w:rsidRPr="002953E3" w:rsidR="000D1702" w:rsidP="00EA0257" w:rsidRDefault="000D1702" w14:paraId="22268120" w14:textId="74624C7B">
            <w:pPr>
              <w:tabs>
                <w:tab w:val="left" w:pos="3600"/>
              </w:tabs>
              <w:spacing w:before="120" w:after="120"/>
              <w:jc w:val="center"/>
              <w:rPr>
                <w:rFonts w:ascii="Palatino Linotype" w:hAnsi="Palatino Linotype"/>
                <w:sz w:val="20"/>
                <w:szCs w:val="20"/>
              </w:rPr>
            </w:pPr>
            <w:r w:rsidRPr="002953E3">
              <w:rPr>
                <w:rFonts w:ascii="Palatino Linotype" w:hAnsi="Palatino Linotype"/>
                <w:b/>
                <w:sz w:val="20"/>
                <w:szCs w:val="20"/>
              </w:rPr>
              <w:t>$</w:t>
            </w:r>
            <w:r w:rsidRPr="002953E3" w:rsidR="00EB6887">
              <w:rPr>
                <w:rFonts w:ascii="Palatino Linotype" w:hAnsi="Palatino Linotype"/>
                <w:b/>
                <w:sz w:val="20"/>
                <w:szCs w:val="20"/>
              </w:rPr>
              <w:t>12,600</w:t>
            </w:r>
          </w:p>
        </w:tc>
        <w:tc>
          <w:tcPr>
            <w:tcW w:w="1393" w:type="dxa"/>
          </w:tcPr>
          <w:p w:rsidRPr="002953E3" w:rsidR="000D1702" w:rsidP="00EA0257" w:rsidRDefault="00EB6887" w14:paraId="6ECF3536" w14:textId="6F46AFA9">
            <w:pPr>
              <w:tabs>
                <w:tab w:val="left" w:pos="3600"/>
              </w:tabs>
              <w:spacing w:before="120" w:after="120"/>
              <w:jc w:val="center"/>
              <w:rPr>
                <w:rFonts w:ascii="Palatino Linotype" w:hAnsi="Palatino Linotype"/>
                <w:b/>
                <w:sz w:val="20"/>
                <w:szCs w:val="20"/>
              </w:rPr>
            </w:pPr>
            <w:r w:rsidRPr="002953E3">
              <w:rPr>
                <w:rFonts w:ascii="Palatino Linotype" w:hAnsi="Palatino Linotype"/>
                <w:b/>
                <w:sz w:val="20"/>
                <w:szCs w:val="20"/>
              </w:rPr>
              <w:t>$71,238</w:t>
            </w:r>
          </w:p>
        </w:tc>
        <w:tc>
          <w:tcPr>
            <w:tcW w:w="1393" w:type="dxa"/>
            <w:vAlign w:val="center"/>
          </w:tcPr>
          <w:p w:rsidRPr="002953E3" w:rsidR="000D1702" w:rsidP="00EA0257" w:rsidRDefault="000D1702" w14:paraId="3A3470EE" w14:textId="6C63D6AC">
            <w:pPr>
              <w:tabs>
                <w:tab w:val="left" w:pos="3600"/>
              </w:tabs>
              <w:spacing w:before="120" w:after="120"/>
              <w:jc w:val="center"/>
              <w:rPr>
                <w:rFonts w:ascii="Palatino Linotype" w:hAnsi="Palatino Linotype"/>
                <w:b/>
                <w:sz w:val="20"/>
                <w:szCs w:val="20"/>
              </w:rPr>
            </w:pPr>
            <w:r w:rsidRPr="002953E3">
              <w:rPr>
                <w:rFonts w:ascii="Palatino Linotype" w:hAnsi="Palatino Linotype"/>
                <w:b/>
                <w:sz w:val="20"/>
                <w:szCs w:val="20"/>
              </w:rPr>
              <w:t>$</w:t>
            </w:r>
            <w:r w:rsidRPr="002953E3" w:rsidR="00EB6887">
              <w:rPr>
                <w:rFonts w:ascii="Palatino Linotype" w:hAnsi="Palatino Linotype"/>
                <w:b/>
                <w:sz w:val="20"/>
                <w:szCs w:val="20"/>
              </w:rPr>
              <w:t>3,821</w:t>
            </w:r>
          </w:p>
        </w:tc>
        <w:tc>
          <w:tcPr>
            <w:tcW w:w="1194" w:type="dxa"/>
          </w:tcPr>
          <w:p w:rsidRPr="002953E3" w:rsidR="000D1702" w:rsidP="00EA0257" w:rsidRDefault="00761AF9" w14:paraId="273A42A1" w14:textId="47479F65">
            <w:pPr>
              <w:tabs>
                <w:tab w:val="left" w:pos="3600"/>
              </w:tabs>
              <w:spacing w:before="120" w:after="120"/>
              <w:jc w:val="center"/>
              <w:rPr>
                <w:rFonts w:ascii="Palatino Linotype" w:hAnsi="Palatino Linotype"/>
                <w:b/>
                <w:sz w:val="20"/>
                <w:szCs w:val="20"/>
              </w:rPr>
            </w:pPr>
            <w:r w:rsidRPr="002953E3">
              <w:rPr>
                <w:rFonts w:ascii="Palatino Linotype" w:hAnsi="Palatino Linotype"/>
                <w:b/>
                <w:sz w:val="20"/>
                <w:szCs w:val="20"/>
              </w:rPr>
              <w:t>$900</w:t>
            </w:r>
          </w:p>
        </w:tc>
        <w:tc>
          <w:tcPr>
            <w:tcW w:w="1318" w:type="dxa"/>
            <w:vAlign w:val="center"/>
          </w:tcPr>
          <w:p w:rsidRPr="002953E3" w:rsidR="000D1702" w:rsidP="00EA0257" w:rsidRDefault="000D1702" w14:paraId="08DD3F2B" w14:textId="02AB212F">
            <w:pPr>
              <w:tabs>
                <w:tab w:val="left" w:pos="3600"/>
              </w:tabs>
              <w:spacing w:before="120" w:after="120"/>
              <w:jc w:val="center"/>
              <w:rPr>
                <w:rFonts w:ascii="Palatino Linotype" w:hAnsi="Palatino Linotype"/>
                <w:b/>
                <w:sz w:val="20"/>
                <w:szCs w:val="20"/>
              </w:rPr>
            </w:pPr>
            <w:r w:rsidRPr="002953E3">
              <w:rPr>
                <w:rFonts w:ascii="Palatino Linotype" w:hAnsi="Palatino Linotype"/>
                <w:b/>
                <w:sz w:val="20"/>
                <w:szCs w:val="20"/>
              </w:rPr>
              <w:t>$</w:t>
            </w:r>
            <w:r w:rsidRPr="002953E3" w:rsidR="00761AF9">
              <w:rPr>
                <w:rFonts w:ascii="Palatino Linotype" w:hAnsi="Palatino Linotype"/>
                <w:b/>
                <w:sz w:val="20"/>
                <w:szCs w:val="20"/>
              </w:rPr>
              <w:t>525</w:t>
            </w:r>
          </w:p>
        </w:tc>
        <w:tc>
          <w:tcPr>
            <w:tcW w:w="1590" w:type="dxa"/>
            <w:vAlign w:val="center"/>
          </w:tcPr>
          <w:p w:rsidRPr="002953E3" w:rsidR="000D1702" w:rsidP="00EA0257" w:rsidRDefault="000D1702" w14:paraId="2ACD0CE5" w14:textId="300D6630">
            <w:pPr>
              <w:tabs>
                <w:tab w:val="left" w:pos="3600"/>
              </w:tabs>
              <w:spacing w:before="120" w:after="120"/>
              <w:jc w:val="center"/>
              <w:rPr>
                <w:rFonts w:ascii="Palatino Linotype" w:hAnsi="Palatino Linotype"/>
                <w:b/>
                <w:sz w:val="20"/>
                <w:szCs w:val="20"/>
              </w:rPr>
            </w:pPr>
            <w:r w:rsidRPr="002953E3">
              <w:rPr>
                <w:rFonts w:ascii="Palatino Linotype" w:hAnsi="Palatino Linotype"/>
                <w:b/>
                <w:sz w:val="20"/>
                <w:szCs w:val="20"/>
              </w:rPr>
              <w:t>$</w:t>
            </w:r>
            <w:r w:rsidRPr="002953E3" w:rsidR="00761AF9">
              <w:rPr>
                <w:rFonts w:ascii="Palatino Linotype" w:hAnsi="Palatino Linotype"/>
                <w:b/>
                <w:sz w:val="20"/>
                <w:szCs w:val="20"/>
              </w:rPr>
              <w:t>525</w:t>
            </w:r>
          </w:p>
        </w:tc>
      </w:tr>
    </w:tbl>
    <w:bookmarkEnd w:id="0"/>
    <w:p w:rsidR="00300705" w:rsidP="00094A89" w:rsidRDefault="00300705" w14:paraId="420F6BC0" w14:textId="5DBB93FE">
      <w:pPr>
        <w:spacing w:before="120" w:after="120"/>
        <w:rPr>
          <w:rFonts w:ascii="Palatino Linotype" w:hAnsi="Palatino Linotype"/>
        </w:rPr>
      </w:pPr>
      <w:r w:rsidRPr="00966429">
        <w:rPr>
          <w:rFonts w:ascii="Palatino Linotype" w:hAnsi="Palatino Linotype"/>
        </w:rPr>
        <w:t>The carriers should prepare payment for the assessed fines to the Commission, as specified in their advice letters, within 30 days of this Resolution’s adoption date.  The Commission will deposit the payments into the California General Fund.</w:t>
      </w:r>
    </w:p>
    <w:p w:rsidRPr="00966429" w:rsidR="00300705" w:rsidP="002953E3" w:rsidRDefault="00300705" w14:paraId="5BF9A090" w14:textId="44AE0AE3">
      <w:pPr>
        <w:spacing w:before="240" w:after="120"/>
        <w:rPr>
          <w:rFonts w:ascii="Palatino Linotype" w:hAnsi="Palatino Linotype"/>
        </w:rPr>
      </w:pPr>
      <w:r w:rsidRPr="00966429">
        <w:rPr>
          <w:rFonts w:ascii="Palatino Linotype" w:hAnsi="Palatino Linotype"/>
        </w:rPr>
        <w:t xml:space="preserve">Fines must be paid by a check or money order payable to the </w:t>
      </w:r>
      <w:r w:rsidRPr="00966429">
        <w:rPr>
          <w:rFonts w:ascii="Palatino Linotype" w:hAnsi="Palatino Linotype"/>
          <w:u w:val="single"/>
        </w:rPr>
        <w:t>California Public Utilities Commission</w:t>
      </w:r>
      <w:r w:rsidRPr="00966429">
        <w:rPr>
          <w:rFonts w:ascii="Palatino Linotype" w:hAnsi="Palatino Linotype"/>
        </w:rPr>
        <w:t>, and mailed or delivered to:</w:t>
      </w:r>
    </w:p>
    <w:p w:rsidRPr="00966429" w:rsidR="00300705" w:rsidP="00300705" w:rsidRDefault="00300705" w14:paraId="1291908D" w14:textId="77777777">
      <w:pPr>
        <w:ind w:left="2880"/>
        <w:rPr>
          <w:rFonts w:ascii="Palatino Linotype" w:hAnsi="Palatino Linotype"/>
        </w:rPr>
      </w:pPr>
      <w:r w:rsidRPr="00966429">
        <w:rPr>
          <w:rFonts w:ascii="Palatino Linotype" w:hAnsi="Palatino Linotype"/>
        </w:rPr>
        <w:t>California Public Utilities Commission</w:t>
      </w:r>
    </w:p>
    <w:p w:rsidRPr="00966429" w:rsidR="00300705" w:rsidP="00300705" w:rsidRDefault="00300705" w14:paraId="75633BB3" w14:textId="77777777">
      <w:pPr>
        <w:ind w:left="2880"/>
        <w:rPr>
          <w:rFonts w:ascii="Palatino Linotype" w:hAnsi="Palatino Linotype"/>
        </w:rPr>
      </w:pPr>
      <w:r w:rsidRPr="00966429">
        <w:rPr>
          <w:rFonts w:ascii="Palatino Linotype" w:hAnsi="Palatino Linotype"/>
        </w:rPr>
        <w:t>Fiscal Office</w:t>
      </w:r>
    </w:p>
    <w:p w:rsidRPr="00966429" w:rsidR="00300705" w:rsidP="00300705" w:rsidRDefault="00300705" w14:paraId="7AF630FE" w14:textId="77777777">
      <w:pPr>
        <w:ind w:left="2880"/>
        <w:rPr>
          <w:rFonts w:ascii="Palatino Linotype" w:hAnsi="Palatino Linotype"/>
        </w:rPr>
      </w:pPr>
      <w:r w:rsidRPr="00966429">
        <w:rPr>
          <w:rFonts w:ascii="Palatino Linotype" w:hAnsi="Palatino Linotype"/>
        </w:rPr>
        <w:t>505 Van Ness Avenue, Room 3000</w:t>
      </w:r>
    </w:p>
    <w:p w:rsidRPr="00966429" w:rsidR="00300705" w:rsidP="00300705" w:rsidRDefault="00300705" w14:paraId="51C280ED" w14:textId="77777777">
      <w:pPr>
        <w:ind w:left="2880"/>
        <w:rPr>
          <w:rFonts w:ascii="Palatino Linotype" w:hAnsi="Palatino Linotype"/>
        </w:rPr>
      </w:pPr>
      <w:r w:rsidRPr="00966429">
        <w:rPr>
          <w:rFonts w:ascii="Palatino Linotype" w:hAnsi="Palatino Linotype"/>
        </w:rPr>
        <w:t>San Francisco, CA 94102</w:t>
      </w:r>
    </w:p>
    <w:p w:rsidRPr="00966429" w:rsidR="00300705" w:rsidP="00300705" w:rsidRDefault="00300705" w14:paraId="2DD8D94B" w14:textId="77777777">
      <w:pPr>
        <w:ind w:left="2880"/>
        <w:rPr>
          <w:rFonts w:ascii="Palatino Linotype" w:hAnsi="Palatino Linotype"/>
        </w:rPr>
      </w:pPr>
    </w:p>
    <w:p w:rsidRPr="00966429" w:rsidR="00300705" w:rsidP="00300705" w:rsidRDefault="00300705" w14:paraId="7314D9E0" w14:textId="46C0A106">
      <w:pPr>
        <w:tabs>
          <w:tab w:val="left" w:pos="240"/>
          <w:tab w:val="left" w:pos="720"/>
          <w:tab w:val="right" w:pos="10080"/>
        </w:tabs>
        <w:ind w:left="240"/>
        <w:jc w:val="both"/>
        <w:rPr>
          <w:rFonts w:ascii="Palatino Linotype" w:hAnsi="Palatino Linotype"/>
        </w:rPr>
      </w:pPr>
      <w:r w:rsidRPr="00966429">
        <w:rPr>
          <w:rFonts w:ascii="Palatino Linotype" w:hAnsi="Palatino Linotype"/>
        </w:rPr>
        <w:t>Carriers should write on the face of the check or money order:</w:t>
      </w:r>
    </w:p>
    <w:p w:rsidRPr="00966429" w:rsidR="00300705" w:rsidP="00094A89" w:rsidRDefault="00300705" w14:paraId="1BC7E89D" w14:textId="37861A17">
      <w:pPr>
        <w:tabs>
          <w:tab w:val="left" w:pos="240"/>
          <w:tab w:val="left" w:pos="720"/>
          <w:tab w:val="right" w:pos="10080"/>
        </w:tabs>
        <w:ind w:left="240"/>
        <w:jc w:val="both"/>
        <w:rPr>
          <w:rFonts w:ascii="Palatino Linotype" w:hAnsi="Palatino Linotype"/>
        </w:rPr>
      </w:pPr>
      <w:r w:rsidRPr="00966429">
        <w:rPr>
          <w:rFonts w:ascii="Palatino Linotype" w:hAnsi="Palatino Linotype"/>
        </w:rPr>
        <w:tab/>
        <w:t>“For deposit to the State of California General Fund, per Resolution T-17607.”</w:t>
      </w:r>
    </w:p>
    <w:p w:rsidRPr="00966429" w:rsidR="00300705" w:rsidP="00E52F4C" w:rsidRDefault="00300705" w14:paraId="5B2966B6" w14:textId="77777777">
      <w:pPr>
        <w:tabs>
          <w:tab w:val="right" w:pos="10080"/>
        </w:tabs>
        <w:rPr>
          <w:rFonts w:ascii="Palatino Linotype" w:hAnsi="Palatino Linotype"/>
        </w:rPr>
      </w:pPr>
    </w:p>
    <w:p w:rsidRPr="00966429" w:rsidR="00B81BF7" w:rsidP="00E52F4C" w:rsidRDefault="00B81BF7" w14:paraId="229C71F3" w14:textId="21E9C43E">
      <w:pPr>
        <w:tabs>
          <w:tab w:val="right" w:pos="10080"/>
        </w:tabs>
        <w:rPr>
          <w:rFonts w:ascii="Palatino Linotype" w:hAnsi="Palatino Linotype"/>
          <w:b/>
          <w:u w:val="single"/>
        </w:rPr>
      </w:pPr>
      <w:r w:rsidRPr="00966429">
        <w:rPr>
          <w:rFonts w:ascii="Palatino Linotype" w:hAnsi="Palatino Linotype"/>
          <w:b/>
          <w:u w:val="single"/>
        </w:rPr>
        <w:t>S</w:t>
      </w:r>
      <w:r w:rsidRPr="00966429" w:rsidR="005B5135">
        <w:rPr>
          <w:rFonts w:ascii="Palatino Linotype" w:hAnsi="Palatino Linotype"/>
          <w:b/>
          <w:u w:val="single"/>
        </w:rPr>
        <w:t>AFETY CONSIDERATIONS</w:t>
      </w:r>
    </w:p>
    <w:p w:rsidRPr="00966429" w:rsidR="00E8045A" w:rsidP="007142A3" w:rsidRDefault="00E8045A" w14:paraId="47767052" w14:textId="5A2CA587">
      <w:pPr>
        <w:spacing w:before="120" w:after="120"/>
        <w:rPr>
          <w:rFonts w:ascii="Palatino Linotype" w:hAnsi="Palatino Linotype"/>
        </w:rPr>
      </w:pPr>
      <w:r w:rsidRPr="00966429">
        <w:rPr>
          <w:rFonts w:ascii="Palatino Linotype" w:hAnsi="Palatino Linotype"/>
        </w:rPr>
        <w:t xml:space="preserve">Failure to meet </w:t>
      </w:r>
      <w:r w:rsidRPr="00966429" w:rsidR="005B5135">
        <w:rPr>
          <w:rFonts w:ascii="Palatino Linotype" w:hAnsi="Palatino Linotype"/>
        </w:rPr>
        <w:t xml:space="preserve">go 133-D </w:t>
      </w:r>
      <w:r w:rsidRPr="00966429">
        <w:rPr>
          <w:rFonts w:ascii="Palatino Linotype" w:hAnsi="Palatino Linotype"/>
        </w:rPr>
        <w:t xml:space="preserve">service quality standards </w:t>
      </w:r>
      <w:r w:rsidRPr="00966429" w:rsidR="005B5135">
        <w:rPr>
          <w:rFonts w:ascii="Palatino Linotype" w:hAnsi="Palatino Linotype"/>
        </w:rPr>
        <w:t>limits customers’ ability to contact 9-1-1</w:t>
      </w:r>
      <w:r w:rsidRPr="00966429" w:rsidR="00EE25CA">
        <w:rPr>
          <w:rFonts w:ascii="Palatino Linotype" w:hAnsi="Palatino Linotype"/>
        </w:rPr>
        <w:t xml:space="preserve"> and emergency</w:t>
      </w:r>
      <w:r w:rsidRPr="00966429" w:rsidR="005B5135">
        <w:rPr>
          <w:rFonts w:ascii="Palatino Linotype" w:hAnsi="Palatino Linotype"/>
        </w:rPr>
        <w:t xml:space="preserve"> services and restricts public safety personnel from communicating with each other in daily emergencies or major disasters.</w:t>
      </w:r>
    </w:p>
    <w:p w:rsidR="002953E3" w:rsidP="00094A89" w:rsidRDefault="002953E3" w14:paraId="6E505A38" w14:textId="77777777">
      <w:pPr>
        <w:tabs>
          <w:tab w:val="right" w:pos="10080"/>
        </w:tabs>
        <w:rPr>
          <w:rFonts w:ascii="Palatino Linotype" w:hAnsi="Palatino Linotype"/>
          <w:b/>
          <w:u w:val="single"/>
        </w:rPr>
      </w:pPr>
    </w:p>
    <w:p w:rsidRPr="00966429" w:rsidR="00DB6D9A" w:rsidP="00094A89" w:rsidRDefault="00DB6D9A" w14:paraId="314CD445" w14:textId="30A969E6">
      <w:pPr>
        <w:tabs>
          <w:tab w:val="right" w:pos="10080"/>
        </w:tabs>
        <w:rPr>
          <w:rFonts w:ascii="Palatino Linotype" w:hAnsi="Palatino Linotype"/>
          <w:b/>
          <w:u w:val="single"/>
        </w:rPr>
      </w:pPr>
      <w:r w:rsidRPr="00966429">
        <w:rPr>
          <w:rFonts w:ascii="Palatino Linotype" w:hAnsi="Palatino Linotype"/>
          <w:b/>
          <w:u w:val="single"/>
        </w:rPr>
        <w:t>C</w:t>
      </w:r>
      <w:r w:rsidRPr="00966429" w:rsidR="005B5135">
        <w:rPr>
          <w:rFonts w:ascii="Palatino Linotype" w:hAnsi="Palatino Linotype"/>
          <w:b/>
          <w:u w:val="single"/>
        </w:rPr>
        <w:t>ONCLUSIONS</w:t>
      </w:r>
    </w:p>
    <w:p w:rsidR="00A66291" w:rsidP="00094A89" w:rsidRDefault="00DB6D9A" w14:paraId="441D826E" w14:textId="371DC50D">
      <w:pPr>
        <w:spacing w:before="120" w:after="120"/>
        <w:rPr>
          <w:rFonts w:ascii="Palatino Linotype" w:hAnsi="Palatino Linotype"/>
        </w:rPr>
      </w:pPr>
      <w:r w:rsidRPr="00966429">
        <w:rPr>
          <w:rFonts w:ascii="Palatino Linotype" w:hAnsi="Palatino Linotype"/>
        </w:rPr>
        <w:t>Staff recommends Commission approval of these advice letters for</w:t>
      </w:r>
      <w:r w:rsidRPr="00966429" w:rsidR="00243A08">
        <w:rPr>
          <w:rFonts w:ascii="Palatino Linotype" w:hAnsi="Palatino Linotype"/>
        </w:rPr>
        <w:t xml:space="preserve"> the Year 201</w:t>
      </w:r>
      <w:r w:rsidRPr="00966429" w:rsidR="00C545D1">
        <w:rPr>
          <w:rFonts w:ascii="Palatino Linotype" w:hAnsi="Palatino Linotype"/>
        </w:rPr>
        <w:t>8</w:t>
      </w:r>
      <w:r w:rsidRPr="00966429" w:rsidR="00243A08">
        <w:rPr>
          <w:rFonts w:ascii="Palatino Linotype" w:hAnsi="Palatino Linotype"/>
        </w:rPr>
        <w:t xml:space="preserve"> </w:t>
      </w:r>
      <w:r w:rsidR="002953E3">
        <w:rPr>
          <w:rFonts w:ascii="Palatino Linotype" w:hAnsi="Palatino Linotype"/>
        </w:rPr>
        <w:br/>
      </w:r>
      <w:r w:rsidRPr="00966429" w:rsidR="00243A08">
        <w:rPr>
          <w:rFonts w:ascii="Palatino Linotype" w:hAnsi="Palatino Linotype"/>
        </w:rPr>
        <w:t>GO 133-D</w:t>
      </w:r>
      <w:r w:rsidRPr="00966429">
        <w:rPr>
          <w:rFonts w:ascii="Palatino Linotype" w:hAnsi="Palatino Linotype"/>
        </w:rPr>
        <w:t xml:space="preserve"> fines according to the calculations discussed in this Resolution.</w:t>
      </w:r>
      <w:r w:rsidRPr="00966429" w:rsidR="005B5135">
        <w:rPr>
          <w:rFonts w:ascii="Palatino Linotype" w:hAnsi="Palatino Linotype"/>
        </w:rPr>
        <w:t xml:space="preserve">  The total amount of 2018 fines payable from these carriers is $</w:t>
      </w:r>
      <w:r w:rsidRPr="00966429" w:rsidR="00F206DE">
        <w:rPr>
          <w:rFonts w:ascii="Palatino Linotype" w:hAnsi="Palatino Linotype"/>
        </w:rPr>
        <w:t>89,609.</w:t>
      </w:r>
    </w:p>
    <w:p w:rsidRPr="00966429" w:rsidR="00E7212B" w:rsidP="00094A89" w:rsidRDefault="00E7212B" w14:paraId="0C1D67E8" w14:textId="77777777">
      <w:pPr>
        <w:spacing w:before="120" w:after="120"/>
        <w:rPr>
          <w:rFonts w:ascii="Palatino Linotype" w:hAnsi="Palatino Linotype"/>
        </w:rPr>
      </w:pPr>
    </w:p>
    <w:p w:rsidRPr="00966429" w:rsidR="003B1DBD" w:rsidP="00E52F4C" w:rsidRDefault="003B1DBD" w14:paraId="3B218097" w14:textId="77777777">
      <w:pPr>
        <w:pStyle w:val="Heading1"/>
        <w:spacing w:before="120" w:after="120"/>
        <w:jc w:val="both"/>
        <w:rPr>
          <w:rFonts w:ascii="Palatino Linotype" w:hAnsi="Palatino Linotype"/>
          <w:sz w:val="24"/>
        </w:rPr>
      </w:pPr>
      <w:r w:rsidRPr="00966429">
        <w:rPr>
          <w:rFonts w:ascii="Palatino Linotype" w:hAnsi="Palatino Linotype"/>
          <w:sz w:val="24"/>
        </w:rPr>
        <w:t>COMMENTS</w:t>
      </w:r>
    </w:p>
    <w:p w:rsidRPr="00966429" w:rsidR="00595B51" w:rsidP="003B1DBD" w:rsidRDefault="00E5117F" w14:paraId="0F4EF767" w14:textId="2FDEF4AA">
      <w:pPr>
        <w:tabs>
          <w:tab w:val="right" w:pos="10080"/>
        </w:tabs>
        <w:rPr>
          <w:rFonts w:ascii="Palatino Linotype" w:hAnsi="Palatino Linotype"/>
        </w:rPr>
      </w:pPr>
      <w:r w:rsidRPr="00966429">
        <w:rPr>
          <w:rFonts w:ascii="Palatino Linotype" w:hAnsi="Palatino Linotype"/>
        </w:rPr>
        <w:t>In compliance with Public Utility</w:t>
      </w:r>
      <w:r w:rsidRPr="00966429" w:rsidR="00595B51">
        <w:rPr>
          <w:rFonts w:ascii="Palatino Linotype" w:hAnsi="Palatino Linotype"/>
        </w:rPr>
        <w:t xml:space="preserve"> Code §</w:t>
      </w:r>
      <w:r w:rsidRPr="00966429" w:rsidR="003B1DBD">
        <w:rPr>
          <w:rFonts w:ascii="Palatino Linotype" w:hAnsi="Palatino Linotype"/>
        </w:rPr>
        <w:t xml:space="preserve"> 311(g)</w:t>
      </w:r>
      <w:r w:rsidRPr="00966429" w:rsidR="00595B51">
        <w:rPr>
          <w:rFonts w:ascii="Palatino Linotype" w:hAnsi="Palatino Linotype"/>
        </w:rPr>
        <w:t xml:space="preserve">, the Commission emailed a notice letter on </w:t>
      </w:r>
      <w:r w:rsidRPr="00966429" w:rsidR="007538F6">
        <w:rPr>
          <w:rFonts w:ascii="Palatino Linotype" w:hAnsi="Palatino Linotype"/>
        </w:rPr>
        <w:t>April</w:t>
      </w:r>
      <w:r w:rsidRPr="00966429" w:rsidR="00774D5B">
        <w:rPr>
          <w:rFonts w:ascii="Palatino Linotype" w:hAnsi="Palatino Linotype"/>
        </w:rPr>
        <w:t xml:space="preserve"> 30,</w:t>
      </w:r>
      <w:r w:rsidRPr="00966429" w:rsidR="00721292">
        <w:rPr>
          <w:rFonts w:ascii="Palatino Linotype" w:hAnsi="Palatino Linotype"/>
        </w:rPr>
        <w:t xml:space="preserve"> 201</w:t>
      </w:r>
      <w:r w:rsidRPr="00966429" w:rsidR="00C545D1">
        <w:rPr>
          <w:rFonts w:ascii="Palatino Linotype" w:hAnsi="Palatino Linotype"/>
        </w:rPr>
        <w:t>9</w:t>
      </w:r>
      <w:r w:rsidRPr="00966429" w:rsidR="00595B51">
        <w:rPr>
          <w:rFonts w:ascii="Palatino Linotype" w:hAnsi="Palatino Linotype"/>
        </w:rPr>
        <w:t xml:space="preserve"> informing all parties on the </w:t>
      </w:r>
      <w:r w:rsidRPr="00966429" w:rsidR="008D5DBF">
        <w:rPr>
          <w:rFonts w:ascii="Palatino Linotype" w:hAnsi="Palatino Linotype"/>
        </w:rPr>
        <w:t>general</w:t>
      </w:r>
      <w:r w:rsidRPr="00966429" w:rsidR="00595B51">
        <w:rPr>
          <w:rFonts w:ascii="Palatino Linotype" w:hAnsi="Palatino Linotype"/>
        </w:rPr>
        <w:t xml:space="preserve"> service list of the availability of this Resolution for public comments at the Commis</w:t>
      </w:r>
      <w:r w:rsidRPr="00966429" w:rsidR="00E03E83">
        <w:rPr>
          <w:rFonts w:ascii="Palatino Linotype" w:hAnsi="Palatino Linotype"/>
        </w:rPr>
        <w:t>s</w:t>
      </w:r>
      <w:r w:rsidRPr="00966429" w:rsidR="00595B51">
        <w:rPr>
          <w:rFonts w:ascii="Palatino Linotype" w:hAnsi="Palatino Linotype"/>
        </w:rPr>
        <w:t xml:space="preserve">ion’s website </w:t>
      </w:r>
      <w:hyperlink w:history="1" r:id="rId8">
        <w:r w:rsidRPr="00966429" w:rsidR="00595B51">
          <w:rPr>
            <w:rStyle w:val="Hyperlink"/>
            <w:rFonts w:ascii="Palatino Linotype" w:hAnsi="Palatino Linotype"/>
          </w:rPr>
          <w:t>www.cpuc.ca.gov</w:t>
        </w:r>
      </w:hyperlink>
      <w:r w:rsidRPr="00966429" w:rsidR="00595B51">
        <w:rPr>
          <w:rFonts w:ascii="Palatino Linotype" w:hAnsi="Palatino Linotype"/>
        </w:rPr>
        <w:t>.  The notice letter also informed parties that the final conformed resolution adopted by the Commission will be posted and available at this same website.</w:t>
      </w:r>
    </w:p>
    <w:p w:rsidRPr="00966429" w:rsidR="003B1DBD" w:rsidP="003B1DBD" w:rsidRDefault="003B1DBD" w14:paraId="6375D606" w14:textId="77777777">
      <w:pPr>
        <w:tabs>
          <w:tab w:val="right" w:pos="10080"/>
        </w:tabs>
        <w:jc w:val="both"/>
        <w:rPr>
          <w:rFonts w:ascii="Palatino Linotype" w:hAnsi="Palatino Linotype"/>
        </w:rPr>
      </w:pPr>
    </w:p>
    <w:p w:rsidRPr="00966429" w:rsidR="003B1DBD" w:rsidP="00E5117F" w:rsidRDefault="003B1DBD" w14:paraId="3AA09971" w14:textId="77777777">
      <w:pPr>
        <w:pStyle w:val="Heading1"/>
        <w:spacing w:before="120" w:after="120"/>
        <w:jc w:val="both"/>
        <w:rPr>
          <w:rFonts w:ascii="Palatino Linotype" w:hAnsi="Palatino Linotype"/>
          <w:sz w:val="24"/>
        </w:rPr>
      </w:pPr>
      <w:r w:rsidRPr="00966429">
        <w:rPr>
          <w:rFonts w:ascii="Palatino Linotype" w:hAnsi="Palatino Linotype"/>
          <w:sz w:val="24"/>
        </w:rPr>
        <w:t>FINDINGS</w:t>
      </w:r>
    </w:p>
    <w:p w:rsidRPr="00966429" w:rsidR="00B27918" w:rsidP="00B27918" w:rsidRDefault="00080114" w14:paraId="3E2B6828" w14:textId="42C1558A">
      <w:pPr>
        <w:numPr>
          <w:ilvl w:val="0"/>
          <w:numId w:val="1"/>
        </w:numPr>
        <w:spacing w:before="120" w:after="120"/>
        <w:rPr>
          <w:rFonts w:ascii="Palatino Linotype" w:hAnsi="Palatino Linotype"/>
        </w:rPr>
      </w:pPr>
      <w:r w:rsidRPr="00966429">
        <w:rPr>
          <w:rFonts w:ascii="Palatino Linotype" w:hAnsi="Palatino Linotype" w:eastAsia="Arial"/>
          <w:spacing w:val="-4"/>
        </w:rPr>
        <w:t xml:space="preserve">General Order 133-D, Section 9.6 directs any </w:t>
      </w:r>
      <w:r w:rsidRPr="00966429">
        <w:rPr>
          <w:rFonts w:ascii="Palatino Linotype" w:hAnsi="Palatino Linotype" w:eastAsia="Arial"/>
        </w:rPr>
        <w:t>tele</w:t>
      </w:r>
      <w:r w:rsidRPr="00966429">
        <w:rPr>
          <w:rFonts w:ascii="Palatino Linotype" w:hAnsi="Palatino Linotype" w:eastAsia="Arial"/>
          <w:spacing w:val="2"/>
        </w:rPr>
        <w:t>ph</w:t>
      </w:r>
      <w:r w:rsidRPr="00966429">
        <w:rPr>
          <w:rFonts w:ascii="Palatino Linotype" w:hAnsi="Palatino Linotype" w:eastAsia="Arial"/>
        </w:rPr>
        <w:t>one corporat</w:t>
      </w:r>
      <w:r w:rsidRPr="00966429">
        <w:rPr>
          <w:rFonts w:ascii="Palatino Linotype" w:hAnsi="Palatino Linotype" w:eastAsia="Arial"/>
          <w:spacing w:val="2"/>
        </w:rPr>
        <w:t>i</w:t>
      </w:r>
      <w:r w:rsidRPr="00966429">
        <w:rPr>
          <w:rFonts w:ascii="Palatino Linotype" w:hAnsi="Palatino Linotype" w:eastAsia="Arial"/>
        </w:rPr>
        <w:t>on</w:t>
      </w:r>
      <w:r w:rsidRPr="00966429">
        <w:rPr>
          <w:rFonts w:ascii="Palatino Linotype" w:hAnsi="Palatino Linotype" w:eastAsia="Arial"/>
          <w:spacing w:val="-13"/>
        </w:rPr>
        <w:t xml:space="preserve"> </w:t>
      </w:r>
      <w:r w:rsidRPr="00966429">
        <w:rPr>
          <w:rFonts w:ascii="Palatino Linotype" w:hAnsi="Palatino Linotype" w:eastAsia="Arial"/>
        </w:rPr>
        <w:t>whose performance</w:t>
      </w:r>
      <w:r w:rsidRPr="00966429">
        <w:rPr>
          <w:rFonts w:ascii="Palatino Linotype" w:hAnsi="Palatino Linotype" w:eastAsia="Arial"/>
          <w:spacing w:val="-4"/>
        </w:rPr>
        <w:t xml:space="preserve"> </w:t>
      </w:r>
      <w:r w:rsidRPr="00966429">
        <w:rPr>
          <w:rFonts w:ascii="Palatino Linotype" w:hAnsi="Palatino Linotype" w:eastAsia="Arial"/>
        </w:rPr>
        <w:t>d</w:t>
      </w:r>
      <w:r w:rsidRPr="00966429">
        <w:rPr>
          <w:rFonts w:ascii="Palatino Linotype" w:hAnsi="Palatino Linotype" w:eastAsia="Arial"/>
          <w:spacing w:val="1"/>
        </w:rPr>
        <w:t>o</w:t>
      </w:r>
      <w:r w:rsidRPr="00966429">
        <w:rPr>
          <w:rFonts w:ascii="Palatino Linotype" w:hAnsi="Palatino Linotype" w:eastAsia="Arial"/>
        </w:rPr>
        <w:t>es</w:t>
      </w:r>
      <w:r w:rsidRPr="00966429">
        <w:rPr>
          <w:rFonts w:ascii="Palatino Linotype" w:hAnsi="Palatino Linotype" w:eastAsia="Arial"/>
          <w:spacing w:val="-4"/>
        </w:rPr>
        <w:t xml:space="preserve"> </w:t>
      </w:r>
      <w:r w:rsidRPr="00966429">
        <w:rPr>
          <w:rFonts w:ascii="Palatino Linotype" w:hAnsi="Palatino Linotype" w:eastAsia="Arial"/>
        </w:rPr>
        <w:t>not</w:t>
      </w:r>
      <w:r w:rsidRPr="00966429">
        <w:rPr>
          <w:rFonts w:ascii="Palatino Linotype" w:hAnsi="Palatino Linotype" w:eastAsia="Arial"/>
          <w:spacing w:val="-4"/>
        </w:rPr>
        <w:t xml:space="preserve"> </w:t>
      </w:r>
      <w:r w:rsidRPr="00966429">
        <w:rPr>
          <w:rFonts w:ascii="Palatino Linotype" w:hAnsi="Palatino Linotype" w:eastAsia="Arial"/>
        </w:rPr>
        <w:t>m</w:t>
      </w:r>
      <w:r w:rsidRPr="00966429">
        <w:rPr>
          <w:rFonts w:ascii="Palatino Linotype" w:hAnsi="Palatino Linotype" w:eastAsia="Arial"/>
          <w:spacing w:val="2"/>
        </w:rPr>
        <w:t>e</w:t>
      </w:r>
      <w:r w:rsidRPr="00966429">
        <w:rPr>
          <w:rFonts w:ascii="Palatino Linotype" w:hAnsi="Palatino Linotype" w:eastAsia="Arial"/>
        </w:rPr>
        <w:t>et</w:t>
      </w:r>
      <w:r w:rsidRPr="00966429">
        <w:rPr>
          <w:rFonts w:ascii="Palatino Linotype" w:hAnsi="Palatino Linotype" w:eastAsia="Arial"/>
          <w:spacing w:val="-6"/>
        </w:rPr>
        <w:t xml:space="preserve"> </w:t>
      </w:r>
      <w:r w:rsidRPr="00966429">
        <w:rPr>
          <w:rFonts w:ascii="Palatino Linotype" w:hAnsi="Palatino Linotype" w:eastAsia="Arial"/>
        </w:rPr>
        <w:t>the</w:t>
      </w:r>
      <w:r w:rsidRPr="00966429">
        <w:rPr>
          <w:rFonts w:ascii="Palatino Linotype" w:hAnsi="Palatino Linotype" w:eastAsia="Arial"/>
          <w:spacing w:val="-2"/>
        </w:rPr>
        <w:t xml:space="preserve"> </w:t>
      </w:r>
      <w:r w:rsidRPr="00966429">
        <w:rPr>
          <w:rFonts w:ascii="Palatino Linotype" w:hAnsi="Palatino Linotype" w:eastAsia="Arial"/>
        </w:rPr>
        <w:t>mini</w:t>
      </w:r>
      <w:r w:rsidRPr="00966429">
        <w:rPr>
          <w:rFonts w:ascii="Palatino Linotype" w:hAnsi="Palatino Linotype" w:eastAsia="Arial"/>
          <w:spacing w:val="2"/>
        </w:rPr>
        <w:t>mu</w:t>
      </w:r>
      <w:r w:rsidRPr="00966429">
        <w:rPr>
          <w:rFonts w:ascii="Palatino Linotype" w:hAnsi="Palatino Linotype" w:eastAsia="Arial"/>
        </w:rPr>
        <w:t>m</w:t>
      </w:r>
      <w:r w:rsidRPr="00966429">
        <w:rPr>
          <w:rFonts w:ascii="Palatino Linotype" w:hAnsi="Palatino Linotype" w:eastAsia="Arial"/>
          <w:spacing w:val="-11"/>
        </w:rPr>
        <w:t xml:space="preserve"> </w:t>
      </w:r>
      <w:r w:rsidRPr="00966429">
        <w:rPr>
          <w:rFonts w:ascii="Palatino Linotype" w:hAnsi="Palatino Linotype" w:eastAsia="Arial"/>
        </w:rPr>
        <w:t>stan</w:t>
      </w:r>
      <w:r w:rsidRPr="00966429">
        <w:rPr>
          <w:rFonts w:ascii="Palatino Linotype" w:hAnsi="Palatino Linotype" w:eastAsia="Arial"/>
          <w:spacing w:val="2"/>
        </w:rPr>
        <w:t>d</w:t>
      </w:r>
      <w:r w:rsidRPr="00966429">
        <w:rPr>
          <w:rFonts w:ascii="Palatino Linotype" w:hAnsi="Palatino Linotype" w:eastAsia="Arial"/>
        </w:rPr>
        <w:t>ards</w:t>
      </w:r>
      <w:r w:rsidRPr="00966429">
        <w:rPr>
          <w:rFonts w:ascii="Palatino Linotype" w:hAnsi="Palatino Linotype" w:eastAsia="Arial"/>
          <w:spacing w:val="-11"/>
        </w:rPr>
        <w:t xml:space="preserve"> </w:t>
      </w:r>
      <w:r w:rsidRPr="00966429" w:rsidR="00677A00">
        <w:rPr>
          <w:rFonts w:ascii="Palatino Linotype" w:hAnsi="Palatino Linotype" w:eastAsia="Arial"/>
          <w:spacing w:val="2"/>
        </w:rPr>
        <w:t>to</w:t>
      </w:r>
      <w:r w:rsidRPr="00966429" w:rsidR="00677A00">
        <w:rPr>
          <w:rFonts w:ascii="Palatino Linotype" w:hAnsi="Palatino Linotype" w:eastAsia="Arial"/>
          <w:spacing w:val="-5"/>
        </w:rPr>
        <w:t xml:space="preserve"> </w:t>
      </w:r>
      <w:r w:rsidRPr="00966429">
        <w:rPr>
          <w:rFonts w:ascii="Palatino Linotype" w:hAnsi="Palatino Linotype" w:eastAsia="Arial"/>
        </w:rPr>
        <w:t>s</w:t>
      </w:r>
      <w:r w:rsidRPr="00966429">
        <w:rPr>
          <w:rFonts w:ascii="Palatino Linotype" w:hAnsi="Palatino Linotype" w:eastAsia="Arial"/>
          <w:spacing w:val="2"/>
        </w:rPr>
        <w:t>u</w:t>
      </w:r>
      <w:r w:rsidRPr="00966429">
        <w:rPr>
          <w:rFonts w:ascii="Palatino Linotype" w:hAnsi="Palatino Linotype" w:eastAsia="Arial"/>
        </w:rPr>
        <w:t>bmit annual</w:t>
      </w:r>
      <w:r w:rsidRPr="00966429">
        <w:rPr>
          <w:rFonts w:ascii="Palatino Linotype" w:hAnsi="Palatino Linotype" w:eastAsia="Arial"/>
          <w:spacing w:val="1"/>
        </w:rPr>
        <w:t>l</w:t>
      </w:r>
      <w:r w:rsidRPr="00966429">
        <w:rPr>
          <w:rFonts w:ascii="Palatino Linotype" w:hAnsi="Palatino Linotype" w:eastAsia="Arial"/>
        </w:rPr>
        <w:t>y</w:t>
      </w:r>
      <w:r w:rsidRPr="00966429">
        <w:rPr>
          <w:rFonts w:ascii="Palatino Linotype" w:hAnsi="Palatino Linotype" w:eastAsia="Arial"/>
          <w:spacing w:val="-10"/>
        </w:rPr>
        <w:t xml:space="preserve"> </w:t>
      </w:r>
      <w:r w:rsidRPr="00966429">
        <w:rPr>
          <w:rFonts w:ascii="Palatino Linotype" w:hAnsi="Palatino Linotype" w:eastAsia="Arial"/>
          <w:spacing w:val="2"/>
        </w:rPr>
        <w:t>b</w:t>
      </w:r>
      <w:r w:rsidRPr="00966429">
        <w:rPr>
          <w:rFonts w:ascii="Palatino Linotype" w:hAnsi="Palatino Linotype" w:eastAsia="Arial"/>
        </w:rPr>
        <w:t>y</w:t>
      </w:r>
      <w:r w:rsidRPr="00966429">
        <w:rPr>
          <w:rFonts w:ascii="Palatino Linotype" w:hAnsi="Palatino Linotype" w:eastAsia="Arial"/>
          <w:spacing w:val="-5"/>
        </w:rPr>
        <w:t xml:space="preserve"> </w:t>
      </w:r>
      <w:r w:rsidRPr="00966429">
        <w:rPr>
          <w:rFonts w:ascii="Palatino Linotype" w:hAnsi="Palatino Linotype" w:eastAsia="Arial"/>
          <w:spacing w:val="2"/>
        </w:rPr>
        <w:t>F</w:t>
      </w:r>
      <w:r w:rsidRPr="00966429">
        <w:rPr>
          <w:rFonts w:ascii="Palatino Linotype" w:hAnsi="Palatino Linotype" w:eastAsia="Arial"/>
        </w:rPr>
        <w:t>ebru</w:t>
      </w:r>
      <w:r w:rsidRPr="00966429">
        <w:rPr>
          <w:rFonts w:ascii="Palatino Linotype" w:hAnsi="Palatino Linotype" w:eastAsia="Arial"/>
          <w:spacing w:val="2"/>
        </w:rPr>
        <w:t>ar</w:t>
      </w:r>
      <w:r w:rsidRPr="00966429">
        <w:rPr>
          <w:rFonts w:ascii="Palatino Linotype" w:hAnsi="Palatino Linotype" w:eastAsia="Arial"/>
        </w:rPr>
        <w:t>y</w:t>
      </w:r>
      <w:r w:rsidRPr="00966429">
        <w:rPr>
          <w:rFonts w:ascii="Palatino Linotype" w:hAnsi="Palatino Linotype" w:eastAsia="Arial"/>
          <w:spacing w:val="-10"/>
        </w:rPr>
        <w:t xml:space="preserve"> </w:t>
      </w:r>
      <w:r w:rsidRPr="00966429">
        <w:rPr>
          <w:rFonts w:ascii="Palatino Linotype" w:hAnsi="Palatino Linotype" w:eastAsia="Arial"/>
        </w:rPr>
        <w:t>15</w:t>
      </w:r>
      <w:r w:rsidRPr="00966429">
        <w:rPr>
          <w:rFonts w:ascii="Palatino Linotype" w:hAnsi="Palatino Linotype" w:eastAsia="Arial"/>
          <w:spacing w:val="-3"/>
        </w:rPr>
        <w:t xml:space="preserve"> </w:t>
      </w:r>
      <w:r w:rsidRPr="00966429">
        <w:rPr>
          <w:rFonts w:ascii="Palatino Linotype" w:hAnsi="Palatino Linotype" w:eastAsia="Arial"/>
        </w:rPr>
        <w:t>of</w:t>
      </w:r>
      <w:r w:rsidRPr="00966429">
        <w:rPr>
          <w:rFonts w:ascii="Palatino Linotype" w:hAnsi="Palatino Linotype" w:eastAsia="Arial"/>
          <w:spacing w:val="-2"/>
        </w:rPr>
        <w:t xml:space="preserve"> </w:t>
      </w:r>
      <w:r w:rsidRPr="00966429">
        <w:rPr>
          <w:rFonts w:ascii="Palatino Linotype" w:hAnsi="Palatino Linotype" w:eastAsia="Arial"/>
          <w:spacing w:val="2"/>
        </w:rPr>
        <w:t>t</w:t>
      </w:r>
      <w:r w:rsidRPr="00966429">
        <w:rPr>
          <w:rFonts w:ascii="Palatino Linotype" w:hAnsi="Palatino Linotype" w:eastAsia="Arial"/>
        </w:rPr>
        <w:t>he</w:t>
      </w:r>
      <w:r w:rsidRPr="00966429">
        <w:rPr>
          <w:rFonts w:ascii="Palatino Linotype" w:hAnsi="Palatino Linotype" w:eastAsia="Arial"/>
          <w:spacing w:val="-4"/>
        </w:rPr>
        <w:t xml:space="preserve"> </w:t>
      </w:r>
      <w:r w:rsidRPr="00966429">
        <w:rPr>
          <w:rFonts w:ascii="Palatino Linotype" w:hAnsi="Palatino Linotype" w:eastAsia="Arial"/>
        </w:rPr>
        <w:t>fo</w:t>
      </w:r>
      <w:r w:rsidRPr="00966429">
        <w:rPr>
          <w:rFonts w:ascii="Palatino Linotype" w:hAnsi="Palatino Linotype" w:eastAsia="Arial"/>
          <w:spacing w:val="2"/>
        </w:rPr>
        <w:t>l</w:t>
      </w:r>
      <w:r w:rsidRPr="00966429">
        <w:rPr>
          <w:rFonts w:ascii="Palatino Linotype" w:hAnsi="Palatino Linotype" w:eastAsia="Arial"/>
        </w:rPr>
        <w:t>l</w:t>
      </w:r>
      <w:r w:rsidRPr="00966429">
        <w:rPr>
          <w:rFonts w:ascii="Palatino Linotype" w:hAnsi="Palatino Linotype" w:eastAsia="Arial"/>
          <w:spacing w:val="2"/>
        </w:rPr>
        <w:t>o</w:t>
      </w:r>
      <w:r w:rsidRPr="00966429">
        <w:rPr>
          <w:rFonts w:ascii="Palatino Linotype" w:hAnsi="Palatino Linotype" w:eastAsia="Arial"/>
          <w:spacing w:val="-2"/>
        </w:rPr>
        <w:t>w</w:t>
      </w:r>
      <w:r w:rsidRPr="00966429">
        <w:rPr>
          <w:rFonts w:ascii="Palatino Linotype" w:hAnsi="Palatino Linotype" w:eastAsia="Arial"/>
        </w:rPr>
        <w:t>ing</w:t>
      </w:r>
      <w:r w:rsidRPr="00966429">
        <w:rPr>
          <w:rFonts w:ascii="Palatino Linotype" w:hAnsi="Palatino Linotype" w:eastAsia="Arial"/>
          <w:spacing w:val="-6"/>
        </w:rPr>
        <w:t xml:space="preserve"> </w:t>
      </w:r>
      <w:r w:rsidRPr="00966429">
        <w:rPr>
          <w:rFonts w:ascii="Palatino Linotype" w:hAnsi="Palatino Linotype" w:eastAsia="Arial"/>
          <w:spacing w:val="-2"/>
        </w:rPr>
        <w:t>y</w:t>
      </w:r>
      <w:r w:rsidRPr="00966429">
        <w:rPr>
          <w:rFonts w:ascii="Palatino Linotype" w:hAnsi="Palatino Linotype" w:eastAsia="Arial"/>
          <w:spacing w:val="2"/>
        </w:rPr>
        <w:t>e</w:t>
      </w:r>
      <w:r w:rsidRPr="00966429">
        <w:rPr>
          <w:rFonts w:ascii="Palatino Linotype" w:hAnsi="Palatino Linotype" w:eastAsia="Arial"/>
          <w:spacing w:val="4"/>
        </w:rPr>
        <w:t>a</w:t>
      </w:r>
      <w:r w:rsidRPr="00966429">
        <w:rPr>
          <w:rFonts w:ascii="Palatino Linotype" w:hAnsi="Palatino Linotype" w:eastAsia="Arial"/>
        </w:rPr>
        <w:t>r</w:t>
      </w:r>
      <w:r w:rsidRPr="00966429">
        <w:rPr>
          <w:rFonts w:ascii="Palatino Linotype" w:hAnsi="Palatino Linotype" w:eastAsia="Arial"/>
          <w:spacing w:val="-6"/>
        </w:rPr>
        <w:t xml:space="preserve"> </w:t>
      </w:r>
      <w:r w:rsidRPr="00966429">
        <w:rPr>
          <w:rFonts w:ascii="Palatino Linotype" w:hAnsi="Palatino Linotype" w:eastAsia="Arial"/>
        </w:rPr>
        <w:t>a</w:t>
      </w:r>
      <w:r w:rsidRPr="00966429">
        <w:rPr>
          <w:rFonts w:ascii="Palatino Linotype" w:hAnsi="Palatino Linotype" w:eastAsia="Arial"/>
          <w:spacing w:val="-1"/>
        </w:rPr>
        <w:t xml:space="preserve"> </w:t>
      </w:r>
      <w:r w:rsidRPr="00966429">
        <w:rPr>
          <w:rFonts w:ascii="Palatino Linotype" w:hAnsi="Palatino Linotype" w:eastAsia="Arial"/>
          <w:spacing w:val="2"/>
        </w:rPr>
        <w:t>T</w:t>
      </w:r>
      <w:r w:rsidRPr="00966429">
        <w:rPr>
          <w:rFonts w:ascii="Palatino Linotype" w:hAnsi="Palatino Linotype" w:eastAsia="Arial"/>
        </w:rPr>
        <w:t>ier</w:t>
      </w:r>
      <w:r w:rsidRPr="00966429">
        <w:rPr>
          <w:rFonts w:ascii="Palatino Linotype" w:hAnsi="Palatino Linotype" w:eastAsia="Arial"/>
          <w:spacing w:val="-4"/>
        </w:rPr>
        <w:t xml:space="preserve"> </w:t>
      </w:r>
      <w:r w:rsidRPr="00966429">
        <w:rPr>
          <w:rFonts w:ascii="Palatino Linotype" w:hAnsi="Palatino Linotype" w:eastAsia="Arial"/>
        </w:rPr>
        <w:t>II</w:t>
      </w:r>
      <w:r w:rsidRPr="00966429">
        <w:rPr>
          <w:rFonts w:ascii="Palatino Linotype" w:hAnsi="Palatino Linotype" w:eastAsia="Arial"/>
          <w:spacing w:val="1"/>
        </w:rPr>
        <w:t xml:space="preserve"> </w:t>
      </w:r>
      <w:r w:rsidRPr="00966429">
        <w:rPr>
          <w:rFonts w:ascii="Palatino Linotype" w:hAnsi="Palatino Linotype" w:eastAsia="Arial"/>
        </w:rPr>
        <w:t>A</w:t>
      </w:r>
      <w:r w:rsidRPr="00966429">
        <w:rPr>
          <w:rFonts w:ascii="Palatino Linotype" w:hAnsi="Palatino Linotype" w:eastAsia="Arial"/>
          <w:spacing w:val="2"/>
        </w:rPr>
        <w:t>d</w:t>
      </w:r>
      <w:r w:rsidRPr="00966429">
        <w:rPr>
          <w:rFonts w:ascii="Palatino Linotype" w:hAnsi="Palatino Linotype" w:eastAsia="Arial"/>
          <w:spacing w:val="-2"/>
        </w:rPr>
        <w:t>v</w:t>
      </w:r>
      <w:r w:rsidRPr="00966429">
        <w:rPr>
          <w:rFonts w:ascii="Palatino Linotype" w:hAnsi="Palatino Linotype" w:eastAsia="Arial"/>
        </w:rPr>
        <w:t>ice</w:t>
      </w:r>
      <w:r w:rsidRPr="00966429">
        <w:rPr>
          <w:rFonts w:ascii="Palatino Linotype" w:hAnsi="Palatino Linotype" w:eastAsia="Arial"/>
          <w:spacing w:val="-6"/>
        </w:rPr>
        <w:t xml:space="preserve"> </w:t>
      </w:r>
      <w:r w:rsidRPr="00966429">
        <w:rPr>
          <w:rFonts w:ascii="Palatino Linotype" w:hAnsi="Palatino Linotype" w:eastAsia="Arial"/>
        </w:rPr>
        <w:t>Letter</w:t>
      </w:r>
      <w:r w:rsidRPr="00966429">
        <w:rPr>
          <w:rFonts w:ascii="Palatino Linotype" w:hAnsi="Palatino Linotype" w:eastAsia="Arial"/>
          <w:spacing w:val="-7"/>
        </w:rPr>
        <w:t xml:space="preserve"> </w:t>
      </w:r>
      <w:r w:rsidRPr="00966429">
        <w:rPr>
          <w:rFonts w:ascii="Palatino Linotype" w:hAnsi="Palatino Linotype" w:eastAsia="Arial"/>
          <w:spacing w:val="2"/>
        </w:rPr>
        <w:t>t</w:t>
      </w:r>
      <w:r w:rsidRPr="00966429">
        <w:rPr>
          <w:rFonts w:ascii="Palatino Linotype" w:hAnsi="Palatino Linotype" w:eastAsia="Arial"/>
        </w:rPr>
        <w:t>hat sh</w:t>
      </w:r>
      <w:r w:rsidRPr="00966429">
        <w:rPr>
          <w:rFonts w:ascii="Palatino Linotype" w:hAnsi="Palatino Linotype" w:eastAsia="Arial"/>
          <w:spacing w:val="2"/>
        </w:rPr>
        <w:t>o</w:t>
      </w:r>
      <w:r w:rsidRPr="00966429">
        <w:rPr>
          <w:rFonts w:ascii="Palatino Linotype" w:hAnsi="Palatino Linotype" w:eastAsia="Arial"/>
          <w:spacing w:val="-2"/>
        </w:rPr>
        <w:t>w</w:t>
      </w:r>
      <w:r w:rsidRPr="00966429">
        <w:rPr>
          <w:rFonts w:ascii="Palatino Linotype" w:hAnsi="Palatino Linotype" w:eastAsia="Arial"/>
        </w:rPr>
        <w:t>s</w:t>
      </w:r>
      <w:r w:rsidRPr="00966429">
        <w:rPr>
          <w:rFonts w:ascii="Palatino Linotype" w:hAnsi="Palatino Linotype" w:eastAsia="Arial"/>
          <w:spacing w:val="-7"/>
        </w:rPr>
        <w:t xml:space="preserve"> </w:t>
      </w:r>
      <w:r w:rsidRPr="00966429">
        <w:rPr>
          <w:rFonts w:ascii="Palatino Linotype" w:hAnsi="Palatino Linotype" w:eastAsia="Arial"/>
          <w:spacing w:val="2"/>
        </w:rPr>
        <w:t>b</w:t>
      </w:r>
      <w:r w:rsidRPr="00966429">
        <w:rPr>
          <w:rFonts w:ascii="Palatino Linotype" w:hAnsi="Palatino Linotype" w:eastAsia="Arial"/>
        </w:rPr>
        <w:t>y</w:t>
      </w:r>
      <w:r w:rsidRPr="00966429">
        <w:rPr>
          <w:rFonts w:ascii="Palatino Linotype" w:hAnsi="Palatino Linotype" w:eastAsia="Arial"/>
          <w:spacing w:val="-3"/>
        </w:rPr>
        <w:t xml:space="preserve"> </w:t>
      </w:r>
      <w:r w:rsidRPr="00966429">
        <w:rPr>
          <w:rFonts w:ascii="Palatino Linotype" w:hAnsi="Palatino Linotype" w:eastAsia="Arial"/>
        </w:rPr>
        <w:t>mo</w:t>
      </w:r>
      <w:r w:rsidRPr="00966429">
        <w:rPr>
          <w:rFonts w:ascii="Palatino Linotype" w:hAnsi="Palatino Linotype" w:eastAsia="Arial"/>
          <w:spacing w:val="2"/>
        </w:rPr>
        <w:t>n</w:t>
      </w:r>
      <w:r w:rsidRPr="00966429">
        <w:rPr>
          <w:rFonts w:ascii="Palatino Linotype" w:hAnsi="Palatino Linotype" w:eastAsia="Arial"/>
        </w:rPr>
        <w:t>th</w:t>
      </w:r>
      <w:r w:rsidRPr="00966429">
        <w:rPr>
          <w:rFonts w:ascii="Palatino Linotype" w:hAnsi="Palatino Linotype" w:eastAsia="Arial"/>
          <w:spacing w:val="-7"/>
        </w:rPr>
        <w:t xml:space="preserve"> </w:t>
      </w:r>
      <w:r w:rsidRPr="00966429">
        <w:rPr>
          <w:rFonts w:ascii="Palatino Linotype" w:hAnsi="Palatino Linotype" w:eastAsia="Arial"/>
        </w:rPr>
        <w:t>e</w:t>
      </w:r>
      <w:r w:rsidRPr="00966429">
        <w:rPr>
          <w:rFonts w:ascii="Palatino Linotype" w:hAnsi="Palatino Linotype" w:eastAsia="Arial"/>
          <w:spacing w:val="1"/>
        </w:rPr>
        <w:t>a</w:t>
      </w:r>
      <w:r w:rsidRPr="00966429">
        <w:rPr>
          <w:rFonts w:ascii="Palatino Linotype" w:hAnsi="Palatino Linotype" w:eastAsia="Arial"/>
          <w:spacing w:val="2"/>
        </w:rPr>
        <w:t>c</w:t>
      </w:r>
      <w:r w:rsidRPr="00966429">
        <w:rPr>
          <w:rFonts w:ascii="Palatino Linotype" w:hAnsi="Palatino Linotype" w:eastAsia="Arial"/>
        </w:rPr>
        <w:t>h</w:t>
      </w:r>
      <w:r w:rsidRPr="00966429">
        <w:rPr>
          <w:rFonts w:ascii="Palatino Linotype" w:hAnsi="Palatino Linotype" w:eastAsia="Arial"/>
          <w:spacing w:val="-6"/>
        </w:rPr>
        <w:t xml:space="preserve"> </w:t>
      </w:r>
      <w:r w:rsidRPr="00966429" w:rsidR="00907D33">
        <w:rPr>
          <w:rFonts w:ascii="Palatino Linotype" w:hAnsi="Palatino Linotype" w:eastAsia="Arial"/>
        </w:rPr>
        <w:t>s</w:t>
      </w:r>
      <w:r w:rsidRPr="00966429">
        <w:rPr>
          <w:rFonts w:ascii="Palatino Linotype" w:hAnsi="Palatino Linotype" w:eastAsia="Arial"/>
        </w:rPr>
        <w:t>e</w:t>
      </w:r>
      <w:r w:rsidRPr="00966429">
        <w:rPr>
          <w:rFonts w:ascii="Palatino Linotype" w:hAnsi="Palatino Linotype" w:eastAsia="Arial"/>
          <w:spacing w:val="2"/>
        </w:rPr>
        <w:t>r</w:t>
      </w:r>
      <w:r w:rsidRPr="00966429">
        <w:rPr>
          <w:rFonts w:ascii="Palatino Linotype" w:hAnsi="Palatino Linotype" w:eastAsia="Arial"/>
          <w:spacing w:val="-2"/>
        </w:rPr>
        <w:t>v</w:t>
      </w:r>
      <w:r w:rsidRPr="00966429">
        <w:rPr>
          <w:rFonts w:ascii="Palatino Linotype" w:hAnsi="Palatino Linotype" w:eastAsia="Arial"/>
        </w:rPr>
        <w:t>i</w:t>
      </w:r>
      <w:r w:rsidRPr="00966429">
        <w:rPr>
          <w:rFonts w:ascii="Palatino Linotype" w:hAnsi="Palatino Linotype" w:eastAsia="Arial"/>
          <w:spacing w:val="2"/>
        </w:rPr>
        <w:t>c</w:t>
      </w:r>
      <w:r w:rsidRPr="00966429">
        <w:rPr>
          <w:rFonts w:ascii="Palatino Linotype" w:hAnsi="Palatino Linotype" w:eastAsia="Arial"/>
        </w:rPr>
        <w:t>e</w:t>
      </w:r>
      <w:r w:rsidRPr="00966429">
        <w:rPr>
          <w:rFonts w:ascii="Palatino Linotype" w:hAnsi="Palatino Linotype" w:eastAsia="Arial"/>
          <w:spacing w:val="-9"/>
        </w:rPr>
        <w:t xml:space="preserve"> </w:t>
      </w:r>
      <w:r w:rsidRPr="00966429" w:rsidR="00907D33">
        <w:rPr>
          <w:rFonts w:ascii="Palatino Linotype" w:hAnsi="Palatino Linotype" w:eastAsia="Arial"/>
        </w:rPr>
        <w:t>q</w:t>
      </w:r>
      <w:r w:rsidRPr="00966429">
        <w:rPr>
          <w:rFonts w:ascii="Palatino Linotype" w:hAnsi="Palatino Linotype" w:eastAsia="Arial"/>
        </w:rPr>
        <w:t>ua</w:t>
      </w:r>
      <w:r w:rsidRPr="00966429">
        <w:rPr>
          <w:rFonts w:ascii="Palatino Linotype" w:hAnsi="Palatino Linotype" w:eastAsia="Arial"/>
          <w:spacing w:val="2"/>
        </w:rPr>
        <w:t>l</w:t>
      </w:r>
      <w:r w:rsidRPr="00966429">
        <w:rPr>
          <w:rFonts w:ascii="Palatino Linotype" w:hAnsi="Palatino Linotype" w:eastAsia="Arial"/>
        </w:rPr>
        <w:t>i</w:t>
      </w:r>
      <w:r w:rsidRPr="00966429">
        <w:rPr>
          <w:rFonts w:ascii="Palatino Linotype" w:hAnsi="Palatino Linotype" w:eastAsia="Arial"/>
          <w:spacing w:val="2"/>
        </w:rPr>
        <w:t>t</w:t>
      </w:r>
      <w:r w:rsidRPr="00966429">
        <w:rPr>
          <w:rFonts w:ascii="Palatino Linotype" w:hAnsi="Palatino Linotype" w:eastAsia="Arial"/>
        </w:rPr>
        <w:t>y</w:t>
      </w:r>
      <w:r w:rsidRPr="00966429">
        <w:rPr>
          <w:rFonts w:ascii="Palatino Linotype" w:hAnsi="Palatino Linotype" w:eastAsia="Arial"/>
          <w:spacing w:val="-10"/>
        </w:rPr>
        <w:t xml:space="preserve"> </w:t>
      </w:r>
      <w:r w:rsidRPr="00966429">
        <w:rPr>
          <w:rFonts w:ascii="Palatino Linotype" w:hAnsi="Palatino Linotype" w:eastAsia="Arial"/>
        </w:rPr>
        <w:t>m</w:t>
      </w:r>
      <w:r w:rsidRPr="00966429">
        <w:rPr>
          <w:rFonts w:ascii="Palatino Linotype" w:hAnsi="Palatino Linotype" w:eastAsia="Arial"/>
          <w:spacing w:val="2"/>
        </w:rPr>
        <w:t>e</w:t>
      </w:r>
      <w:r w:rsidRPr="00966429">
        <w:rPr>
          <w:rFonts w:ascii="Palatino Linotype" w:hAnsi="Palatino Linotype" w:eastAsia="Arial"/>
        </w:rPr>
        <w:t>asurem</w:t>
      </w:r>
      <w:r w:rsidRPr="00966429">
        <w:rPr>
          <w:rFonts w:ascii="Palatino Linotype" w:hAnsi="Palatino Linotype" w:eastAsia="Arial"/>
          <w:spacing w:val="2"/>
        </w:rPr>
        <w:t>e</w:t>
      </w:r>
      <w:r w:rsidRPr="00966429">
        <w:rPr>
          <w:rFonts w:ascii="Palatino Linotype" w:hAnsi="Palatino Linotype" w:eastAsia="Arial"/>
        </w:rPr>
        <w:t>nt</w:t>
      </w:r>
      <w:r w:rsidRPr="00966429">
        <w:rPr>
          <w:rFonts w:ascii="Palatino Linotype" w:hAnsi="Palatino Linotype" w:eastAsia="Arial"/>
          <w:spacing w:val="-16"/>
        </w:rPr>
        <w:t xml:space="preserve"> </w:t>
      </w:r>
      <w:r w:rsidRPr="00966429">
        <w:rPr>
          <w:rFonts w:ascii="Palatino Linotype" w:hAnsi="Palatino Linotype" w:eastAsia="Arial"/>
        </w:rPr>
        <w:t>th</w:t>
      </w:r>
      <w:r w:rsidRPr="00966429">
        <w:rPr>
          <w:rFonts w:ascii="Palatino Linotype" w:hAnsi="Palatino Linotype" w:eastAsia="Arial"/>
          <w:spacing w:val="2"/>
        </w:rPr>
        <w:t>a</w:t>
      </w:r>
      <w:r w:rsidRPr="00966429">
        <w:rPr>
          <w:rFonts w:ascii="Palatino Linotype" w:hAnsi="Palatino Linotype" w:eastAsia="Arial"/>
        </w:rPr>
        <w:t>t</w:t>
      </w:r>
      <w:r w:rsidRPr="00966429">
        <w:rPr>
          <w:rFonts w:ascii="Palatino Linotype" w:hAnsi="Palatino Linotype" w:eastAsia="Arial"/>
          <w:spacing w:val="-4"/>
        </w:rPr>
        <w:t xml:space="preserve"> </w:t>
      </w:r>
      <w:r w:rsidRPr="00966429">
        <w:rPr>
          <w:rFonts w:ascii="Palatino Linotype" w:hAnsi="Palatino Linotype" w:eastAsia="Arial"/>
        </w:rPr>
        <w:t>it</w:t>
      </w:r>
      <w:r w:rsidRPr="00966429">
        <w:rPr>
          <w:rFonts w:ascii="Palatino Linotype" w:hAnsi="Palatino Linotype" w:eastAsia="Arial"/>
          <w:spacing w:val="-1"/>
        </w:rPr>
        <w:t xml:space="preserve"> </w:t>
      </w:r>
      <w:r w:rsidRPr="00966429">
        <w:rPr>
          <w:rFonts w:ascii="Palatino Linotype" w:hAnsi="Palatino Linotype" w:eastAsia="Arial"/>
        </w:rPr>
        <w:t>d</w:t>
      </w:r>
      <w:r w:rsidRPr="00966429">
        <w:rPr>
          <w:rFonts w:ascii="Palatino Linotype" w:hAnsi="Palatino Linotype" w:eastAsia="Arial"/>
          <w:spacing w:val="2"/>
        </w:rPr>
        <w:t>i</w:t>
      </w:r>
      <w:r w:rsidRPr="00966429">
        <w:rPr>
          <w:rFonts w:ascii="Palatino Linotype" w:hAnsi="Palatino Linotype" w:eastAsia="Arial"/>
        </w:rPr>
        <w:t>d</w:t>
      </w:r>
      <w:r w:rsidRPr="00966429">
        <w:rPr>
          <w:rFonts w:ascii="Palatino Linotype" w:hAnsi="Palatino Linotype" w:eastAsia="Arial"/>
          <w:spacing w:val="-1"/>
        </w:rPr>
        <w:t xml:space="preserve"> </w:t>
      </w:r>
      <w:r w:rsidRPr="00966429">
        <w:rPr>
          <w:rFonts w:ascii="Palatino Linotype" w:hAnsi="Palatino Linotype" w:eastAsia="Arial"/>
        </w:rPr>
        <w:t>not</w:t>
      </w:r>
      <w:r w:rsidRPr="00966429">
        <w:rPr>
          <w:rFonts w:ascii="Palatino Linotype" w:hAnsi="Palatino Linotype" w:eastAsia="Arial"/>
          <w:spacing w:val="-4"/>
        </w:rPr>
        <w:t xml:space="preserve"> </w:t>
      </w:r>
      <w:r w:rsidRPr="00966429">
        <w:rPr>
          <w:rFonts w:ascii="Palatino Linotype" w:hAnsi="Palatino Linotype" w:eastAsia="Arial"/>
        </w:rPr>
        <w:t>me</w:t>
      </w:r>
      <w:r w:rsidRPr="00966429">
        <w:rPr>
          <w:rFonts w:ascii="Palatino Linotype" w:hAnsi="Palatino Linotype" w:eastAsia="Arial"/>
          <w:spacing w:val="1"/>
        </w:rPr>
        <w:t>e</w:t>
      </w:r>
      <w:r w:rsidRPr="00966429">
        <w:rPr>
          <w:rFonts w:ascii="Palatino Linotype" w:hAnsi="Palatino Linotype" w:eastAsia="Arial"/>
        </w:rPr>
        <w:t>t the</w:t>
      </w:r>
      <w:r w:rsidRPr="00966429">
        <w:rPr>
          <w:rFonts w:ascii="Palatino Linotype" w:hAnsi="Palatino Linotype" w:eastAsia="Arial"/>
          <w:spacing w:val="-4"/>
        </w:rPr>
        <w:t xml:space="preserve"> </w:t>
      </w:r>
      <w:r w:rsidRPr="00966429">
        <w:rPr>
          <w:rFonts w:ascii="Palatino Linotype" w:hAnsi="Palatino Linotype" w:eastAsia="Arial"/>
        </w:rPr>
        <w:t>min</w:t>
      </w:r>
      <w:r w:rsidRPr="00966429">
        <w:rPr>
          <w:rFonts w:ascii="Palatino Linotype" w:hAnsi="Palatino Linotype" w:eastAsia="Arial"/>
          <w:spacing w:val="2"/>
        </w:rPr>
        <w:t>i</w:t>
      </w:r>
      <w:r w:rsidRPr="00966429">
        <w:rPr>
          <w:rFonts w:ascii="Palatino Linotype" w:hAnsi="Palatino Linotype" w:eastAsia="Arial"/>
        </w:rPr>
        <w:t>mum</w:t>
      </w:r>
      <w:r w:rsidRPr="00966429">
        <w:rPr>
          <w:rFonts w:ascii="Palatino Linotype" w:hAnsi="Palatino Linotype" w:eastAsia="Arial"/>
          <w:spacing w:val="-11"/>
        </w:rPr>
        <w:t xml:space="preserve"> </w:t>
      </w:r>
      <w:r w:rsidRPr="00966429">
        <w:rPr>
          <w:rFonts w:ascii="Palatino Linotype" w:hAnsi="Palatino Linotype" w:eastAsia="Arial"/>
        </w:rPr>
        <w:t>s</w:t>
      </w:r>
      <w:r w:rsidRPr="00966429">
        <w:rPr>
          <w:rFonts w:ascii="Palatino Linotype" w:hAnsi="Palatino Linotype" w:eastAsia="Arial"/>
          <w:spacing w:val="2"/>
        </w:rPr>
        <w:t>t</w:t>
      </w:r>
      <w:r w:rsidRPr="00966429">
        <w:rPr>
          <w:rFonts w:ascii="Palatino Linotype" w:hAnsi="Palatino Linotype" w:eastAsia="Arial"/>
        </w:rPr>
        <w:t>anda</w:t>
      </w:r>
      <w:r w:rsidRPr="00966429">
        <w:rPr>
          <w:rFonts w:ascii="Palatino Linotype" w:hAnsi="Palatino Linotype" w:eastAsia="Arial"/>
          <w:spacing w:val="2"/>
        </w:rPr>
        <w:t>r</w:t>
      </w:r>
      <w:r w:rsidRPr="00966429">
        <w:rPr>
          <w:rFonts w:ascii="Palatino Linotype" w:hAnsi="Palatino Linotype" w:eastAsia="Arial"/>
        </w:rPr>
        <w:t>ds</w:t>
      </w:r>
      <w:r w:rsidRPr="00966429">
        <w:rPr>
          <w:rFonts w:ascii="Palatino Linotype" w:hAnsi="Palatino Linotype" w:eastAsia="Arial"/>
          <w:spacing w:val="-11"/>
        </w:rPr>
        <w:t xml:space="preserve"> </w:t>
      </w:r>
      <w:r w:rsidRPr="00966429">
        <w:rPr>
          <w:rFonts w:ascii="Palatino Linotype" w:hAnsi="Palatino Linotype" w:eastAsia="Arial"/>
        </w:rPr>
        <w:t>and</w:t>
      </w:r>
      <w:r w:rsidRPr="00966429">
        <w:rPr>
          <w:rFonts w:ascii="Palatino Linotype" w:hAnsi="Palatino Linotype" w:eastAsia="Arial"/>
          <w:spacing w:val="-4"/>
        </w:rPr>
        <w:t xml:space="preserve"> </w:t>
      </w:r>
      <w:r w:rsidRPr="00966429">
        <w:rPr>
          <w:rFonts w:ascii="Palatino Linotype" w:hAnsi="Palatino Linotype" w:eastAsia="Arial"/>
          <w:spacing w:val="2"/>
        </w:rPr>
        <w:t>t</w:t>
      </w:r>
      <w:r w:rsidRPr="00966429">
        <w:rPr>
          <w:rFonts w:ascii="Palatino Linotype" w:hAnsi="Palatino Linotype" w:eastAsia="Arial"/>
        </w:rPr>
        <w:t>he</w:t>
      </w:r>
      <w:r w:rsidRPr="00966429">
        <w:rPr>
          <w:rFonts w:ascii="Palatino Linotype" w:hAnsi="Palatino Linotype" w:eastAsia="Arial"/>
          <w:spacing w:val="-4"/>
        </w:rPr>
        <w:t xml:space="preserve"> </w:t>
      </w:r>
      <w:r w:rsidRPr="00966429">
        <w:rPr>
          <w:rFonts w:ascii="Palatino Linotype" w:hAnsi="Palatino Linotype" w:eastAsia="Arial"/>
          <w:spacing w:val="2"/>
        </w:rPr>
        <w:t>a</w:t>
      </w:r>
      <w:r w:rsidRPr="00966429">
        <w:rPr>
          <w:rFonts w:ascii="Palatino Linotype" w:hAnsi="Palatino Linotype" w:eastAsia="Arial"/>
        </w:rPr>
        <w:t>pplic</w:t>
      </w:r>
      <w:r w:rsidRPr="00966429">
        <w:rPr>
          <w:rFonts w:ascii="Palatino Linotype" w:hAnsi="Palatino Linotype" w:eastAsia="Arial"/>
          <w:spacing w:val="2"/>
        </w:rPr>
        <w:t>a</w:t>
      </w:r>
      <w:r w:rsidRPr="00966429">
        <w:rPr>
          <w:rFonts w:ascii="Palatino Linotype" w:hAnsi="Palatino Linotype" w:eastAsia="Arial"/>
        </w:rPr>
        <w:t>b</w:t>
      </w:r>
      <w:r w:rsidRPr="00966429">
        <w:rPr>
          <w:rFonts w:ascii="Palatino Linotype" w:hAnsi="Palatino Linotype" w:eastAsia="Arial"/>
          <w:spacing w:val="2"/>
        </w:rPr>
        <w:t>l</w:t>
      </w:r>
      <w:r w:rsidRPr="00966429">
        <w:rPr>
          <w:rFonts w:ascii="Palatino Linotype" w:hAnsi="Palatino Linotype" w:eastAsia="Arial"/>
        </w:rPr>
        <w:t>e</w:t>
      </w:r>
      <w:r w:rsidRPr="00966429">
        <w:rPr>
          <w:rFonts w:ascii="Palatino Linotype" w:hAnsi="Palatino Linotype" w:eastAsia="Arial"/>
          <w:spacing w:val="-12"/>
        </w:rPr>
        <w:t xml:space="preserve"> </w:t>
      </w:r>
      <w:r w:rsidRPr="00966429">
        <w:rPr>
          <w:rFonts w:ascii="Palatino Linotype" w:hAnsi="Palatino Linotype" w:eastAsia="Arial"/>
        </w:rPr>
        <w:t>fine</w:t>
      </w:r>
      <w:r w:rsidRPr="00966429" w:rsidR="00B27918">
        <w:rPr>
          <w:rFonts w:ascii="Palatino Linotype" w:hAnsi="Palatino Linotype" w:eastAsia="Arial"/>
        </w:rPr>
        <w:t>.</w:t>
      </w:r>
    </w:p>
    <w:p w:rsidRPr="00966429" w:rsidR="000E57B3" w:rsidP="00B27918" w:rsidRDefault="00B27918" w14:paraId="6C40E136" w14:textId="690CC27B">
      <w:pPr>
        <w:numPr>
          <w:ilvl w:val="0"/>
          <w:numId w:val="1"/>
        </w:numPr>
        <w:spacing w:before="120" w:after="120"/>
        <w:rPr>
          <w:rFonts w:ascii="Palatino Linotype" w:hAnsi="Palatino Linotype"/>
        </w:rPr>
      </w:pPr>
      <w:r w:rsidRPr="00966429">
        <w:rPr>
          <w:rFonts w:ascii="Palatino Linotype" w:hAnsi="Palatino Linotype"/>
        </w:rPr>
        <w:t xml:space="preserve">AT&amp;T Corporation (U-5002-C), </w:t>
      </w:r>
      <w:r w:rsidRPr="00966429" w:rsidR="00C545D1">
        <w:rPr>
          <w:rFonts w:ascii="Palatino Linotype" w:hAnsi="Palatino Linotype"/>
        </w:rPr>
        <w:t xml:space="preserve">Frontier Citizens Telecommunications Company </w:t>
      </w:r>
      <w:r w:rsidR="00F8289C">
        <w:rPr>
          <w:rFonts w:ascii="Palatino Linotype" w:hAnsi="Palatino Linotype"/>
        </w:rPr>
        <w:br/>
      </w:r>
      <w:r w:rsidRPr="00966429" w:rsidR="00C545D1">
        <w:rPr>
          <w:rFonts w:ascii="Palatino Linotype" w:hAnsi="Palatino Linotype"/>
        </w:rPr>
        <w:t xml:space="preserve">(U-1024-C), </w:t>
      </w:r>
      <w:r w:rsidRPr="00966429">
        <w:rPr>
          <w:rFonts w:ascii="Palatino Linotype" w:hAnsi="Palatino Linotype"/>
        </w:rPr>
        <w:t xml:space="preserve">Frontier Communications of the Southwest (U-1026-C), </w:t>
      </w:r>
      <w:r w:rsidRPr="00966429" w:rsidR="00C545D1">
        <w:rPr>
          <w:rFonts w:ascii="Palatino Linotype" w:hAnsi="Palatino Linotype"/>
        </w:rPr>
        <w:t>Happy Valley</w:t>
      </w:r>
      <w:r w:rsidRPr="00966429">
        <w:rPr>
          <w:rFonts w:ascii="Palatino Linotype" w:hAnsi="Palatino Linotype"/>
        </w:rPr>
        <w:t xml:space="preserve"> Telephone (U-10</w:t>
      </w:r>
      <w:r w:rsidRPr="00966429" w:rsidR="00C545D1">
        <w:rPr>
          <w:rFonts w:ascii="Palatino Linotype" w:hAnsi="Palatino Linotype"/>
        </w:rPr>
        <w:t>10</w:t>
      </w:r>
      <w:r w:rsidRPr="00966429">
        <w:rPr>
          <w:rFonts w:ascii="Palatino Linotype" w:hAnsi="Palatino Linotype"/>
        </w:rPr>
        <w:t xml:space="preserve">-C), </w:t>
      </w:r>
      <w:r w:rsidRPr="00966429" w:rsidR="00C545D1">
        <w:rPr>
          <w:rFonts w:ascii="Palatino Linotype" w:hAnsi="Palatino Linotype"/>
        </w:rPr>
        <w:t>Hornitos</w:t>
      </w:r>
      <w:r w:rsidRPr="00966429">
        <w:rPr>
          <w:rFonts w:ascii="Palatino Linotype" w:hAnsi="Palatino Linotype"/>
        </w:rPr>
        <w:t xml:space="preserve"> Telephone (U-101</w:t>
      </w:r>
      <w:r w:rsidRPr="00966429" w:rsidR="00C545D1">
        <w:rPr>
          <w:rFonts w:ascii="Palatino Linotype" w:hAnsi="Palatino Linotype"/>
        </w:rPr>
        <w:t>1</w:t>
      </w:r>
      <w:r w:rsidRPr="00966429">
        <w:rPr>
          <w:rFonts w:ascii="Palatino Linotype" w:hAnsi="Palatino Linotype"/>
        </w:rPr>
        <w:t>-C)</w:t>
      </w:r>
      <w:r w:rsidRPr="00966429" w:rsidR="00C545D1">
        <w:rPr>
          <w:rFonts w:ascii="Palatino Linotype" w:hAnsi="Palatino Linotype"/>
        </w:rPr>
        <w:t xml:space="preserve">, and Winterhaven Telephone </w:t>
      </w:r>
      <w:r w:rsidR="00F8289C">
        <w:rPr>
          <w:rFonts w:ascii="Palatino Linotype" w:hAnsi="Palatino Linotype"/>
        </w:rPr>
        <w:br/>
      </w:r>
      <w:r w:rsidRPr="00966429" w:rsidR="00C545D1">
        <w:rPr>
          <w:rFonts w:ascii="Palatino Linotype" w:hAnsi="Palatino Linotype"/>
        </w:rPr>
        <w:t>(U-1021-C)</w:t>
      </w:r>
      <w:r w:rsidRPr="00966429">
        <w:rPr>
          <w:rFonts w:ascii="Palatino Linotype" w:hAnsi="Palatino Linotype"/>
        </w:rPr>
        <w:t xml:space="preserve"> filed advice letters with proposed fines for </w:t>
      </w:r>
      <w:r w:rsidRPr="00966429">
        <w:rPr>
          <w:rFonts w:ascii="Palatino Linotype" w:hAnsi="Palatino Linotype"/>
          <w:i/>
        </w:rPr>
        <w:t>Out of Service Interval</w:t>
      </w:r>
      <w:r w:rsidRPr="00966429" w:rsidR="00DB6D9A">
        <w:rPr>
          <w:rFonts w:ascii="Palatino Linotype" w:hAnsi="Palatino Linotype"/>
        </w:rPr>
        <w:t xml:space="preserve"> and</w:t>
      </w:r>
      <w:r w:rsidRPr="00966429" w:rsidR="00536CB0">
        <w:rPr>
          <w:rFonts w:ascii="Palatino Linotype" w:hAnsi="Palatino Linotype"/>
        </w:rPr>
        <w:t>/or</w:t>
      </w:r>
      <w:r w:rsidRPr="00966429" w:rsidR="00DB6D9A">
        <w:rPr>
          <w:rFonts w:ascii="Palatino Linotype" w:hAnsi="Palatino Linotype"/>
        </w:rPr>
        <w:t xml:space="preserve"> </w:t>
      </w:r>
      <w:r w:rsidRPr="00966429" w:rsidR="00DB6D9A">
        <w:rPr>
          <w:rFonts w:ascii="Palatino Linotype" w:hAnsi="Palatino Linotype"/>
          <w:i/>
        </w:rPr>
        <w:t>Answer Time</w:t>
      </w:r>
      <w:r w:rsidRPr="00966429" w:rsidR="00DB6D9A">
        <w:rPr>
          <w:rFonts w:ascii="Palatino Linotype" w:hAnsi="Palatino Linotype"/>
        </w:rPr>
        <w:t xml:space="preserve"> </w:t>
      </w:r>
      <w:r w:rsidRPr="00966429">
        <w:rPr>
          <w:rFonts w:ascii="Palatino Linotype" w:hAnsi="Palatino Linotype"/>
        </w:rPr>
        <w:t>standard</w:t>
      </w:r>
      <w:r w:rsidRPr="00966429" w:rsidR="00DB6D9A">
        <w:rPr>
          <w:rFonts w:ascii="Palatino Linotype" w:hAnsi="Palatino Linotype"/>
        </w:rPr>
        <w:t>s</w:t>
      </w:r>
      <w:r w:rsidRPr="00966429">
        <w:rPr>
          <w:rFonts w:ascii="Palatino Linotype" w:hAnsi="Palatino Linotype"/>
        </w:rPr>
        <w:t xml:space="preserve">. </w:t>
      </w:r>
    </w:p>
    <w:p w:rsidRPr="00966429" w:rsidR="00B27918" w:rsidP="00B27918" w:rsidRDefault="00B27918" w14:paraId="224793C9" w14:textId="05A5BD11">
      <w:pPr>
        <w:numPr>
          <w:ilvl w:val="0"/>
          <w:numId w:val="1"/>
        </w:numPr>
        <w:spacing w:before="120" w:after="120"/>
        <w:rPr>
          <w:rFonts w:ascii="Palatino Linotype" w:hAnsi="Palatino Linotype"/>
        </w:rPr>
      </w:pPr>
      <w:r w:rsidRPr="00966429">
        <w:rPr>
          <w:rFonts w:ascii="Palatino Linotype" w:hAnsi="Palatino Linotype"/>
        </w:rPr>
        <w:t>Each company met the</w:t>
      </w:r>
      <w:r w:rsidRPr="00966429" w:rsidR="00DB6D9A">
        <w:rPr>
          <w:rFonts w:ascii="Palatino Linotype" w:hAnsi="Palatino Linotype"/>
        </w:rPr>
        <w:t xml:space="preserve"> </w:t>
      </w:r>
      <w:r w:rsidRPr="00966429" w:rsidR="00DB6D9A">
        <w:rPr>
          <w:rFonts w:ascii="Palatino Linotype" w:hAnsi="Palatino Linotype"/>
          <w:i/>
        </w:rPr>
        <w:t>Customer Trouble Reports, I</w:t>
      </w:r>
      <w:r w:rsidRPr="00966429" w:rsidR="0020091E">
        <w:rPr>
          <w:rFonts w:ascii="Palatino Linotype" w:hAnsi="Palatino Linotype"/>
          <w:i/>
        </w:rPr>
        <w:t xml:space="preserve">nstallation </w:t>
      </w:r>
      <w:r w:rsidRPr="00966429" w:rsidR="00BC1965">
        <w:rPr>
          <w:rFonts w:ascii="Palatino Linotype" w:hAnsi="Palatino Linotype"/>
          <w:i/>
        </w:rPr>
        <w:t>I</w:t>
      </w:r>
      <w:r w:rsidRPr="00966429" w:rsidR="0020091E">
        <w:rPr>
          <w:rFonts w:ascii="Palatino Linotype" w:hAnsi="Palatino Linotype"/>
          <w:i/>
        </w:rPr>
        <w:t>nterval</w:t>
      </w:r>
      <w:r w:rsidRPr="00966429" w:rsidR="00DB6D9A">
        <w:rPr>
          <w:rFonts w:ascii="Palatino Linotype" w:hAnsi="Palatino Linotype"/>
          <w:i/>
        </w:rPr>
        <w:t>,</w:t>
      </w:r>
      <w:r w:rsidRPr="00966429" w:rsidR="0020091E">
        <w:rPr>
          <w:rFonts w:ascii="Palatino Linotype" w:hAnsi="Palatino Linotype"/>
        </w:rPr>
        <w:t xml:space="preserve"> and </w:t>
      </w:r>
      <w:r w:rsidRPr="00966429" w:rsidR="00BC1965">
        <w:rPr>
          <w:rFonts w:ascii="Palatino Linotype" w:hAnsi="Palatino Linotype"/>
          <w:i/>
        </w:rPr>
        <w:t>I</w:t>
      </w:r>
      <w:r w:rsidRPr="00966429" w:rsidR="0020091E">
        <w:rPr>
          <w:rFonts w:ascii="Palatino Linotype" w:hAnsi="Palatino Linotype"/>
          <w:i/>
        </w:rPr>
        <w:t xml:space="preserve">nstallation </w:t>
      </w:r>
      <w:r w:rsidRPr="00966429" w:rsidR="00BC1965">
        <w:rPr>
          <w:rFonts w:ascii="Palatino Linotype" w:hAnsi="Palatino Linotype"/>
          <w:i/>
        </w:rPr>
        <w:t>C</w:t>
      </w:r>
      <w:r w:rsidRPr="00966429" w:rsidR="0020091E">
        <w:rPr>
          <w:rFonts w:ascii="Palatino Linotype" w:hAnsi="Palatino Linotype"/>
          <w:i/>
        </w:rPr>
        <w:t>ommitments</w:t>
      </w:r>
      <w:r w:rsidRPr="00966429" w:rsidR="0020091E">
        <w:rPr>
          <w:rFonts w:ascii="Palatino Linotype" w:hAnsi="Palatino Linotype"/>
        </w:rPr>
        <w:t xml:space="preserve"> </w:t>
      </w:r>
      <w:r w:rsidRPr="00966429" w:rsidR="000A4BFA">
        <w:rPr>
          <w:rFonts w:ascii="Palatino Linotype" w:hAnsi="Palatino Linotype"/>
        </w:rPr>
        <w:t>standards in 2018</w:t>
      </w:r>
      <w:r w:rsidRPr="00966429" w:rsidR="0020091E">
        <w:rPr>
          <w:rFonts w:ascii="Palatino Linotype" w:hAnsi="Palatino Linotype"/>
        </w:rPr>
        <w:t>.</w:t>
      </w:r>
    </w:p>
    <w:p w:rsidR="004B467A" w:rsidP="004B467A" w:rsidRDefault="00500897" w14:paraId="2EFD43E9" w14:textId="7BC2F113">
      <w:pPr>
        <w:numPr>
          <w:ilvl w:val="0"/>
          <w:numId w:val="1"/>
        </w:numPr>
        <w:spacing w:before="120" w:after="120"/>
        <w:rPr>
          <w:rFonts w:ascii="Palatino Linotype" w:hAnsi="Palatino Linotype"/>
        </w:rPr>
      </w:pPr>
      <w:r w:rsidRPr="00966429">
        <w:rPr>
          <w:rFonts w:ascii="Palatino Linotype" w:hAnsi="Palatino Linotype"/>
        </w:rPr>
        <w:t>AT&amp;T Corporation</w:t>
      </w:r>
      <w:r w:rsidRPr="00966429" w:rsidR="005A2618">
        <w:rPr>
          <w:rFonts w:ascii="Palatino Linotype" w:hAnsi="Palatino Linotype"/>
        </w:rPr>
        <w:t xml:space="preserve">, </w:t>
      </w:r>
      <w:r w:rsidRPr="00966429" w:rsidR="00080114">
        <w:rPr>
          <w:rFonts w:ascii="Palatino Linotype" w:hAnsi="Palatino Linotype"/>
        </w:rPr>
        <w:t xml:space="preserve">Frontier </w:t>
      </w:r>
      <w:r w:rsidRPr="00966429" w:rsidR="00536CB0">
        <w:rPr>
          <w:rFonts w:ascii="Palatino Linotype" w:hAnsi="Palatino Linotype"/>
        </w:rPr>
        <w:t>Citizens</w:t>
      </w:r>
      <w:r w:rsidRPr="00966429" w:rsidR="00E068F3">
        <w:rPr>
          <w:rFonts w:ascii="Palatino Linotype" w:hAnsi="Palatino Linotype"/>
        </w:rPr>
        <w:t xml:space="preserve"> Telecommunications Company,</w:t>
      </w:r>
      <w:r w:rsidRPr="00966429" w:rsidR="00536CB0">
        <w:rPr>
          <w:rFonts w:ascii="Palatino Linotype" w:hAnsi="Palatino Linotype"/>
        </w:rPr>
        <w:t xml:space="preserve"> </w:t>
      </w:r>
      <w:r w:rsidRPr="00966429" w:rsidR="00E068F3">
        <w:rPr>
          <w:rFonts w:ascii="Palatino Linotype" w:hAnsi="Palatino Linotype"/>
        </w:rPr>
        <w:t xml:space="preserve">Frontier </w:t>
      </w:r>
      <w:r w:rsidRPr="00966429" w:rsidR="00080114">
        <w:rPr>
          <w:rFonts w:ascii="Palatino Linotype" w:hAnsi="Palatino Linotype"/>
        </w:rPr>
        <w:t>Communications of the Southwest</w:t>
      </w:r>
      <w:r w:rsidRPr="00966429" w:rsidR="005A2618">
        <w:rPr>
          <w:rFonts w:ascii="Palatino Linotype" w:hAnsi="Palatino Linotype"/>
        </w:rPr>
        <w:t xml:space="preserve">, </w:t>
      </w:r>
      <w:r w:rsidRPr="00966429" w:rsidR="00E068F3">
        <w:rPr>
          <w:rFonts w:ascii="Palatino Linotype" w:hAnsi="Palatino Linotype"/>
        </w:rPr>
        <w:t>Happy Valley</w:t>
      </w:r>
      <w:r w:rsidRPr="00966429" w:rsidR="00080114">
        <w:rPr>
          <w:rFonts w:ascii="Palatino Linotype" w:hAnsi="Palatino Linotype"/>
        </w:rPr>
        <w:t xml:space="preserve"> Telephone, </w:t>
      </w:r>
      <w:r w:rsidRPr="00966429" w:rsidR="00E068F3">
        <w:rPr>
          <w:rFonts w:ascii="Palatino Linotype" w:hAnsi="Palatino Linotype"/>
        </w:rPr>
        <w:t>Hornitos Telephone, and Winterhaven</w:t>
      </w:r>
      <w:r w:rsidRPr="00966429" w:rsidR="00080114">
        <w:rPr>
          <w:rFonts w:ascii="Palatino Linotype" w:hAnsi="Palatino Linotype"/>
        </w:rPr>
        <w:t xml:space="preserve"> Telephone Company </w:t>
      </w:r>
      <w:r w:rsidRPr="00966429" w:rsidR="00536CB0">
        <w:rPr>
          <w:rFonts w:ascii="Palatino Linotype" w:hAnsi="Palatino Linotype"/>
        </w:rPr>
        <w:t>should</w:t>
      </w:r>
      <w:r w:rsidRPr="00966429" w:rsidR="00080114">
        <w:rPr>
          <w:rFonts w:ascii="Palatino Linotype" w:hAnsi="Palatino Linotype"/>
        </w:rPr>
        <w:t xml:space="preserve"> pay the assessed fines, based on their respective failures to meet </w:t>
      </w:r>
      <w:r w:rsidRPr="00966429" w:rsidR="00B27918">
        <w:rPr>
          <w:rFonts w:ascii="Palatino Linotype" w:hAnsi="Palatino Linotype"/>
        </w:rPr>
        <w:t>the minimum</w:t>
      </w:r>
      <w:r w:rsidRPr="00966429" w:rsidR="00080114">
        <w:rPr>
          <w:rFonts w:ascii="Palatino Linotype" w:hAnsi="Palatino Linotype"/>
        </w:rPr>
        <w:t xml:space="preserve"> General Order 133-D service quality standards</w:t>
      </w:r>
      <w:r w:rsidRPr="00966429" w:rsidR="00B27918">
        <w:rPr>
          <w:rFonts w:ascii="Palatino Linotype" w:hAnsi="Palatino Linotype"/>
        </w:rPr>
        <w:t xml:space="preserve"> for the </w:t>
      </w:r>
      <w:r w:rsidRPr="00966429" w:rsidR="00B27918">
        <w:rPr>
          <w:rFonts w:ascii="Palatino Linotype" w:hAnsi="Palatino Linotype"/>
          <w:i/>
        </w:rPr>
        <w:t>Out of Service Interval</w:t>
      </w:r>
      <w:r w:rsidRPr="00966429" w:rsidR="00813E41">
        <w:rPr>
          <w:rFonts w:ascii="Palatino Linotype" w:hAnsi="Palatino Linotype"/>
        </w:rPr>
        <w:t xml:space="preserve"> and</w:t>
      </w:r>
      <w:r w:rsidRPr="00966429" w:rsidR="00536CB0">
        <w:rPr>
          <w:rFonts w:ascii="Palatino Linotype" w:hAnsi="Palatino Linotype"/>
        </w:rPr>
        <w:t>/or</w:t>
      </w:r>
      <w:r w:rsidRPr="00966429" w:rsidR="00813E41">
        <w:rPr>
          <w:rFonts w:ascii="Palatino Linotype" w:hAnsi="Palatino Linotype"/>
        </w:rPr>
        <w:t xml:space="preserve"> </w:t>
      </w:r>
      <w:r w:rsidRPr="00966429" w:rsidR="00813E41">
        <w:rPr>
          <w:rFonts w:ascii="Palatino Linotype" w:hAnsi="Palatino Linotype"/>
          <w:i/>
        </w:rPr>
        <w:t>Answer Time</w:t>
      </w:r>
      <w:r w:rsidRPr="00966429" w:rsidR="00813E41">
        <w:rPr>
          <w:rFonts w:ascii="Palatino Linotype" w:hAnsi="Palatino Linotype"/>
        </w:rPr>
        <w:t>.</w:t>
      </w:r>
      <w:r w:rsidRPr="00966429" w:rsidR="00080114">
        <w:rPr>
          <w:rFonts w:ascii="Palatino Linotype" w:hAnsi="Palatino Linotype"/>
        </w:rPr>
        <w:t xml:space="preserve"> </w:t>
      </w:r>
    </w:p>
    <w:p w:rsidR="00F8289C" w:rsidP="00F8289C" w:rsidRDefault="00F8289C" w14:paraId="00A7533A" w14:textId="2E308C26">
      <w:pPr>
        <w:spacing w:before="120" w:after="120"/>
        <w:rPr>
          <w:rFonts w:ascii="Palatino Linotype" w:hAnsi="Palatino Linotype"/>
        </w:rPr>
      </w:pPr>
    </w:p>
    <w:p w:rsidR="00F8289C" w:rsidP="00F8289C" w:rsidRDefault="00F8289C" w14:paraId="177D4A80" w14:textId="3C9FD46C">
      <w:pPr>
        <w:spacing w:before="120" w:after="120"/>
        <w:rPr>
          <w:rFonts w:ascii="Palatino Linotype" w:hAnsi="Palatino Linotype"/>
        </w:rPr>
      </w:pPr>
    </w:p>
    <w:p w:rsidR="00F8289C" w:rsidP="00F8289C" w:rsidRDefault="00F8289C" w14:paraId="5AA5131B" w14:textId="09DAC921">
      <w:pPr>
        <w:spacing w:before="120" w:after="120"/>
        <w:rPr>
          <w:rFonts w:ascii="Palatino Linotype" w:hAnsi="Palatino Linotype"/>
        </w:rPr>
      </w:pPr>
    </w:p>
    <w:p w:rsidR="00F8289C" w:rsidP="00F8289C" w:rsidRDefault="00F8289C" w14:paraId="2962B40E" w14:textId="4AA25859">
      <w:pPr>
        <w:spacing w:before="120" w:after="120"/>
        <w:rPr>
          <w:rFonts w:ascii="Palatino Linotype" w:hAnsi="Palatino Linotype"/>
        </w:rPr>
      </w:pPr>
    </w:p>
    <w:p w:rsidRPr="00966429" w:rsidR="00F8289C" w:rsidP="00F8289C" w:rsidRDefault="00F8289C" w14:paraId="51243150" w14:textId="77777777">
      <w:pPr>
        <w:spacing w:before="120" w:after="120"/>
        <w:rPr>
          <w:rFonts w:ascii="Palatino Linotype" w:hAnsi="Palatino Linotype"/>
        </w:rPr>
      </w:pPr>
    </w:p>
    <w:p w:rsidRPr="00966429" w:rsidR="00080114" w:rsidP="004B467A" w:rsidRDefault="00080114" w14:paraId="45231CD5" w14:textId="3FEA845E">
      <w:pPr>
        <w:numPr>
          <w:ilvl w:val="0"/>
          <w:numId w:val="1"/>
        </w:numPr>
        <w:spacing w:before="120" w:after="120"/>
        <w:rPr>
          <w:rFonts w:ascii="Palatino Linotype" w:hAnsi="Palatino Linotype"/>
        </w:rPr>
      </w:pPr>
      <w:r w:rsidRPr="00966429">
        <w:rPr>
          <w:rFonts w:ascii="Palatino Linotype" w:hAnsi="Palatino Linotype"/>
        </w:rPr>
        <w:t xml:space="preserve">The total calculated fines </w:t>
      </w:r>
      <w:r w:rsidRPr="00966429" w:rsidR="00813E41">
        <w:rPr>
          <w:rFonts w:ascii="Palatino Linotype" w:hAnsi="Palatino Linotype"/>
        </w:rPr>
        <w:t xml:space="preserve">for each carrier </w:t>
      </w:r>
      <w:r w:rsidRPr="00966429">
        <w:rPr>
          <w:rFonts w:ascii="Palatino Linotype" w:hAnsi="Palatino Linotype"/>
        </w:rPr>
        <w:t>are as follows:</w:t>
      </w:r>
    </w:p>
    <w:p w:rsidRPr="00966429" w:rsidR="00553548" w:rsidP="00553548" w:rsidRDefault="00553548" w14:paraId="22E4DB39" w14:textId="77777777">
      <w:pPr>
        <w:spacing w:before="120" w:after="120"/>
        <w:ind w:left="240"/>
        <w:rPr>
          <w:rFonts w:ascii="Palatino Linotype" w:hAnsi="Palatino Linotype"/>
        </w:rPr>
      </w:pPr>
    </w:p>
    <w:tbl>
      <w:tblPr>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4"/>
        <w:gridCol w:w="1328"/>
        <w:gridCol w:w="1307"/>
        <w:gridCol w:w="1783"/>
        <w:gridCol w:w="1194"/>
        <w:gridCol w:w="1194"/>
        <w:gridCol w:w="1530"/>
      </w:tblGrid>
      <w:tr w:rsidRPr="00966429" w:rsidR="00553548" w:rsidTr="00F8289C" w14:paraId="72CADC9F" w14:textId="77777777">
        <w:trPr>
          <w:trHeight w:val="145"/>
          <w:jc w:val="center"/>
        </w:trPr>
        <w:tc>
          <w:tcPr>
            <w:tcW w:w="1728" w:type="dxa"/>
            <w:tcBorders>
              <w:bottom w:val="single" w:color="auto" w:sz="4" w:space="0"/>
            </w:tcBorders>
            <w:shd w:val="clear" w:color="auto" w:fill="F2F2F2" w:themeFill="background1" w:themeFillShade="F2"/>
            <w:vAlign w:val="center"/>
          </w:tcPr>
          <w:p w:rsidRPr="00F8289C" w:rsidR="00553548" w:rsidP="00584072" w:rsidRDefault="00553548" w14:paraId="0E57691E" w14:textId="77777777">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Service Quality Standard</w:t>
            </w:r>
          </w:p>
        </w:tc>
        <w:tc>
          <w:tcPr>
            <w:tcW w:w="1328" w:type="dxa"/>
            <w:shd w:val="clear" w:color="auto" w:fill="F2F2F2" w:themeFill="background1" w:themeFillShade="F2"/>
            <w:vAlign w:val="center"/>
          </w:tcPr>
          <w:p w:rsidRPr="00F8289C" w:rsidR="00553548" w:rsidP="00584072" w:rsidRDefault="00553548" w14:paraId="4A684F48" w14:textId="77777777">
            <w:pPr>
              <w:tabs>
                <w:tab w:val="left" w:pos="3600"/>
              </w:tabs>
              <w:jc w:val="center"/>
              <w:rPr>
                <w:rFonts w:ascii="Palatino Linotype" w:hAnsi="Palatino Linotype"/>
                <w:b/>
                <w:sz w:val="20"/>
                <w:szCs w:val="20"/>
              </w:rPr>
            </w:pPr>
            <w:r w:rsidRPr="00F8289C">
              <w:rPr>
                <w:rFonts w:ascii="Palatino Linotype" w:hAnsi="Palatino Linotype"/>
                <w:b/>
                <w:sz w:val="20"/>
                <w:szCs w:val="20"/>
              </w:rPr>
              <w:t xml:space="preserve">AT&amp;T </w:t>
            </w:r>
          </w:p>
          <w:p w:rsidRPr="00F8289C" w:rsidR="00553548" w:rsidP="00584072" w:rsidRDefault="00553548" w14:paraId="1EB65D84" w14:textId="77777777">
            <w:pPr>
              <w:tabs>
                <w:tab w:val="left" w:pos="3600"/>
              </w:tabs>
              <w:jc w:val="center"/>
              <w:rPr>
                <w:rFonts w:ascii="Palatino Linotype" w:hAnsi="Palatino Linotype"/>
                <w:b/>
                <w:sz w:val="20"/>
                <w:szCs w:val="20"/>
              </w:rPr>
            </w:pPr>
            <w:r w:rsidRPr="00F8289C">
              <w:rPr>
                <w:rFonts w:ascii="Palatino Linotype" w:hAnsi="Palatino Linotype"/>
                <w:b/>
                <w:sz w:val="20"/>
                <w:szCs w:val="20"/>
              </w:rPr>
              <w:t>Corporation</w:t>
            </w:r>
          </w:p>
          <w:p w:rsidRPr="00F8289C" w:rsidR="00553548" w:rsidP="00584072" w:rsidRDefault="00553548" w14:paraId="552E5B0E" w14:textId="77777777">
            <w:pPr>
              <w:tabs>
                <w:tab w:val="left" w:pos="3600"/>
              </w:tabs>
              <w:jc w:val="center"/>
              <w:rPr>
                <w:rFonts w:ascii="Palatino Linotype" w:hAnsi="Palatino Linotype"/>
                <w:b/>
                <w:sz w:val="20"/>
                <w:szCs w:val="20"/>
              </w:rPr>
            </w:pPr>
            <w:r w:rsidRPr="00F8289C">
              <w:rPr>
                <w:rFonts w:ascii="Palatino Linotype" w:hAnsi="Palatino Linotype"/>
                <w:b/>
                <w:sz w:val="20"/>
                <w:szCs w:val="20"/>
              </w:rPr>
              <w:t>(U-5002-C)</w:t>
            </w:r>
          </w:p>
        </w:tc>
        <w:tc>
          <w:tcPr>
            <w:tcW w:w="1349" w:type="dxa"/>
            <w:shd w:val="clear" w:color="auto" w:fill="F2F2F2" w:themeFill="background1" w:themeFillShade="F2"/>
          </w:tcPr>
          <w:p w:rsidRPr="00F8289C" w:rsidR="00553548" w:rsidP="00584072" w:rsidRDefault="00553548" w14:paraId="6E681A93" w14:textId="77777777">
            <w:pPr>
              <w:tabs>
                <w:tab w:val="left" w:pos="3600"/>
              </w:tabs>
              <w:rPr>
                <w:rFonts w:ascii="Palatino Linotype" w:hAnsi="Palatino Linotype"/>
                <w:b/>
                <w:sz w:val="20"/>
                <w:szCs w:val="20"/>
              </w:rPr>
            </w:pPr>
          </w:p>
          <w:p w:rsidRPr="00F8289C" w:rsidR="00553548" w:rsidP="00584072" w:rsidRDefault="00553548" w14:paraId="2AD06839" w14:textId="77777777">
            <w:pPr>
              <w:tabs>
                <w:tab w:val="left" w:pos="3600"/>
              </w:tabs>
              <w:jc w:val="center"/>
              <w:rPr>
                <w:rFonts w:ascii="Palatino Linotype" w:hAnsi="Palatino Linotype"/>
                <w:b/>
                <w:sz w:val="20"/>
                <w:szCs w:val="20"/>
              </w:rPr>
            </w:pPr>
            <w:r w:rsidRPr="00F8289C">
              <w:rPr>
                <w:rFonts w:ascii="Palatino Linotype" w:hAnsi="Palatino Linotype"/>
                <w:b/>
                <w:sz w:val="20"/>
                <w:szCs w:val="20"/>
              </w:rPr>
              <w:t>Frontier</w:t>
            </w:r>
          </w:p>
          <w:p w:rsidRPr="00F8289C" w:rsidR="00553548" w:rsidP="00584072" w:rsidRDefault="00553548" w14:paraId="183B1F10" w14:textId="77777777">
            <w:pPr>
              <w:tabs>
                <w:tab w:val="left" w:pos="3600"/>
              </w:tabs>
              <w:jc w:val="center"/>
              <w:rPr>
                <w:rFonts w:ascii="Palatino Linotype" w:hAnsi="Palatino Linotype"/>
                <w:b/>
                <w:sz w:val="20"/>
                <w:szCs w:val="20"/>
              </w:rPr>
            </w:pPr>
            <w:r w:rsidRPr="00F8289C">
              <w:rPr>
                <w:rFonts w:ascii="Palatino Linotype" w:hAnsi="Palatino Linotype"/>
                <w:b/>
                <w:sz w:val="20"/>
                <w:szCs w:val="20"/>
              </w:rPr>
              <w:t>Citizens (U-1024-C)</w:t>
            </w:r>
          </w:p>
        </w:tc>
        <w:tc>
          <w:tcPr>
            <w:tcW w:w="1651" w:type="dxa"/>
            <w:shd w:val="clear" w:color="auto" w:fill="F2F2F2" w:themeFill="background1" w:themeFillShade="F2"/>
            <w:vAlign w:val="center"/>
          </w:tcPr>
          <w:p w:rsidRPr="00F8289C" w:rsidR="00553548" w:rsidP="00584072" w:rsidRDefault="00553548" w14:paraId="2F235FD0" w14:textId="77777777">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Frontier Communications of the Southwest (U-1026-C)</w:t>
            </w:r>
          </w:p>
        </w:tc>
        <w:tc>
          <w:tcPr>
            <w:tcW w:w="1194" w:type="dxa"/>
            <w:shd w:val="clear" w:color="auto" w:fill="F2F2F2" w:themeFill="background1" w:themeFillShade="F2"/>
          </w:tcPr>
          <w:p w:rsidRPr="00F8289C" w:rsidR="00553548" w:rsidP="00584072" w:rsidRDefault="00553548" w14:paraId="7B1F6E79" w14:textId="77777777">
            <w:pPr>
              <w:tabs>
                <w:tab w:val="left" w:pos="3600"/>
              </w:tabs>
              <w:jc w:val="center"/>
              <w:rPr>
                <w:rFonts w:ascii="Palatino Linotype" w:hAnsi="Palatino Linotype"/>
                <w:b/>
                <w:sz w:val="20"/>
                <w:szCs w:val="20"/>
              </w:rPr>
            </w:pPr>
          </w:p>
          <w:p w:rsidRPr="00F8289C" w:rsidR="00553548" w:rsidP="00584072" w:rsidRDefault="00553548" w14:paraId="7FDE15D5" w14:textId="77777777">
            <w:pPr>
              <w:tabs>
                <w:tab w:val="left" w:pos="3600"/>
              </w:tabs>
              <w:jc w:val="center"/>
              <w:rPr>
                <w:rFonts w:ascii="Palatino Linotype" w:hAnsi="Palatino Linotype"/>
                <w:b/>
                <w:sz w:val="20"/>
                <w:szCs w:val="20"/>
              </w:rPr>
            </w:pPr>
            <w:r w:rsidRPr="00F8289C">
              <w:rPr>
                <w:rFonts w:ascii="Palatino Linotype" w:hAnsi="Palatino Linotype"/>
                <w:b/>
                <w:sz w:val="20"/>
                <w:szCs w:val="20"/>
              </w:rPr>
              <w:t>Happy Valley</w:t>
            </w:r>
          </w:p>
          <w:p w:rsidRPr="00F8289C" w:rsidR="00553548" w:rsidP="00584072" w:rsidRDefault="00553548" w14:paraId="05F89294" w14:textId="3A7189DE">
            <w:pPr>
              <w:tabs>
                <w:tab w:val="left" w:pos="3600"/>
              </w:tabs>
              <w:jc w:val="center"/>
              <w:rPr>
                <w:rFonts w:ascii="Palatino Linotype" w:hAnsi="Palatino Linotype"/>
                <w:b/>
                <w:sz w:val="20"/>
                <w:szCs w:val="20"/>
              </w:rPr>
            </w:pPr>
            <w:r w:rsidRPr="00F8289C">
              <w:rPr>
                <w:rFonts w:ascii="Palatino Linotype" w:hAnsi="Palatino Linotype"/>
                <w:b/>
                <w:sz w:val="20"/>
                <w:szCs w:val="20"/>
              </w:rPr>
              <w:t>Telephone (U-10</w:t>
            </w:r>
            <w:r w:rsidRPr="00F8289C" w:rsidR="004114DC">
              <w:rPr>
                <w:rFonts w:ascii="Palatino Linotype" w:hAnsi="Palatino Linotype"/>
                <w:b/>
                <w:sz w:val="20"/>
                <w:szCs w:val="20"/>
              </w:rPr>
              <w:t>10</w:t>
            </w:r>
            <w:r w:rsidRPr="00F8289C">
              <w:rPr>
                <w:rFonts w:ascii="Palatino Linotype" w:hAnsi="Palatino Linotype"/>
                <w:b/>
                <w:sz w:val="20"/>
                <w:szCs w:val="20"/>
              </w:rPr>
              <w:t>-C)</w:t>
            </w:r>
          </w:p>
        </w:tc>
        <w:tc>
          <w:tcPr>
            <w:tcW w:w="1194" w:type="dxa"/>
            <w:shd w:val="clear" w:color="auto" w:fill="F2F2F2" w:themeFill="background1" w:themeFillShade="F2"/>
            <w:vAlign w:val="center"/>
          </w:tcPr>
          <w:p w:rsidRPr="00F8289C" w:rsidR="00553548" w:rsidP="00584072" w:rsidRDefault="00553548" w14:paraId="2C1BF788" w14:textId="3E61D24F">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Hornitos Telephone (U-101</w:t>
            </w:r>
            <w:r w:rsidRPr="00F8289C" w:rsidR="004114DC">
              <w:rPr>
                <w:rFonts w:ascii="Palatino Linotype" w:hAnsi="Palatino Linotype"/>
                <w:b/>
                <w:sz w:val="20"/>
                <w:szCs w:val="20"/>
              </w:rPr>
              <w:t>1</w:t>
            </w:r>
            <w:r w:rsidRPr="00F8289C">
              <w:rPr>
                <w:rFonts w:ascii="Palatino Linotype" w:hAnsi="Palatino Linotype"/>
                <w:b/>
                <w:sz w:val="20"/>
                <w:szCs w:val="20"/>
              </w:rPr>
              <w:t>-C)</w:t>
            </w:r>
          </w:p>
        </w:tc>
        <w:tc>
          <w:tcPr>
            <w:tcW w:w="1546" w:type="dxa"/>
            <w:shd w:val="clear" w:color="auto" w:fill="F2F2F2" w:themeFill="background1" w:themeFillShade="F2"/>
            <w:vAlign w:val="center"/>
          </w:tcPr>
          <w:p w:rsidRPr="00F8289C" w:rsidR="00553548" w:rsidP="00584072" w:rsidRDefault="00553548" w14:paraId="47F3E5FC" w14:textId="77777777">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Winterhaven Telephone (U-1021-C)</w:t>
            </w:r>
          </w:p>
        </w:tc>
      </w:tr>
      <w:tr w:rsidRPr="00966429" w:rsidR="00553548" w:rsidTr="00F8289C" w14:paraId="5F1EC08C" w14:textId="77777777">
        <w:trPr>
          <w:trHeight w:val="300"/>
          <w:jc w:val="center"/>
        </w:trPr>
        <w:tc>
          <w:tcPr>
            <w:tcW w:w="1728" w:type="dxa"/>
            <w:shd w:val="clear" w:color="auto" w:fill="F2F2F2" w:themeFill="background1" w:themeFillShade="F2"/>
            <w:vAlign w:val="center"/>
          </w:tcPr>
          <w:p w:rsidRPr="00F8289C" w:rsidR="00553548" w:rsidP="00584072" w:rsidRDefault="00553548" w14:paraId="6B7EA510" w14:textId="77777777">
            <w:pPr>
              <w:tabs>
                <w:tab w:val="left" w:pos="3600"/>
              </w:tabs>
              <w:spacing w:before="120" w:after="120"/>
              <w:rPr>
                <w:rFonts w:ascii="Palatino Linotype" w:hAnsi="Palatino Linotype"/>
                <w:sz w:val="20"/>
                <w:szCs w:val="20"/>
              </w:rPr>
            </w:pPr>
            <w:r w:rsidRPr="00F8289C">
              <w:rPr>
                <w:rFonts w:ascii="Palatino Linotype" w:hAnsi="Palatino Linotype"/>
                <w:sz w:val="20"/>
                <w:szCs w:val="20"/>
              </w:rPr>
              <w:t>Out of Service Repair Interval</w:t>
            </w:r>
          </w:p>
        </w:tc>
        <w:tc>
          <w:tcPr>
            <w:tcW w:w="1328" w:type="dxa"/>
            <w:shd w:val="clear" w:color="auto" w:fill="auto"/>
            <w:vAlign w:val="center"/>
          </w:tcPr>
          <w:p w:rsidRPr="00F8289C" w:rsidR="00553548" w:rsidP="00584072" w:rsidRDefault="00553548" w14:paraId="748F46D4"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$12,600</w:t>
            </w:r>
          </w:p>
        </w:tc>
        <w:tc>
          <w:tcPr>
            <w:tcW w:w="1349" w:type="dxa"/>
            <w:vAlign w:val="center"/>
          </w:tcPr>
          <w:p w:rsidRPr="00F8289C" w:rsidR="00553548" w:rsidP="00F8289C" w:rsidRDefault="00553548" w14:paraId="379D2223" w14:textId="77777777">
            <w:pPr>
              <w:tabs>
                <w:tab w:val="left" w:pos="3600"/>
              </w:tabs>
              <w:jc w:val="center"/>
              <w:rPr>
                <w:rFonts w:ascii="Palatino Linotype" w:hAnsi="Palatino Linotype"/>
                <w:sz w:val="20"/>
                <w:szCs w:val="20"/>
              </w:rPr>
            </w:pPr>
            <w:r w:rsidRPr="00F8289C">
              <w:rPr>
                <w:rFonts w:ascii="Palatino Linotype" w:hAnsi="Palatino Linotype"/>
                <w:sz w:val="20"/>
                <w:szCs w:val="20"/>
              </w:rPr>
              <w:t>$65,100</w:t>
            </w:r>
          </w:p>
        </w:tc>
        <w:tc>
          <w:tcPr>
            <w:tcW w:w="1651" w:type="dxa"/>
            <w:vAlign w:val="center"/>
          </w:tcPr>
          <w:p w:rsidRPr="00F8289C" w:rsidR="00553548" w:rsidP="00584072" w:rsidRDefault="00553548" w14:paraId="22335A94"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$3,375</w:t>
            </w:r>
          </w:p>
        </w:tc>
        <w:tc>
          <w:tcPr>
            <w:tcW w:w="1194" w:type="dxa"/>
            <w:vAlign w:val="center"/>
          </w:tcPr>
          <w:p w:rsidRPr="00F8289C" w:rsidR="00553548" w:rsidP="00F8289C" w:rsidRDefault="00553548" w14:paraId="2726ACA5" w14:textId="77777777">
            <w:pPr>
              <w:tabs>
                <w:tab w:val="left" w:pos="3600"/>
              </w:tabs>
              <w:jc w:val="center"/>
              <w:rPr>
                <w:rFonts w:ascii="Palatino Linotype" w:hAnsi="Palatino Linotype"/>
                <w:sz w:val="20"/>
                <w:szCs w:val="20"/>
              </w:rPr>
            </w:pPr>
            <w:r w:rsidRPr="00F8289C">
              <w:rPr>
                <w:rFonts w:ascii="Palatino Linotype" w:hAnsi="Palatino Linotype"/>
                <w:sz w:val="20"/>
                <w:szCs w:val="20"/>
              </w:rPr>
              <w:t>$900</w:t>
            </w:r>
          </w:p>
        </w:tc>
        <w:tc>
          <w:tcPr>
            <w:tcW w:w="1194" w:type="dxa"/>
            <w:vAlign w:val="center"/>
          </w:tcPr>
          <w:p w:rsidRPr="00F8289C" w:rsidR="00553548" w:rsidP="00584072" w:rsidRDefault="00553548" w14:paraId="11B9F75B"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$525</w:t>
            </w:r>
          </w:p>
        </w:tc>
        <w:tc>
          <w:tcPr>
            <w:tcW w:w="1546" w:type="dxa"/>
            <w:vAlign w:val="center"/>
          </w:tcPr>
          <w:p w:rsidRPr="00F8289C" w:rsidR="00553548" w:rsidP="00584072" w:rsidRDefault="00553548" w14:paraId="2653277D"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$525</w:t>
            </w:r>
          </w:p>
        </w:tc>
      </w:tr>
      <w:tr w:rsidRPr="00966429" w:rsidR="00553548" w:rsidTr="00F8289C" w14:paraId="2A4B43DE" w14:textId="77777777">
        <w:trPr>
          <w:trHeight w:val="194"/>
          <w:jc w:val="center"/>
        </w:trPr>
        <w:tc>
          <w:tcPr>
            <w:tcW w:w="1728" w:type="dxa"/>
            <w:shd w:val="clear" w:color="auto" w:fill="F2F2F2" w:themeFill="background1" w:themeFillShade="F2"/>
            <w:vAlign w:val="center"/>
          </w:tcPr>
          <w:p w:rsidRPr="00F8289C" w:rsidR="00553548" w:rsidP="00584072" w:rsidRDefault="00553548" w14:paraId="39CDA868" w14:textId="77777777">
            <w:pPr>
              <w:tabs>
                <w:tab w:val="left" w:pos="3600"/>
              </w:tabs>
              <w:spacing w:before="120" w:after="120"/>
              <w:rPr>
                <w:rFonts w:ascii="Palatino Linotype" w:hAnsi="Palatino Linotype"/>
                <w:sz w:val="20"/>
                <w:szCs w:val="20"/>
              </w:rPr>
            </w:pPr>
            <w:r w:rsidRPr="00F8289C">
              <w:rPr>
                <w:rFonts w:ascii="Palatino Linotype" w:hAnsi="Palatino Linotype"/>
                <w:sz w:val="20"/>
                <w:szCs w:val="20"/>
              </w:rPr>
              <w:t>Answer Time</w:t>
            </w:r>
          </w:p>
        </w:tc>
        <w:tc>
          <w:tcPr>
            <w:tcW w:w="1328" w:type="dxa"/>
            <w:shd w:val="clear" w:color="auto" w:fill="auto"/>
            <w:vAlign w:val="center"/>
          </w:tcPr>
          <w:p w:rsidRPr="00F8289C" w:rsidR="00553548" w:rsidP="00584072" w:rsidRDefault="00553548" w14:paraId="21C266B0"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$0</w:t>
            </w:r>
          </w:p>
        </w:tc>
        <w:tc>
          <w:tcPr>
            <w:tcW w:w="1349" w:type="dxa"/>
          </w:tcPr>
          <w:p w:rsidRPr="00F8289C" w:rsidR="00553548" w:rsidP="00584072" w:rsidRDefault="00553548" w14:paraId="39EA3DA9"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$6,138</w:t>
            </w:r>
          </w:p>
        </w:tc>
        <w:tc>
          <w:tcPr>
            <w:tcW w:w="1651" w:type="dxa"/>
            <w:vAlign w:val="center"/>
          </w:tcPr>
          <w:p w:rsidRPr="00F8289C" w:rsidR="00553548" w:rsidP="00584072" w:rsidRDefault="00553548" w14:paraId="6A4C606C"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$446</w:t>
            </w:r>
          </w:p>
        </w:tc>
        <w:tc>
          <w:tcPr>
            <w:tcW w:w="1194" w:type="dxa"/>
          </w:tcPr>
          <w:p w:rsidRPr="00F8289C" w:rsidR="00553548" w:rsidP="00584072" w:rsidRDefault="00553548" w14:paraId="0F1BFBE2"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$0</w:t>
            </w:r>
          </w:p>
        </w:tc>
        <w:tc>
          <w:tcPr>
            <w:tcW w:w="1194" w:type="dxa"/>
            <w:vAlign w:val="center"/>
          </w:tcPr>
          <w:p w:rsidRPr="00F8289C" w:rsidR="00553548" w:rsidP="00584072" w:rsidRDefault="00553548" w14:paraId="3F9ACF1D"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$0</w:t>
            </w:r>
          </w:p>
        </w:tc>
        <w:tc>
          <w:tcPr>
            <w:tcW w:w="1546" w:type="dxa"/>
            <w:vAlign w:val="center"/>
          </w:tcPr>
          <w:p w:rsidRPr="00F8289C" w:rsidR="00553548" w:rsidP="00584072" w:rsidRDefault="00553548" w14:paraId="31086659"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sz w:val="20"/>
                <w:szCs w:val="20"/>
              </w:rPr>
              <w:t>$0</w:t>
            </w:r>
          </w:p>
        </w:tc>
      </w:tr>
      <w:tr w:rsidRPr="00966429" w:rsidR="00553548" w:rsidTr="00F8289C" w14:paraId="30B236BB" w14:textId="77777777">
        <w:trPr>
          <w:trHeight w:val="197"/>
          <w:jc w:val="center"/>
        </w:trPr>
        <w:tc>
          <w:tcPr>
            <w:tcW w:w="1728" w:type="dxa"/>
            <w:shd w:val="clear" w:color="auto" w:fill="F2F2F2" w:themeFill="background1" w:themeFillShade="F2"/>
            <w:vAlign w:val="center"/>
          </w:tcPr>
          <w:p w:rsidRPr="00F8289C" w:rsidR="00553548" w:rsidP="00584072" w:rsidRDefault="00553548" w14:paraId="247765D4" w14:textId="77777777">
            <w:pPr>
              <w:tabs>
                <w:tab w:val="left" w:pos="3600"/>
              </w:tabs>
              <w:spacing w:before="120" w:after="120"/>
              <w:rPr>
                <w:rFonts w:ascii="Palatino Linotype" w:hAnsi="Palatino Linotype"/>
                <w:sz w:val="20"/>
                <w:szCs w:val="20"/>
              </w:rPr>
            </w:pPr>
            <w:r w:rsidRPr="00F8289C">
              <w:rPr>
                <w:rFonts w:ascii="Palatino Linotype" w:hAnsi="Palatino Linotype"/>
                <w:b/>
                <w:sz w:val="20"/>
                <w:szCs w:val="20"/>
              </w:rPr>
              <w:t>Total</w:t>
            </w:r>
          </w:p>
        </w:tc>
        <w:tc>
          <w:tcPr>
            <w:tcW w:w="1328" w:type="dxa"/>
            <w:shd w:val="clear" w:color="auto" w:fill="auto"/>
            <w:vAlign w:val="center"/>
          </w:tcPr>
          <w:p w:rsidRPr="00F8289C" w:rsidR="00553548" w:rsidP="00584072" w:rsidRDefault="00553548" w14:paraId="138A491D" w14:textId="77777777">
            <w:pPr>
              <w:tabs>
                <w:tab w:val="left" w:pos="3600"/>
              </w:tabs>
              <w:spacing w:before="120" w:after="120"/>
              <w:jc w:val="center"/>
              <w:rPr>
                <w:rFonts w:ascii="Palatino Linotype" w:hAnsi="Palatino Linotype"/>
                <w:sz w:val="20"/>
                <w:szCs w:val="20"/>
              </w:rPr>
            </w:pPr>
            <w:r w:rsidRPr="00F8289C">
              <w:rPr>
                <w:rFonts w:ascii="Palatino Linotype" w:hAnsi="Palatino Linotype"/>
                <w:b/>
                <w:sz w:val="20"/>
                <w:szCs w:val="20"/>
              </w:rPr>
              <w:t>$12,600</w:t>
            </w:r>
          </w:p>
        </w:tc>
        <w:tc>
          <w:tcPr>
            <w:tcW w:w="1349" w:type="dxa"/>
          </w:tcPr>
          <w:p w:rsidRPr="00F8289C" w:rsidR="00553548" w:rsidP="00584072" w:rsidRDefault="00553548" w14:paraId="3B23A1DF" w14:textId="77777777">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$71,238</w:t>
            </w:r>
          </w:p>
        </w:tc>
        <w:tc>
          <w:tcPr>
            <w:tcW w:w="1651" w:type="dxa"/>
            <w:vAlign w:val="center"/>
          </w:tcPr>
          <w:p w:rsidRPr="00F8289C" w:rsidR="00553548" w:rsidP="00584072" w:rsidRDefault="00553548" w14:paraId="6105B4A9" w14:textId="77777777">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$3,821</w:t>
            </w:r>
          </w:p>
        </w:tc>
        <w:tc>
          <w:tcPr>
            <w:tcW w:w="1194" w:type="dxa"/>
          </w:tcPr>
          <w:p w:rsidRPr="00F8289C" w:rsidR="00553548" w:rsidP="00584072" w:rsidRDefault="00553548" w14:paraId="32F0B0A1" w14:textId="77777777">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$900</w:t>
            </w:r>
          </w:p>
        </w:tc>
        <w:tc>
          <w:tcPr>
            <w:tcW w:w="1194" w:type="dxa"/>
            <w:vAlign w:val="center"/>
          </w:tcPr>
          <w:p w:rsidRPr="00F8289C" w:rsidR="00553548" w:rsidP="00584072" w:rsidRDefault="00553548" w14:paraId="56B4E648" w14:textId="77777777">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$525</w:t>
            </w:r>
          </w:p>
        </w:tc>
        <w:tc>
          <w:tcPr>
            <w:tcW w:w="1546" w:type="dxa"/>
            <w:vAlign w:val="center"/>
          </w:tcPr>
          <w:p w:rsidRPr="00F8289C" w:rsidR="00553548" w:rsidP="00584072" w:rsidRDefault="00553548" w14:paraId="74F3312B" w14:textId="77777777">
            <w:pPr>
              <w:tabs>
                <w:tab w:val="left" w:pos="3600"/>
              </w:tabs>
              <w:spacing w:before="120" w:after="120"/>
              <w:jc w:val="center"/>
              <w:rPr>
                <w:rFonts w:ascii="Palatino Linotype" w:hAnsi="Palatino Linotype"/>
                <w:b/>
                <w:sz w:val="20"/>
                <w:szCs w:val="20"/>
              </w:rPr>
            </w:pPr>
            <w:r w:rsidRPr="00F8289C">
              <w:rPr>
                <w:rFonts w:ascii="Palatino Linotype" w:hAnsi="Palatino Linotype"/>
                <w:b/>
                <w:sz w:val="20"/>
                <w:szCs w:val="20"/>
              </w:rPr>
              <w:t>$525</w:t>
            </w:r>
          </w:p>
        </w:tc>
      </w:tr>
    </w:tbl>
    <w:p w:rsidRPr="00966429" w:rsidR="00080114" w:rsidP="00F8289C" w:rsidRDefault="00080114" w14:paraId="3F977849" w14:textId="77777777">
      <w:pPr>
        <w:rPr>
          <w:rFonts w:ascii="Palatino Linotype" w:hAnsi="Palatino Linotype"/>
        </w:rPr>
      </w:pPr>
    </w:p>
    <w:p w:rsidRPr="00966429" w:rsidR="004B467A" w:rsidP="004B467A" w:rsidRDefault="00080114" w14:paraId="30EE527A" w14:textId="240388A8">
      <w:pPr>
        <w:numPr>
          <w:ilvl w:val="0"/>
          <w:numId w:val="1"/>
        </w:numPr>
        <w:spacing w:before="120" w:after="120"/>
        <w:rPr>
          <w:rFonts w:ascii="Palatino Linotype" w:hAnsi="Palatino Linotype"/>
        </w:rPr>
      </w:pPr>
      <w:r w:rsidRPr="00966429">
        <w:rPr>
          <w:rFonts w:ascii="Palatino Linotype" w:hAnsi="Palatino Linotype"/>
        </w:rPr>
        <w:t xml:space="preserve">Staff reviewed the carriers’ advice letters and </w:t>
      </w:r>
      <w:r w:rsidRPr="00966429" w:rsidR="00B27918">
        <w:rPr>
          <w:rFonts w:ascii="Palatino Linotype" w:hAnsi="Palatino Linotype"/>
        </w:rPr>
        <w:t>accepts</w:t>
      </w:r>
      <w:r w:rsidRPr="00966429">
        <w:rPr>
          <w:rFonts w:ascii="Palatino Linotype" w:hAnsi="Palatino Linotype"/>
        </w:rPr>
        <w:t xml:space="preserve"> the proposed fine calculations </w:t>
      </w:r>
      <w:r w:rsidRPr="00966429" w:rsidR="00B27918">
        <w:rPr>
          <w:rFonts w:ascii="Palatino Linotype" w:hAnsi="Palatino Linotype"/>
        </w:rPr>
        <w:t>as</w:t>
      </w:r>
      <w:r w:rsidRPr="00966429">
        <w:rPr>
          <w:rFonts w:ascii="Palatino Linotype" w:hAnsi="Palatino Linotype"/>
        </w:rPr>
        <w:t xml:space="preserve"> correct based upon the methodology defined in General Order 133-D, Section 9</w:t>
      </w:r>
      <w:r w:rsidRPr="00966429" w:rsidR="004B467A">
        <w:rPr>
          <w:rFonts w:ascii="Palatino Linotype" w:hAnsi="Palatino Linotype"/>
        </w:rPr>
        <w:t>.</w:t>
      </w:r>
    </w:p>
    <w:p w:rsidRPr="00966429" w:rsidR="00536CB0" w:rsidP="004B467A" w:rsidRDefault="00E068F3" w14:paraId="369E56BF" w14:textId="28D1BED6">
      <w:pPr>
        <w:numPr>
          <w:ilvl w:val="0"/>
          <w:numId w:val="1"/>
        </w:numPr>
        <w:spacing w:before="120" w:after="120"/>
        <w:rPr>
          <w:rFonts w:ascii="Palatino Linotype" w:hAnsi="Palatino Linotype"/>
        </w:rPr>
      </w:pPr>
      <w:r w:rsidRPr="00966429">
        <w:rPr>
          <w:rFonts w:ascii="Palatino Linotype" w:hAnsi="Palatino Linotype"/>
        </w:rPr>
        <w:t>The carriers should remit their fines to the Commission within 30 days of this Resolution’s adoption date.  The Commission will deposit the fine payments into the California General Fund.</w:t>
      </w:r>
    </w:p>
    <w:p w:rsidRPr="00966429" w:rsidR="00080114" w:rsidP="004B467A" w:rsidRDefault="00080114" w14:paraId="41DED083" w14:textId="259A1FC7">
      <w:pPr>
        <w:numPr>
          <w:ilvl w:val="0"/>
          <w:numId w:val="1"/>
        </w:numPr>
        <w:spacing w:before="120" w:after="120"/>
        <w:rPr>
          <w:rFonts w:ascii="Palatino Linotype" w:hAnsi="Palatino Linotype"/>
        </w:rPr>
      </w:pPr>
      <w:r w:rsidRPr="00966429">
        <w:rPr>
          <w:rFonts w:ascii="Palatino Linotype" w:hAnsi="Palatino Linotype"/>
        </w:rPr>
        <w:t xml:space="preserve">On </w:t>
      </w:r>
      <w:r w:rsidRPr="00966429" w:rsidR="007538F6">
        <w:rPr>
          <w:rFonts w:ascii="Palatino Linotype" w:hAnsi="Palatino Linotype"/>
        </w:rPr>
        <w:t>April</w:t>
      </w:r>
      <w:r w:rsidRPr="00966429" w:rsidR="00774D5B">
        <w:rPr>
          <w:rFonts w:ascii="Palatino Linotype" w:hAnsi="Palatino Linotype"/>
        </w:rPr>
        <w:t xml:space="preserve"> 30,</w:t>
      </w:r>
      <w:r w:rsidRPr="00966429" w:rsidR="00721292">
        <w:rPr>
          <w:rFonts w:ascii="Palatino Linotype" w:hAnsi="Palatino Linotype"/>
        </w:rPr>
        <w:t xml:space="preserve"> 201</w:t>
      </w:r>
      <w:r w:rsidRPr="00966429" w:rsidR="00325212">
        <w:rPr>
          <w:rFonts w:ascii="Palatino Linotype" w:hAnsi="Palatino Linotype"/>
        </w:rPr>
        <w:t>9</w:t>
      </w:r>
      <w:r w:rsidRPr="00966429" w:rsidR="00721292">
        <w:rPr>
          <w:rFonts w:ascii="Palatino Linotype" w:hAnsi="Palatino Linotype"/>
        </w:rPr>
        <w:t>,</w:t>
      </w:r>
      <w:r w:rsidRPr="00966429">
        <w:rPr>
          <w:rFonts w:ascii="Palatino Linotype" w:hAnsi="Palatino Linotype"/>
          <w:b/>
        </w:rPr>
        <w:t xml:space="preserve"> </w:t>
      </w:r>
      <w:r w:rsidRPr="00966429">
        <w:rPr>
          <w:rFonts w:ascii="Palatino Linotype" w:hAnsi="Palatino Linotype"/>
        </w:rPr>
        <w:t>the Comm</w:t>
      </w:r>
      <w:r w:rsidRPr="00966429" w:rsidR="00B27918">
        <w:rPr>
          <w:rFonts w:ascii="Palatino Linotype" w:hAnsi="Palatino Linotype"/>
        </w:rPr>
        <w:t>ission emailed a draft of this R</w:t>
      </w:r>
      <w:r w:rsidRPr="00966429">
        <w:rPr>
          <w:rFonts w:ascii="Palatino Linotype" w:hAnsi="Palatino Linotype"/>
        </w:rPr>
        <w:t xml:space="preserve">esolution to all parties in the </w:t>
      </w:r>
      <w:r w:rsidRPr="00966429" w:rsidR="008D5DBF">
        <w:rPr>
          <w:rFonts w:ascii="Palatino Linotype" w:hAnsi="Palatino Linotype"/>
        </w:rPr>
        <w:t>general</w:t>
      </w:r>
      <w:r w:rsidRPr="00966429">
        <w:rPr>
          <w:rFonts w:ascii="Palatino Linotype" w:hAnsi="Palatino Linotype"/>
        </w:rPr>
        <w:t xml:space="preserve"> service list for public comments.</w:t>
      </w:r>
    </w:p>
    <w:p w:rsidRPr="00966429" w:rsidR="003B1DBD" w:rsidP="003B1DBD" w:rsidRDefault="003B1DBD" w14:paraId="1BF2024A" w14:textId="77777777">
      <w:pPr>
        <w:tabs>
          <w:tab w:val="left" w:pos="240"/>
          <w:tab w:val="left" w:pos="720"/>
          <w:tab w:val="right" w:pos="10080"/>
        </w:tabs>
        <w:jc w:val="both"/>
        <w:rPr>
          <w:rFonts w:ascii="Palatino Linotype" w:hAnsi="Palatino Linotype"/>
          <w:b/>
        </w:rPr>
      </w:pPr>
    </w:p>
    <w:p w:rsidRPr="00966429" w:rsidR="003B1DBD" w:rsidP="00E5117F" w:rsidRDefault="003B1DBD" w14:paraId="2E4E9C69" w14:textId="77777777">
      <w:pPr>
        <w:pStyle w:val="Heading1"/>
        <w:spacing w:before="120" w:after="120"/>
        <w:jc w:val="both"/>
        <w:rPr>
          <w:rFonts w:ascii="Palatino Linotype" w:hAnsi="Palatino Linotype"/>
          <w:sz w:val="24"/>
          <w:u w:val="none"/>
        </w:rPr>
      </w:pPr>
      <w:r w:rsidRPr="00966429">
        <w:rPr>
          <w:rFonts w:ascii="Palatino Linotype" w:hAnsi="Palatino Linotype"/>
          <w:sz w:val="24"/>
          <w:u w:val="none"/>
        </w:rPr>
        <w:t>THERFORE, IT IS ORDERED that:</w:t>
      </w:r>
    </w:p>
    <w:p w:rsidRPr="00966429" w:rsidR="00813E41" w:rsidP="0076220F" w:rsidRDefault="00BC467A" w14:paraId="560C86AA" w14:textId="52FD14B0">
      <w:pPr>
        <w:numPr>
          <w:ilvl w:val="0"/>
          <w:numId w:val="7"/>
        </w:numPr>
        <w:spacing w:before="120" w:after="120"/>
        <w:rPr>
          <w:rFonts w:ascii="Palatino Linotype" w:hAnsi="Palatino Linotype"/>
        </w:rPr>
      </w:pPr>
      <w:r w:rsidRPr="00966429">
        <w:rPr>
          <w:rFonts w:ascii="Palatino Linotype" w:hAnsi="Palatino Linotype"/>
        </w:rPr>
        <w:t xml:space="preserve">The California Public Utilities Commission approves </w:t>
      </w:r>
      <w:r w:rsidRPr="00966429" w:rsidR="00080114">
        <w:rPr>
          <w:rFonts w:ascii="Palatino Linotype" w:hAnsi="Palatino Linotype"/>
        </w:rPr>
        <w:t xml:space="preserve">the </w:t>
      </w:r>
      <w:r w:rsidRPr="00966429" w:rsidR="00F206DE">
        <w:rPr>
          <w:rFonts w:ascii="Palatino Linotype" w:hAnsi="Palatino Linotype"/>
        </w:rPr>
        <w:t>A</w:t>
      </w:r>
      <w:r w:rsidRPr="00966429" w:rsidR="00080114">
        <w:rPr>
          <w:rFonts w:ascii="Palatino Linotype" w:hAnsi="Palatino Linotype"/>
        </w:rPr>
        <w:t xml:space="preserve">dvice </w:t>
      </w:r>
      <w:r w:rsidRPr="00966429" w:rsidR="00F206DE">
        <w:rPr>
          <w:rFonts w:ascii="Palatino Linotype" w:hAnsi="Palatino Linotype"/>
        </w:rPr>
        <w:t>L</w:t>
      </w:r>
      <w:r w:rsidRPr="00966429" w:rsidR="00080114">
        <w:rPr>
          <w:rFonts w:ascii="Palatino Linotype" w:hAnsi="Palatino Linotype"/>
        </w:rPr>
        <w:t xml:space="preserve">etters from </w:t>
      </w:r>
      <w:r w:rsidRPr="00966429" w:rsidR="005A2618">
        <w:rPr>
          <w:rFonts w:ascii="Palatino Linotype" w:hAnsi="Palatino Linotype"/>
        </w:rPr>
        <w:t xml:space="preserve">AT&amp;T Corporation (U-5002-C), </w:t>
      </w:r>
      <w:r w:rsidRPr="00966429" w:rsidR="00C545D1">
        <w:rPr>
          <w:rFonts w:ascii="Palatino Linotype" w:hAnsi="Palatino Linotype"/>
        </w:rPr>
        <w:t xml:space="preserve">Frontier Citizens Telecommunications Company (U-1024-C), </w:t>
      </w:r>
      <w:r w:rsidRPr="00966429" w:rsidR="005A2618">
        <w:rPr>
          <w:rFonts w:ascii="Palatino Linotype" w:hAnsi="Palatino Linotype"/>
        </w:rPr>
        <w:t xml:space="preserve">Frontier Communications of the Southwest (U-1026-C), </w:t>
      </w:r>
      <w:r w:rsidRPr="00966429" w:rsidR="00C545D1">
        <w:rPr>
          <w:rFonts w:ascii="Palatino Linotype" w:hAnsi="Palatino Linotype"/>
        </w:rPr>
        <w:t>Happy Valley</w:t>
      </w:r>
      <w:r w:rsidRPr="00966429" w:rsidR="005A2618">
        <w:rPr>
          <w:rFonts w:ascii="Palatino Linotype" w:hAnsi="Palatino Linotype"/>
        </w:rPr>
        <w:t xml:space="preserve"> Telephone </w:t>
      </w:r>
      <w:r w:rsidR="00F8289C">
        <w:rPr>
          <w:rFonts w:ascii="Palatino Linotype" w:hAnsi="Palatino Linotype"/>
        </w:rPr>
        <w:br/>
      </w:r>
      <w:r w:rsidRPr="00966429" w:rsidR="005A2618">
        <w:rPr>
          <w:rFonts w:ascii="Palatino Linotype" w:hAnsi="Palatino Linotype"/>
        </w:rPr>
        <w:t>(U-10</w:t>
      </w:r>
      <w:r w:rsidRPr="00966429" w:rsidR="00C545D1">
        <w:rPr>
          <w:rFonts w:ascii="Palatino Linotype" w:hAnsi="Palatino Linotype"/>
        </w:rPr>
        <w:t>10</w:t>
      </w:r>
      <w:r w:rsidRPr="00966429" w:rsidR="005A2618">
        <w:rPr>
          <w:rFonts w:ascii="Palatino Linotype" w:hAnsi="Palatino Linotype"/>
        </w:rPr>
        <w:t xml:space="preserve">-C), </w:t>
      </w:r>
      <w:r w:rsidRPr="00966429" w:rsidR="00C545D1">
        <w:rPr>
          <w:rFonts w:ascii="Palatino Linotype" w:hAnsi="Palatino Linotype"/>
        </w:rPr>
        <w:t>Hornitos</w:t>
      </w:r>
      <w:r w:rsidRPr="00966429" w:rsidR="005A2618">
        <w:rPr>
          <w:rFonts w:ascii="Palatino Linotype" w:hAnsi="Palatino Linotype"/>
        </w:rPr>
        <w:t xml:space="preserve"> Telepho</w:t>
      </w:r>
      <w:r w:rsidRPr="00966429" w:rsidR="00C545D1">
        <w:rPr>
          <w:rFonts w:ascii="Palatino Linotype" w:hAnsi="Palatino Linotype"/>
        </w:rPr>
        <w:t xml:space="preserve">ne </w:t>
      </w:r>
      <w:r w:rsidRPr="00966429" w:rsidR="005A2618">
        <w:rPr>
          <w:rFonts w:ascii="Palatino Linotype" w:hAnsi="Palatino Linotype"/>
        </w:rPr>
        <w:t>(U-101</w:t>
      </w:r>
      <w:r w:rsidRPr="00966429" w:rsidR="004114DC">
        <w:rPr>
          <w:rFonts w:ascii="Palatino Linotype" w:hAnsi="Palatino Linotype"/>
        </w:rPr>
        <w:t>1</w:t>
      </w:r>
      <w:r w:rsidRPr="00966429" w:rsidR="005A2618">
        <w:rPr>
          <w:rFonts w:ascii="Palatino Linotype" w:hAnsi="Palatino Linotype"/>
        </w:rPr>
        <w:t>-C)</w:t>
      </w:r>
      <w:r w:rsidRPr="00966429" w:rsidR="00080114">
        <w:rPr>
          <w:rFonts w:ascii="Palatino Linotype" w:hAnsi="Palatino Linotype"/>
        </w:rPr>
        <w:t xml:space="preserve">, </w:t>
      </w:r>
      <w:r w:rsidRPr="00966429" w:rsidR="00C545D1">
        <w:rPr>
          <w:rFonts w:ascii="Palatino Linotype" w:hAnsi="Palatino Linotype"/>
        </w:rPr>
        <w:t xml:space="preserve">and Winterhaven </w:t>
      </w:r>
      <w:r w:rsidRPr="00966429" w:rsidR="00A00470">
        <w:rPr>
          <w:rFonts w:ascii="Palatino Linotype" w:hAnsi="Palatino Linotype"/>
        </w:rPr>
        <w:t xml:space="preserve">Telephone </w:t>
      </w:r>
      <w:r w:rsidRPr="00966429" w:rsidR="00C545D1">
        <w:rPr>
          <w:rFonts w:ascii="Palatino Linotype" w:hAnsi="Palatino Linotype"/>
        </w:rPr>
        <w:t xml:space="preserve">(U-1021-C) </w:t>
      </w:r>
      <w:r w:rsidRPr="00966429" w:rsidR="00080114">
        <w:rPr>
          <w:rFonts w:ascii="Palatino Linotype" w:hAnsi="Palatino Linotype"/>
        </w:rPr>
        <w:t>which calculate their respective service quality fines under General Order 133-D</w:t>
      </w:r>
      <w:r w:rsidRPr="00966429" w:rsidR="005A2618">
        <w:rPr>
          <w:rFonts w:ascii="Palatino Linotype" w:hAnsi="Palatino Linotype"/>
        </w:rPr>
        <w:t xml:space="preserve"> for Year 201</w:t>
      </w:r>
      <w:r w:rsidRPr="00966429" w:rsidR="00325212">
        <w:rPr>
          <w:rFonts w:ascii="Palatino Linotype" w:hAnsi="Palatino Linotype"/>
        </w:rPr>
        <w:t>8</w:t>
      </w:r>
      <w:r w:rsidRPr="00966429" w:rsidR="002A6369">
        <w:rPr>
          <w:rFonts w:ascii="Palatino Linotype" w:hAnsi="Palatino Linotype"/>
        </w:rPr>
        <w:t xml:space="preserve">.  The carriers are required to pay fines as set forth in this Resolution. </w:t>
      </w:r>
    </w:p>
    <w:p w:rsidR="003B1DBD" w:rsidP="00C008CE" w:rsidRDefault="00080114" w14:paraId="7C212C02" w14:textId="520F82CC">
      <w:pPr>
        <w:numPr>
          <w:ilvl w:val="0"/>
          <w:numId w:val="7"/>
        </w:numPr>
        <w:spacing w:before="120" w:after="120"/>
        <w:rPr>
          <w:rFonts w:ascii="Palatino Linotype" w:hAnsi="Palatino Linotype"/>
        </w:rPr>
      </w:pPr>
      <w:r w:rsidRPr="00966429">
        <w:rPr>
          <w:rFonts w:ascii="Palatino Linotype" w:hAnsi="Palatino Linotype"/>
        </w:rPr>
        <w:t xml:space="preserve">The carriers shall pay their assessed fines </w:t>
      </w:r>
      <w:r w:rsidRPr="00966429" w:rsidR="004B467A">
        <w:rPr>
          <w:rFonts w:ascii="Palatino Linotype" w:hAnsi="Palatino Linotype"/>
        </w:rPr>
        <w:t xml:space="preserve">to the California Public Utilities Commission as specified in </w:t>
      </w:r>
      <w:r w:rsidRPr="00966429">
        <w:rPr>
          <w:rFonts w:ascii="Palatino Linotype" w:hAnsi="Palatino Linotype"/>
        </w:rPr>
        <w:t>their advice letters within 30 days of this Resolution’s adoption date</w:t>
      </w:r>
      <w:r w:rsidRPr="00966429" w:rsidR="00BC1965">
        <w:rPr>
          <w:rFonts w:ascii="Palatino Linotype" w:hAnsi="Palatino Linotype"/>
        </w:rPr>
        <w:t xml:space="preserve">.  </w:t>
      </w:r>
      <w:r w:rsidRPr="00966429" w:rsidR="004B467A">
        <w:rPr>
          <w:rFonts w:ascii="Palatino Linotype" w:hAnsi="Palatino Linotype"/>
        </w:rPr>
        <w:t>The California Public Utilities Commission shall deposit th</w:t>
      </w:r>
      <w:r w:rsidRPr="00966429" w:rsidR="00A00470">
        <w:rPr>
          <w:rFonts w:ascii="Palatino Linotype" w:hAnsi="Palatino Linotype"/>
        </w:rPr>
        <w:t>e fine payments</w:t>
      </w:r>
      <w:r w:rsidRPr="00966429" w:rsidR="004B467A">
        <w:rPr>
          <w:rFonts w:ascii="Palatino Linotype" w:hAnsi="Palatino Linotype"/>
        </w:rPr>
        <w:t xml:space="preserve"> </w:t>
      </w:r>
      <w:r w:rsidRPr="00966429" w:rsidR="00A00470">
        <w:rPr>
          <w:rFonts w:ascii="Palatino Linotype" w:hAnsi="Palatino Linotype"/>
        </w:rPr>
        <w:t>in</w:t>
      </w:r>
      <w:r w:rsidRPr="00966429" w:rsidR="004B467A">
        <w:rPr>
          <w:rFonts w:ascii="Palatino Linotype" w:hAnsi="Palatino Linotype"/>
        </w:rPr>
        <w:t>to the California General Fund.</w:t>
      </w:r>
    </w:p>
    <w:p w:rsidRPr="00966429" w:rsidR="00F8289C" w:rsidP="00F8289C" w:rsidRDefault="00F8289C" w14:paraId="3819A44D" w14:textId="77777777">
      <w:pPr>
        <w:spacing w:before="120" w:after="120"/>
        <w:rPr>
          <w:rFonts w:ascii="Palatino Linotype" w:hAnsi="Palatino Linotype"/>
        </w:rPr>
      </w:pPr>
    </w:p>
    <w:p w:rsidRPr="00966429" w:rsidR="00080114" w:rsidP="00C008CE" w:rsidRDefault="00080114" w14:paraId="1FA2427D" w14:textId="0FCAC5FD">
      <w:pPr>
        <w:numPr>
          <w:ilvl w:val="0"/>
          <w:numId w:val="7"/>
        </w:numPr>
        <w:spacing w:before="120" w:after="120"/>
        <w:rPr>
          <w:rFonts w:ascii="Palatino Linotype" w:hAnsi="Palatino Linotype"/>
        </w:rPr>
      </w:pPr>
      <w:r w:rsidRPr="00966429">
        <w:rPr>
          <w:rFonts w:ascii="Palatino Linotype" w:hAnsi="Palatino Linotype"/>
        </w:rPr>
        <w:lastRenderedPageBreak/>
        <w:t xml:space="preserve">Fines </w:t>
      </w:r>
      <w:r w:rsidRPr="00966429" w:rsidR="00A00470">
        <w:rPr>
          <w:rFonts w:ascii="Palatino Linotype" w:hAnsi="Palatino Linotype"/>
        </w:rPr>
        <w:t>shall</w:t>
      </w:r>
      <w:r w:rsidRPr="00966429">
        <w:rPr>
          <w:rFonts w:ascii="Palatino Linotype" w:hAnsi="Palatino Linotype"/>
        </w:rPr>
        <w:t xml:space="preserve"> be paid </w:t>
      </w:r>
      <w:r w:rsidRPr="00966429" w:rsidR="00721292">
        <w:rPr>
          <w:rFonts w:ascii="Palatino Linotype" w:hAnsi="Palatino Linotype"/>
        </w:rPr>
        <w:t>within 30 days from the effective date of this Resolution by a check or money order payable</w:t>
      </w:r>
      <w:r w:rsidRPr="00966429">
        <w:rPr>
          <w:rFonts w:ascii="Palatino Linotype" w:hAnsi="Palatino Linotype"/>
        </w:rPr>
        <w:t xml:space="preserve"> to the </w:t>
      </w:r>
      <w:r w:rsidRPr="00966429">
        <w:rPr>
          <w:rFonts w:ascii="Palatino Linotype" w:hAnsi="Palatino Linotype"/>
          <w:u w:val="single"/>
        </w:rPr>
        <w:t>California Public Utilities Commission</w:t>
      </w:r>
      <w:r w:rsidRPr="00966429">
        <w:rPr>
          <w:rFonts w:ascii="Palatino Linotype" w:hAnsi="Palatino Linotype"/>
        </w:rPr>
        <w:t>, and mailed or delivered to:</w:t>
      </w:r>
    </w:p>
    <w:p w:rsidRPr="00966429" w:rsidR="00080114" w:rsidP="00080114" w:rsidRDefault="00080114" w14:paraId="2EDD6F55" w14:textId="77777777">
      <w:pPr>
        <w:ind w:left="2880"/>
        <w:rPr>
          <w:rFonts w:ascii="Palatino Linotype" w:hAnsi="Palatino Linotype"/>
        </w:rPr>
      </w:pPr>
      <w:r w:rsidRPr="00966429">
        <w:rPr>
          <w:rFonts w:ascii="Palatino Linotype" w:hAnsi="Palatino Linotype"/>
        </w:rPr>
        <w:t>California Public Utilities Commission</w:t>
      </w:r>
    </w:p>
    <w:p w:rsidRPr="00966429" w:rsidR="00080114" w:rsidP="00080114" w:rsidRDefault="00080114" w14:paraId="0004D305" w14:textId="77777777">
      <w:pPr>
        <w:ind w:left="2880"/>
        <w:rPr>
          <w:rFonts w:ascii="Palatino Linotype" w:hAnsi="Palatino Linotype"/>
        </w:rPr>
      </w:pPr>
      <w:r w:rsidRPr="00966429">
        <w:rPr>
          <w:rFonts w:ascii="Palatino Linotype" w:hAnsi="Palatino Linotype"/>
        </w:rPr>
        <w:t>Fiscal Office</w:t>
      </w:r>
    </w:p>
    <w:p w:rsidRPr="00966429" w:rsidR="00080114" w:rsidP="00080114" w:rsidRDefault="00080114" w14:paraId="542010B3" w14:textId="77777777">
      <w:pPr>
        <w:ind w:left="2880"/>
        <w:rPr>
          <w:rFonts w:ascii="Palatino Linotype" w:hAnsi="Palatino Linotype"/>
        </w:rPr>
      </w:pPr>
      <w:r w:rsidRPr="00966429">
        <w:rPr>
          <w:rFonts w:ascii="Palatino Linotype" w:hAnsi="Palatino Linotype"/>
        </w:rPr>
        <w:t>505 Van Ness Avenue, Room 3000</w:t>
      </w:r>
    </w:p>
    <w:p w:rsidRPr="00966429" w:rsidR="00080114" w:rsidP="00080114" w:rsidRDefault="00080114" w14:paraId="6D2D9178" w14:textId="77777777">
      <w:pPr>
        <w:ind w:left="2880"/>
        <w:rPr>
          <w:rFonts w:ascii="Palatino Linotype" w:hAnsi="Palatino Linotype"/>
        </w:rPr>
      </w:pPr>
      <w:r w:rsidRPr="00966429">
        <w:rPr>
          <w:rFonts w:ascii="Palatino Linotype" w:hAnsi="Palatino Linotype"/>
        </w:rPr>
        <w:t>San Francisco, CA 94102</w:t>
      </w:r>
    </w:p>
    <w:p w:rsidRPr="00966429" w:rsidR="00080114" w:rsidP="00080114" w:rsidRDefault="00080114" w14:paraId="0832AC9F" w14:textId="77777777">
      <w:pPr>
        <w:ind w:left="2880"/>
        <w:rPr>
          <w:rFonts w:ascii="Palatino Linotype" w:hAnsi="Palatino Linotype"/>
        </w:rPr>
      </w:pPr>
    </w:p>
    <w:p w:rsidRPr="00966429" w:rsidR="00605564" w:rsidP="00080114" w:rsidRDefault="00080114" w14:paraId="1B150557" w14:textId="77777777">
      <w:pPr>
        <w:tabs>
          <w:tab w:val="left" w:pos="240"/>
          <w:tab w:val="left" w:pos="720"/>
          <w:tab w:val="right" w:pos="10080"/>
        </w:tabs>
        <w:ind w:left="240"/>
        <w:jc w:val="both"/>
        <w:rPr>
          <w:rFonts w:ascii="Palatino Linotype" w:hAnsi="Palatino Linotype"/>
        </w:rPr>
      </w:pPr>
      <w:r w:rsidRPr="00966429">
        <w:rPr>
          <w:rFonts w:ascii="Palatino Linotype" w:hAnsi="Palatino Linotype"/>
        </w:rPr>
        <w:t>The telephone corporation should write on the fa</w:t>
      </w:r>
      <w:r w:rsidRPr="00966429" w:rsidR="00605564">
        <w:rPr>
          <w:rFonts w:ascii="Palatino Linotype" w:hAnsi="Palatino Linotype"/>
        </w:rPr>
        <w:t>ce of the check or money order:</w:t>
      </w:r>
    </w:p>
    <w:p w:rsidRPr="00966429" w:rsidR="003B1DBD" w:rsidP="00080114" w:rsidRDefault="00080114" w14:paraId="107A8937" w14:textId="77777777">
      <w:pPr>
        <w:tabs>
          <w:tab w:val="left" w:pos="240"/>
          <w:tab w:val="left" w:pos="720"/>
          <w:tab w:val="right" w:pos="10080"/>
        </w:tabs>
        <w:ind w:left="240"/>
        <w:jc w:val="both"/>
        <w:rPr>
          <w:rFonts w:ascii="Palatino Linotype" w:hAnsi="Palatino Linotype"/>
        </w:rPr>
      </w:pPr>
      <w:r w:rsidRPr="00966429">
        <w:rPr>
          <w:rFonts w:ascii="Palatino Linotype" w:hAnsi="Palatino Linotype"/>
        </w:rPr>
        <w:t>“</w:t>
      </w:r>
      <w:r w:rsidRPr="00966429">
        <w:rPr>
          <w:rFonts w:ascii="Palatino Linotype" w:hAnsi="Palatino Linotype"/>
          <w:b/>
        </w:rPr>
        <w:t>For deposit to the State of California General Fund, per Resolution T-</w:t>
      </w:r>
      <w:r w:rsidRPr="00966429" w:rsidR="00721292">
        <w:rPr>
          <w:rFonts w:ascii="Palatino Linotype" w:hAnsi="Palatino Linotype"/>
          <w:b/>
        </w:rPr>
        <w:t>17607</w:t>
      </w:r>
      <w:r w:rsidRPr="00966429">
        <w:rPr>
          <w:rFonts w:ascii="Palatino Linotype" w:hAnsi="Palatino Linotype"/>
        </w:rPr>
        <w:t>.</w:t>
      </w:r>
      <w:r w:rsidRPr="00966429" w:rsidR="00721292">
        <w:rPr>
          <w:rFonts w:ascii="Palatino Linotype" w:hAnsi="Palatino Linotype"/>
        </w:rPr>
        <w:t>”</w:t>
      </w:r>
    </w:p>
    <w:p w:rsidRPr="00966429" w:rsidR="00605564" w:rsidP="003B1DBD" w:rsidRDefault="00605564" w14:paraId="2BBDB978" w14:textId="77777777">
      <w:pPr>
        <w:tabs>
          <w:tab w:val="left" w:pos="240"/>
          <w:tab w:val="left" w:pos="720"/>
          <w:tab w:val="right" w:pos="10080"/>
        </w:tabs>
        <w:jc w:val="both"/>
        <w:rPr>
          <w:rFonts w:ascii="Palatino Linotype" w:hAnsi="Palatino Linotype"/>
        </w:rPr>
      </w:pPr>
    </w:p>
    <w:p w:rsidR="00605564" w:rsidP="003B1DBD" w:rsidRDefault="00605564" w14:paraId="28810CD5" w14:textId="4AC0EFCB">
      <w:pPr>
        <w:tabs>
          <w:tab w:val="left" w:pos="240"/>
          <w:tab w:val="left" w:pos="720"/>
          <w:tab w:val="right" w:pos="10080"/>
        </w:tabs>
        <w:jc w:val="both"/>
        <w:rPr>
          <w:rFonts w:ascii="Palatino Linotype" w:hAnsi="Palatino Linotype"/>
        </w:rPr>
      </w:pPr>
    </w:p>
    <w:p w:rsidRPr="00966429" w:rsidR="00F8289C" w:rsidP="003B1DBD" w:rsidRDefault="00F8289C" w14:paraId="66BC2612" w14:textId="77777777">
      <w:pPr>
        <w:tabs>
          <w:tab w:val="left" w:pos="240"/>
          <w:tab w:val="left" w:pos="720"/>
          <w:tab w:val="right" w:pos="10080"/>
        </w:tabs>
        <w:jc w:val="both"/>
        <w:rPr>
          <w:rFonts w:ascii="Palatino Linotype" w:hAnsi="Palatino Linotype"/>
        </w:rPr>
      </w:pPr>
    </w:p>
    <w:p w:rsidRPr="00966429" w:rsidR="00605564" w:rsidP="003B1DBD" w:rsidRDefault="00500897" w14:paraId="79D611DB" w14:textId="2468D9B4">
      <w:pPr>
        <w:tabs>
          <w:tab w:val="left" w:pos="240"/>
          <w:tab w:val="left" w:pos="720"/>
          <w:tab w:val="right" w:pos="10080"/>
        </w:tabs>
        <w:jc w:val="both"/>
        <w:rPr>
          <w:rFonts w:ascii="Palatino Linotype" w:hAnsi="Palatino Linotype"/>
        </w:rPr>
      </w:pPr>
      <w:r w:rsidRPr="00966429">
        <w:rPr>
          <w:rFonts w:ascii="Palatino Linotype" w:hAnsi="Palatino Linotype"/>
        </w:rPr>
        <w:t>This R</w:t>
      </w:r>
      <w:r w:rsidRPr="00966429" w:rsidR="003B1DBD">
        <w:rPr>
          <w:rFonts w:ascii="Palatino Linotype" w:hAnsi="Palatino Linotype"/>
        </w:rPr>
        <w:t>esolution is e</w:t>
      </w:r>
      <w:r w:rsidRPr="00966429" w:rsidR="00080114">
        <w:rPr>
          <w:rFonts w:ascii="Palatino Linotype" w:hAnsi="Palatino Linotype"/>
        </w:rPr>
        <w:t>ffective today.</w:t>
      </w:r>
    </w:p>
    <w:p w:rsidRPr="00966429" w:rsidR="003B1DBD" w:rsidP="003B1DBD" w:rsidRDefault="003B1DBD" w14:paraId="2477ED88" w14:textId="77777777">
      <w:pPr>
        <w:tabs>
          <w:tab w:val="left" w:pos="240"/>
          <w:tab w:val="left" w:pos="720"/>
          <w:tab w:val="right" w:pos="10080"/>
        </w:tabs>
        <w:jc w:val="both"/>
        <w:rPr>
          <w:rFonts w:ascii="Palatino Linotype" w:hAnsi="Palatino Linotype"/>
        </w:rPr>
      </w:pPr>
    </w:p>
    <w:p w:rsidRPr="00966429" w:rsidR="003B1DBD" w:rsidP="003B1DBD" w:rsidRDefault="003B1DBD" w14:paraId="27E02E55" w14:textId="66059115">
      <w:pPr>
        <w:tabs>
          <w:tab w:val="left" w:pos="240"/>
          <w:tab w:val="left" w:pos="720"/>
          <w:tab w:val="right" w:pos="10080"/>
        </w:tabs>
        <w:rPr>
          <w:rFonts w:ascii="Palatino Linotype" w:hAnsi="Palatino Linotype"/>
        </w:rPr>
      </w:pPr>
      <w:r w:rsidRPr="00966429">
        <w:rPr>
          <w:rFonts w:ascii="Palatino Linotype" w:hAnsi="Palatino Linotype"/>
        </w:rPr>
        <w:t xml:space="preserve">I </w:t>
      </w:r>
      <w:r w:rsidRPr="00966429" w:rsidR="00605564">
        <w:rPr>
          <w:rFonts w:ascii="Palatino Linotype" w:hAnsi="Palatino Linotype"/>
        </w:rPr>
        <w:t xml:space="preserve">hereby </w:t>
      </w:r>
      <w:r w:rsidRPr="00966429">
        <w:rPr>
          <w:rFonts w:ascii="Palatino Linotype" w:hAnsi="Palatino Linotype"/>
        </w:rPr>
        <w:t xml:space="preserve">certify that </w:t>
      </w:r>
      <w:r w:rsidRPr="00966429" w:rsidR="002B33B7">
        <w:rPr>
          <w:rFonts w:ascii="Palatino Linotype" w:hAnsi="Palatino Linotype"/>
        </w:rPr>
        <w:t>t</w:t>
      </w:r>
      <w:r w:rsidRPr="00966429" w:rsidR="00605564">
        <w:rPr>
          <w:rFonts w:ascii="Palatino Linotype" w:hAnsi="Palatino Linotype"/>
        </w:rPr>
        <w:t>his</w:t>
      </w:r>
      <w:r w:rsidRPr="00966429" w:rsidR="002B33B7">
        <w:rPr>
          <w:rFonts w:ascii="Palatino Linotype" w:hAnsi="Palatino Linotype"/>
        </w:rPr>
        <w:t xml:space="preserve"> R</w:t>
      </w:r>
      <w:r w:rsidRPr="00966429">
        <w:rPr>
          <w:rFonts w:ascii="Palatino Linotype" w:hAnsi="Palatino Linotype"/>
        </w:rPr>
        <w:t xml:space="preserve">esolution was adopted </w:t>
      </w:r>
      <w:r w:rsidRPr="00966429" w:rsidR="00605564">
        <w:rPr>
          <w:rFonts w:ascii="Palatino Linotype" w:hAnsi="Palatino Linotype"/>
        </w:rPr>
        <w:t>by</w:t>
      </w:r>
      <w:r w:rsidRPr="00966429">
        <w:rPr>
          <w:rFonts w:ascii="Palatino Linotype" w:hAnsi="Palatino Linotype"/>
        </w:rPr>
        <w:t xml:space="preserve"> the </w:t>
      </w:r>
      <w:r w:rsidRPr="00966429" w:rsidR="00605564">
        <w:rPr>
          <w:rFonts w:ascii="Palatino Linotype" w:hAnsi="Palatino Linotype"/>
        </w:rPr>
        <w:t xml:space="preserve">California </w:t>
      </w:r>
      <w:r w:rsidRPr="00966429">
        <w:rPr>
          <w:rFonts w:ascii="Palatino Linotype" w:hAnsi="Palatino Linotype"/>
        </w:rPr>
        <w:t xml:space="preserve">Public Utilities Commission </w:t>
      </w:r>
      <w:r w:rsidRPr="00966429" w:rsidR="00605564">
        <w:rPr>
          <w:rFonts w:ascii="Palatino Linotype" w:hAnsi="Palatino Linotype"/>
        </w:rPr>
        <w:t>at its regular meeting</w:t>
      </w:r>
      <w:r w:rsidRPr="00966429">
        <w:rPr>
          <w:rFonts w:ascii="Palatino Linotype" w:hAnsi="Palatino Linotype"/>
        </w:rPr>
        <w:t xml:space="preserve"> on </w:t>
      </w:r>
      <w:r w:rsidR="00F8289C">
        <w:rPr>
          <w:rFonts w:ascii="Palatino Linotype" w:hAnsi="Palatino Linotype"/>
        </w:rPr>
        <w:t>____________________</w:t>
      </w:r>
      <w:r w:rsidRPr="00966429" w:rsidR="00605564">
        <w:rPr>
          <w:rFonts w:ascii="Palatino Linotype" w:hAnsi="Palatino Linotype"/>
        </w:rPr>
        <w:t>.  The following Commissioners approved it:</w:t>
      </w:r>
    </w:p>
    <w:p w:rsidRPr="00966429" w:rsidR="003B1DBD" w:rsidP="003B1DBD" w:rsidRDefault="003B1DBD" w14:paraId="5E5E47FF" w14:textId="77777777">
      <w:pPr>
        <w:tabs>
          <w:tab w:val="left" w:pos="240"/>
          <w:tab w:val="left" w:pos="720"/>
          <w:tab w:val="right" w:pos="10080"/>
        </w:tabs>
        <w:jc w:val="both"/>
        <w:rPr>
          <w:rFonts w:ascii="Palatino Linotype" w:hAnsi="Palatino Linotype"/>
        </w:rPr>
      </w:pPr>
    </w:p>
    <w:p w:rsidRPr="00966429" w:rsidR="003B1DBD" w:rsidP="003B1DBD" w:rsidRDefault="003B1DBD" w14:paraId="61FCE8A9" w14:textId="77777777">
      <w:pPr>
        <w:tabs>
          <w:tab w:val="right" w:pos="10080"/>
        </w:tabs>
        <w:rPr>
          <w:rFonts w:ascii="Palatino Linotype" w:hAnsi="Palatino Linotype"/>
        </w:rPr>
      </w:pPr>
    </w:p>
    <w:p w:rsidRPr="00966429" w:rsidR="003B1DBD" w:rsidP="003B1DBD" w:rsidRDefault="003B1DBD" w14:paraId="3E76923B" w14:textId="77777777">
      <w:pPr>
        <w:tabs>
          <w:tab w:val="right" w:pos="10080"/>
        </w:tabs>
        <w:rPr>
          <w:rFonts w:ascii="Palatino Linotype" w:hAnsi="Palatino Linotype"/>
        </w:rPr>
      </w:pPr>
    </w:p>
    <w:p w:rsidRPr="00966429" w:rsidR="003B1DBD" w:rsidP="00315D92" w:rsidRDefault="003B1DBD" w14:paraId="65D4BE6B" w14:textId="2CDD09FB">
      <w:pPr>
        <w:tabs>
          <w:tab w:val="right" w:pos="8820"/>
        </w:tabs>
        <w:jc w:val="both"/>
        <w:rPr>
          <w:rFonts w:ascii="Palatino Linotype" w:hAnsi="Palatino Linotype"/>
          <w:u w:val="single"/>
        </w:rPr>
      </w:pPr>
      <w:r w:rsidRPr="00966429">
        <w:rPr>
          <w:rFonts w:ascii="Palatino Linotype" w:hAnsi="Palatino Linotype"/>
        </w:rPr>
        <w:tab/>
      </w:r>
      <w:r w:rsidRPr="00966429">
        <w:rPr>
          <w:rFonts w:ascii="Palatino Linotype" w:hAnsi="Palatino Linotype"/>
          <w:u w:val="single"/>
        </w:rPr>
        <w:t>_____</w:t>
      </w:r>
      <w:r w:rsidR="00F8289C">
        <w:rPr>
          <w:rFonts w:ascii="Palatino Linotype" w:hAnsi="Palatino Linotype"/>
          <w:u w:val="single"/>
        </w:rPr>
        <w:t>__________</w:t>
      </w:r>
      <w:r w:rsidRPr="00966429">
        <w:rPr>
          <w:rFonts w:ascii="Palatino Linotype" w:hAnsi="Palatino Linotype"/>
          <w:u w:val="single"/>
        </w:rPr>
        <w:t>_______</w:t>
      </w:r>
    </w:p>
    <w:p w:rsidRPr="00966429" w:rsidR="003B1DBD" w:rsidP="00315D92" w:rsidRDefault="00282AF6" w14:paraId="2D99F8AC" w14:textId="5A2D6DA6">
      <w:pPr>
        <w:tabs>
          <w:tab w:val="right" w:pos="8190"/>
        </w:tabs>
        <w:jc w:val="both"/>
        <w:rPr>
          <w:rFonts w:ascii="Palatino Linotype" w:hAnsi="Palatino Linotype"/>
        </w:rPr>
      </w:pPr>
      <w:r w:rsidRPr="00966429">
        <w:rPr>
          <w:rFonts w:ascii="Palatino Linotype" w:hAnsi="Palatino Linotype"/>
        </w:rPr>
        <w:tab/>
      </w:r>
      <w:r w:rsidR="00F8289C">
        <w:rPr>
          <w:rFonts w:ascii="Palatino Linotype" w:hAnsi="Palatino Linotype"/>
        </w:rPr>
        <w:t>Alice Stebbins</w:t>
      </w:r>
    </w:p>
    <w:p w:rsidRPr="00966429" w:rsidR="003B1DBD" w:rsidP="00315D92" w:rsidRDefault="008F0A2A" w14:paraId="06E5A43F" w14:textId="1B6869A6">
      <w:pPr>
        <w:tabs>
          <w:tab w:val="right" w:pos="8460"/>
        </w:tabs>
        <w:jc w:val="both"/>
        <w:rPr>
          <w:rFonts w:ascii="Palatino Linotype" w:hAnsi="Palatino Linotype"/>
        </w:rPr>
      </w:pPr>
      <w:r w:rsidRPr="00966429">
        <w:rPr>
          <w:rFonts w:ascii="Palatino Linotype" w:hAnsi="Palatino Linotype"/>
        </w:rPr>
        <w:tab/>
      </w:r>
      <w:r w:rsidRPr="00966429" w:rsidR="003B1DBD">
        <w:rPr>
          <w:rFonts w:ascii="Palatino Linotype" w:hAnsi="Palatino Linotype"/>
        </w:rPr>
        <w:t xml:space="preserve">Executive Director   </w:t>
      </w:r>
    </w:p>
    <w:p w:rsidRPr="00966429" w:rsidR="003B1DBD" w:rsidP="003B1DBD" w:rsidRDefault="003B1DBD" w14:paraId="32DABC7C" w14:textId="77777777">
      <w:pPr>
        <w:tabs>
          <w:tab w:val="right" w:pos="10080"/>
        </w:tabs>
        <w:rPr>
          <w:rFonts w:ascii="Palatino Linotype" w:hAnsi="Palatino Linotype"/>
        </w:rPr>
      </w:pPr>
    </w:p>
    <w:p w:rsidRPr="00966429" w:rsidR="003B1DBD" w:rsidP="003B1DBD" w:rsidRDefault="003B1DBD" w14:paraId="0C7DB259" w14:textId="77777777">
      <w:pPr>
        <w:tabs>
          <w:tab w:val="right" w:pos="10080"/>
        </w:tabs>
        <w:rPr>
          <w:rFonts w:ascii="Palatino Linotype" w:hAnsi="Palatino Linotype"/>
        </w:rPr>
      </w:pPr>
    </w:p>
    <w:p w:rsidR="00315D92" w:rsidRDefault="00EA0257" w14:paraId="7395361A" w14:textId="77777777">
      <w:pPr>
        <w:rPr>
          <w:rFonts w:ascii="Palatino Linotype" w:hAnsi="Palatino Linotype"/>
        </w:rPr>
        <w:sectPr w:rsidR="00315D92" w:rsidSect="00966429">
          <w:headerReference w:type="even" r:id="rId9"/>
          <w:headerReference w:type="default" r:id="rId10"/>
          <w:footerReference w:type="even" r:id="rId11"/>
          <w:footerReference w:type="default" r:id="rId12"/>
          <w:headerReference w:type="first" r:id="rId13"/>
          <w:footerReference w:type="first" r:id="rId14"/>
          <w:pgSz w:w="12240" w:h="15840"/>
          <w:pgMar w:top="1728" w:right="1170" w:bottom="1440" w:left="1440" w:header="720" w:footer="576" w:gutter="0"/>
          <w:cols w:space="720"/>
          <w:titlePg/>
          <w:docGrid w:linePitch="360"/>
        </w:sectPr>
      </w:pPr>
      <w:r w:rsidRPr="00966429">
        <w:rPr>
          <w:rFonts w:ascii="Palatino Linotype" w:hAnsi="Palatino Linotype"/>
        </w:rPr>
        <w:br w:type="page"/>
      </w:r>
    </w:p>
    <w:p w:rsidRPr="00966429" w:rsidR="00FF22D5" w:rsidP="00094A89" w:rsidRDefault="00315D92" w14:paraId="6197A2F1" w14:textId="46426A32">
      <w:pPr>
        <w:jc w:val="center"/>
        <w:rPr>
          <w:rFonts w:ascii="Palatino Linotype" w:hAnsi="Palatino Linotype"/>
        </w:rPr>
      </w:pPr>
      <w:r w:rsidRPr="00966429">
        <w:rPr>
          <w:rFonts w:ascii="Palatino Linotype" w:hAnsi="Palatino Linotype"/>
          <w:noProof/>
        </w:rPr>
        <w:lastRenderedPageBreak/>
        <w:drawing>
          <wp:anchor distT="0" distB="0" distL="114300" distR="114300" simplePos="0" relativeHeight="251658240" behindDoc="0" locked="0" layoutInCell="1" allowOverlap="1" wp14:editId="7620196C" wp14:anchorId="4C136D36">
            <wp:simplePos x="0" y="0"/>
            <wp:positionH relativeFrom="column">
              <wp:posOffset>619125</wp:posOffset>
            </wp:positionH>
            <wp:positionV relativeFrom="paragraph">
              <wp:posOffset>-434340</wp:posOffset>
            </wp:positionV>
            <wp:extent cx="5323840" cy="896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323840" cy="8966200"/>
                    </a:xfrm>
                    <a:prstGeom prst="rect">
                      <a:avLst/>
                    </a:prstGeom>
                  </pic:spPr>
                </pic:pic>
              </a:graphicData>
            </a:graphic>
          </wp:anchor>
        </w:drawing>
      </w:r>
    </w:p>
    <w:p w:rsidRPr="00966429" w:rsidR="00EA0257" w:rsidRDefault="00315D92" w14:paraId="08BB0E3F" w14:textId="5368B2EA">
      <w:pPr>
        <w:rPr>
          <w:rFonts w:ascii="Palatino Linotype" w:hAnsi="Palatino Linotype"/>
        </w:rPr>
      </w:pPr>
      <w:r w:rsidRPr="00315D92">
        <w:rPr>
          <w:rFonts w:ascii="Palatino Linotype" w:hAnsi="Palatino Linotype"/>
          <w:noProof/>
        </w:rPr>
        <mc:AlternateContent>
          <mc:Choice Requires="wps">
            <w:drawing>
              <wp:anchor distT="45720" distB="45720" distL="114300" distR="114300" simplePos="0" relativeHeight="251662336" behindDoc="0" locked="0" layoutInCell="1" allowOverlap="1" wp14:editId="1887C939" wp14:anchorId="72A49B97">
                <wp:simplePos x="0" y="0"/>
                <wp:positionH relativeFrom="column">
                  <wp:posOffset>6066790</wp:posOffset>
                </wp:positionH>
                <wp:positionV relativeFrom="paragraph">
                  <wp:posOffset>3355137</wp:posOffset>
                </wp:positionV>
                <wp:extent cx="2360930" cy="61277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12775"/>
                        </a:xfrm>
                        <a:prstGeom prst="rect">
                          <a:avLst/>
                        </a:prstGeom>
                        <a:solidFill>
                          <a:srgbClr val="FFFFFF"/>
                        </a:solidFill>
                        <a:ln w="9525">
                          <a:noFill/>
                          <a:miter lim="800000"/>
                          <a:headEnd/>
                          <a:tailEnd/>
                        </a:ln>
                      </wps:spPr>
                      <wps:txbx>
                        <w:txbxContent>
                          <w:p w:rsidRPr="00917D08" w:rsidR="00917D08" w:rsidRDefault="00315D92" w14:paraId="76521E17" w14:textId="2DE73DEA">
                            <w:r w:rsidRPr="00917D08">
                              <w:t>A-1</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72A49B97">
                <v:stroke joinstyle="miter"/>
                <v:path gradientshapeok="t" o:connecttype="rect"/>
              </v:shapetype>
              <v:shape id="Text Box 2" style="position:absolute;margin-left:477.7pt;margin-top:264.2pt;width:185.9pt;height:48.2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">
                <v:textbox style="layout-flow:vertical;mso-layout-flow-alt:bottom-to-top;mso-fit-shape-to-text:t">
                  <w:txbxContent>
                    <w:p w:rsidRPr="00917D08" w:rsidR="00917D08" w:rsidRDefault="00315D92" w14:paraId="76521E17" w14:textId="2DE73DEA">
                      <w:r w:rsidRPr="00917D08">
                        <w:t>A-1</w:t>
                      </w:r>
                    </w:p>
                  </w:txbxContent>
                </v:textbox>
                <w10:wrap type="square"/>
              </v:shape>
            </w:pict>
          </mc:Fallback>
        </mc:AlternateContent>
      </w:r>
      <w:r w:rsidRPr="00315D92">
        <w:rPr>
          <w:rFonts w:ascii="Palatino Linotype" w:hAnsi="Palatino Linotype"/>
          <w:noProof/>
          <w:sz w:val="48"/>
        </w:rPr>
        <mc:AlternateContent>
          <mc:Choice Requires="wps">
            <w:drawing>
              <wp:anchor distT="45720" distB="45720" distL="114300" distR="114300" simplePos="0" relativeHeight="251660288" behindDoc="0" locked="0" layoutInCell="1" allowOverlap="1" wp14:editId="78B58FFB" wp14:anchorId="19B099A3">
                <wp:simplePos x="0" y="0"/>
                <wp:positionH relativeFrom="column">
                  <wp:posOffset>-288925</wp:posOffset>
                </wp:positionH>
                <wp:positionV relativeFrom="paragraph">
                  <wp:posOffset>2912110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315D92" w:rsidR="00315D92" w:rsidRDefault="00315D92" w14:paraId="3DA697A6" w14:textId="62DE91B7">
                            <w:pPr>
                              <w:rPr>
                                <w:rFonts w:ascii="Palatino Linotype" w:hAnsi="Palatino Linotype"/>
                                <w:sz w:val="52"/>
                              </w:rPr>
                            </w:pPr>
                            <w:r w:rsidRPr="00315D92">
                              <w:rPr>
                                <w:rFonts w:ascii="Palatino Linotype" w:hAnsi="Palatino Linotype"/>
                                <w:sz w:val="52"/>
                              </w:rPr>
                              <w:t>Appendix</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22.75pt;margin-top:229.3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" w14:anchorId="19B099A3">
                <v:textbox style="layout-flow:vertical;mso-layout-flow-alt:bottom-to-top;mso-fit-shape-to-text:t">
                  <w:txbxContent>
                    <w:p w:rsidRPr="00315D92" w:rsidR="00315D92" w:rsidRDefault="00315D92" w14:paraId="3DA697A6" w14:textId="62DE91B7">
                      <w:pPr>
                        <w:rPr>
                          <w:rFonts w:ascii="Palatino Linotype" w:hAnsi="Palatino Linotype"/>
                          <w:sz w:val="52"/>
                        </w:rPr>
                      </w:pPr>
                      <w:r w:rsidRPr="00315D92">
                        <w:rPr>
                          <w:rFonts w:ascii="Palatino Linotype" w:hAnsi="Palatino Linotype"/>
                          <w:sz w:val="52"/>
                        </w:rPr>
                        <w:t>Appendix</w:t>
                      </w:r>
                    </w:p>
                  </w:txbxContent>
                </v:textbox>
              </v:shape>
            </w:pict>
          </mc:Fallback>
        </mc:AlternateContent>
      </w:r>
    </w:p>
    <w:sectPr w:rsidRPr="00966429" w:rsidR="00EA0257" w:rsidSect="00966429">
      <w:headerReference w:type="default" r:id="rId16"/>
      <w:footerReference w:type="default" r:id="rId17"/>
      <w:headerReference w:type="first" r:id="rId18"/>
      <w:footerReference w:type="first" r:id="rId19"/>
      <w:pgSz w:w="12240" w:h="15840"/>
      <w:pgMar w:top="1728" w:right="117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E9E5C" w14:textId="77777777" w:rsidR="00B54C23" w:rsidRDefault="00B54C23">
      <w:r>
        <w:separator/>
      </w:r>
    </w:p>
  </w:endnote>
  <w:endnote w:type="continuationSeparator" w:id="0">
    <w:p w14:paraId="019EB453" w14:textId="77777777" w:rsidR="00B54C23" w:rsidRDefault="00B5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0DC5" w14:textId="77777777" w:rsidR="007F0A62" w:rsidRDefault="007F0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5E03" w14:textId="11434A5A" w:rsidR="00D350BA" w:rsidRPr="003B1DBD" w:rsidRDefault="00D350BA" w:rsidP="003B1DBD">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5E0B" w14:textId="06C647FB" w:rsidR="00D350BA" w:rsidRPr="00966429" w:rsidRDefault="00D350BA">
    <w:pPr>
      <w:pStyle w:val="Footer"/>
      <w:rPr>
        <w:rFonts w:ascii="Tahoma" w:hAnsi="Tahoma" w:cs="Tahoma"/>
        <w:sz w:val="17"/>
        <w:szCs w:val="17"/>
      </w:rPr>
    </w:pPr>
    <w:r w:rsidRPr="00966429">
      <w:rPr>
        <w:rFonts w:ascii="Tahoma" w:hAnsi="Tahoma" w:cs="Tahoma"/>
        <w:sz w:val="17"/>
        <w:szCs w:val="17"/>
      </w:rPr>
      <w:t>285659848</w:t>
    </w:r>
  </w:p>
  <w:p w14:paraId="616F0D0B" w14:textId="77777777" w:rsidR="00D350BA" w:rsidRDefault="00D35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2E17" w14:textId="6CE9FB4C" w:rsidR="00315D92" w:rsidRDefault="00315D92" w:rsidP="003B1DBD">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75A95BB" w14:textId="192F2258" w:rsidR="00315D92" w:rsidRDefault="00315D92" w:rsidP="003B1DBD">
    <w:pPr>
      <w:pStyle w:val="Footer"/>
      <w:rPr>
        <w:rStyle w:val="PageNumber"/>
      </w:rPr>
    </w:pPr>
  </w:p>
  <w:p w14:paraId="404543AA" w14:textId="77777777" w:rsidR="00315D92" w:rsidRPr="003B1DBD" w:rsidRDefault="00315D92" w:rsidP="003B1D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E791" w14:textId="77777777" w:rsidR="00315D92" w:rsidRDefault="00315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2C2B9" w14:textId="77777777" w:rsidR="00B54C23" w:rsidRDefault="00B54C23">
      <w:r>
        <w:separator/>
      </w:r>
    </w:p>
  </w:footnote>
  <w:footnote w:type="continuationSeparator" w:id="0">
    <w:p w14:paraId="2FE9E915" w14:textId="77777777" w:rsidR="00B54C23" w:rsidRDefault="00B54C23">
      <w:r>
        <w:continuationSeparator/>
      </w:r>
    </w:p>
  </w:footnote>
  <w:footnote w:id="1">
    <w:p w14:paraId="582FA48F" w14:textId="58871746" w:rsidR="00D350BA" w:rsidRDefault="00D350BA">
      <w:pPr>
        <w:pStyle w:val="FootnoteText"/>
      </w:pPr>
      <w:r>
        <w:rPr>
          <w:rStyle w:val="FootnoteReference"/>
        </w:rPr>
        <w:footnoteRef/>
      </w:r>
      <w:r>
        <w:t xml:space="preserve"> See the annual data in </w:t>
      </w:r>
      <w:r w:rsidRPr="004D7E0C">
        <w:rPr>
          <w:i/>
        </w:rPr>
        <w:t>Quarterly Service Quality Reports</w:t>
      </w:r>
      <w:r>
        <w:t xml:space="preserve"> posted at </w:t>
      </w:r>
      <w:hyperlink r:id="rId1" w:history="1">
        <w:r w:rsidRPr="00CF3981">
          <w:rPr>
            <w:rStyle w:val="Hyperlink"/>
          </w:rPr>
          <w:t>http://www.cpuc.ca.gov/General.aspx?id=1107</w:t>
        </w:r>
      </w:hyperlink>
      <w:r>
        <w:t xml:space="preserve"> on the Communications Division </w:t>
      </w:r>
      <w:r w:rsidRPr="004D7E0C">
        <w:rPr>
          <w:i/>
        </w:rPr>
        <w:t>Telecommunications Carriers’ Service Quality Reports</w:t>
      </w:r>
      <w:r>
        <w:t xml:space="preserve"> webpage.  (Site last visited March 11, 2019.)</w:t>
      </w:r>
    </w:p>
  </w:footnote>
  <w:footnote w:id="2">
    <w:p w14:paraId="6E9B19CC" w14:textId="77777777" w:rsidR="00D350BA" w:rsidRDefault="00D350BA">
      <w:pPr>
        <w:pStyle w:val="FootnoteText"/>
      </w:pPr>
      <w:r>
        <w:rPr>
          <w:rStyle w:val="FootnoteReference"/>
        </w:rPr>
        <w:footnoteRef/>
      </w:r>
      <w:r>
        <w:t xml:space="preserve"> The Commission approved GO 133-C in Decision (D).09-07-019 (July 9, 2009).</w:t>
      </w:r>
    </w:p>
  </w:footnote>
  <w:footnote w:id="3">
    <w:p w14:paraId="4FF61F2E" w14:textId="4A176B6B" w:rsidR="00D350BA" w:rsidRDefault="00D350BA">
      <w:pPr>
        <w:pStyle w:val="FootnoteText"/>
      </w:pPr>
      <w:r>
        <w:rPr>
          <w:rStyle w:val="FootnoteReference"/>
        </w:rPr>
        <w:footnoteRef/>
      </w:r>
      <w:r>
        <w:t xml:space="preserve"> Fines apply to facilities-based telephone corporations regulated under the Uniform Regulatory Framework that possess a franchise or a Certificate of Public Convenience and Necessity.</w:t>
      </w:r>
    </w:p>
  </w:footnote>
  <w:footnote w:id="4">
    <w:p w14:paraId="5D0B0401" w14:textId="61AFCC13" w:rsidR="00D350BA" w:rsidRDefault="00D350BA">
      <w:pPr>
        <w:pStyle w:val="FootnoteText"/>
      </w:pPr>
      <w:r>
        <w:rPr>
          <w:rStyle w:val="FootnoteReference"/>
        </w:rPr>
        <w:footnoteRef/>
      </w:r>
      <w:r>
        <w:t xml:space="preserve"> GO 133-D defines time division multiplexing (TDM)-based voice service as “traditional telephone service.”</w:t>
      </w:r>
    </w:p>
  </w:footnote>
  <w:footnote w:id="5">
    <w:p w14:paraId="1015A2E2" w14:textId="362ACF15" w:rsidR="00D350BA" w:rsidRDefault="00D350BA">
      <w:pPr>
        <w:pStyle w:val="FootnoteText"/>
      </w:pPr>
      <w:r>
        <w:rPr>
          <w:rStyle w:val="FootnoteReference"/>
        </w:rPr>
        <w:footnoteRef/>
      </w:r>
      <w:r>
        <w:t xml:space="preserve"> See </w:t>
      </w:r>
      <w:r w:rsidRPr="007E56CF">
        <w:rPr>
          <w:i/>
        </w:rPr>
        <w:t>Appendix A</w:t>
      </w:r>
      <w:r>
        <w:t xml:space="preserve"> for a list of all </w:t>
      </w:r>
      <w:proofErr w:type="gramStart"/>
      <w:r>
        <w:t>carriers’</w:t>
      </w:r>
      <w:proofErr w:type="gramEnd"/>
      <w:r>
        <w:t xml:space="preserve"> annualized reported service quality data, 2015-2018.</w:t>
      </w:r>
    </w:p>
  </w:footnote>
  <w:footnote w:id="6">
    <w:p w14:paraId="5C9E2658" w14:textId="148C8998" w:rsidR="00D350BA" w:rsidRDefault="00D350BA">
      <w:pPr>
        <w:pStyle w:val="FootnoteText"/>
      </w:pPr>
      <w:r>
        <w:rPr>
          <w:rStyle w:val="FootnoteReference"/>
        </w:rPr>
        <w:footnoteRef/>
      </w:r>
      <w:r>
        <w:t xml:space="preserve"> Only GRC ILECs are required to report </w:t>
      </w:r>
      <w:r w:rsidRPr="00030604">
        <w:rPr>
          <w:i/>
        </w:rPr>
        <w:t>Installation Interval</w:t>
      </w:r>
      <w:r>
        <w:t xml:space="preserve"> and </w:t>
      </w:r>
      <w:r w:rsidRPr="00030604">
        <w:rPr>
          <w:i/>
        </w:rPr>
        <w:t>Installation Commitment</w:t>
      </w:r>
      <w:r>
        <w:t xml:space="preserve">, §§ 3.1 and 3.2, respectively.  Happy Valley, Hornitos, and Winterhaven are GRC ILECS.     </w:t>
      </w:r>
    </w:p>
  </w:footnote>
  <w:footnote w:id="7">
    <w:p w14:paraId="4F3990AF" w14:textId="4C64D081" w:rsidR="00D350BA" w:rsidRDefault="00D350BA">
      <w:pPr>
        <w:pStyle w:val="FootnoteText"/>
      </w:pPr>
      <w:r>
        <w:rPr>
          <w:rStyle w:val="FootnoteReference"/>
        </w:rPr>
        <w:footnoteRef/>
      </w:r>
      <w:r>
        <w:t xml:space="preserve"> Annually, the Communications Division prepares a list of the total number of working telephone access lines in California from </w:t>
      </w:r>
      <w:proofErr w:type="gramStart"/>
      <w:r>
        <w:t>carriers</w:t>
      </w:r>
      <w:proofErr w:type="gramEnd"/>
      <w:r>
        <w:t xml:space="preserve"> subject to GO 133-D requirements.  Based on carrier size relative to the number of access lines it serves at the end of June in the reporting year, a carrier receives its unique Scaling Factor, the percentage of its customers relative to all California telephone customers.  The table of carriers, working lines, and the percentage of working lines served by each carrier appears as a PDF document titled </w:t>
      </w:r>
      <w:r w:rsidRPr="00FE05DF">
        <w:rPr>
          <w:i/>
        </w:rPr>
        <w:t xml:space="preserve">Total Number of Access Lines in </w:t>
      </w:r>
      <w:r w:rsidRPr="009F170D">
        <w:rPr>
          <w:i/>
        </w:rPr>
        <w:t>California for June 2018 from Carriers Reporting Under G.O. 133-D</w:t>
      </w:r>
      <w:r w:rsidRPr="009F170D">
        <w:t xml:space="preserve"> found under </w:t>
      </w:r>
      <w:r w:rsidRPr="009F170D">
        <w:rPr>
          <w:i/>
        </w:rPr>
        <w:t>Reference Information</w:t>
      </w:r>
      <w:r w:rsidRPr="009F170D">
        <w:t xml:space="preserve"> at </w:t>
      </w:r>
      <w:hyperlink r:id="rId2" w:history="1">
        <w:r w:rsidRPr="009F170D">
          <w:rPr>
            <w:rStyle w:val="Hyperlink"/>
          </w:rPr>
          <w:t>http://www.cpuc.ca.gov/General.aspx?id=1107</w:t>
        </w:r>
      </w:hyperlink>
      <w:r w:rsidRPr="009F170D">
        <w:t>.  (site last visited February 25, 2019.)</w:t>
      </w:r>
    </w:p>
    <w:p w14:paraId="6E7060DD" w14:textId="77777777" w:rsidR="00D350BA" w:rsidRDefault="00D350BA">
      <w:pPr>
        <w:pStyle w:val="FootnoteText"/>
      </w:pPr>
    </w:p>
  </w:footnote>
  <w:footnote w:id="8">
    <w:p w14:paraId="3318BF79" w14:textId="5622440C" w:rsidR="00D350BA" w:rsidRDefault="00D350BA">
      <w:pPr>
        <w:pStyle w:val="FootnoteText"/>
      </w:pPr>
      <w:r>
        <w:rPr>
          <w:rStyle w:val="FootnoteReference"/>
        </w:rPr>
        <w:footnoteRef/>
      </w:r>
      <w:r>
        <w:t xml:space="preserve"> For the month that incurred a fine, the percentage is represented with an underline.</w:t>
      </w:r>
    </w:p>
  </w:footnote>
  <w:footnote w:id="9">
    <w:p w14:paraId="0D7B497D" w14:textId="77777777" w:rsidR="00D350BA" w:rsidRDefault="00D350BA" w:rsidP="00EB480B">
      <w:pPr>
        <w:pStyle w:val="FootnoteText"/>
      </w:pPr>
      <w:r>
        <w:rPr>
          <w:rStyle w:val="FootnoteReference"/>
        </w:rPr>
        <w:footnoteRef/>
      </w:r>
      <w:r>
        <w:t xml:space="preserve"> </w:t>
      </w:r>
      <w:r w:rsidRPr="00F206DE">
        <w:t xml:space="preserve">According to GO 133-D § 9.1, “A carrier will begin incurring a fine for these measures when it reaches a “chronic failure status,” which is failure to meet the minimum standard for three consecutive months.  No fines will be assessed for missing the first two months… The fine does not end and restart when the calendar reporting year </w:t>
      </w:r>
      <w:proofErr w:type="gramStart"/>
      <w:r w:rsidRPr="00F206DE">
        <w:t>ends</w:t>
      </w:r>
      <w:proofErr w:type="gramEnd"/>
      <w:r w:rsidRPr="00F206DE">
        <w:t xml:space="preserve"> and a new year begins.  A carrier exits chronic failure status after it meets the standard for two consecutive months.”</w:t>
      </w:r>
    </w:p>
    <w:p w14:paraId="4DBEF768" w14:textId="77777777" w:rsidR="00D350BA" w:rsidRDefault="00D350BA" w:rsidP="00EB480B">
      <w:pPr>
        <w:pStyle w:val="FootnoteText"/>
      </w:pPr>
    </w:p>
  </w:footnote>
  <w:footnote w:id="10">
    <w:p w14:paraId="117BC623" w14:textId="7CC0AAFA" w:rsidR="00D350BA" w:rsidRPr="00094A89" w:rsidRDefault="00D350BA" w:rsidP="002E66FD">
      <w:pPr>
        <w:pStyle w:val="FootnoteText"/>
        <w:rPr>
          <w:color w:val="FF0000"/>
        </w:rPr>
      </w:pPr>
      <w:r>
        <w:rPr>
          <w:rStyle w:val="FootnoteReference"/>
        </w:rPr>
        <w:footnoteRef/>
      </w:r>
      <w:r>
        <w:t xml:space="preserve"> § 3.5 for the </w:t>
      </w:r>
      <w:r w:rsidRPr="005B5135">
        <w:rPr>
          <w:i/>
        </w:rPr>
        <w:t>Answer Time</w:t>
      </w:r>
      <w:r>
        <w:t xml:space="preserve"> standard applies to TDM-based voice services provided by GRC ILECs, facilities-based URF carriers with 5,000 or more customers, and any URF carrier with fewer than 5,000 customers that is a carrier of last resort.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4EF2" w14:textId="77777777" w:rsidR="007F0A62" w:rsidRDefault="007F0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B050" w14:textId="5CDA032A" w:rsidR="00D350BA" w:rsidRPr="004C1988" w:rsidRDefault="00D350BA" w:rsidP="00EF351A">
    <w:pPr>
      <w:pStyle w:val="Header"/>
      <w:tabs>
        <w:tab w:val="clear" w:pos="4320"/>
        <w:tab w:val="clear" w:pos="8640"/>
        <w:tab w:val="left" w:pos="0"/>
        <w:tab w:val="center" w:pos="4410"/>
        <w:tab w:val="right" w:pos="9360"/>
      </w:tabs>
    </w:pPr>
    <w:r>
      <w:t>Resolution T-17651</w:t>
    </w:r>
    <w:r w:rsidR="00EF351A">
      <w:tab/>
      <w:t xml:space="preserve">DRAFT </w:t>
    </w:r>
    <w:r w:rsidR="00EF351A">
      <w:tab/>
      <w:t>May 30, 2019</w:t>
    </w:r>
  </w:p>
  <w:p w14:paraId="67CFC660" w14:textId="2CD23731" w:rsidR="00D350BA" w:rsidRDefault="00D350BA" w:rsidP="003B1DBD">
    <w:pPr>
      <w:pStyle w:val="Header"/>
      <w:tabs>
        <w:tab w:val="clear" w:pos="8640"/>
        <w:tab w:val="right" w:pos="9360"/>
      </w:tabs>
    </w:pPr>
    <w:r>
      <w:t>CD/KCH</w:t>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BEB4" w14:textId="6670E391" w:rsidR="00D350BA" w:rsidRDefault="00D350BA" w:rsidP="00966429">
    <w:pPr>
      <w:pStyle w:val="Header"/>
      <w:rPr>
        <w:rFonts w:ascii="Palatino Linotype" w:hAnsi="Palatino Linotype"/>
      </w:rPr>
    </w:pPr>
    <w:r w:rsidRPr="00966429">
      <w:rPr>
        <w:rFonts w:ascii="Palatino Linotype" w:hAnsi="Palatino Linotype"/>
      </w:rPr>
      <w:t>Resolution T-17651</w:t>
    </w:r>
    <w:r w:rsidRPr="00966429">
      <w:rPr>
        <w:rFonts w:ascii="Palatino Linotype" w:hAnsi="Palatino Linotype"/>
      </w:rPr>
      <w:tab/>
      <w:t>DRAFT</w:t>
    </w:r>
    <w:r w:rsidRPr="00966429">
      <w:rPr>
        <w:rFonts w:ascii="Palatino Linotype" w:hAnsi="Palatino Linotype"/>
      </w:rPr>
      <w:tab/>
      <w:t>Agenda</w:t>
    </w:r>
    <w:r w:rsidR="007F0A62">
      <w:rPr>
        <w:rFonts w:ascii="Palatino Linotype" w:hAnsi="Palatino Linotype"/>
      </w:rPr>
      <w:t xml:space="preserve"> ID</w:t>
    </w:r>
    <w:r w:rsidRPr="00966429">
      <w:rPr>
        <w:rFonts w:ascii="Palatino Linotype" w:hAnsi="Palatino Linotype"/>
      </w:rPr>
      <w:t>#</w:t>
    </w:r>
    <w:r w:rsidR="007F0A62">
      <w:rPr>
        <w:rFonts w:ascii="Palatino Linotype" w:hAnsi="Palatino Linotype"/>
      </w:rPr>
      <w:t xml:space="preserve"> </w:t>
    </w:r>
    <w:r w:rsidR="007F0A62">
      <w:rPr>
        <w:rFonts w:ascii="Palatino Linotype" w:hAnsi="Palatino Linotype"/>
      </w:rPr>
      <w:t>17405</w:t>
    </w:r>
    <w:bookmarkStart w:id="1" w:name="_GoBack"/>
    <w:bookmarkEnd w:id="1"/>
  </w:p>
  <w:p w14:paraId="366FDF0C" w14:textId="6E9AD575" w:rsidR="00D350BA" w:rsidRPr="00966429" w:rsidRDefault="00D350BA" w:rsidP="00966429">
    <w:pPr>
      <w:pStyle w:val="Header"/>
      <w:rPr>
        <w:rFonts w:ascii="Palatino Linotype" w:hAnsi="Palatino Linotype"/>
      </w:rPr>
    </w:pPr>
    <w:r>
      <w:rPr>
        <w:rFonts w:ascii="Palatino Linotype" w:hAnsi="Palatino Linotype"/>
      </w:rPr>
      <w:t>CD/KCH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5506" w14:textId="69323FBC" w:rsidR="00315D92" w:rsidRPr="004C1988" w:rsidRDefault="00315D92" w:rsidP="00EF351A">
    <w:pPr>
      <w:pStyle w:val="Header"/>
      <w:tabs>
        <w:tab w:val="clear" w:pos="4320"/>
        <w:tab w:val="clear" w:pos="8640"/>
        <w:tab w:val="left" w:pos="0"/>
        <w:tab w:val="center" w:pos="4410"/>
        <w:tab w:val="right" w:pos="9360"/>
      </w:tabs>
    </w:pPr>
    <w:r>
      <w:t>Resolution T-17651</w:t>
    </w:r>
    <w:r>
      <w:tab/>
    </w:r>
    <w:r>
      <w:tab/>
    </w:r>
  </w:p>
  <w:p w14:paraId="5410A31E" w14:textId="77777777" w:rsidR="00315D92" w:rsidRDefault="00315D92" w:rsidP="003B1DBD">
    <w:pPr>
      <w:pStyle w:val="Header"/>
      <w:tabs>
        <w:tab w:val="clear" w:pos="8640"/>
        <w:tab w:val="right" w:pos="9360"/>
      </w:tabs>
    </w:pPr>
    <w:r>
      <w:t>CD/KCH</w:t>
    </w:r>
    <w:r>
      <w:tab/>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30F5" w14:textId="48ACE7A4" w:rsidR="00315D92" w:rsidRDefault="00315D92" w:rsidP="00966429">
    <w:pPr>
      <w:pStyle w:val="Header"/>
      <w:rPr>
        <w:rFonts w:ascii="Palatino Linotype" w:hAnsi="Palatino Linotype"/>
      </w:rPr>
    </w:pPr>
    <w:r w:rsidRPr="00966429">
      <w:rPr>
        <w:rFonts w:ascii="Palatino Linotype" w:hAnsi="Palatino Linotype"/>
      </w:rPr>
      <w:t>Resolution T-17651</w:t>
    </w:r>
    <w:r w:rsidRPr="00966429">
      <w:rPr>
        <w:rFonts w:ascii="Palatino Linotype" w:hAnsi="Palatino Linotype"/>
      </w:rPr>
      <w:tab/>
    </w:r>
    <w:r w:rsidRPr="00966429">
      <w:rPr>
        <w:rFonts w:ascii="Palatino Linotype" w:hAnsi="Palatino Linotype"/>
      </w:rPr>
      <w:tab/>
    </w:r>
  </w:p>
  <w:p w14:paraId="7602E8CA" w14:textId="77777777" w:rsidR="00315D92" w:rsidRPr="00966429" w:rsidRDefault="00315D92" w:rsidP="00966429">
    <w:pPr>
      <w:pStyle w:val="Header"/>
      <w:rPr>
        <w:rFonts w:ascii="Palatino Linotype" w:hAnsi="Palatino Linotype"/>
      </w:rPr>
    </w:pPr>
    <w:r>
      <w:rPr>
        <w:rFonts w:ascii="Palatino Linotype" w:hAnsi="Palatino Linotype"/>
      </w:rPr>
      <w:t>CD/KCH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CC7"/>
    <w:multiLevelType w:val="hybridMultilevel"/>
    <w:tmpl w:val="41801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DB7819"/>
    <w:multiLevelType w:val="singleLevel"/>
    <w:tmpl w:val="0409000F"/>
    <w:lvl w:ilvl="0">
      <w:start w:val="1"/>
      <w:numFmt w:val="decimal"/>
      <w:lvlText w:val="%1."/>
      <w:lvlJc w:val="left"/>
      <w:pPr>
        <w:ind w:left="360" w:hanging="360"/>
      </w:pPr>
    </w:lvl>
  </w:abstractNum>
  <w:abstractNum w:abstractNumId="3" w15:restartNumberingAfterBreak="0">
    <w:nsid w:val="292773B9"/>
    <w:multiLevelType w:val="hybridMultilevel"/>
    <w:tmpl w:val="861A1720"/>
    <w:lvl w:ilvl="0" w:tplc="A12C8BD8">
      <w:start w:val="1"/>
      <w:numFmt w:val="upp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60055A"/>
    <w:multiLevelType w:val="hybridMultilevel"/>
    <w:tmpl w:val="3A5C32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377945"/>
    <w:multiLevelType w:val="hybridMultilevel"/>
    <w:tmpl w:val="A432B936"/>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437E7CF8"/>
    <w:multiLevelType w:val="hybridMultilevel"/>
    <w:tmpl w:val="55C0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C3212"/>
    <w:multiLevelType w:val="hybridMultilevel"/>
    <w:tmpl w:val="3B849852"/>
    <w:lvl w:ilvl="0" w:tplc="A99A1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9" w15:restartNumberingAfterBreak="0">
    <w:nsid w:val="6AD945C3"/>
    <w:multiLevelType w:val="hybridMultilevel"/>
    <w:tmpl w:val="33220DF4"/>
    <w:lvl w:ilvl="0" w:tplc="A99A1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6"/>
  </w:num>
  <w:num w:numId="5">
    <w:abstractNumId w:val="9"/>
  </w:num>
  <w:num w:numId="6">
    <w:abstractNumId w:val="8"/>
  </w:num>
  <w:num w:numId="7">
    <w:abstractNumId w:val="2"/>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BD"/>
    <w:rsid w:val="00002676"/>
    <w:rsid w:val="00003B52"/>
    <w:rsid w:val="0000410B"/>
    <w:rsid w:val="00005A55"/>
    <w:rsid w:val="00013029"/>
    <w:rsid w:val="00013DE0"/>
    <w:rsid w:val="00014683"/>
    <w:rsid w:val="000156EC"/>
    <w:rsid w:val="0001742D"/>
    <w:rsid w:val="00021C9C"/>
    <w:rsid w:val="00021D1D"/>
    <w:rsid w:val="00023A7C"/>
    <w:rsid w:val="00024AFF"/>
    <w:rsid w:val="000279D2"/>
    <w:rsid w:val="00030604"/>
    <w:rsid w:val="00033467"/>
    <w:rsid w:val="000405FD"/>
    <w:rsid w:val="0004177E"/>
    <w:rsid w:val="00042171"/>
    <w:rsid w:val="00042335"/>
    <w:rsid w:val="00045062"/>
    <w:rsid w:val="00045C40"/>
    <w:rsid w:val="000462B4"/>
    <w:rsid w:val="0005023F"/>
    <w:rsid w:val="000545BE"/>
    <w:rsid w:val="000559CD"/>
    <w:rsid w:val="00055A75"/>
    <w:rsid w:val="0006023A"/>
    <w:rsid w:val="00061C68"/>
    <w:rsid w:val="0006338B"/>
    <w:rsid w:val="00063659"/>
    <w:rsid w:val="00065CA3"/>
    <w:rsid w:val="00066807"/>
    <w:rsid w:val="00066B61"/>
    <w:rsid w:val="00067039"/>
    <w:rsid w:val="0007379A"/>
    <w:rsid w:val="00073EC5"/>
    <w:rsid w:val="00075B1E"/>
    <w:rsid w:val="00075FA1"/>
    <w:rsid w:val="00076162"/>
    <w:rsid w:val="00076B51"/>
    <w:rsid w:val="00077CEE"/>
    <w:rsid w:val="000800CC"/>
    <w:rsid w:val="00080114"/>
    <w:rsid w:val="00080D6D"/>
    <w:rsid w:val="00082101"/>
    <w:rsid w:val="000827F0"/>
    <w:rsid w:val="00084C73"/>
    <w:rsid w:val="00085712"/>
    <w:rsid w:val="000859EC"/>
    <w:rsid w:val="0008653C"/>
    <w:rsid w:val="00087431"/>
    <w:rsid w:val="00087AFA"/>
    <w:rsid w:val="000902F2"/>
    <w:rsid w:val="00092868"/>
    <w:rsid w:val="00092F18"/>
    <w:rsid w:val="00094A89"/>
    <w:rsid w:val="000A059A"/>
    <w:rsid w:val="000A08C2"/>
    <w:rsid w:val="000A1D9F"/>
    <w:rsid w:val="000A2836"/>
    <w:rsid w:val="000A4BFA"/>
    <w:rsid w:val="000A77DF"/>
    <w:rsid w:val="000B1EDE"/>
    <w:rsid w:val="000B2C74"/>
    <w:rsid w:val="000B4D28"/>
    <w:rsid w:val="000B57FA"/>
    <w:rsid w:val="000B5A0D"/>
    <w:rsid w:val="000B686E"/>
    <w:rsid w:val="000B7070"/>
    <w:rsid w:val="000C0B92"/>
    <w:rsid w:val="000C0BC3"/>
    <w:rsid w:val="000C2EB3"/>
    <w:rsid w:val="000C2FAB"/>
    <w:rsid w:val="000C6055"/>
    <w:rsid w:val="000C70EF"/>
    <w:rsid w:val="000D1240"/>
    <w:rsid w:val="000D1702"/>
    <w:rsid w:val="000D1C66"/>
    <w:rsid w:val="000D2598"/>
    <w:rsid w:val="000D4A96"/>
    <w:rsid w:val="000D55C3"/>
    <w:rsid w:val="000D5CDC"/>
    <w:rsid w:val="000D79E7"/>
    <w:rsid w:val="000E0402"/>
    <w:rsid w:val="000E0614"/>
    <w:rsid w:val="000E3BD1"/>
    <w:rsid w:val="000E3EDA"/>
    <w:rsid w:val="000E4644"/>
    <w:rsid w:val="000E57B3"/>
    <w:rsid w:val="000E75B5"/>
    <w:rsid w:val="000F0161"/>
    <w:rsid w:val="000F11B6"/>
    <w:rsid w:val="000F32F8"/>
    <w:rsid w:val="000F4F5D"/>
    <w:rsid w:val="000F5608"/>
    <w:rsid w:val="0010055A"/>
    <w:rsid w:val="00100C10"/>
    <w:rsid w:val="00100C5F"/>
    <w:rsid w:val="00101211"/>
    <w:rsid w:val="00102405"/>
    <w:rsid w:val="00103570"/>
    <w:rsid w:val="0010358E"/>
    <w:rsid w:val="00104186"/>
    <w:rsid w:val="00106A00"/>
    <w:rsid w:val="00106DB1"/>
    <w:rsid w:val="00110237"/>
    <w:rsid w:val="00110B18"/>
    <w:rsid w:val="00110B51"/>
    <w:rsid w:val="00113B18"/>
    <w:rsid w:val="00116F74"/>
    <w:rsid w:val="00117B3E"/>
    <w:rsid w:val="00117ED0"/>
    <w:rsid w:val="001201C6"/>
    <w:rsid w:val="00121866"/>
    <w:rsid w:val="001222D7"/>
    <w:rsid w:val="001229E3"/>
    <w:rsid w:val="001269A2"/>
    <w:rsid w:val="001269D6"/>
    <w:rsid w:val="001273CE"/>
    <w:rsid w:val="001276D7"/>
    <w:rsid w:val="001305B0"/>
    <w:rsid w:val="00131F8D"/>
    <w:rsid w:val="00135FA2"/>
    <w:rsid w:val="00140B72"/>
    <w:rsid w:val="00143642"/>
    <w:rsid w:val="00143BFA"/>
    <w:rsid w:val="0014432E"/>
    <w:rsid w:val="00144A2A"/>
    <w:rsid w:val="00146354"/>
    <w:rsid w:val="00146F8B"/>
    <w:rsid w:val="001514BA"/>
    <w:rsid w:val="00153665"/>
    <w:rsid w:val="00154B09"/>
    <w:rsid w:val="001566BE"/>
    <w:rsid w:val="0015670C"/>
    <w:rsid w:val="001618B7"/>
    <w:rsid w:val="00162B96"/>
    <w:rsid w:val="00163250"/>
    <w:rsid w:val="001640E9"/>
    <w:rsid w:val="001662FB"/>
    <w:rsid w:val="00167A40"/>
    <w:rsid w:val="00174A2A"/>
    <w:rsid w:val="001766F3"/>
    <w:rsid w:val="00181A72"/>
    <w:rsid w:val="00182DB2"/>
    <w:rsid w:val="00182EBA"/>
    <w:rsid w:val="00184806"/>
    <w:rsid w:val="00185A5C"/>
    <w:rsid w:val="00190B50"/>
    <w:rsid w:val="00192048"/>
    <w:rsid w:val="00192D5B"/>
    <w:rsid w:val="00193202"/>
    <w:rsid w:val="00193DF5"/>
    <w:rsid w:val="00195530"/>
    <w:rsid w:val="00195AD8"/>
    <w:rsid w:val="001A1B03"/>
    <w:rsid w:val="001A1E18"/>
    <w:rsid w:val="001A3951"/>
    <w:rsid w:val="001A511D"/>
    <w:rsid w:val="001A57F1"/>
    <w:rsid w:val="001A62D9"/>
    <w:rsid w:val="001A6DE6"/>
    <w:rsid w:val="001B11E8"/>
    <w:rsid w:val="001B282F"/>
    <w:rsid w:val="001B2A28"/>
    <w:rsid w:val="001B2F83"/>
    <w:rsid w:val="001B3E27"/>
    <w:rsid w:val="001B60C6"/>
    <w:rsid w:val="001C1B10"/>
    <w:rsid w:val="001C306E"/>
    <w:rsid w:val="001C44DB"/>
    <w:rsid w:val="001C7D09"/>
    <w:rsid w:val="001D0707"/>
    <w:rsid w:val="001D1AFD"/>
    <w:rsid w:val="001D399B"/>
    <w:rsid w:val="001D44F7"/>
    <w:rsid w:val="001D4A9D"/>
    <w:rsid w:val="001D4D97"/>
    <w:rsid w:val="001D5232"/>
    <w:rsid w:val="001D68DB"/>
    <w:rsid w:val="001E03B0"/>
    <w:rsid w:val="001E5083"/>
    <w:rsid w:val="001E703C"/>
    <w:rsid w:val="001F0E6F"/>
    <w:rsid w:val="001F15DA"/>
    <w:rsid w:val="001F1A0F"/>
    <w:rsid w:val="001F48E8"/>
    <w:rsid w:val="001F7895"/>
    <w:rsid w:val="0020091E"/>
    <w:rsid w:val="002012B2"/>
    <w:rsid w:val="00201DE8"/>
    <w:rsid w:val="00202407"/>
    <w:rsid w:val="00202B68"/>
    <w:rsid w:val="00203F20"/>
    <w:rsid w:val="0020535F"/>
    <w:rsid w:val="00206249"/>
    <w:rsid w:val="00207E5D"/>
    <w:rsid w:val="002103DF"/>
    <w:rsid w:val="00210670"/>
    <w:rsid w:val="00211DF2"/>
    <w:rsid w:val="0021464F"/>
    <w:rsid w:val="00214D4D"/>
    <w:rsid w:val="002156E5"/>
    <w:rsid w:val="00216FE5"/>
    <w:rsid w:val="00217FDE"/>
    <w:rsid w:val="002207C0"/>
    <w:rsid w:val="002215CC"/>
    <w:rsid w:val="0022299F"/>
    <w:rsid w:val="0022674E"/>
    <w:rsid w:val="00226EED"/>
    <w:rsid w:val="00232130"/>
    <w:rsid w:val="00232764"/>
    <w:rsid w:val="00232EAF"/>
    <w:rsid w:val="00233B92"/>
    <w:rsid w:val="0023547A"/>
    <w:rsid w:val="00237742"/>
    <w:rsid w:val="0024265C"/>
    <w:rsid w:val="00242C36"/>
    <w:rsid w:val="00243A08"/>
    <w:rsid w:val="002448EB"/>
    <w:rsid w:val="00244AAB"/>
    <w:rsid w:val="00244B94"/>
    <w:rsid w:val="00247D33"/>
    <w:rsid w:val="00247E4C"/>
    <w:rsid w:val="002517FE"/>
    <w:rsid w:val="00251BF9"/>
    <w:rsid w:val="00251C41"/>
    <w:rsid w:val="00252BB1"/>
    <w:rsid w:val="00253F1A"/>
    <w:rsid w:val="00255A75"/>
    <w:rsid w:val="0026237F"/>
    <w:rsid w:val="00264221"/>
    <w:rsid w:val="00264E2F"/>
    <w:rsid w:val="002661BE"/>
    <w:rsid w:val="0026641C"/>
    <w:rsid w:val="00266CB7"/>
    <w:rsid w:val="00266D56"/>
    <w:rsid w:val="002677E7"/>
    <w:rsid w:val="00270458"/>
    <w:rsid w:val="00270E32"/>
    <w:rsid w:val="002727FD"/>
    <w:rsid w:val="00272CF9"/>
    <w:rsid w:val="00274665"/>
    <w:rsid w:val="0027525B"/>
    <w:rsid w:val="0028078D"/>
    <w:rsid w:val="002810E1"/>
    <w:rsid w:val="00282263"/>
    <w:rsid w:val="00282AF6"/>
    <w:rsid w:val="00282D23"/>
    <w:rsid w:val="00283CB9"/>
    <w:rsid w:val="00284D5E"/>
    <w:rsid w:val="00286995"/>
    <w:rsid w:val="00287373"/>
    <w:rsid w:val="00291E92"/>
    <w:rsid w:val="00294495"/>
    <w:rsid w:val="002953E3"/>
    <w:rsid w:val="002965F6"/>
    <w:rsid w:val="00296AA4"/>
    <w:rsid w:val="00296B11"/>
    <w:rsid w:val="002A2154"/>
    <w:rsid w:val="002A59E5"/>
    <w:rsid w:val="002A6369"/>
    <w:rsid w:val="002A6A19"/>
    <w:rsid w:val="002A77D8"/>
    <w:rsid w:val="002A7D53"/>
    <w:rsid w:val="002B0A85"/>
    <w:rsid w:val="002B0E96"/>
    <w:rsid w:val="002B1B55"/>
    <w:rsid w:val="002B33B7"/>
    <w:rsid w:val="002B4810"/>
    <w:rsid w:val="002B6AD7"/>
    <w:rsid w:val="002C051F"/>
    <w:rsid w:val="002C1CB2"/>
    <w:rsid w:val="002C2D22"/>
    <w:rsid w:val="002C30BA"/>
    <w:rsid w:val="002C3563"/>
    <w:rsid w:val="002C4017"/>
    <w:rsid w:val="002C5A42"/>
    <w:rsid w:val="002C5C4D"/>
    <w:rsid w:val="002C6527"/>
    <w:rsid w:val="002D10C7"/>
    <w:rsid w:val="002D1F69"/>
    <w:rsid w:val="002D3441"/>
    <w:rsid w:val="002D5666"/>
    <w:rsid w:val="002D5B98"/>
    <w:rsid w:val="002D6FB4"/>
    <w:rsid w:val="002E1C8A"/>
    <w:rsid w:val="002E3409"/>
    <w:rsid w:val="002E4377"/>
    <w:rsid w:val="002E600A"/>
    <w:rsid w:val="002E669B"/>
    <w:rsid w:val="002E66FD"/>
    <w:rsid w:val="002E76AF"/>
    <w:rsid w:val="002F0E02"/>
    <w:rsid w:val="002F0E17"/>
    <w:rsid w:val="002F2634"/>
    <w:rsid w:val="002F28FD"/>
    <w:rsid w:val="002F4305"/>
    <w:rsid w:val="002F6439"/>
    <w:rsid w:val="002F6CEC"/>
    <w:rsid w:val="002F7682"/>
    <w:rsid w:val="00300705"/>
    <w:rsid w:val="00302981"/>
    <w:rsid w:val="00302DB6"/>
    <w:rsid w:val="003044BB"/>
    <w:rsid w:val="00305CEA"/>
    <w:rsid w:val="00307160"/>
    <w:rsid w:val="0030733F"/>
    <w:rsid w:val="00307C38"/>
    <w:rsid w:val="00310E43"/>
    <w:rsid w:val="0031182A"/>
    <w:rsid w:val="003135A8"/>
    <w:rsid w:val="003141C7"/>
    <w:rsid w:val="00314C76"/>
    <w:rsid w:val="00315D92"/>
    <w:rsid w:val="00316FA6"/>
    <w:rsid w:val="0031798A"/>
    <w:rsid w:val="00317FFC"/>
    <w:rsid w:val="0032025F"/>
    <w:rsid w:val="00320F01"/>
    <w:rsid w:val="00325212"/>
    <w:rsid w:val="00325496"/>
    <w:rsid w:val="00325D76"/>
    <w:rsid w:val="00332E3F"/>
    <w:rsid w:val="00333AC3"/>
    <w:rsid w:val="003351B8"/>
    <w:rsid w:val="00335508"/>
    <w:rsid w:val="0033784B"/>
    <w:rsid w:val="00337AAE"/>
    <w:rsid w:val="003425B6"/>
    <w:rsid w:val="00343BA7"/>
    <w:rsid w:val="00353649"/>
    <w:rsid w:val="00353776"/>
    <w:rsid w:val="00360F8D"/>
    <w:rsid w:val="003617FD"/>
    <w:rsid w:val="0036206C"/>
    <w:rsid w:val="0036307D"/>
    <w:rsid w:val="00364CDC"/>
    <w:rsid w:val="00365860"/>
    <w:rsid w:val="00365E36"/>
    <w:rsid w:val="00377A83"/>
    <w:rsid w:val="00377CE8"/>
    <w:rsid w:val="00381DF2"/>
    <w:rsid w:val="003841F1"/>
    <w:rsid w:val="00384E20"/>
    <w:rsid w:val="0038504D"/>
    <w:rsid w:val="00385735"/>
    <w:rsid w:val="0038649F"/>
    <w:rsid w:val="00387605"/>
    <w:rsid w:val="00392B8A"/>
    <w:rsid w:val="00393248"/>
    <w:rsid w:val="0039325E"/>
    <w:rsid w:val="00394ACC"/>
    <w:rsid w:val="0039669C"/>
    <w:rsid w:val="003A0BC6"/>
    <w:rsid w:val="003A1AF8"/>
    <w:rsid w:val="003A3CF3"/>
    <w:rsid w:val="003A4A78"/>
    <w:rsid w:val="003A5008"/>
    <w:rsid w:val="003A55F7"/>
    <w:rsid w:val="003A5CB0"/>
    <w:rsid w:val="003A6C2D"/>
    <w:rsid w:val="003B19EF"/>
    <w:rsid w:val="003B1DBD"/>
    <w:rsid w:val="003B2A63"/>
    <w:rsid w:val="003B3A8D"/>
    <w:rsid w:val="003B4995"/>
    <w:rsid w:val="003B4BE0"/>
    <w:rsid w:val="003B642F"/>
    <w:rsid w:val="003B69FE"/>
    <w:rsid w:val="003C4421"/>
    <w:rsid w:val="003C6FB3"/>
    <w:rsid w:val="003D08E5"/>
    <w:rsid w:val="003D16A6"/>
    <w:rsid w:val="003D17C3"/>
    <w:rsid w:val="003D23A4"/>
    <w:rsid w:val="003D519C"/>
    <w:rsid w:val="003D6CA2"/>
    <w:rsid w:val="003D7151"/>
    <w:rsid w:val="003D7FB4"/>
    <w:rsid w:val="003E0382"/>
    <w:rsid w:val="003E0CE6"/>
    <w:rsid w:val="003E17DC"/>
    <w:rsid w:val="003E3266"/>
    <w:rsid w:val="003E3F4C"/>
    <w:rsid w:val="003E4903"/>
    <w:rsid w:val="003E63D3"/>
    <w:rsid w:val="003E790E"/>
    <w:rsid w:val="003E7A0E"/>
    <w:rsid w:val="003F32B9"/>
    <w:rsid w:val="003F6369"/>
    <w:rsid w:val="003F726F"/>
    <w:rsid w:val="00401BE8"/>
    <w:rsid w:val="00401CF4"/>
    <w:rsid w:val="00403EA9"/>
    <w:rsid w:val="004049C6"/>
    <w:rsid w:val="0040641C"/>
    <w:rsid w:val="0040671E"/>
    <w:rsid w:val="0040798B"/>
    <w:rsid w:val="00410CD8"/>
    <w:rsid w:val="004114DC"/>
    <w:rsid w:val="00411619"/>
    <w:rsid w:val="004124C6"/>
    <w:rsid w:val="00412F0C"/>
    <w:rsid w:val="00413955"/>
    <w:rsid w:val="00413F83"/>
    <w:rsid w:val="00414329"/>
    <w:rsid w:val="00416BCE"/>
    <w:rsid w:val="004208A4"/>
    <w:rsid w:val="00424559"/>
    <w:rsid w:val="00430F6B"/>
    <w:rsid w:val="004313BE"/>
    <w:rsid w:val="00431E97"/>
    <w:rsid w:val="00432E27"/>
    <w:rsid w:val="00434F84"/>
    <w:rsid w:val="00437A54"/>
    <w:rsid w:val="004405C8"/>
    <w:rsid w:val="0044071A"/>
    <w:rsid w:val="00441080"/>
    <w:rsid w:val="00441652"/>
    <w:rsid w:val="00447354"/>
    <w:rsid w:val="0044745E"/>
    <w:rsid w:val="00447757"/>
    <w:rsid w:val="004525D5"/>
    <w:rsid w:val="0045636D"/>
    <w:rsid w:val="004565FD"/>
    <w:rsid w:val="00456C0B"/>
    <w:rsid w:val="00457BCE"/>
    <w:rsid w:val="00460A96"/>
    <w:rsid w:val="00464AA3"/>
    <w:rsid w:val="00465FC4"/>
    <w:rsid w:val="004705AD"/>
    <w:rsid w:val="00470B99"/>
    <w:rsid w:val="00471C19"/>
    <w:rsid w:val="00471F18"/>
    <w:rsid w:val="0047228D"/>
    <w:rsid w:val="00473483"/>
    <w:rsid w:val="004735CB"/>
    <w:rsid w:val="00475465"/>
    <w:rsid w:val="004756A6"/>
    <w:rsid w:val="004804B2"/>
    <w:rsid w:val="00480DAB"/>
    <w:rsid w:val="00481BE0"/>
    <w:rsid w:val="00482EFC"/>
    <w:rsid w:val="004850E3"/>
    <w:rsid w:val="0048741E"/>
    <w:rsid w:val="00487964"/>
    <w:rsid w:val="00487C1A"/>
    <w:rsid w:val="0049085A"/>
    <w:rsid w:val="00491DF0"/>
    <w:rsid w:val="00493F9A"/>
    <w:rsid w:val="00496A96"/>
    <w:rsid w:val="00497803"/>
    <w:rsid w:val="00497BF7"/>
    <w:rsid w:val="004A025A"/>
    <w:rsid w:val="004A49F8"/>
    <w:rsid w:val="004A4A27"/>
    <w:rsid w:val="004A592E"/>
    <w:rsid w:val="004A61AF"/>
    <w:rsid w:val="004B0D49"/>
    <w:rsid w:val="004B2C64"/>
    <w:rsid w:val="004B301D"/>
    <w:rsid w:val="004B3034"/>
    <w:rsid w:val="004B3623"/>
    <w:rsid w:val="004B43EC"/>
    <w:rsid w:val="004B467A"/>
    <w:rsid w:val="004B4716"/>
    <w:rsid w:val="004B540E"/>
    <w:rsid w:val="004B73AB"/>
    <w:rsid w:val="004C1E71"/>
    <w:rsid w:val="004C2098"/>
    <w:rsid w:val="004C2884"/>
    <w:rsid w:val="004C38FB"/>
    <w:rsid w:val="004C55AA"/>
    <w:rsid w:val="004C5D85"/>
    <w:rsid w:val="004D0355"/>
    <w:rsid w:val="004D0EA2"/>
    <w:rsid w:val="004D172C"/>
    <w:rsid w:val="004D4CD4"/>
    <w:rsid w:val="004D516E"/>
    <w:rsid w:val="004D5ACD"/>
    <w:rsid w:val="004D5FE9"/>
    <w:rsid w:val="004D7E0C"/>
    <w:rsid w:val="004E017C"/>
    <w:rsid w:val="004F1B47"/>
    <w:rsid w:val="004F3562"/>
    <w:rsid w:val="004F5439"/>
    <w:rsid w:val="004F5BD8"/>
    <w:rsid w:val="004F63CB"/>
    <w:rsid w:val="004F7125"/>
    <w:rsid w:val="00500897"/>
    <w:rsid w:val="00502078"/>
    <w:rsid w:val="005031EC"/>
    <w:rsid w:val="00504A6A"/>
    <w:rsid w:val="005101E4"/>
    <w:rsid w:val="005105A4"/>
    <w:rsid w:val="005119D4"/>
    <w:rsid w:val="00511E14"/>
    <w:rsid w:val="005125F9"/>
    <w:rsid w:val="0051468C"/>
    <w:rsid w:val="00514690"/>
    <w:rsid w:val="00514C74"/>
    <w:rsid w:val="00516452"/>
    <w:rsid w:val="00520C68"/>
    <w:rsid w:val="00520FBA"/>
    <w:rsid w:val="005214D8"/>
    <w:rsid w:val="005216E0"/>
    <w:rsid w:val="00522680"/>
    <w:rsid w:val="00523E6A"/>
    <w:rsid w:val="00524941"/>
    <w:rsid w:val="00525A45"/>
    <w:rsid w:val="00530433"/>
    <w:rsid w:val="00530884"/>
    <w:rsid w:val="00532A5E"/>
    <w:rsid w:val="00532A90"/>
    <w:rsid w:val="00536317"/>
    <w:rsid w:val="00536CB0"/>
    <w:rsid w:val="00537DD0"/>
    <w:rsid w:val="00542D44"/>
    <w:rsid w:val="00542E7F"/>
    <w:rsid w:val="005457A7"/>
    <w:rsid w:val="005457E1"/>
    <w:rsid w:val="005465B5"/>
    <w:rsid w:val="005500D5"/>
    <w:rsid w:val="00553548"/>
    <w:rsid w:val="005542E8"/>
    <w:rsid w:val="00555C5A"/>
    <w:rsid w:val="00557C93"/>
    <w:rsid w:val="005602C2"/>
    <w:rsid w:val="00560555"/>
    <w:rsid w:val="0056563B"/>
    <w:rsid w:val="00566A90"/>
    <w:rsid w:val="0056702C"/>
    <w:rsid w:val="00570A36"/>
    <w:rsid w:val="00571827"/>
    <w:rsid w:val="0057339F"/>
    <w:rsid w:val="00575067"/>
    <w:rsid w:val="00575BC4"/>
    <w:rsid w:val="0057732C"/>
    <w:rsid w:val="0058004F"/>
    <w:rsid w:val="00582907"/>
    <w:rsid w:val="00583768"/>
    <w:rsid w:val="00583885"/>
    <w:rsid w:val="00584072"/>
    <w:rsid w:val="005841B6"/>
    <w:rsid w:val="00585BDC"/>
    <w:rsid w:val="00586EE9"/>
    <w:rsid w:val="005911BA"/>
    <w:rsid w:val="00592EF8"/>
    <w:rsid w:val="00593A8A"/>
    <w:rsid w:val="005953D1"/>
    <w:rsid w:val="00595B51"/>
    <w:rsid w:val="005966E8"/>
    <w:rsid w:val="005A0227"/>
    <w:rsid w:val="005A04F5"/>
    <w:rsid w:val="005A0672"/>
    <w:rsid w:val="005A11DF"/>
    <w:rsid w:val="005A2607"/>
    <w:rsid w:val="005A2618"/>
    <w:rsid w:val="005A2BB3"/>
    <w:rsid w:val="005A447C"/>
    <w:rsid w:val="005A4649"/>
    <w:rsid w:val="005A480F"/>
    <w:rsid w:val="005A4A84"/>
    <w:rsid w:val="005A5ED2"/>
    <w:rsid w:val="005B149E"/>
    <w:rsid w:val="005B3BCE"/>
    <w:rsid w:val="005B5135"/>
    <w:rsid w:val="005B7094"/>
    <w:rsid w:val="005C0244"/>
    <w:rsid w:val="005C14FC"/>
    <w:rsid w:val="005C21A8"/>
    <w:rsid w:val="005C2F37"/>
    <w:rsid w:val="005C3120"/>
    <w:rsid w:val="005C6667"/>
    <w:rsid w:val="005D5790"/>
    <w:rsid w:val="005D5D73"/>
    <w:rsid w:val="005D7462"/>
    <w:rsid w:val="005E18AA"/>
    <w:rsid w:val="005E2630"/>
    <w:rsid w:val="005E5539"/>
    <w:rsid w:val="005F2002"/>
    <w:rsid w:val="005F481B"/>
    <w:rsid w:val="005F53EC"/>
    <w:rsid w:val="005F586A"/>
    <w:rsid w:val="005F73CD"/>
    <w:rsid w:val="006000AA"/>
    <w:rsid w:val="0060028D"/>
    <w:rsid w:val="00601112"/>
    <w:rsid w:val="006011D9"/>
    <w:rsid w:val="0060266F"/>
    <w:rsid w:val="00602AD5"/>
    <w:rsid w:val="006047C8"/>
    <w:rsid w:val="00604FD5"/>
    <w:rsid w:val="00605564"/>
    <w:rsid w:val="006102BA"/>
    <w:rsid w:val="006113BE"/>
    <w:rsid w:val="00611B10"/>
    <w:rsid w:val="00612E15"/>
    <w:rsid w:val="00613BA2"/>
    <w:rsid w:val="00614E4B"/>
    <w:rsid w:val="006150A9"/>
    <w:rsid w:val="00615B1A"/>
    <w:rsid w:val="006226DC"/>
    <w:rsid w:val="006230BA"/>
    <w:rsid w:val="00623EA6"/>
    <w:rsid w:val="00625DB3"/>
    <w:rsid w:val="006264FD"/>
    <w:rsid w:val="006265AF"/>
    <w:rsid w:val="0063092E"/>
    <w:rsid w:val="006319A8"/>
    <w:rsid w:val="00632B48"/>
    <w:rsid w:val="00634567"/>
    <w:rsid w:val="00635E65"/>
    <w:rsid w:val="0063634A"/>
    <w:rsid w:val="006420F3"/>
    <w:rsid w:val="006451AE"/>
    <w:rsid w:val="0064661A"/>
    <w:rsid w:val="006468E0"/>
    <w:rsid w:val="006504C0"/>
    <w:rsid w:val="00651727"/>
    <w:rsid w:val="00653237"/>
    <w:rsid w:val="00654010"/>
    <w:rsid w:val="0065401E"/>
    <w:rsid w:val="00655D56"/>
    <w:rsid w:val="00657A52"/>
    <w:rsid w:val="006602E7"/>
    <w:rsid w:val="00661E9E"/>
    <w:rsid w:val="00662D96"/>
    <w:rsid w:val="00664920"/>
    <w:rsid w:val="00664B75"/>
    <w:rsid w:val="00665375"/>
    <w:rsid w:val="00675476"/>
    <w:rsid w:val="00677A00"/>
    <w:rsid w:val="0068148A"/>
    <w:rsid w:val="00686BEF"/>
    <w:rsid w:val="00686C01"/>
    <w:rsid w:val="00690387"/>
    <w:rsid w:val="00690E20"/>
    <w:rsid w:val="00693B4A"/>
    <w:rsid w:val="0069557F"/>
    <w:rsid w:val="00695ECC"/>
    <w:rsid w:val="00695F7D"/>
    <w:rsid w:val="006A21B1"/>
    <w:rsid w:val="006A2DC0"/>
    <w:rsid w:val="006A5A78"/>
    <w:rsid w:val="006A6334"/>
    <w:rsid w:val="006A74C6"/>
    <w:rsid w:val="006A7D90"/>
    <w:rsid w:val="006B329B"/>
    <w:rsid w:val="006B5441"/>
    <w:rsid w:val="006B5EC0"/>
    <w:rsid w:val="006B6EA6"/>
    <w:rsid w:val="006B74FF"/>
    <w:rsid w:val="006B7B58"/>
    <w:rsid w:val="006C03CE"/>
    <w:rsid w:val="006C1471"/>
    <w:rsid w:val="006C240B"/>
    <w:rsid w:val="006C26C4"/>
    <w:rsid w:val="006C40D3"/>
    <w:rsid w:val="006C4293"/>
    <w:rsid w:val="006C56A9"/>
    <w:rsid w:val="006C730B"/>
    <w:rsid w:val="006C7B18"/>
    <w:rsid w:val="006D17BA"/>
    <w:rsid w:val="006D3CAE"/>
    <w:rsid w:val="006D7007"/>
    <w:rsid w:val="006D7C7C"/>
    <w:rsid w:val="006E1097"/>
    <w:rsid w:val="006E2E6D"/>
    <w:rsid w:val="006E3152"/>
    <w:rsid w:val="006E38C7"/>
    <w:rsid w:val="006E55BA"/>
    <w:rsid w:val="006F05C2"/>
    <w:rsid w:val="006F2FE5"/>
    <w:rsid w:val="006F36FE"/>
    <w:rsid w:val="006F433A"/>
    <w:rsid w:val="006F49F6"/>
    <w:rsid w:val="006F4D57"/>
    <w:rsid w:val="006F52F1"/>
    <w:rsid w:val="006F5337"/>
    <w:rsid w:val="006F6321"/>
    <w:rsid w:val="006F6843"/>
    <w:rsid w:val="006F7AB8"/>
    <w:rsid w:val="0070015F"/>
    <w:rsid w:val="00704180"/>
    <w:rsid w:val="00704901"/>
    <w:rsid w:val="00706A85"/>
    <w:rsid w:val="00706FC5"/>
    <w:rsid w:val="007142A3"/>
    <w:rsid w:val="00714EB2"/>
    <w:rsid w:val="007175FE"/>
    <w:rsid w:val="00717889"/>
    <w:rsid w:val="00721292"/>
    <w:rsid w:val="00722F91"/>
    <w:rsid w:val="00723302"/>
    <w:rsid w:val="00723905"/>
    <w:rsid w:val="0072547C"/>
    <w:rsid w:val="00726883"/>
    <w:rsid w:val="00732EAA"/>
    <w:rsid w:val="0073310E"/>
    <w:rsid w:val="007349B8"/>
    <w:rsid w:val="0074116E"/>
    <w:rsid w:val="0074556C"/>
    <w:rsid w:val="00745B57"/>
    <w:rsid w:val="0074602E"/>
    <w:rsid w:val="00746D9D"/>
    <w:rsid w:val="0075279F"/>
    <w:rsid w:val="00752C55"/>
    <w:rsid w:val="007538F6"/>
    <w:rsid w:val="00756A96"/>
    <w:rsid w:val="00761132"/>
    <w:rsid w:val="00761AF9"/>
    <w:rsid w:val="0076220F"/>
    <w:rsid w:val="007627F3"/>
    <w:rsid w:val="00762859"/>
    <w:rsid w:val="00763E51"/>
    <w:rsid w:val="00767241"/>
    <w:rsid w:val="00767CF4"/>
    <w:rsid w:val="00771F09"/>
    <w:rsid w:val="00774D5B"/>
    <w:rsid w:val="00774E0A"/>
    <w:rsid w:val="00776993"/>
    <w:rsid w:val="00777696"/>
    <w:rsid w:val="007778BE"/>
    <w:rsid w:val="007813FC"/>
    <w:rsid w:val="00783975"/>
    <w:rsid w:val="007843EC"/>
    <w:rsid w:val="00785B06"/>
    <w:rsid w:val="00790C13"/>
    <w:rsid w:val="007911DA"/>
    <w:rsid w:val="00792928"/>
    <w:rsid w:val="0079326B"/>
    <w:rsid w:val="007947D9"/>
    <w:rsid w:val="007972AA"/>
    <w:rsid w:val="00797AA5"/>
    <w:rsid w:val="007A22B5"/>
    <w:rsid w:val="007A3D24"/>
    <w:rsid w:val="007A7030"/>
    <w:rsid w:val="007A71A0"/>
    <w:rsid w:val="007B0E7D"/>
    <w:rsid w:val="007B168D"/>
    <w:rsid w:val="007B187C"/>
    <w:rsid w:val="007B2A3E"/>
    <w:rsid w:val="007B36F7"/>
    <w:rsid w:val="007B41CE"/>
    <w:rsid w:val="007B43E9"/>
    <w:rsid w:val="007B4CCE"/>
    <w:rsid w:val="007B5D39"/>
    <w:rsid w:val="007C01F3"/>
    <w:rsid w:val="007C0865"/>
    <w:rsid w:val="007C132B"/>
    <w:rsid w:val="007C2985"/>
    <w:rsid w:val="007C29C1"/>
    <w:rsid w:val="007C345C"/>
    <w:rsid w:val="007C4906"/>
    <w:rsid w:val="007C4CEC"/>
    <w:rsid w:val="007C4E65"/>
    <w:rsid w:val="007C5062"/>
    <w:rsid w:val="007C50B0"/>
    <w:rsid w:val="007C514A"/>
    <w:rsid w:val="007C558F"/>
    <w:rsid w:val="007D0B1F"/>
    <w:rsid w:val="007D25B5"/>
    <w:rsid w:val="007D2C67"/>
    <w:rsid w:val="007D3920"/>
    <w:rsid w:val="007D3C37"/>
    <w:rsid w:val="007D464D"/>
    <w:rsid w:val="007D4E83"/>
    <w:rsid w:val="007E0E3E"/>
    <w:rsid w:val="007E380E"/>
    <w:rsid w:val="007E5635"/>
    <w:rsid w:val="007E56CF"/>
    <w:rsid w:val="007F02B3"/>
    <w:rsid w:val="007F0A62"/>
    <w:rsid w:val="007F136A"/>
    <w:rsid w:val="007F1BE4"/>
    <w:rsid w:val="007F5E6D"/>
    <w:rsid w:val="007F7F69"/>
    <w:rsid w:val="008004CD"/>
    <w:rsid w:val="00801313"/>
    <w:rsid w:val="00801471"/>
    <w:rsid w:val="008021DB"/>
    <w:rsid w:val="0080435C"/>
    <w:rsid w:val="00804A0D"/>
    <w:rsid w:val="00804BD7"/>
    <w:rsid w:val="00804D5E"/>
    <w:rsid w:val="00805512"/>
    <w:rsid w:val="00806691"/>
    <w:rsid w:val="00812FA8"/>
    <w:rsid w:val="00813E41"/>
    <w:rsid w:val="00814701"/>
    <w:rsid w:val="00814E1E"/>
    <w:rsid w:val="00815068"/>
    <w:rsid w:val="00823D04"/>
    <w:rsid w:val="00823FB7"/>
    <w:rsid w:val="00824D51"/>
    <w:rsid w:val="00827D88"/>
    <w:rsid w:val="00830034"/>
    <w:rsid w:val="00830F69"/>
    <w:rsid w:val="00832108"/>
    <w:rsid w:val="00833E06"/>
    <w:rsid w:val="00834C44"/>
    <w:rsid w:val="00835641"/>
    <w:rsid w:val="0083598B"/>
    <w:rsid w:val="00835A29"/>
    <w:rsid w:val="00836861"/>
    <w:rsid w:val="0083724E"/>
    <w:rsid w:val="00841DC2"/>
    <w:rsid w:val="0084416A"/>
    <w:rsid w:val="008469D5"/>
    <w:rsid w:val="008472AE"/>
    <w:rsid w:val="008473CD"/>
    <w:rsid w:val="008505A1"/>
    <w:rsid w:val="008523BB"/>
    <w:rsid w:val="00853EA7"/>
    <w:rsid w:val="008552B4"/>
    <w:rsid w:val="00862617"/>
    <w:rsid w:val="00865756"/>
    <w:rsid w:val="008659B5"/>
    <w:rsid w:val="0087174D"/>
    <w:rsid w:val="008722AB"/>
    <w:rsid w:val="00872858"/>
    <w:rsid w:val="00874149"/>
    <w:rsid w:val="0087606D"/>
    <w:rsid w:val="00876619"/>
    <w:rsid w:val="00877FB6"/>
    <w:rsid w:val="0088098E"/>
    <w:rsid w:val="008811DC"/>
    <w:rsid w:val="00881DAD"/>
    <w:rsid w:val="00881EA8"/>
    <w:rsid w:val="00883291"/>
    <w:rsid w:val="008840D1"/>
    <w:rsid w:val="0088475C"/>
    <w:rsid w:val="00884F26"/>
    <w:rsid w:val="008855FD"/>
    <w:rsid w:val="00886625"/>
    <w:rsid w:val="00887A5F"/>
    <w:rsid w:val="00893952"/>
    <w:rsid w:val="00894BFD"/>
    <w:rsid w:val="00895099"/>
    <w:rsid w:val="008964F2"/>
    <w:rsid w:val="008966C3"/>
    <w:rsid w:val="00897054"/>
    <w:rsid w:val="008A0BE7"/>
    <w:rsid w:val="008A16B2"/>
    <w:rsid w:val="008A4A25"/>
    <w:rsid w:val="008A5134"/>
    <w:rsid w:val="008B1240"/>
    <w:rsid w:val="008B5956"/>
    <w:rsid w:val="008B7E67"/>
    <w:rsid w:val="008C2670"/>
    <w:rsid w:val="008C3B07"/>
    <w:rsid w:val="008C456A"/>
    <w:rsid w:val="008C5AB7"/>
    <w:rsid w:val="008C7435"/>
    <w:rsid w:val="008C75DB"/>
    <w:rsid w:val="008D016C"/>
    <w:rsid w:val="008D1410"/>
    <w:rsid w:val="008D1E4D"/>
    <w:rsid w:val="008D2F68"/>
    <w:rsid w:val="008D5426"/>
    <w:rsid w:val="008D5A37"/>
    <w:rsid w:val="008D5DBF"/>
    <w:rsid w:val="008D7A56"/>
    <w:rsid w:val="008E44B5"/>
    <w:rsid w:val="008E6E9A"/>
    <w:rsid w:val="008F0A2A"/>
    <w:rsid w:val="008F303C"/>
    <w:rsid w:val="008F3E58"/>
    <w:rsid w:val="008F453E"/>
    <w:rsid w:val="008F7740"/>
    <w:rsid w:val="008F7AF4"/>
    <w:rsid w:val="009030CB"/>
    <w:rsid w:val="00904831"/>
    <w:rsid w:val="00905594"/>
    <w:rsid w:val="00905F9C"/>
    <w:rsid w:val="00907850"/>
    <w:rsid w:val="00907D33"/>
    <w:rsid w:val="009132F6"/>
    <w:rsid w:val="009145E2"/>
    <w:rsid w:val="00914F1A"/>
    <w:rsid w:val="00917373"/>
    <w:rsid w:val="00917D08"/>
    <w:rsid w:val="00920722"/>
    <w:rsid w:val="00921164"/>
    <w:rsid w:val="00921B34"/>
    <w:rsid w:val="00922C60"/>
    <w:rsid w:val="00922C8E"/>
    <w:rsid w:val="00922DD2"/>
    <w:rsid w:val="009248E0"/>
    <w:rsid w:val="009262FF"/>
    <w:rsid w:val="009275F3"/>
    <w:rsid w:val="0092760C"/>
    <w:rsid w:val="009279C8"/>
    <w:rsid w:val="00930BA0"/>
    <w:rsid w:val="00930F1C"/>
    <w:rsid w:val="00930F93"/>
    <w:rsid w:val="00932D8C"/>
    <w:rsid w:val="00933608"/>
    <w:rsid w:val="009347C0"/>
    <w:rsid w:val="009350CD"/>
    <w:rsid w:val="009358B4"/>
    <w:rsid w:val="00935E50"/>
    <w:rsid w:val="009360B7"/>
    <w:rsid w:val="00936508"/>
    <w:rsid w:val="009367A2"/>
    <w:rsid w:val="00940145"/>
    <w:rsid w:val="00941A31"/>
    <w:rsid w:val="00944152"/>
    <w:rsid w:val="0094449E"/>
    <w:rsid w:val="00944609"/>
    <w:rsid w:val="00944FEA"/>
    <w:rsid w:val="00945345"/>
    <w:rsid w:val="009506DB"/>
    <w:rsid w:val="00950BBE"/>
    <w:rsid w:val="00951BC6"/>
    <w:rsid w:val="0095266D"/>
    <w:rsid w:val="009530D6"/>
    <w:rsid w:val="00953C7C"/>
    <w:rsid w:val="00954E74"/>
    <w:rsid w:val="00956000"/>
    <w:rsid w:val="00956129"/>
    <w:rsid w:val="00956185"/>
    <w:rsid w:val="0095677D"/>
    <w:rsid w:val="00956990"/>
    <w:rsid w:val="00962F7C"/>
    <w:rsid w:val="00964D03"/>
    <w:rsid w:val="009650D4"/>
    <w:rsid w:val="00966429"/>
    <w:rsid w:val="00966A5C"/>
    <w:rsid w:val="0096772C"/>
    <w:rsid w:val="00970177"/>
    <w:rsid w:val="00972455"/>
    <w:rsid w:val="00972DEE"/>
    <w:rsid w:val="0097528D"/>
    <w:rsid w:val="00975ECF"/>
    <w:rsid w:val="00982EF5"/>
    <w:rsid w:val="0098337A"/>
    <w:rsid w:val="009836CA"/>
    <w:rsid w:val="0098374E"/>
    <w:rsid w:val="009844B8"/>
    <w:rsid w:val="00987E10"/>
    <w:rsid w:val="00992861"/>
    <w:rsid w:val="00994E11"/>
    <w:rsid w:val="009979BA"/>
    <w:rsid w:val="009A0643"/>
    <w:rsid w:val="009A19CA"/>
    <w:rsid w:val="009A1D50"/>
    <w:rsid w:val="009A317A"/>
    <w:rsid w:val="009A3D15"/>
    <w:rsid w:val="009A68B6"/>
    <w:rsid w:val="009A6A5E"/>
    <w:rsid w:val="009B1FAF"/>
    <w:rsid w:val="009B2C5D"/>
    <w:rsid w:val="009C0068"/>
    <w:rsid w:val="009C1673"/>
    <w:rsid w:val="009C1E88"/>
    <w:rsid w:val="009C1F5C"/>
    <w:rsid w:val="009C2505"/>
    <w:rsid w:val="009C3D7C"/>
    <w:rsid w:val="009C48E3"/>
    <w:rsid w:val="009C6082"/>
    <w:rsid w:val="009C6301"/>
    <w:rsid w:val="009D1C51"/>
    <w:rsid w:val="009D1D7D"/>
    <w:rsid w:val="009D2719"/>
    <w:rsid w:val="009D2B72"/>
    <w:rsid w:val="009D2FEF"/>
    <w:rsid w:val="009D3850"/>
    <w:rsid w:val="009D573D"/>
    <w:rsid w:val="009E0332"/>
    <w:rsid w:val="009E1427"/>
    <w:rsid w:val="009E161E"/>
    <w:rsid w:val="009E30B4"/>
    <w:rsid w:val="009E5238"/>
    <w:rsid w:val="009F170D"/>
    <w:rsid w:val="009F2202"/>
    <w:rsid w:val="009F25FF"/>
    <w:rsid w:val="009F342E"/>
    <w:rsid w:val="009F3B34"/>
    <w:rsid w:val="00A00470"/>
    <w:rsid w:val="00A02644"/>
    <w:rsid w:val="00A0313D"/>
    <w:rsid w:val="00A031C6"/>
    <w:rsid w:val="00A10583"/>
    <w:rsid w:val="00A112B6"/>
    <w:rsid w:val="00A11A44"/>
    <w:rsid w:val="00A1213F"/>
    <w:rsid w:val="00A124E3"/>
    <w:rsid w:val="00A13596"/>
    <w:rsid w:val="00A16C01"/>
    <w:rsid w:val="00A22C86"/>
    <w:rsid w:val="00A2416E"/>
    <w:rsid w:val="00A304DB"/>
    <w:rsid w:val="00A308C0"/>
    <w:rsid w:val="00A3147E"/>
    <w:rsid w:val="00A31CDB"/>
    <w:rsid w:val="00A3268E"/>
    <w:rsid w:val="00A326B0"/>
    <w:rsid w:val="00A334F4"/>
    <w:rsid w:val="00A33B8A"/>
    <w:rsid w:val="00A34799"/>
    <w:rsid w:val="00A35255"/>
    <w:rsid w:val="00A366FE"/>
    <w:rsid w:val="00A37945"/>
    <w:rsid w:val="00A37AFF"/>
    <w:rsid w:val="00A37CDD"/>
    <w:rsid w:val="00A40BDC"/>
    <w:rsid w:val="00A4181C"/>
    <w:rsid w:val="00A42F80"/>
    <w:rsid w:val="00A47F9D"/>
    <w:rsid w:val="00A5018C"/>
    <w:rsid w:val="00A50961"/>
    <w:rsid w:val="00A5131C"/>
    <w:rsid w:val="00A515AB"/>
    <w:rsid w:val="00A539C9"/>
    <w:rsid w:val="00A547B0"/>
    <w:rsid w:val="00A54F67"/>
    <w:rsid w:val="00A556AF"/>
    <w:rsid w:val="00A61631"/>
    <w:rsid w:val="00A616A3"/>
    <w:rsid w:val="00A632DD"/>
    <w:rsid w:val="00A633DD"/>
    <w:rsid w:val="00A644F5"/>
    <w:rsid w:val="00A66291"/>
    <w:rsid w:val="00A70342"/>
    <w:rsid w:val="00A743D9"/>
    <w:rsid w:val="00A750C8"/>
    <w:rsid w:val="00A7520A"/>
    <w:rsid w:val="00A75E46"/>
    <w:rsid w:val="00A77E4B"/>
    <w:rsid w:val="00A8215B"/>
    <w:rsid w:val="00A840AE"/>
    <w:rsid w:val="00A843E5"/>
    <w:rsid w:val="00A8710A"/>
    <w:rsid w:val="00A87A39"/>
    <w:rsid w:val="00A90AFA"/>
    <w:rsid w:val="00A910BF"/>
    <w:rsid w:val="00A939A6"/>
    <w:rsid w:val="00A95450"/>
    <w:rsid w:val="00A95A4C"/>
    <w:rsid w:val="00AA2180"/>
    <w:rsid w:val="00AA60C1"/>
    <w:rsid w:val="00AB2438"/>
    <w:rsid w:val="00AB3838"/>
    <w:rsid w:val="00AB779A"/>
    <w:rsid w:val="00AC1090"/>
    <w:rsid w:val="00AC11B1"/>
    <w:rsid w:val="00AC25D0"/>
    <w:rsid w:val="00AC6F36"/>
    <w:rsid w:val="00AD0F72"/>
    <w:rsid w:val="00AD10F8"/>
    <w:rsid w:val="00AD29EB"/>
    <w:rsid w:val="00AD2DC9"/>
    <w:rsid w:val="00AD4848"/>
    <w:rsid w:val="00AD79F2"/>
    <w:rsid w:val="00AE00DF"/>
    <w:rsid w:val="00AE14E1"/>
    <w:rsid w:val="00AE294E"/>
    <w:rsid w:val="00AE301E"/>
    <w:rsid w:val="00AE3F78"/>
    <w:rsid w:val="00AE4CC2"/>
    <w:rsid w:val="00AE5C6F"/>
    <w:rsid w:val="00AE61FB"/>
    <w:rsid w:val="00AE628A"/>
    <w:rsid w:val="00AE6929"/>
    <w:rsid w:val="00AF171E"/>
    <w:rsid w:val="00AF2B07"/>
    <w:rsid w:val="00AF7658"/>
    <w:rsid w:val="00AF7F41"/>
    <w:rsid w:val="00B01586"/>
    <w:rsid w:val="00B03420"/>
    <w:rsid w:val="00B03E3E"/>
    <w:rsid w:val="00B048CB"/>
    <w:rsid w:val="00B0602A"/>
    <w:rsid w:val="00B0638C"/>
    <w:rsid w:val="00B10711"/>
    <w:rsid w:val="00B1224A"/>
    <w:rsid w:val="00B17D45"/>
    <w:rsid w:val="00B17FE8"/>
    <w:rsid w:val="00B207F1"/>
    <w:rsid w:val="00B21A86"/>
    <w:rsid w:val="00B22338"/>
    <w:rsid w:val="00B24BD4"/>
    <w:rsid w:val="00B25080"/>
    <w:rsid w:val="00B25EFF"/>
    <w:rsid w:val="00B27918"/>
    <w:rsid w:val="00B33F21"/>
    <w:rsid w:val="00B34B5D"/>
    <w:rsid w:val="00B34C03"/>
    <w:rsid w:val="00B35B3A"/>
    <w:rsid w:val="00B36491"/>
    <w:rsid w:val="00B406B2"/>
    <w:rsid w:val="00B415CE"/>
    <w:rsid w:val="00B41A0A"/>
    <w:rsid w:val="00B42FE3"/>
    <w:rsid w:val="00B43E05"/>
    <w:rsid w:val="00B45172"/>
    <w:rsid w:val="00B475F5"/>
    <w:rsid w:val="00B47808"/>
    <w:rsid w:val="00B53483"/>
    <w:rsid w:val="00B54130"/>
    <w:rsid w:val="00B54C23"/>
    <w:rsid w:val="00B55FC4"/>
    <w:rsid w:val="00B56C70"/>
    <w:rsid w:val="00B61C31"/>
    <w:rsid w:val="00B62647"/>
    <w:rsid w:val="00B64AF2"/>
    <w:rsid w:val="00B65D45"/>
    <w:rsid w:val="00B66F91"/>
    <w:rsid w:val="00B6739A"/>
    <w:rsid w:val="00B67B0D"/>
    <w:rsid w:val="00B72F1B"/>
    <w:rsid w:val="00B75490"/>
    <w:rsid w:val="00B7583E"/>
    <w:rsid w:val="00B762B2"/>
    <w:rsid w:val="00B76929"/>
    <w:rsid w:val="00B77B88"/>
    <w:rsid w:val="00B810D9"/>
    <w:rsid w:val="00B81BF7"/>
    <w:rsid w:val="00B833B0"/>
    <w:rsid w:val="00B835BE"/>
    <w:rsid w:val="00B836FA"/>
    <w:rsid w:val="00B87785"/>
    <w:rsid w:val="00B87FA8"/>
    <w:rsid w:val="00B90CC6"/>
    <w:rsid w:val="00B924E4"/>
    <w:rsid w:val="00B926BC"/>
    <w:rsid w:val="00B97E53"/>
    <w:rsid w:val="00BA2905"/>
    <w:rsid w:val="00BA508B"/>
    <w:rsid w:val="00BA62B5"/>
    <w:rsid w:val="00BA6453"/>
    <w:rsid w:val="00BB0AC5"/>
    <w:rsid w:val="00BB0C66"/>
    <w:rsid w:val="00BC0FF7"/>
    <w:rsid w:val="00BC151D"/>
    <w:rsid w:val="00BC1965"/>
    <w:rsid w:val="00BC19C1"/>
    <w:rsid w:val="00BC1E3D"/>
    <w:rsid w:val="00BC2BE5"/>
    <w:rsid w:val="00BC467A"/>
    <w:rsid w:val="00BC4ADD"/>
    <w:rsid w:val="00BC4EB8"/>
    <w:rsid w:val="00BC601B"/>
    <w:rsid w:val="00BC7A95"/>
    <w:rsid w:val="00BD10B4"/>
    <w:rsid w:val="00BD3059"/>
    <w:rsid w:val="00BD5B72"/>
    <w:rsid w:val="00BE070D"/>
    <w:rsid w:val="00BE29BB"/>
    <w:rsid w:val="00BE2A3F"/>
    <w:rsid w:val="00BE348A"/>
    <w:rsid w:val="00BE4846"/>
    <w:rsid w:val="00BE64FE"/>
    <w:rsid w:val="00BE6751"/>
    <w:rsid w:val="00BE6D93"/>
    <w:rsid w:val="00BF13CB"/>
    <w:rsid w:val="00BF1CE0"/>
    <w:rsid w:val="00BF2115"/>
    <w:rsid w:val="00BF215A"/>
    <w:rsid w:val="00BF27C9"/>
    <w:rsid w:val="00BF28A8"/>
    <w:rsid w:val="00BF326B"/>
    <w:rsid w:val="00BF35AF"/>
    <w:rsid w:val="00BF51B2"/>
    <w:rsid w:val="00BF5275"/>
    <w:rsid w:val="00BF5497"/>
    <w:rsid w:val="00BF59FD"/>
    <w:rsid w:val="00BF5FAB"/>
    <w:rsid w:val="00BF71E4"/>
    <w:rsid w:val="00BF7BE3"/>
    <w:rsid w:val="00C0032C"/>
    <w:rsid w:val="00C008CE"/>
    <w:rsid w:val="00C070B9"/>
    <w:rsid w:val="00C07BE2"/>
    <w:rsid w:val="00C11734"/>
    <w:rsid w:val="00C1182A"/>
    <w:rsid w:val="00C125BE"/>
    <w:rsid w:val="00C13190"/>
    <w:rsid w:val="00C14CD7"/>
    <w:rsid w:val="00C17559"/>
    <w:rsid w:val="00C17774"/>
    <w:rsid w:val="00C17959"/>
    <w:rsid w:val="00C2194C"/>
    <w:rsid w:val="00C21B6B"/>
    <w:rsid w:val="00C2281D"/>
    <w:rsid w:val="00C23A69"/>
    <w:rsid w:val="00C24388"/>
    <w:rsid w:val="00C261DB"/>
    <w:rsid w:val="00C272CA"/>
    <w:rsid w:val="00C27827"/>
    <w:rsid w:val="00C32B8B"/>
    <w:rsid w:val="00C3380E"/>
    <w:rsid w:val="00C34B9C"/>
    <w:rsid w:val="00C34C23"/>
    <w:rsid w:val="00C35D87"/>
    <w:rsid w:val="00C4148C"/>
    <w:rsid w:val="00C441A2"/>
    <w:rsid w:val="00C45B92"/>
    <w:rsid w:val="00C51CF9"/>
    <w:rsid w:val="00C545D1"/>
    <w:rsid w:val="00C54D23"/>
    <w:rsid w:val="00C56731"/>
    <w:rsid w:val="00C57230"/>
    <w:rsid w:val="00C61490"/>
    <w:rsid w:val="00C62631"/>
    <w:rsid w:val="00C631AB"/>
    <w:rsid w:val="00C63FAD"/>
    <w:rsid w:val="00C642A6"/>
    <w:rsid w:val="00C653F6"/>
    <w:rsid w:val="00C70517"/>
    <w:rsid w:val="00C70A4E"/>
    <w:rsid w:val="00C70D56"/>
    <w:rsid w:val="00C70DA2"/>
    <w:rsid w:val="00C71333"/>
    <w:rsid w:val="00C714D1"/>
    <w:rsid w:val="00C720C2"/>
    <w:rsid w:val="00C75555"/>
    <w:rsid w:val="00C763AD"/>
    <w:rsid w:val="00C76B58"/>
    <w:rsid w:val="00C77022"/>
    <w:rsid w:val="00C859A5"/>
    <w:rsid w:val="00C85E2B"/>
    <w:rsid w:val="00C8699E"/>
    <w:rsid w:val="00C86F49"/>
    <w:rsid w:val="00C87049"/>
    <w:rsid w:val="00C87A8B"/>
    <w:rsid w:val="00C90225"/>
    <w:rsid w:val="00C91C6E"/>
    <w:rsid w:val="00C930EC"/>
    <w:rsid w:val="00C93390"/>
    <w:rsid w:val="00C93994"/>
    <w:rsid w:val="00C93D78"/>
    <w:rsid w:val="00CA0FEA"/>
    <w:rsid w:val="00CA1EBF"/>
    <w:rsid w:val="00CA2659"/>
    <w:rsid w:val="00CA3675"/>
    <w:rsid w:val="00CA3A6F"/>
    <w:rsid w:val="00CA43A4"/>
    <w:rsid w:val="00CA4CAD"/>
    <w:rsid w:val="00CA7B4F"/>
    <w:rsid w:val="00CA7DE3"/>
    <w:rsid w:val="00CB6550"/>
    <w:rsid w:val="00CB678D"/>
    <w:rsid w:val="00CB7109"/>
    <w:rsid w:val="00CB7206"/>
    <w:rsid w:val="00CB7813"/>
    <w:rsid w:val="00CC2DE2"/>
    <w:rsid w:val="00CC3EF6"/>
    <w:rsid w:val="00CC4974"/>
    <w:rsid w:val="00CC5F1B"/>
    <w:rsid w:val="00CD0CCE"/>
    <w:rsid w:val="00CD2A77"/>
    <w:rsid w:val="00CD2DF4"/>
    <w:rsid w:val="00CD3C65"/>
    <w:rsid w:val="00CD4572"/>
    <w:rsid w:val="00CD464D"/>
    <w:rsid w:val="00CD51DF"/>
    <w:rsid w:val="00CD7401"/>
    <w:rsid w:val="00CD7E73"/>
    <w:rsid w:val="00CE39E2"/>
    <w:rsid w:val="00CE4D3A"/>
    <w:rsid w:val="00CE7678"/>
    <w:rsid w:val="00CF008F"/>
    <w:rsid w:val="00CF0C48"/>
    <w:rsid w:val="00CF0ECD"/>
    <w:rsid w:val="00CF15AF"/>
    <w:rsid w:val="00CF1974"/>
    <w:rsid w:val="00D0027E"/>
    <w:rsid w:val="00D0158A"/>
    <w:rsid w:val="00D0215D"/>
    <w:rsid w:val="00D02736"/>
    <w:rsid w:val="00D05035"/>
    <w:rsid w:val="00D066D8"/>
    <w:rsid w:val="00D0798F"/>
    <w:rsid w:val="00D10C28"/>
    <w:rsid w:val="00D149D4"/>
    <w:rsid w:val="00D15098"/>
    <w:rsid w:val="00D1775C"/>
    <w:rsid w:val="00D207ED"/>
    <w:rsid w:val="00D23A75"/>
    <w:rsid w:val="00D24D67"/>
    <w:rsid w:val="00D25179"/>
    <w:rsid w:val="00D261C3"/>
    <w:rsid w:val="00D26C41"/>
    <w:rsid w:val="00D275F4"/>
    <w:rsid w:val="00D320D6"/>
    <w:rsid w:val="00D32AB7"/>
    <w:rsid w:val="00D350BA"/>
    <w:rsid w:val="00D3639F"/>
    <w:rsid w:val="00D36467"/>
    <w:rsid w:val="00D40243"/>
    <w:rsid w:val="00D405AC"/>
    <w:rsid w:val="00D431D7"/>
    <w:rsid w:val="00D444E0"/>
    <w:rsid w:val="00D45639"/>
    <w:rsid w:val="00D4579A"/>
    <w:rsid w:val="00D45963"/>
    <w:rsid w:val="00D45A3A"/>
    <w:rsid w:val="00D477D1"/>
    <w:rsid w:val="00D5091E"/>
    <w:rsid w:val="00D51440"/>
    <w:rsid w:val="00D51A00"/>
    <w:rsid w:val="00D525BD"/>
    <w:rsid w:val="00D53805"/>
    <w:rsid w:val="00D54FAC"/>
    <w:rsid w:val="00D564BD"/>
    <w:rsid w:val="00D571F6"/>
    <w:rsid w:val="00D57FA9"/>
    <w:rsid w:val="00D6240A"/>
    <w:rsid w:val="00D63652"/>
    <w:rsid w:val="00D657C4"/>
    <w:rsid w:val="00D66957"/>
    <w:rsid w:val="00D71ABC"/>
    <w:rsid w:val="00D71F27"/>
    <w:rsid w:val="00D75C91"/>
    <w:rsid w:val="00D76086"/>
    <w:rsid w:val="00D766C2"/>
    <w:rsid w:val="00D80D40"/>
    <w:rsid w:val="00D80D62"/>
    <w:rsid w:val="00D80F1C"/>
    <w:rsid w:val="00D840C3"/>
    <w:rsid w:val="00D848D8"/>
    <w:rsid w:val="00D863D3"/>
    <w:rsid w:val="00D90311"/>
    <w:rsid w:val="00D937C2"/>
    <w:rsid w:val="00D93A70"/>
    <w:rsid w:val="00D96183"/>
    <w:rsid w:val="00D96B5A"/>
    <w:rsid w:val="00D96F63"/>
    <w:rsid w:val="00D97E4A"/>
    <w:rsid w:val="00DA0399"/>
    <w:rsid w:val="00DA6C03"/>
    <w:rsid w:val="00DA7FCC"/>
    <w:rsid w:val="00DB128F"/>
    <w:rsid w:val="00DB20C3"/>
    <w:rsid w:val="00DB303E"/>
    <w:rsid w:val="00DB39CA"/>
    <w:rsid w:val="00DB45EA"/>
    <w:rsid w:val="00DB4E25"/>
    <w:rsid w:val="00DB6D9A"/>
    <w:rsid w:val="00DC081C"/>
    <w:rsid w:val="00DC1CFE"/>
    <w:rsid w:val="00DC219E"/>
    <w:rsid w:val="00DC2903"/>
    <w:rsid w:val="00DC2B68"/>
    <w:rsid w:val="00DC2CB8"/>
    <w:rsid w:val="00DC3BBC"/>
    <w:rsid w:val="00DC4011"/>
    <w:rsid w:val="00DD056F"/>
    <w:rsid w:val="00DD0908"/>
    <w:rsid w:val="00DD1BDD"/>
    <w:rsid w:val="00DD1E1F"/>
    <w:rsid w:val="00DD2B50"/>
    <w:rsid w:val="00DD3076"/>
    <w:rsid w:val="00DD364A"/>
    <w:rsid w:val="00DD439B"/>
    <w:rsid w:val="00DD481F"/>
    <w:rsid w:val="00DD56F2"/>
    <w:rsid w:val="00DD6BAA"/>
    <w:rsid w:val="00DE1A4E"/>
    <w:rsid w:val="00DE31DE"/>
    <w:rsid w:val="00DE571E"/>
    <w:rsid w:val="00DE5987"/>
    <w:rsid w:val="00DE74E4"/>
    <w:rsid w:val="00DE7CEE"/>
    <w:rsid w:val="00DF074E"/>
    <w:rsid w:val="00DF2B46"/>
    <w:rsid w:val="00DF37D8"/>
    <w:rsid w:val="00DF3D56"/>
    <w:rsid w:val="00DF491C"/>
    <w:rsid w:val="00E03E83"/>
    <w:rsid w:val="00E04E3D"/>
    <w:rsid w:val="00E06623"/>
    <w:rsid w:val="00E066B1"/>
    <w:rsid w:val="00E068F3"/>
    <w:rsid w:val="00E06E9D"/>
    <w:rsid w:val="00E07F03"/>
    <w:rsid w:val="00E133F8"/>
    <w:rsid w:val="00E1474E"/>
    <w:rsid w:val="00E1764E"/>
    <w:rsid w:val="00E179D3"/>
    <w:rsid w:val="00E2059B"/>
    <w:rsid w:val="00E209A5"/>
    <w:rsid w:val="00E22E65"/>
    <w:rsid w:val="00E2551A"/>
    <w:rsid w:val="00E27FE9"/>
    <w:rsid w:val="00E31FC0"/>
    <w:rsid w:val="00E32273"/>
    <w:rsid w:val="00E33039"/>
    <w:rsid w:val="00E330A5"/>
    <w:rsid w:val="00E358B1"/>
    <w:rsid w:val="00E3628A"/>
    <w:rsid w:val="00E36EEC"/>
    <w:rsid w:val="00E4241D"/>
    <w:rsid w:val="00E43879"/>
    <w:rsid w:val="00E46CCD"/>
    <w:rsid w:val="00E5117F"/>
    <w:rsid w:val="00E52F4C"/>
    <w:rsid w:val="00E548A3"/>
    <w:rsid w:val="00E561AC"/>
    <w:rsid w:val="00E5693B"/>
    <w:rsid w:val="00E57DCB"/>
    <w:rsid w:val="00E616AF"/>
    <w:rsid w:val="00E63DCD"/>
    <w:rsid w:val="00E67A7D"/>
    <w:rsid w:val="00E70EB7"/>
    <w:rsid w:val="00E71BA4"/>
    <w:rsid w:val="00E7212B"/>
    <w:rsid w:val="00E73A34"/>
    <w:rsid w:val="00E75305"/>
    <w:rsid w:val="00E76F0E"/>
    <w:rsid w:val="00E77E37"/>
    <w:rsid w:val="00E8045A"/>
    <w:rsid w:val="00E826A2"/>
    <w:rsid w:val="00E82B8B"/>
    <w:rsid w:val="00E82EDC"/>
    <w:rsid w:val="00E8416F"/>
    <w:rsid w:val="00E844FF"/>
    <w:rsid w:val="00E8462A"/>
    <w:rsid w:val="00E84B06"/>
    <w:rsid w:val="00E86BB3"/>
    <w:rsid w:val="00E87D00"/>
    <w:rsid w:val="00E92997"/>
    <w:rsid w:val="00E934E1"/>
    <w:rsid w:val="00E93B63"/>
    <w:rsid w:val="00E97A69"/>
    <w:rsid w:val="00EA0225"/>
    <w:rsid w:val="00EA0257"/>
    <w:rsid w:val="00EA058D"/>
    <w:rsid w:val="00EA0F20"/>
    <w:rsid w:val="00EA30C5"/>
    <w:rsid w:val="00EA4607"/>
    <w:rsid w:val="00EA50AF"/>
    <w:rsid w:val="00EA5B59"/>
    <w:rsid w:val="00EA76B5"/>
    <w:rsid w:val="00EB02FA"/>
    <w:rsid w:val="00EB389F"/>
    <w:rsid w:val="00EB47B6"/>
    <w:rsid w:val="00EB480B"/>
    <w:rsid w:val="00EB49EA"/>
    <w:rsid w:val="00EB5B64"/>
    <w:rsid w:val="00EB6887"/>
    <w:rsid w:val="00EB68D5"/>
    <w:rsid w:val="00EB785C"/>
    <w:rsid w:val="00EB7DD4"/>
    <w:rsid w:val="00EC00BC"/>
    <w:rsid w:val="00EC0DBD"/>
    <w:rsid w:val="00EC119F"/>
    <w:rsid w:val="00EC2292"/>
    <w:rsid w:val="00EC66E8"/>
    <w:rsid w:val="00EC6B1D"/>
    <w:rsid w:val="00EC6F2C"/>
    <w:rsid w:val="00ED0159"/>
    <w:rsid w:val="00ED0969"/>
    <w:rsid w:val="00ED3573"/>
    <w:rsid w:val="00ED3F5A"/>
    <w:rsid w:val="00ED4A32"/>
    <w:rsid w:val="00ED5E0D"/>
    <w:rsid w:val="00ED65D0"/>
    <w:rsid w:val="00ED7377"/>
    <w:rsid w:val="00EE1864"/>
    <w:rsid w:val="00EE25CA"/>
    <w:rsid w:val="00EE4556"/>
    <w:rsid w:val="00EE6185"/>
    <w:rsid w:val="00EE64EC"/>
    <w:rsid w:val="00EF1812"/>
    <w:rsid w:val="00EF206A"/>
    <w:rsid w:val="00EF3248"/>
    <w:rsid w:val="00EF351A"/>
    <w:rsid w:val="00EF4640"/>
    <w:rsid w:val="00EF564C"/>
    <w:rsid w:val="00EF5812"/>
    <w:rsid w:val="00EF71AC"/>
    <w:rsid w:val="00EF7317"/>
    <w:rsid w:val="00EF7AC7"/>
    <w:rsid w:val="00F0157E"/>
    <w:rsid w:val="00F0232C"/>
    <w:rsid w:val="00F03620"/>
    <w:rsid w:val="00F0482E"/>
    <w:rsid w:val="00F04BDE"/>
    <w:rsid w:val="00F07939"/>
    <w:rsid w:val="00F130B8"/>
    <w:rsid w:val="00F1546E"/>
    <w:rsid w:val="00F15791"/>
    <w:rsid w:val="00F16642"/>
    <w:rsid w:val="00F172F9"/>
    <w:rsid w:val="00F17ECF"/>
    <w:rsid w:val="00F206DE"/>
    <w:rsid w:val="00F223A5"/>
    <w:rsid w:val="00F229D3"/>
    <w:rsid w:val="00F25D8F"/>
    <w:rsid w:val="00F26BDC"/>
    <w:rsid w:val="00F3099B"/>
    <w:rsid w:val="00F3684D"/>
    <w:rsid w:val="00F36A16"/>
    <w:rsid w:val="00F37E88"/>
    <w:rsid w:val="00F40843"/>
    <w:rsid w:val="00F42234"/>
    <w:rsid w:val="00F43D76"/>
    <w:rsid w:val="00F43DEC"/>
    <w:rsid w:val="00F43EA8"/>
    <w:rsid w:val="00F45897"/>
    <w:rsid w:val="00F47278"/>
    <w:rsid w:val="00F508DF"/>
    <w:rsid w:val="00F5178B"/>
    <w:rsid w:val="00F54A7C"/>
    <w:rsid w:val="00F54F34"/>
    <w:rsid w:val="00F57454"/>
    <w:rsid w:val="00F61362"/>
    <w:rsid w:val="00F616A7"/>
    <w:rsid w:val="00F62444"/>
    <w:rsid w:val="00F62F3D"/>
    <w:rsid w:val="00F64824"/>
    <w:rsid w:val="00F6531E"/>
    <w:rsid w:val="00F667C0"/>
    <w:rsid w:val="00F66A7D"/>
    <w:rsid w:val="00F6773A"/>
    <w:rsid w:val="00F67E95"/>
    <w:rsid w:val="00F73828"/>
    <w:rsid w:val="00F76BBE"/>
    <w:rsid w:val="00F80633"/>
    <w:rsid w:val="00F811B8"/>
    <w:rsid w:val="00F8289C"/>
    <w:rsid w:val="00F82ADB"/>
    <w:rsid w:val="00F864FF"/>
    <w:rsid w:val="00F87AC5"/>
    <w:rsid w:val="00F90839"/>
    <w:rsid w:val="00F91676"/>
    <w:rsid w:val="00F97097"/>
    <w:rsid w:val="00F9714B"/>
    <w:rsid w:val="00F97890"/>
    <w:rsid w:val="00FA3534"/>
    <w:rsid w:val="00FA48EF"/>
    <w:rsid w:val="00FA4A50"/>
    <w:rsid w:val="00FA4B80"/>
    <w:rsid w:val="00FA6482"/>
    <w:rsid w:val="00FB2F1F"/>
    <w:rsid w:val="00FB2F7A"/>
    <w:rsid w:val="00FB2FFC"/>
    <w:rsid w:val="00FC20F8"/>
    <w:rsid w:val="00FC25F0"/>
    <w:rsid w:val="00FC3380"/>
    <w:rsid w:val="00FC4A99"/>
    <w:rsid w:val="00FC5AE4"/>
    <w:rsid w:val="00FC6AE0"/>
    <w:rsid w:val="00FD0EB3"/>
    <w:rsid w:val="00FD1A92"/>
    <w:rsid w:val="00FD6727"/>
    <w:rsid w:val="00FE05DF"/>
    <w:rsid w:val="00FE0ACE"/>
    <w:rsid w:val="00FE39B0"/>
    <w:rsid w:val="00FE3A1B"/>
    <w:rsid w:val="00FE4EF8"/>
    <w:rsid w:val="00FE512A"/>
    <w:rsid w:val="00FE5EC0"/>
    <w:rsid w:val="00FE7712"/>
    <w:rsid w:val="00FF10D4"/>
    <w:rsid w:val="00FF18C8"/>
    <w:rsid w:val="00FF22D5"/>
    <w:rsid w:val="00FF270E"/>
    <w:rsid w:val="00FF2FD8"/>
    <w:rsid w:val="00FF429E"/>
    <w:rsid w:val="00FF5205"/>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4C38F"/>
  <w15:docId w15:val="{D733026A-E974-4DF1-90BE-0027DA5EA67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05"/>
    <w:rPr>
      <w:sz w:val="24"/>
      <w:szCs w:val="24"/>
    </w:rPr>
  </w:style>
  <w:style w:type="paragraph" w:styleId="Heading1">
    <w:name w:val="heading 1"/>
    <w:basedOn w:val="Normal"/>
    <w:next w:val="Normal"/>
    <w:link w:val="Heading1Char"/>
    <w:qFormat/>
    <w:rsid w:val="004B467A"/>
    <w:pPr>
      <w:keepNext/>
      <w:jc w:val="center"/>
      <w:outlineLvl w:val="0"/>
    </w:pPr>
    <w:rPr>
      <w:rFonts w:ascii="Helvetica" w:hAnsi="Helvetica"/>
      <w:b/>
      <w:bCs/>
      <w:sz w:val="26"/>
      <w:u w:val="single"/>
    </w:rPr>
  </w:style>
  <w:style w:type="paragraph" w:styleId="Heading2">
    <w:name w:val="heading 2"/>
    <w:basedOn w:val="Normal"/>
    <w:next w:val="Normal"/>
    <w:link w:val="Heading2Char"/>
    <w:uiPriority w:val="9"/>
    <w:unhideWhenUsed/>
    <w:qFormat/>
    <w:rsid w:val="00EA0257"/>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character" w:customStyle="1" w:styleId="Heading1Char">
    <w:name w:val="Heading 1 Char"/>
    <w:link w:val="Heading1"/>
    <w:rsid w:val="004B467A"/>
    <w:rPr>
      <w:rFonts w:ascii="Helvetica" w:hAnsi="Helvetica"/>
      <w:b/>
      <w:bCs/>
      <w:sz w:val="26"/>
      <w:szCs w:val="24"/>
      <w:u w:val="single"/>
    </w:rPr>
  </w:style>
  <w:style w:type="paragraph" w:styleId="NoSpacing">
    <w:name w:val="No Spacing"/>
    <w:uiPriority w:val="1"/>
    <w:qFormat/>
    <w:rsid w:val="004B467A"/>
    <w:rPr>
      <w:sz w:val="24"/>
      <w:szCs w:val="24"/>
    </w:rPr>
  </w:style>
  <w:style w:type="paragraph" w:styleId="NormalWeb">
    <w:name w:val="Normal (Web)"/>
    <w:basedOn w:val="Normal"/>
    <w:link w:val="NormalWebChar"/>
    <w:rsid w:val="004B467A"/>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4B467A"/>
    <w:rPr>
      <w:rFonts w:ascii="Arial Unicode MS" w:eastAsia="Arial Unicode MS" w:hAnsi="Arial Unicode MS" w:cs="Arial Unicode MS"/>
      <w:sz w:val="24"/>
      <w:szCs w:val="24"/>
    </w:rPr>
  </w:style>
  <w:style w:type="paragraph" w:styleId="FootnoteText">
    <w:name w:val="footnote text"/>
    <w:basedOn w:val="Normal"/>
    <w:link w:val="FootnoteTextChar"/>
    <w:rsid w:val="00C763AD"/>
    <w:rPr>
      <w:sz w:val="20"/>
      <w:szCs w:val="20"/>
    </w:rPr>
  </w:style>
  <w:style w:type="character" w:customStyle="1" w:styleId="FootnoteTextChar">
    <w:name w:val="Footnote Text Char"/>
    <w:basedOn w:val="DefaultParagraphFont"/>
    <w:link w:val="FootnoteText"/>
    <w:rsid w:val="00C763AD"/>
  </w:style>
  <w:style w:type="character" w:styleId="FootnoteReference">
    <w:name w:val="footnote reference"/>
    <w:rsid w:val="00C763AD"/>
    <w:rPr>
      <w:vertAlign w:val="superscript"/>
    </w:rPr>
  </w:style>
  <w:style w:type="character" w:customStyle="1" w:styleId="FooterChar">
    <w:name w:val="Footer Char"/>
    <w:link w:val="Footer"/>
    <w:uiPriority w:val="99"/>
    <w:rsid w:val="00202407"/>
    <w:rPr>
      <w:sz w:val="24"/>
      <w:szCs w:val="24"/>
    </w:rPr>
  </w:style>
  <w:style w:type="paragraph" w:styleId="BalloonText">
    <w:name w:val="Balloon Text"/>
    <w:basedOn w:val="Normal"/>
    <w:link w:val="BalloonTextChar"/>
    <w:rsid w:val="00202407"/>
    <w:rPr>
      <w:rFonts w:ascii="Tahoma" w:hAnsi="Tahoma" w:cs="Tahoma"/>
      <w:sz w:val="16"/>
      <w:szCs w:val="16"/>
    </w:rPr>
  </w:style>
  <w:style w:type="character" w:customStyle="1" w:styleId="BalloonTextChar">
    <w:name w:val="Balloon Text Char"/>
    <w:link w:val="BalloonText"/>
    <w:rsid w:val="00202407"/>
    <w:rPr>
      <w:rFonts w:ascii="Tahoma" w:hAnsi="Tahoma" w:cs="Tahoma"/>
      <w:sz w:val="16"/>
      <w:szCs w:val="16"/>
    </w:rPr>
  </w:style>
  <w:style w:type="character" w:styleId="Hyperlink">
    <w:name w:val="Hyperlink"/>
    <w:rsid w:val="00595B51"/>
    <w:rPr>
      <w:color w:val="0000FF"/>
      <w:u w:val="single"/>
    </w:rPr>
  </w:style>
  <w:style w:type="table" w:styleId="TableGrid">
    <w:name w:val="Table Grid"/>
    <w:basedOn w:val="TableNormal"/>
    <w:rsid w:val="00F37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F0E6F"/>
    <w:rPr>
      <w:sz w:val="16"/>
      <w:szCs w:val="16"/>
    </w:rPr>
  </w:style>
  <w:style w:type="paragraph" w:styleId="CommentText">
    <w:name w:val="annotation text"/>
    <w:basedOn w:val="Normal"/>
    <w:link w:val="CommentTextChar"/>
    <w:semiHidden/>
    <w:unhideWhenUsed/>
    <w:rsid w:val="001F0E6F"/>
    <w:rPr>
      <w:sz w:val="20"/>
      <w:szCs w:val="20"/>
    </w:rPr>
  </w:style>
  <w:style w:type="character" w:customStyle="1" w:styleId="CommentTextChar">
    <w:name w:val="Comment Text Char"/>
    <w:basedOn w:val="DefaultParagraphFont"/>
    <w:link w:val="CommentText"/>
    <w:semiHidden/>
    <w:rsid w:val="001F0E6F"/>
  </w:style>
  <w:style w:type="paragraph" w:styleId="CommentSubject">
    <w:name w:val="annotation subject"/>
    <w:basedOn w:val="CommentText"/>
    <w:next w:val="CommentText"/>
    <w:link w:val="CommentSubjectChar"/>
    <w:semiHidden/>
    <w:unhideWhenUsed/>
    <w:rsid w:val="001F0E6F"/>
    <w:rPr>
      <w:b/>
      <w:bCs/>
    </w:rPr>
  </w:style>
  <w:style w:type="character" w:customStyle="1" w:styleId="CommentSubjectChar">
    <w:name w:val="Comment Subject Char"/>
    <w:basedOn w:val="CommentTextChar"/>
    <w:link w:val="CommentSubject"/>
    <w:semiHidden/>
    <w:rsid w:val="001F0E6F"/>
    <w:rPr>
      <w:b/>
      <w:bCs/>
    </w:rPr>
  </w:style>
  <w:style w:type="character" w:customStyle="1" w:styleId="Heading2Char">
    <w:name w:val="Heading 2 Char"/>
    <w:basedOn w:val="DefaultParagraphFont"/>
    <w:link w:val="Heading2"/>
    <w:uiPriority w:val="9"/>
    <w:rsid w:val="00EA0257"/>
    <w:rPr>
      <w:rFonts w:asciiTheme="majorHAnsi" w:eastAsiaTheme="majorEastAsia" w:hAnsiTheme="majorHAnsi" w:cstheme="majorBidi"/>
      <w:b/>
      <w:bCs/>
      <w:color w:val="5B9BD5" w:themeColor="accent1"/>
      <w:sz w:val="26"/>
      <w:szCs w:val="26"/>
    </w:rPr>
  </w:style>
  <w:style w:type="paragraph" w:styleId="Revision">
    <w:name w:val="Revision"/>
    <w:hidden/>
    <w:uiPriority w:val="99"/>
    <w:semiHidden/>
    <w:rsid w:val="00EA4607"/>
    <w:rPr>
      <w:sz w:val="24"/>
      <w:szCs w:val="24"/>
    </w:rPr>
  </w:style>
  <w:style w:type="character" w:styleId="FollowedHyperlink">
    <w:name w:val="FollowedHyperlink"/>
    <w:basedOn w:val="DefaultParagraphFont"/>
    <w:semiHidden/>
    <w:unhideWhenUsed/>
    <w:rsid w:val="004B43EC"/>
    <w:rPr>
      <w:color w:val="954F72" w:themeColor="followedHyperlink"/>
      <w:u w:val="single"/>
    </w:rPr>
  </w:style>
  <w:style w:type="character" w:styleId="UnresolvedMention">
    <w:name w:val="Unresolved Mention"/>
    <w:basedOn w:val="DefaultParagraphFont"/>
    <w:uiPriority w:val="99"/>
    <w:semiHidden/>
    <w:unhideWhenUsed/>
    <w:rsid w:val="004D7E0C"/>
    <w:rPr>
      <w:color w:val="605E5C"/>
      <w:shd w:val="clear" w:color="auto" w:fill="E1DFDD"/>
    </w:rPr>
  </w:style>
  <w:style w:type="paragraph" w:styleId="ListParagraph">
    <w:name w:val="List Paragraph"/>
    <w:basedOn w:val="Normal"/>
    <w:uiPriority w:val="34"/>
    <w:qFormat/>
    <w:rsid w:val="00295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c.ca.gov"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cpuc.ca.gov/General.aspx?id=1107" TargetMode="External"/><Relationship Id="rId1" Type="http://schemas.openxmlformats.org/officeDocument/2006/relationships/hyperlink" Target="http://www.cpuc.ca.gov/General.aspx?id=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B595-6D86-488E-96AD-8E91B785A32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2791</ap:Words>
  <ap:Characters>15910</ap:Characters>
  <ap:Application>Microsoft Office Word</ap:Application>
  <ap:DocSecurity>0</ap:DocSecurity>
  <ap:Lines>132</ap:Lines>
  <ap:Paragraphs>37</ap:Paragraphs>
  <ap:ScaleCrop>false</ap:ScaleCrop>
  <ap:HeadingPairs>
    <vt:vector baseType="variant" size="2">
      <vt:variant>
        <vt:lpstr>Title</vt:lpstr>
      </vt:variant>
      <vt:variant>
        <vt:i4>1</vt:i4>
      </vt:variant>
    </vt:vector>
  </ap:HeadingPairs>
  <ap:TitlesOfParts>
    <vt:vector baseType="lpstr" size="1">
      <vt:lpstr>ResolutionTemplate(Comment)</vt:lpstr>
    </vt:vector>
  </ap:TitlesOfParts>
  <ap:Company/>
  <ap:LinksUpToDate>false</ap:LinksUpToDate>
  <ap:CharactersWithSpaces>18664</ap:CharactersWithSpaces>
  <ap:SharedDoc>false</ap:SharedDoc>
  <ap:HLinks>
    <vt:vector baseType="variant" size="12">
      <vt:variant>
        <vt:i4>6488161</vt:i4>
      </vt:variant>
      <vt:variant>
        <vt:i4>0</vt:i4>
      </vt:variant>
      <vt:variant>
        <vt:i4>0</vt:i4>
      </vt:variant>
      <vt:variant>
        <vt:i4>5</vt:i4>
      </vt:variant>
      <vt:variant>
        <vt:lpwstr>http://www.cpuc.ca.gov/</vt:lpwstr>
      </vt:variant>
      <vt:variant>
        <vt:lpwstr/>
      </vt:variant>
      <vt:variant>
        <vt:i4>4128879</vt:i4>
      </vt:variant>
      <vt:variant>
        <vt:i4>0</vt:i4>
      </vt:variant>
      <vt:variant>
        <vt:i4>0</vt:i4>
      </vt:variant>
      <vt:variant>
        <vt:i4>5</vt:i4>
      </vt:variant>
      <vt:variant>
        <vt:lpwstr>http://www.cpuc.ca.gov/General.aspx?id=1107</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2019-03-12T15:01:00Z</cp:lastPrinted>
  <dcterms:created xsi:type="dcterms:W3CDTF">2019-04-30T09:44:01Z</dcterms:created>
  <dcterms:modified xsi:type="dcterms:W3CDTF">2019-04-30T09:44:01Z</dcterms:modified>
</cp:coreProperties>
</file>