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444A4" w14:textId="60BA8EA8" w:rsidR="003D71E0" w:rsidRPr="003F25F8" w:rsidRDefault="00564C38" w:rsidP="001F552F">
      <w:pPr>
        <w:tabs>
          <w:tab w:val="center" w:pos="3870"/>
          <w:tab w:val="right" w:pos="9360"/>
        </w:tabs>
        <w:rPr>
          <w:sz w:val="24"/>
        </w:rPr>
      </w:pPr>
      <w:bookmarkStart w:id="0" w:name="_GoBack"/>
      <w:bookmarkEnd w:id="0"/>
      <w:r>
        <w:t>ALJ</w:t>
      </w:r>
      <w:r w:rsidR="003D71E0">
        <w:t>/</w:t>
      </w:r>
      <w:r>
        <w:t>ZK1</w:t>
      </w:r>
      <w:r w:rsidR="003D71E0">
        <w:t>/jt2</w:t>
      </w:r>
      <w:r w:rsidR="003D71E0">
        <w:tab/>
      </w:r>
      <w:r w:rsidR="003F25F8">
        <w:tab/>
      </w:r>
      <w:r w:rsidR="003F25F8" w:rsidRPr="003F25F8">
        <w:rPr>
          <w:rFonts w:ascii="Helvetica" w:hAnsi="Helvetica"/>
          <w:b/>
          <w:szCs w:val="32"/>
        </w:rPr>
        <w:t>Date of Issuance  5/</w:t>
      </w:r>
      <w:r w:rsidR="00682425">
        <w:rPr>
          <w:rFonts w:ascii="Helvetica" w:hAnsi="Helvetica"/>
          <w:b/>
          <w:szCs w:val="32"/>
        </w:rPr>
        <w:t>1</w:t>
      </w:r>
      <w:r w:rsidR="003F25F8" w:rsidRPr="003F25F8">
        <w:rPr>
          <w:rFonts w:ascii="Helvetica" w:hAnsi="Helvetica"/>
          <w:b/>
          <w:szCs w:val="32"/>
        </w:rPr>
        <w:t>/2019</w:t>
      </w:r>
    </w:p>
    <w:p w14:paraId="08324D89" w14:textId="77777777" w:rsidR="003F25F8" w:rsidRDefault="003F25F8" w:rsidP="003D71E0">
      <w:pPr>
        <w:tabs>
          <w:tab w:val="left" w:pos="2880"/>
        </w:tabs>
        <w:suppressAutoHyphens/>
      </w:pPr>
    </w:p>
    <w:p w14:paraId="0CD52317" w14:textId="77777777" w:rsidR="003F25F8" w:rsidRDefault="003F25F8" w:rsidP="003D71E0">
      <w:pPr>
        <w:tabs>
          <w:tab w:val="left" w:pos="2880"/>
        </w:tabs>
        <w:suppressAutoHyphens/>
      </w:pPr>
    </w:p>
    <w:p w14:paraId="2B1DCFE9" w14:textId="0FF711E8" w:rsidR="003D71E0" w:rsidRPr="009302A2" w:rsidRDefault="003F25F8" w:rsidP="003D71E0">
      <w:pPr>
        <w:tabs>
          <w:tab w:val="left" w:pos="2880"/>
        </w:tabs>
        <w:suppressAutoHyphens/>
        <w:rPr>
          <w:b/>
          <w:sz w:val="20"/>
        </w:rPr>
      </w:pPr>
      <w:r>
        <w:t>Decision 19</w:t>
      </w:r>
      <w:r w:rsidRPr="00540A8D">
        <w:noBreakHyphen/>
      </w:r>
      <w:r>
        <w:t>04</w:t>
      </w:r>
      <w:r w:rsidRPr="00540A8D">
        <w:noBreakHyphen/>
      </w:r>
      <w:r>
        <w:t>010  April 25, 2019</w:t>
      </w:r>
    </w:p>
    <w:p w14:paraId="31BDF77C" w14:textId="77777777" w:rsidR="003D71E0" w:rsidRDefault="003D71E0" w:rsidP="003D71E0"/>
    <w:p w14:paraId="5FCC21B8"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3536693C" w14:textId="77777777" w:rsidR="003D71E0" w:rsidRDefault="003D71E0" w:rsidP="003D71E0">
      <w:pPr>
        <w:suppressAutoHyphens/>
      </w:pPr>
    </w:p>
    <w:tbl>
      <w:tblPr>
        <w:tblW w:w="0" w:type="auto"/>
        <w:tblLayout w:type="fixed"/>
        <w:tblLook w:val="0000" w:firstRow="0" w:lastRow="0" w:firstColumn="0" w:lastColumn="0" w:noHBand="0" w:noVBand="0"/>
      </w:tblPr>
      <w:tblGrid>
        <w:gridCol w:w="5148"/>
        <w:gridCol w:w="4410"/>
      </w:tblGrid>
      <w:tr w:rsidR="003D71E0" w14:paraId="27EA7E52" w14:textId="77777777" w:rsidTr="00EA24B0">
        <w:tc>
          <w:tcPr>
            <w:tcW w:w="5148" w:type="dxa"/>
            <w:tcBorders>
              <w:bottom w:val="single" w:sz="6" w:space="0" w:color="auto"/>
              <w:right w:val="single" w:sz="6" w:space="0" w:color="auto"/>
            </w:tcBorders>
          </w:tcPr>
          <w:p w14:paraId="036FF107" w14:textId="23C44CC8" w:rsidR="003D71E0" w:rsidRDefault="00A801C5" w:rsidP="00EA24B0">
            <w:r w:rsidRPr="00A801C5">
              <w:t>Application of Southern California Edison Company (U 338</w:t>
            </w:r>
            <w:r w:rsidR="00ED3E8A">
              <w:noBreakHyphen/>
            </w:r>
            <w:r w:rsidRPr="00A801C5">
              <w:t>E) for Approval of Its Clean Energy Optimization Pilot.</w:t>
            </w:r>
          </w:p>
          <w:p w14:paraId="787E3EEE" w14:textId="77777777" w:rsidR="00CC3B96" w:rsidRDefault="00CC3B96" w:rsidP="00EA24B0"/>
        </w:tc>
        <w:tc>
          <w:tcPr>
            <w:tcW w:w="4410" w:type="dxa"/>
            <w:tcBorders>
              <w:left w:val="nil"/>
            </w:tcBorders>
          </w:tcPr>
          <w:p w14:paraId="1E4122CE" w14:textId="77777777" w:rsidR="003D71E0" w:rsidRDefault="003D71E0" w:rsidP="00EA24B0">
            <w:pPr>
              <w:jc w:val="center"/>
            </w:pPr>
          </w:p>
          <w:p w14:paraId="43E0F381" w14:textId="36B1F9F1" w:rsidR="00564C38" w:rsidRDefault="00564C38" w:rsidP="00EA24B0">
            <w:pPr>
              <w:jc w:val="center"/>
            </w:pPr>
            <w:r>
              <w:t>Application 18</w:t>
            </w:r>
            <w:r w:rsidR="00ED3E8A">
              <w:noBreakHyphen/>
            </w:r>
            <w:r>
              <w:t>05</w:t>
            </w:r>
            <w:r w:rsidR="00ED3E8A">
              <w:noBreakHyphen/>
            </w:r>
            <w:r>
              <w:t>01</w:t>
            </w:r>
            <w:r w:rsidR="00F96FB4">
              <w:t>5</w:t>
            </w:r>
          </w:p>
        </w:tc>
      </w:tr>
    </w:tbl>
    <w:p w14:paraId="69FCDD30" w14:textId="77777777" w:rsidR="003D71E0" w:rsidRDefault="003D71E0" w:rsidP="003D71E0">
      <w:pPr>
        <w:suppressAutoHyphens/>
      </w:pPr>
    </w:p>
    <w:p w14:paraId="24BE6CA1" w14:textId="77777777" w:rsidR="00617664" w:rsidRDefault="00617664"/>
    <w:p w14:paraId="385A2F6F" w14:textId="77777777" w:rsidR="00617664" w:rsidRDefault="00FD6260">
      <w:pPr>
        <w:pStyle w:val="main"/>
      </w:pPr>
      <w:bookmarkStart w:id="1" w:name="_Toc6843652"/>
      <w:r>
        <w:t>DECISION</w:t>
      </w:r>
      <w:r w:rsidR="00CC3B96">
        <w:t xml:space="preserve"> </w:t>
      </w:r>
      <w:r w:rsidR="00564C38">
        <w:t>APPROVING THE CLEAN ENERGY OPTIMIZATION PILOT AND ADOPTING THE PARTIES’ JOINT SETTLEMENT AGREEMENT</w:t>
      </w:r>
      <w:bookmarkEnd w:id="1"/>
    </w:p>
    <w:p w14:paraId="76DA9215" w14:textId="77777777" w:rsidR="008F7F9A" w:rsidRDefault="008F7F9A">
      <w:pPr>
        <w:pStyle w:val="main"/>
      </w:pPr>
    </w:p>
    <w:p w14:paraId="3A232AE3" w14:textId="77777777" w:rsidR="008F7F9A" w:rsidRDefault="008F7F9A">
      <w:pPr>
        <w:pStyle w:val="main"/>
        <w:rPr>
          <w:rStyle w:val="mainChar"/>
        </w:rPr>
        <w:sectPr w:rsidR="008F7F9A" w:rsidSect="00195CB3">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720" w:gutter="0"/>
          <w:cols w:space="720"/>
          <w:titlePg/>
        </w:sectPr>
      </w:pPr>
    </w:p>
    <w:p w14:paraId="723118A9"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608BEF33" w14:textId="77777777" w:rsidR="00506B83" w:rsidRPr="004D4F77" w:rsidRDefault="00506B83" w:rsidP="00506B83">
      <w:pPr>
        <w:rPr>
          <w:rFonts w:ascii="Helvetica" w:hAnsi="Helvetica"/>
          <w:b/>
          <w:bCs/>
        </w:rPr>
      </w:pPr>
    </w:p>
    <w:p w14:paraId="73644F44"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6A41D870" w14:textId="77777777" w:rsidR="00506B83" w:rsidRPr="00506B83" w:rsidRDefault="00506B83" w:rsidP="00506B83">
      <w:pPr>
        <w:pStyle w:val="main"/>
        <w:jc w:val="left"/>
        <w:rPr>
          <w:rStyle w:val="mainChar"/>
        </w:rPr>
      </w:pPr>
    </w:p>
    <w:p w14:paraId="79452946" w14:textId="26F934BA" w:rsidR="008D35B6" w:rsidRDefault="00506B83" w:rsidP="0023066E">
      <w:pPr>
        <w:pStyle w:val="TOC1"/>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6843652" w:history="1">
        <w:r w:rsidR="008D35B6" w:rsidRPr="009D1B14">
          <w:rPr>
            <w:rStyle w:val="Hyperlink"/>
          </w:rPr>
          <w:t>DECISION APPROVING THE CLEAN ENERGY OPTIMIZATION PILOT AND</w:t>
        </w:r>
        <w:r w:rsidR="0023066E">
          <w:rPr>
            <w:rStyle w:val="Hyperlink"/>
          </w:rPr>
          <w:t> </w:t>
        </w:r>
        <w:r w:rsidR="008D35B6" w:rsidRPr="009D1B14">
          <w:rPr>
            <w:rStyle w:val="Hyperlink"/>
          </w:rPr>
          <w:t>ADOPTING THE PARTIES’ JOINT SETTLEMENT AGREEMENT</w:t>
        </w:r>
        <w:r w:rsidR="008D35B6">
          <w:rPr>
            <w:webHidden/>
          </w:rPr>
          <w:tab/>
        </w:r>
        <w:r w:rsidR="008D35B6">
          <w:rPr>
            <w:webHidden/>
          </w:rPr>
          <w:fldChar w:fldCharType="begin"/>
        </w:r>
        <w:r w:rsidR="008D35B6">
          <w:rPr>
            <w:webHidden/>
          </w:rPr>
          <w:instrText xml:space="preserve"> PAGEREF _Toc6843652 \h </w:instrText>
        </w:r>
        <w:r w:rsidR="008D35B6">
          <w:rPr>
            <w:webHidden/>
          </w:rPr>
        </w:r>
        <w:r w:rsidR="008D35B6">
          <w:rPr>
            <w:webHidden/>
          </w:rPr>
          <w:fldChar w:fldCharType="separate"/>
        </w:r>
        <w:r w:rsidR="0017652A">
          <w:rPr>
            <w:webHidden/>
          </w:rPr>
          <w:t>1</w:t>
        </w:r>
        <w:r w:rsidR="008D35B6">
          <w:rPr>
            <w:webHidden/>
          </w:rPr>
          <w:fldChar w:fldCharType="end"/>
        </w:r>
      </w:hyperlink>
    </w:p>
    <w:p w14:paraId="48EB1F58" w14:textId="3B1F97F9" w:rsidR="008D35B6" w:rsidRDefault="0017288A">
      <w:pPr>
        <w:pStyle w:val="TOC1"/>
        <w:rPr>
          <w:rFonts w:asciiTheme="minorHAnsi" w:eastAsiaTheme="minorEastAsia" w:hAnsiTheme="minorHAnsi" w:cstheme="minorBidi"/>
          <w:sz w:val="22"/>
          <w:szCs w:val="22"/>
        </w:rPr>
      </w:pPr>
      <w:hyperlink w:anchor="_Toc6843654" w:history="1">
        <w:r w:rsidR="008D35B6" w:rsidRPr="009D1B14">
          <w:rPr>
            <w:rStyle w:val="Hyperlink"/>
          </w:rPr>
          <w:t>Summary</w:t>
        </w:r>
        <w:r w:rsidR="008D35B6">
          <w:rPr>
            <w:webHidden/>
          </w:rPr>
          <w:tab/>
        </w:r>
        <w:r w:rsidR="008D35B6">
          <w:rPr>
            <w:webHidden/>
          </w:rPr>
          <w:fldChar w:fldCharType="begin"/>
        </w:r>
        <w:r w:rsidR="008D35B6">
          <w:rPr>
            <w:webHidden/>
          </w:rPr>
          <w:instrText xml:space="preserve"> PAGEREF _Toc6843654 \h </w:instrText>
        </w:r>
        <w:r w:rsidR="008D35B6">
          <w:rPr>
            <w:webHidden/>
          </w:rPr>
        </w:r>
        <w:r w:rsidR="008D35B6">
          <w:rPr>
            <w:webHidden/>
          </w:rPr>
          <w:fldChar w:fldCharType="separate"/>
        </w:r>
        <w:r w:rsidR="0017652A">
          <w:rPr>
            <w:webHidden/>
          </w:rPr>
          <w:t>2</w:t>
        </w:r>
        <w:r w:rsidR="008D35B6">
          <w:rPr>
            <w:webHidden/>
          </w:rPr>
          <w:fldChar w:fldCharType="end"/>
        </w:r>
      </w:hyperlink>
    </w:p>
    <w:p w14:paraId="7F1E59D7" w14:textId="1D249919" w:rsidR="008D35B6" w:rsidRDefault="0017288A">
      <w:pPr>
        <w:pStyle w:val="TOC1"/>
        <w:rPr>
          <w:rFonts w:asciiTheme="minorHAnsi" w:eastAsiaTheme="minorEastAsia" w:hAnsiTheme="minorHAnsi" w:cstheme="minorBidi"/>
          <w:sz w:val="22"/>
          <w:szCs w:val="22"/>
        </w:rPr>
      </w:pPr>
      <w:hyperlink w:anchor="_Toc6843655" w:history="1">
        <w:r w:rsidR="008D35B6" w:rsidRPr="009D1B14">
          <w:rPr>
            <w:rStyle w:val="Hyperlink"/>
          </w:rPr>
          <w:t>1.</w:t>
        </w:r>
        <w:r w:rsidR="008D35B6">
          <w:rPr>
            <w:rFonts w:asciiTheme="minorHAnsi" w:eastAsiaTheme="minorEastAsia" w:hAnsiTheme="minorHAnsi" w:cstheme="minorBidi"/>
            <w:sz w:val="22"/>
            <w:szCs w:val="22"/>
          </w:rPr>
          <w:tab/>
        </w:r>
        <w:r w:rsidR="008D35B6" w:rsidRPr="009D1B14">
          <w:rPr>
            <w:rStyle w:val="Hyperlink"/>
          </w:rPr>
          <w:t>Factual Background</w:t>
        </w:r>
        <w:r w:rsidR="008D35B6">
          <w:rPr>
            <w:webHidden/>
          </w:rPr>
          <w:tab/>
        </w:r>
        <w:r w:rsidR="008D35B6">
          <w:rPr>
            <w:webHidden/>
          </w:rPr>
          <w:fldChar w:fldCharType="begin"/>
        </w:r>
        <w:r w:rsidR="008D35B6">
          <w:rPr>
            <w:webHidden/>
          </w:rPr>
          <w:instrText xml:space="preserve"> PAGEREF _Toc6843655 \h </w:instrText>
        </w:r>
        <w:r w:rsidR="008D35B6">
          <w:rPr>
            <w:webHidden/>
          </w:rPr>
        </w:r>
        <w:r w:rsidR="008D35B6">
          <w:rPr>
            <w:webHidden/>
          </w:rPr>
          <w:fldChar w:fldCharType="separate"/>
        </w:r>
        <w:r w:rsidR="0017652A">
          <w:rPr>
            <w:webHidden/>
          </w:rPr>
          <w:t>2</w:t>
        </w:r>
        <w:r w:rsidR="008D35B6">
          <w:rPr>
            <w:webHidden/>
          </w:rPr>
          <w:fldChar w:fldCharType="end"/>
        </w:r>
      </w:hyperlink>
    </w:p>
    <w:p w14:paraId="4A699C5E" w14:textId="1B37A2F8" w:rsidR="008D35B6" w:rsidRDefault="0017288A">
      <w:pPr>
        <w:pStyle w:val="TOC2"/>
        <w:rPr>
          <w:rFonts w:asciiTheme="minorHAnsi" w:eastAsiaTheme="minorEastAsia" w:hAnsiTheme="minorHAnsi" w:cstheme="minorBidi"/>
          <w:sz w:val="22"/>
          <w:szCs w:val="22"/>
        </w:rPr>
      </w:pPr>
      <w:hyperlink w:anchor="_Toc6843656" w:history="1">
        <w:r w:rsidR="008D35B6" w:rsidRPr="009D1B14">
          <w:rPr>
            <w:rStyle w:val="Hyperlink"/>
          </w:rPr>
          <w:t>1.1.</w:t>
        </w:r>
        <w:r w:rsidR="008D35B6">
          <w:rPr>
            <w:rFonts w:asciiTheme="minorHAnsi" w:eastAsiaTheme="minorEastAsia" w:hAnsiTheme="minorHAnsi" w:cstheme="minorBidi"/>
            <w:sz w:val="22"/>
            <w:szCs w:val="22"/>
          </w:rPr>
          <w:tab/>
        </w:r>
        <w:r w:rsidR="008D35B6" w:rsidRPr="009D1B14">
          <w:rPr>
            <w:rStyle w:val="Hyperlink"/>
          </w:rPr>
          <w:t>Pilot Participants</w:t>
        </w:r>
        <w:r w:rsidR="008D35B6">
          <w:rPr>
            <w:webHidden/>
          </w:rPr>
          <w:tab/>
        </w:r>
        <w:r w:rsidR="008D35B6">
          <w:rPr>
            <w:webHidden/>
          </w:rPr>
          <w:fldChar w:fldCharType="begin"/>
        </w:r>
        <w:r w:rsidR="008D35B6">
          <w:rPr>
            <w:webHidden/>
          </w:rPr>
          <w:instrText xml:space="preserve"> PAGEREF _Toc6843656 \h </w:instrText>
        </w:r>
        <w:r w:rsidR="008D35B6">
          <w:rPr>
            <w:webHidden/>
          </w:rPr>
        </w:r>
        <w:r w:rsidR="008D35B6">
          <w:rPr>
            <w:webHidden/>
          </w:rPr>
          <w:fldChar w:fldCharType="separate"/>
        </w:r>
        <w:r w:rsidR="0017652A">
          <w:rPr>
            <w:webHidden/>
          </w:rPr>
          <w:t>3</w:t>
        </w:r>
        <w:r w:rsidR="008D35B6">
          <w:rPr>
            <w:webHidden/>
          </w:rPr>
          <w:fldChar w:fldCharType="end"/>
        </w:r>
      </w:hyperlink>
    </w:p>
    <w:p w14:paraId="50A0A760" w14:textId="544DDF2C" w:rsidR="008D35B6" w:rsidRDefault="0017288A">
      <w:pPr>
        <w:pStyle w:val="TOC2"/>
        <w:rPr>
          <w:rFonts w:asciiTheme="minorHAnsi" w:eastAsiaTheme="minorEastAsia" w:hAnsiTheme="minorHAnsi" w:cstheme="minorBidi"/>
          <w:sz w:val="22"/>
          <w:szCs w:val="22"/>
        </w:rPr>
      </w:pPr>
      <w:hyperlink w:anchor="_Toc6843657" w:history="1">
        <w:r w:rsidR="008D35B6" w:rsidRPr="009D1B14">
          <w:rPr>
            <w:rStyle w:val="Hyperlink"/>
          </w:rPr>
          <w:t>1.2.</w:t>
        </w:r>
        <w:r w:rsidR="008D35B6">
          <w:rPr>
            <w:rFonts w:asciiTheme="minorHAnsi" w:eastAsiaTheme="minorEastAsia" w:hAnsiTheme="minorHAnsi" w:cstheme="minorBidi"/>
            <w:sz w:val="22"/>
            <w:szCs w:val="22"/>
          </w:rPr>
          <w:tab/>
        </w:r>
        <w:r w:rsidR="008D35B6" w:rsidRPr="009D1B14">
          <w:rPr>
            <w:rStyle w:val="Hyperlink"/>
          </w:rPr>
          <w:t>The Proposed Pilot Program</w:t>
        </w:r>
        <w:r w:rsidR="008D35B6">
          <w:rPr>
            <w:webHidden/>
          </w:rPr>
          <w:tab/>
        </w:r>
        <w:r w:rsidR="008D35B6">
          <w:rPr>
            <w:webHidden/>
          </w:rPr>
          <w:fldChar w:fldCharType="begin"/>
        </w:r>
        <w:r w:rsidR="008D35B6">
          <w:rPr>
            <w:webHidden/>
          </w:rPr>
          <w:instrText xml:space="preserve"> PAGEREF _Toc6843657 \h </w:instrText>
        </w:r>
        <w:r w:rsidR="008D35B6">
          <w:rPr>
            <w:webHidden/>
          </w:rPr>
        </w:r>
        <w:r w:rsidR="008D35B6">
          <w:rPr>
            <w:webHidden/>
          </w:rPr>
          <w:fldChar w:fldCharType="separate"/>
        </w:r>
        <w:r w:rsidR="0017652A">
          <w:rPr>
            <w:webHidden/>
          </w:rPr>
          <w:t>7</w:t>
        </w:r>
        <w:r w:rsidR="008D35B6">
          <w:rPr>
            <w:webHidden/>
          </w:rPr>
          <w:fldChar w:fldCharType="end"/>
        </w:r>
      </w:hyperlink>
    </w:p>
    <w:p w14:paraId="3E41F6ED" w14:textId="3D6B8004" w:rsidR="008D35B6" w:rsidRDefault="0017288A">
      <w:pPr>
        <w:pStyle w:val="TOC1"/>
        <w:rPr>
          <w:rFonts w:asciiTheme="minorHAnsi" w:eastAsiaTheme="minorEastAsia" w:hAnsiTheme="minorHAnsi" w:cstheme="minorBidi"/>
          <w:sz w:val="22"/>
          <w:szCs w:val="22"/>
        </w:rPr>
      </w:pPr>
      <w:hyperlink w:anchor="_Toc6843658" w:history="1">
        <w:r w:rsidR="008D35B6" w:rsidRPr="009D1B14">
          <w:rPr>
            <w:rStyle w:val="Hyperlink"/>
          </w:rPr>
          <w:t>2.</w:t>
        </w:r>
        <w:r w:rsidR="008D35B6">
          <w:rPr>
            <w:rFonts w:asciiTheme="minorHAnsi" w:eastAsiaTheme="minorEastAsia" w:hAnsiTheme="minorHAnsi" w:cstheme="minorBidi"/>
            <w:sz w:val="22"/>
            <w:szCs w:val="22"/>
          </w:rPr>
          <w:tab/>
        </w:r>
        <w:r w:rsidR="008D35B6" w:rsidRPr="009D1B14">
          <w:rPr>
            <w:rStyle w:val="Hyperlink"/>
          </w:rPr>
          <w:t>Procedural History</w:t>
        </w:r>
        <w:r w:rsidR="008D35B6">
          <w:rPr>
            <w:webHidden/>
          </w:rPr>
          <w:tab/>
        </w:r>
        <w:r w:rsidR="008D35B6">
          <w:rPr>
            <w:webHidden/>
          </w:rPr>
          <w:fldChar w:fldCharType="begin"/>
        </w:r>
        <w:r w:rsidR="008D35B6">
          <w:rPr>
            <w:webHidden/>
          </w:rPr>
          <w:instrText xml:space="preserve"> PAGEREF _Toc6843658 \h </w:instrText>
        </w:r>
        <w:r w:rsidR="008D35B6">
          <w:rPr>
            <w:webHidden/>
          </w:rPr>
        </w:r>
        <w:r w:rsidR="008D35B6">
          <w:rPr>
            <w:webHidden/>
          </w:rPr>
          <w:fldChar w:fldCharType="separate"/>
        </w:r>
        <w:r w:rsidR="0017652A">
          <w:rPr>
            <w:webHidden/>
          </w:rPr>
          <w:t>11</w:t>
        </w:r>
        <w:r w:rsidR="008D35B6">
          <w:rPr>
            <w:webHidden/>
          </w:rPr>
          <w:fldChar w:fldCharType="end"/>
        </w:r>
      </w:hyperlink>
    </w:p>
    <w:p w14:paraId="03AAAEE7" w14:textId="64B19FDE" w:rsidR="008D35B6" w:rsidRDefault="0017288A">
      <w:pPr>
        <w:pStyle w:val="TOC1"/>
        <w:rPr>
          <w:rFonts w:asciiTheme="minorHAnsi" w:eastAsiaTheme="minorEastAsia" w:hAnsiTheme="minorHAnsi" w:cstheme="minorBidi"/>
          <w:sz w:val="22"/>
          <w:szCs w:val="22"/>
        </w:rPr>
      </w:pPr>
      <w:hyperlink w:anchor="_Toc6843659" w:history="1">
        <w:r w:rsidR="008D35B6" w:rsidRPr="009D1B14">
          <w:rPr>
            <w:rStyle w:val="Hyperlink"/>
          </w:rPr>
          <w:t>3.</w:t>
        </w:r>
        <w:r w:rsidR="008D35B6">
          <w:rPr>
            <w:rFonts w:asciiTheme="minorHAnsi" w:eastAsiaTheme="minorEastAsia" w:hAnsiTheme="minorHAnsi" w:cstheme="minorBidi"/>
            <w:sz w:val="22"/>
            <w:szCs w:val="22"/>
          </w:rPr>
          <w:tab/>
        </w:r>
        <w:r w:rsidR="008D35B6" w:rsidRPr="009D1B14">
          <w:rPr>
            <w:rStyle w:val="Hyperlink"/>
          </w:rPr>
          <w:t>Issues Before the Commission</w:t>
        </w:r>
        <w:r w:rsidR="008D35B6">
          <w:rPr>
            <w:webHidden/>
          </w:rPr>
          <w:tab/>
        </w:r>
        <w:r w:rsidR="008D35B6">
          <w:rPr>
            <w:webHidden/>
          </w:rPr>
          <w:fldChar w:fldCharType="begin"/>
        </w:r>
        <w:r w:rsidR="008D35B6">
          <w:rPr>
            <w:webHidden/>
          </w:rPr>
          <w:instrText xml:space="preserve"> PAGEREF _Toc6843659 \h </w:instrText>
        </w:r>
        <w:r w:rsidR="008D35B6">
          <w:rPr>
            <w:webHidden/>
          </w:rPr>
        </w:r>
        <w:r w:rsidR="008D35B6">
          <w:rPr>
            <w:webHidden/>
          </w:rPr>
          <w:fldChar w:fldCharType="separate"/>
        </w:r>
        <w:r w:rsidR="0017652A">
          <w:rPr>
            <w:webHidden/>
          </w:rPr>
          <w:t>12</w:t>
        </w:r>
        <w:r w:rsidR="008D35B6">
          <w:rPr>
            <w:webHidden/>
          </w:rPr>
          <w:fldChar w:fldCharType="end"/>
        </w:r>
      </w:hyperlink>
    </w:p>
    <w:p w14:paraId="46048E5D" w14:textId="4E7398DB" w:rsidR="008D35B6" w:rsidRDefault="0017288A">
      <w:pPr>
        <w:pStyle w:val="TOC1"/>
        <w:rPr>
          <w:rFonts w:asciiTheme="minorHAnsi" w:eastAsiaTheme="minorEastAsia" w:hAnsiTheme="minorHAnsi" w:cstheme="minorBidi"/>
          <w:sz w:val="22"/>
          <w:szCs w:val="22"/>
        </w:rPr>
      </w:pPr>
      <w:hyperlink w:anchor="_Toc6843660" w:history="1">
        <w:r w:rsidR="008D35B6" w:rsidRPr="009D1B14">
          <w:rPr>
            <w:rStyle w:val="Hyperlink"/>
          </w:rPr>
          <w:t>4.</w:t>
        </w:r>
        <w:r w:rsidR="008D35B6">
          <w:rPr>
            <w:rFonts w:asciiTheme="minorHAnsi" w:eastAsiaTheme="minorEastAsia" w:hAnsiTheme="minorHAnsi" w:cstheme="minorBidi"/>
            <w:sz w:val="22"/>
            <w:szCs w:val="22"/>
          </w:rPr>
          <w:tab/>
        </w:r>
        <w:r w:rsidR="008D35B6" w:rsidRPr="009D1B14">
          <w:rPr>
            <w:rStyle w:val="Hyperlink"/>
          </w:rPr>
          <w:t>Availability of Funding for CEOP and Funding Order Under the Cap</w:t>
        </w:r>
        <w:r w:rsidR="00ED3E8A">
          <w:rPr>
            <w:rStyle w:val="Hyperlink"/>
          </w:rPr>
          <w:noBreakHyphen/>
        </w:r>
        <w:r w:rsidR="008D35B6" w:rsidRPr="009D1B14">
          <w:rPr>
            <w:rStyle w:val="Hyperlink"/>
          </w:rPr>
          <w:t>and</w:t>
        </w:r>
        <w:r w:rsidR="00ED3E8A">
          <w:rPr>
            <w:rStyle w:val="Hyperlink"/>
          </w:rPr>
          <w:noBreakHyphen/>
        </w:r>
        <w:r w:rsidR="008D35B6" w:rsidRPr="009D1B14">
          <w:rPr>
            <w:rStyle w:val="Hyperlink"/>
          </w:rPr>
          <w:t>Trade Program</w:t>
        </w:r>
        <w:r w:rsidR="008D35B6">
          <w:rPr>
            <w:webHidden/>
          </w:rPr>
          <w:tab/>
        </w:r>
        <w:r w:rsidR="008D35B6">
          <w:rPr>
            <w:webHidden/>
          </w:rPr>
          <w:fldChar w:fldCharType="begin"/>
        </w:r>
        <w:r w:rsidR="008D35B6">
          <w:rPr>
            <w:webHidden/>
          </w:rPr>
          <w:instrText xml:space="preserve"> PAGEREF _Toc6843660 \h </w:instrText>
        </w:r>
        <w:r w:rsidR="008D35B6">
          <w:rPr>
            <w:webHidden/>
          </w:rPr>
        </w:r>
        <w:r w:rsidR="008D35B6">
          <w:rPr>
            <w:webHidden/>
          </w:rPr>
          <w:fldChar w:fldCharType="separate"/>
        </w:r>
        <w:r w:rsidR="0017652A">
          <w:rPr>
            <w:webHidden/>
          </w:rPr>
          <w:t>13</w:t>
        </w:r>
        <w:r w:rsidR="008D35B6">
          <w:rPr>
            <w:webHidden/>
          </w:rPr>
          <w:fldChar w:fldCharType="end"/>
        </w:r>
      </w:hyperlink>
    </w:p>
    <w:p w14:paraId="37D65356" w14:textId="70565D44" w:rsidR="008D35B6" w:rsidRDefault="0017288A">
      <w:pPr>
        <w:pStyle w:val="TOC1"/>
        <w:rPr>
          <w:rFonts w:asciiTheme="minorHAnsi" w:eastAsiaTheme="minorEastAsia" w:hAnsiTheme="minorHAnsi" w:cstheme="minorBidi"/>
          <w:sz w:val="22"/>
          <w:szCs w:val="22"/>
        </w:rPr>
      </w:pPr>
      <w:hyperlink w:anchor="_Toc6843661" w:history="1">
        <w:r w:rsidR="008D35B6" w:rsidRPr="009D1B14">
          <w:rPr>
            <w:rStyle w:val="Hyperlink"/>
          </w:rPr>
          <w:t>5.</w:t>
        </w:r>
        <w:r w:rsidR="008D35B6">
          <w:rPr>
            <w:rFonts w:asciiTheme="minorHAnsi" w:eastAsiaTheme="minorEastAsia" w:hAnsiTheme="minorHAnsi" w:cstheme="minorBidi"/>
            <w:sz w:val="22"/>
            <w:szCs w:val="22"/>
          </w:rPr>
          <w:tab/>
        </w:r>
        <w:r w:rsidR="008D35B6" w:rsidRPr="009D1B14">
          <w:rPr>
            <w:rStyle w:val="Hyperlink"/>
          </w:rPr>
          <w:t>CEOP Balancing Account and Budget</w:t>
        </w:r>
        <w:r w:rsidR="008D35B6">
          <w:rPr>
            <w:webHidden/>
          </w:rPr>
          <w:tab/>
        </w:r>
        <w:r w:rsidR="008D35B6">
          <w:rPr>
            <w:webHidden/>
          </w:rPr>
          <w:fldChar w:fldCharType="begin"/>
        </w:r>
        <w:r w:rsidR="008D35B6">
          <w:rPr>
            <w:webHidden/>
          </w:rPr>
          <w:instrText xml:space="preserve"> PAGEREF _Toc6843661 \h </w:instrText>
        </w:r>
        <w:r w:rsidR="008D35B6">
          <w:rPr>
            <w:webHidden/>
          </w:rPr>
        </w:r>
        <w:r w:rsidR="008D35B6">
          <w:rPr>
            <w:webHidden/>
          </w:rPr>
          <w:fldChar w:fldCharType="separate"/>
        </w:r>
        <w:r w:rsidR="0017652A">
          <w:rPr>
            <w:webHidden/>
          </w:rPr>
          <w:t>19</w:t>
        </w:r>
        <w:r w:rsidR="008D35B6">
          <w:rPr>
            <w:webHidden/>
          </w:rPr>
          <w:fldChar w:fldCharType="end"/>
        </w:r>
      </w:hyperlink>
    </w:p>
    <w:p w14:paraId="3447E402" w14:textId="5394AB8D" w:rsidR="008D35B6" w:rsidRDefault="0017288A">
      <w:pPr>
        <w:pStyle w:val="TOC1"/>
        <w:rPr>
          <w:rFonts w:asciiTheme="minorHAnsi" w:eastAsiaTheme="minorEastAsia" w:hAnsiTheme="minorHAnsi" w:cstheme="minorBidi"/>
          <w:sz w:val="22"/>
          <w:szCs w:val="22"/>
        </w:rPr>
      </w:pPr>
      <w:hyperlink w:anchor="_Toc6843662" w:history="1">
        <w:r w:rsidR="008D35B6" w:rsidRPr="009D1B14">
          <w:rPr>
            <w:rStyle w:val="Hyperlink"/>
          </w:rPr>
          <w:t>6.</w:t>
        </w:r>
        <w:r w:rsidR="008D35B6">
          <w:rPr>
            <w:rFonts w:asciiTheme="minorHAnsi" w:eastAsiaTheme="minorEastAsia" w:hAnsiTheme="minorHAnsi" w:cstheme="minorBidi"/>
            <w:sz w:val="22"/>
            <w:szCs w:val="22"/>
          </w:rPr>
          <w:tab/>
        </w:r>
        <w:r w:rsidR="008D35B6" w:rsidRPr="009D1B14">
          <w:rPr>
            <w:rStyle w:val="Hyperlink"/>
          </w:rPr>
          <w:t>Disadvantaged Communities</w:t>
        </w:r>
        <w:r w:rsidR="008D35B6">
          <w:rPr>
            <w:webHidden/>
          </w:rPr>
          <w:tab/>
        </w:r>
        <w:r w:rsidR="008D35B6">
          <w:rPr>
            <w:webHidden/>
          </w:rPr>
          <w:fldChar w:fldCharType="begin"/>
        </w:r>
        <w:r w:rsidR="008D35B6">
          <w:rPr>
            <w:webHidden/>
          </w:rPr>
          <w:instrText xml:space="preserve"> PAGEREF _Toc6843662 \h </w:instrText>
        </w:r>
        <w:r w:rsidR="008D35B6">
          <w:rPr>
            <w:webHidden/>
          </w:rPr>
        </w:r>
        <w:r w:rsidR="008D35B6">
          <w:rPr>
            <w:webHidden/>
          </w:rPr>
          <w:fldChar w:fldCharType="separate"/>
        </w:r>
        <w:r w:rsidR="0017652A">
          <w:rPr>
            <w:webHidden/>
          </w:rPr>
          <w:t>20</w:t>
        </w:r>
        <w:r w:rsidR="008D35B6">
          <w:rPr>
            <w:webHidden/>
          </w:rPr>
          <w:fldChar w:fldCharType="end"/>
        </w:r>
      </w:hyperlink>
    </w:p>
    <w:p w14:paraId="4502EB6E" w14:textId="1D0ED5AD" w:rsidR="008D35B6" w:rsidRDefault="0017288A">
      <w:pPr>
        <w:pStyle w:val="TOC1"/>
        <w:rPr>
          <w:rFonts w:asciiTheme="minorHAnsi" w:eastAsiaTheme="minorEastAsia" w:hAnsiTheme="minorHAnsi" w:cstheme="minorBidi"/>
          <w:sz w:val="22"/>
          <w:szCs w:val="22"/>
        </w:rPr>
      </w:pPr>
      <w:hyperlink w:anchor="_Toc6843663" w:history="1">
        <w:r w:rsidR="008D35B6" w:rsidRPr="009D1B14">
          <w:rPr>
            <w:rStyle w:val="Hyperlink"/>
          </w:rPr>
          <w:t>7.</w:t>
        </w:r>
        <w:r w:rsidR="008D35B6">
          <w:rPr>
            <w:rFonts w:asciiTheme="minorHAnsi" w:eastAsiaTheme="minorEastAsia" w:hAnsiTheme="minorHAnsi" w:cstheme="minorBidi"/>
            <w:sz w:val="22"/>
            <w:szCs w:val="22"/>
          </w:rPr>
          <w:tab/>
        </w:r>
        <w:r w:rsidR="008D35B6" w:rsidRPr="009D1B14">
          <w:rPr>
            <w:rStyle w:val="Hyperlink"/>
          </w:rPr>
          <w:t>Safety Considerations</w:t>
        </w:r>
        <w:r w:rsidR="008D35B6">
          <w:rPr>
            <w:webHidden/>
          </w:rPr>
          <w:tab/>
        </w:r>
        <w:r w:rsidR="008D35B6">
          <w:rPr>
            <w:webHidden/>
          </w:rPr>
          <w:fldChar w:fldCharType="begin"/>
        </w:r>
        <w:r w:rsidR="008D35B6">
          <w:rPr>
            <w:webHidden/>
          </w:rPr>
          <w:instrText xml:space="preserve"> PAGEREF _Toc6843663 \h </w:instrText>
        </w:r>
        <w:r w:rsidR="008D35B6">
          <w:rPr>
            <w:webHidden/>
          </w:rPr>
        </w:r>
        <w:r w:rsidR="008D35B6">
          <w:rPr>
            <w:webHidden/>
          </w:rPr>
          <w:fldChar w:fldCharType="separate"/>
        </w:r>
        <w:r w:rsidR="0017652A">
          <w:rPr>
            <w:webHidden/>
          </w:rPr>
          <w:t>21</w:t>
        </w:r>
        <w:r w:rsidR="008D35B6">
          <w:rPr>
            <w:webHidden/>
          </w:rPr>
          <w:fldChar w:fldCharType="end"/>
        </w:r>
      </w:hyperlink>
    </w:p>
    <w:p w14:paraId="1C0EB879" w14:textId="2DF1A816" w:rsidR="008D35B6" w:rsidRDefault="0017288A">
      <w:pPr>
        <w:pStyle w:val="TOC1"/>
        <w:rPr>
          <w:rFonts w:asciiTheme="minorHAnsi" w:eastAsiaTheme="minorEastAsia" w:hAnsiTheme="minorHAnsi" w:cstheme="minorBidi"/>
          <w:sz w:val="22"/>
          <w:szCs w:val="22"/>
        </w:rPr>
      </w:pPr>
      <w:hyperlink w:anchor="_Toc6843664" w:history="1">
        <w:r w:rsidR="008D35B6" w:rsidRPr="009D1B14">
          <w:rPr>
            <w:rStyle w:val="Hyperlink"/>
          </w:rPr>
          <w:t>8.</w:t>
        </w:r>
        <w:r w:rsidR="008D35B6">
          <w:rPr>
            <w:rFonts w:asciiTheme="minorHAnsi" w:eastAsiaTheme="minorEastAsia" w:hAnsiTheme="minorHAnsi" w:cstheme="minorBidi"/>
            <w:sz w:val="22"/>
            <w:szCs w:val="22"/>
          </w:rPr>
          <w:tab/>
        </w:r>
        <w:r w:rsidR="008D35B6" w:rsidRPr="009D1B14">
          <w:rPr>
            <w:rStyle w:val="Hyperlink"/>
          </w:rPr>
          <w:t>The Settlement</w:t>
        </w:r>
        <w:r w:rsidR="008D35B6">
          <w:rPr>
            <w:webHidden/>
          </w:rPr>
          <w:tab/>
        </w:r>
        <w:r w:rsidR="008D35B6">
          <w:rPr>
            <w:webHidden/>
          </w:rPr>
          <w:fldChar w:fldCharType="begin"/>
        </w:r>
        <w:r w:rsidR="008D35B6">
          <w:rPr>
            <w:webHidden/>
          </w:rPr>
          <w:instrText xml:space="preserve"> PAGEREF _Toc6843664 \h </w:instrText>
        </w:r>
        <w:r w:rsidR="008D35B6">
          <w:rPr>
            <w:webHidden/>
          </w:rPr>
        </w:r>
        <w:r w:rsidR="008D35B6">
          <w:rPr>
            <w:webHidden/>
          </w:rPr>
          <w:fldChar w:fldCharType="separate"/>
        </w:r>
        <w:r w:rsidR="0017652A">
          <w:rPr>
            <w:webHidden/>
          </w:rPr>
          <w:t>21</w:t>
        </w:r>
        <w:r w:rsidR="008D35B6">
          <w:rPr>
            <w:webHidden/>
          </w:rPr>
          <w:fldChar w:fldCharType="end"/>
        </w:r>
      </w:hyperlink>
    </w:p>
    <w:p w14:paraId="7BC7C7CE" w14:textId="0444858C" w:rsidR="008D35B6" w:rsidRDefault="0017288A">
      <w:pPr>
        <w:pStyle w:val="TOC2"/>
        <w:rPr>
          <w:rFonts w:asciiTheme="minorHAnsi" w:eastAsiaTheme="minorEastAsia" w:hAnsiTheme="minorHAnsi" w:cstheme="minorBidi"/>
          <w:sz w:val="22"/>
          <w:szCs w:val="22"/>
        </w:rPr>
      </w:pPr>
      <w:hyperlink w:anchor="_Toc6843665" w:history="1">
        <w:r w:rsidR="008D35B6" w:rsidRPr="009D1B14">
          <w:rPr>
            <w:rStyle w:val="Hyperlink"/>
          </w:rPr>
          <w:t>8.1.</w:t>
        </w:r>
        <w:r w:rsidR="008D35B6">
          <w:rPr>
            <w:rFonts w:asciiTheme="minorHAnsi" w:eastAsiaTheme="minorEastAsia" w:hAnsiTheme="minorHAnsi" w:cstheme="minorBidi"/>
            <w:sz w:val="22"/>
            <w:szCs w:val="22"/>
          </w:rPr>
          <w:tab/>
        </w:r>
        <w:r w:rsidR="008D35B6" w:rsidRPr="009D1B14">
          <w:rPr>
            <w:rStyle w:val="Hyperlink"/>
          </w:rPr>
          <w:t>Agreed</w:t>
        </w:r>
        <w:r w:rsidR="00ED3E8A">
          <w:rPr>
            <w:rStyle w:val="Hyperlink"/>
          </w:rPr>
          <w:noBreakHyphen/>
        </w:r>
        <w:r w:rsidR="008D35B6" w:rsidRPr="009D1B14">
          <w:rPr>
            <w:rStyle w:val="Hyperlink"/>
          </w:rPr>
          <w:t>Upon Proposals</w:t>
        </w:r>
        <w:r w:rsidR="008D35B6">
          <w:rPr>
            <w:webHidden/>
          </w:rPr>
          <w:tab/>
        </w:r>
        <w:r w:rsidR="008D35B6">
          <w:rPr>
            <w:webHidden/>
          </w:rPr>
          <w:fldChar w:fldCharType="begin"/>
        </w:r>
        <w:r w:rsidR="008D35B6">
          <w:rPr>
            <w:webHidden/>
          </w:rPr>
          <w:instrText xml:space="preserve"> PAGEREF _Toc6843665 \h </w:instrText>
        </w:r>
        <w:r w:rsidR="008D35B6">
          <w:rPr>
            <w:webHidden/>
          </w:rPr>
        </w:r>
        <w:r w:rsidR="008D35B6">
          <w:rPr>
            <w:webHidden/>
          </w:rPr>
          <w:fldChar w:fldCharType="separate"/>
        </w:r>
        <w:r w:rsidR="0017652A">
          <w:rPr>
            <w:webHidden/>
          </w:rPr>
          <w:t>22</w:t>
        </w:r>
        <w:r w:rsidR="008D35B6">
          <w:rPr>
            <w:webHidden/>
          </w:rPr>
          <w:fldChar w:fldCharType="end"/>
        </w:r>
      </w:hyperlink>
    </w:p>
    <w:p w14:paraId="3A491F79" w14:textId="09511437" w:rsidR="008D35B6" w:rsidRDefault="0017288A">
      <w:pPr>
        <w:pStyle w:val="TOC3"/>
        <w:rPr>
          <w:rFonts w:asciiTheme="minorHAnsi" w:eastAsiaTheme="minorEastAsia" w:hAnsiTheme="minorHAnsi" w:cstheme="minorBidi"/>
          <w:sz w:val="22"/>
          <w:szCs w:val="22"/>
        </w:rPr>
      </w:pPr>
      <w:hyperlink w:anchor="_Toc6843666" w:history="1">
        <w:r w:rsidR="008D35B6" w:rsidRPr="009D1B14">
          <w:rPr>
            <w:rStyle w:val="Hyperlink"/>
          </w:rPr>
          <w:t>8.1.1.</w:t>
        </w:r>
        <w:r w:rsidR="008D35B6">
          <w:rPr>
            <w:rFonts w:asciiTheme="minorHAnsi" w:eastAsiaTheme="minorEastAsia" w:hAnsiTheme="minorHAnsi" w:cstheme="minorBidi"/>
            <w:sz w:val="22"/>
            <w:szCs w:val="22"/>
          </w:rPr>
          <w:tab/>
        </w:r>
        <w:r w:rsidR="008D35B6" w:rsidRPr="009D1B14">
          <w:rPr>
            <w:rStyle w:val="Hyperlink"/>
          </w:rPr>
          <w:t xml:space="preserve">CEOP as a Qualifying Clean Energy and Energy Efficiency </w:t>
        </w:r>
        <w:r w:rsidR="0023066E">
          <w:rPr>
            <w:rStyle w:val="Hyperlink"/>
          </w:rPr>
          <w:br/>
        </w:r>
        <w:r w:rsidR="008D35B6" w:rsidRPr="009D1B14">
          <w:rPr>
            <w:rStyle w:val="Hyperlink"/>
          </w:rPr>
          <w:t>Project</w:t>
        </w:r>
        <w:r w:rsidR="008D35B6">
          <w:rPr>
            <w:webHidden/>
          </w:rPr>
          <w:tab/>
        </w:r>
        <w:r w:rsidR="008D35B6">
          <w:rPr>
            <w:webHidden/>
          </w:rPr>
          <w:fldChar w:fldCharType="begin"/>
        </w:r>
        <w:r w:rsidR="008D35B6">
          <w:rPr>
            <w:webHidden/>
          </w:rPr>
          <w:instrText xml:space="preserve"> PAGEREF _Toc6843666 \h </w:instrText>
        </w:r>
        <w:r w:rsidR="008D35B6">
          <w:rPr>
            <w:webHidden/>
          </w:rPr>
        </w:r>
        <w:r w:rsidR="008D35B6">
          <w:rPr>
            <w:webHidden/>
          </w:rPr>
          <w:fldChar w:fldCharType="separate"/>
        </w:r>
        <w:r w:rsidR="0017652A">
          <w:rPr>
            <w:webHidden/>
          </w:rPr>
          <w:t>23</w:t>
        </w:r>
        <w:r w:rsidR="008D35B6">
          <w:rPr>
            <w:webHidden/>
          </w:rPr>
          <w:fldChar w:fldCharType="end"/>
        </w:r>
      </w:hyperlink>
    </w:p>
    <w:p w14:paraId="224945B1" w14:textId="28877D2D" w:rsidR="008D35B6" w:rsidRDefault="0017288A">
      <w:pPr>
        <w:pStyle w:val="TOC3"/>
        <w:rPr>
          <w:rFonts w:asciiTheme="minorHAnsi" w:eastAsiaTheme="minorEastAsia" w:hAnsiTheme="minorHAnsi" w:cstheme="minorBidi"/>
          <w:sz w:val="22"/>
          <w:szCs w:val="22"/>
        </w:rPr>
      </w:pPr>
      <w:hyperlink w:anchor="_Toc6843667" w:history="1">
        <w:r w:rsidR="008D35B6" w:rsidRPr="009D1B14">
          <w:rPr>
            <w:rStyle w:val="Hyperlink"/>
          </w:rPr>
          <w:t>8.1.2.</w:t>
        </w:r>
        <w:r w:rsidR="008D35B6">
          <w:rPr>
            <w:rFonts w:asciiTheme="minorHAnsi" w:eastAsiaTheme="minorEastAsia" w:hAnsiTheme="minorHAnsi" w:cstheme="minorBidi"/>
            <w:sz w:val="22"/>
            <w:szCs w:val="22"/>
          </w:rPr>
          <w:tab/>
        </w:r>
        <w:r w:rsidR="008D35B6" w:rsidRPr="009D1B14">
          <w:rPr>
            <w:rStyle w:val="Hyperlink"/>
          </w:rPr>
          <w:t>Suitability for Funding through Cap</w:t>
        </w:r>
        <w:r w:rsidR="00ED3E8A">
          <w:rPr>
            <w:rStyle w:val="Hyperlink"/>
          </w:rPr>
          <w:noBreakHyphen/>
        </w:r>
        <w:r w:rsidR="008D35B6" w:rsidRPr="009D1B14">
          <w:rPr>
            <w:rStyle w:val="Hyperlink"/>
          </w:rPr>
          <w:t>and</w:t>
        </w:r>
        <w:r w:rsidR="00ED3E8A">
          <w:rPr>
            <w:rStyle w:val="Hyperlink"/>
          </w:rPr>
          <w:noBreakHyphen/>
        </w:r>
        <w:r w:rsidR="008D35B6" w:rsidRPr="009D1B14">
          <w:rPr>
            <w:rStyle w:val="Hyperlink"/>
          </w:rPr>
          <w:t>Trade Allowance Rather</w:t>
        </w:r>
        <w:r w:rsidR="0023066E">
          <w:rPr>
            <w:rStyle w:val="Hyperlink"/>
          </w:rPr>
          <w:t> </w:t>
        </w:r>
        <w:r w:rsidR="008D35B6" w:rsidRPr="009D1B14">
          <w:rPr>
            <w:rStyle w:val="Hyperlink"/>
          </w:rPr>
          <w:t>than Through Rates</w:t>
        </w:r>
        <w:r w:rsidR="008D35B6">
          <w:rPr>
            <w:webHidden/>
          </w:rPr>
          <w:tab/>
        </w:r>
        <w:r w:rsidR="008D35B6">
          <w:rPr>
            <w:webHidden/>
          </w:rPr>
          <w:fldChar w:fldCharType="begin"/>
        </w:r>
        <w:r w:rsidR="008D35B6">
          <w:rPr>
            <w:webHidden/>
          </w:rPr>
          <w:instrText xml:space="preserve"> PAGEREF _Toc6843667 \h </w:instrText>
        </w:r>
        <w:r w:rsidR="008D35B6">
          <w:rPr>
            <w:webHidden/>
          </w:rPr>
        </w:r>
        <w:r w:rsidR="008D35B6">
          <w:rPr>
            <w:webHidden/>
          </w:rPr>
          <w:fldChar w:fldCharType="separate"/>
        </w:r>
        <w:r w:rsidR="0017652A">
          <w:rPr>
            <w:webHidden/>
          </w:rPr>
          <w:t>24</w:t>
        </w:r>
        <w:r w:rsidR="008D35B6">
          <w:rPr>
            <w:webHidden/>
          </w:rPr>
          <w:fldChar w:fldCharType="end"/>
        </w:r>
      </w:hyperlink>
    </w:p>
    <w:p w14:paraId="70035DE1" w14:textId="17A599E5" w:rsidR="008D35B6" w:rsidRDefault="0017288A">
      <w:pPr>
        <w:pStyle w:val="TOC3"/>
        <w:rPr>
          <w:rFonts w:asciiTheme="minorHAnsi" w:eastAsiaTheme="minorEastAsia" w:hAnsiTheme="minorHAnsi" w:cstheme="minorBidi"/>
          <w:sz w:val="22"/>
          <w:szCs w:val="22"/>
        </w:rPr>
      </w:pPr>
      <w:hyperlink w:anchor="_Toc6843668" w:history="1">
        <w:r w:rsidR="008D35B6" w:rsidRPr="009D1B14">
          <w:rPr>
            <w:rStyle w:val="Hyperlink"/>
          </w:rPr>
          <w:t>8.1.3.</w:t>
        </w:r>
        <w:r w:rsidR="008D35B6">
          <w:rPr>
            <w:rFonts w:asciiTheme="minorHAnsi" w:eastAsiaTheme="minorEastAsia" w:hAnsiTheme="minorHAnsi" w:cstheme="minorBidi"/>
            <w:sz w:val="22"/>
            <w:szCs w:val="22"/>
          </w:rPr>
          <w:tab/>
        </w:r>
        <w:r w:rsidR="008D35B6" w:rsidRPr="009D1B14">
          <w:rPr>
            <w:rStyle w:val="Hyperlink"/>
          </w:rPr>
          <w:t>Whether the Performance Baseline will Reflect the Gradual Decarbonization of the Energy Grid</w:t>
        </w:r>
        <w:r w:rsidR="008D35B6">
          <w:rPr>
            <w:webHidden/>
          </w:rPr>
          <w:tab/>
        </w:r>
        <w:r w:rsidR="008D35B6">
          <w:rPr>
            <w:webHidden/>
          </w:rPr>
          <w:fldChar w:fldCharType="begin"/>
        </w:r>
        <w:r w:rsidR="008D35B6">
          <w:rPr>
            <w:webHidden/>
          </w:rPr>
          <w:instrText xml:space="preserve"> PAGEREF _Toc6843668 \h </w:instrText>
        </w:r>
        <w:r w:rsidR="008D35B6">
          <w:rPr>
            <w:webHidden/>
          </w:rPr>
        </w:r>
        <w:r w:rsidR="008D35B6">
          <w:rPr>
            <w:webHidden/>
          </w:rPr>
          <w:fldChar w:fldCharType="separate"/>
        </w:r>
        <w:r w:rsidR="0017652A">
          <w:rPr>
            <w:webHidden/>
          </w:rPr>
          <w:t>25</w:t>
        </w:r>
        <w:r w:rsidR="008D35B6">
          <w:rPr>
            <w:webHidden/>
          </w:rPr>
          <w:fldChar w:fldCharType="end"/>
        </w:r>
      </w:hyperlink>
    </w:p>
    <w:p w14:paraId="4C3584FC" w14:textId="5E95DDB8" w:rsidR="008D35B6" w:rsidRDefault="0017288A">
      <w:pPr>
        <w:pStyle w:val="TOC3"/>
        <w:rPr>
          <w:rFonts w:asciiTheme="minorHAnsi" w:eastAsiaTheme="minorEastAsia" w:hAnsiTheme="minorHAnsi" w:cstheme="minorBidi"/>
          <w:sz w:val="22"/>
          <w:szCs w:val="22"/>
        </w:rPr>
      </w:pPr>
      <w:hyperlink w:anchor="_Toc6843669" w:history="1">
        <w:r w:rsidR="008D35B6" w:rsidRPr="009D1B14">
          <w:rPr>
            <w:rStyle w:val="Hyperlink"/>
          </w:rPr>
          <w:t>8.1.4.</w:t>
        </w:r>
        <w:r w:rsidR="008D35B6">
          <w:rPr>
            <w:rFonts w:asciiTheme="minorHAnsi" w:eastAsiaTheme="minorEastAsia" w:hAnsiTheme="minorHAnsi" w:cstheme="minorBidi"/>
            <w:sz w:val="22"/>
            <w:szCs w:val="22"/>
          </w:rPr>
          <w:tab/>
        </w:r>
        <w:r w:rsidR="008D35B6" w:rsidRPr="009D1B14">
          <w:rPr>
            <w:rStyle w:val="Hyperlink"/>
          </w:rPr>
          <w:t>Method of Accounting for Weather Variability</w:t>
        </w:r>
        <w:r w:rsidR="008D35B6">
          <w:rPr>
            <w:webHidden/>
          </w:rPr>
          <w:tab/>
        </w:r>
        <w:r w:rsidR="008D35B6">
          <w:rPr>
            <w:webHidden/>
          </w:rPr>
          <w:fldChar w:fldCharType="begin"/>
        </w:r>
        <w:r w:rsidR="008D35B6">
          <w:rPr>
            <w:webHidden/>
          </w:rPr>
          <w:instrText xml:space="preserve"> PAGEREF _Toc6843669 \h </w:instrText>
        </w:r>
        <w:r w:rsidR="008D35B6">
          <w:rPr>
            <w:webHidden/>
          </w:rPr>
        </w:r>
        <w:r w:rsidR="008D35B6">
          <w:rPr>
            <w:webHidden/>
          </w:rPr>
          <w:fldChar w:fldCharType="separate"/>
        </w:r>
        <w:r w:rsidR="0017652A">
          <w:rPr>
            <w:webHidden/>
          </w:rPr>
          <w:t>25</w:t>
        </w:r>
        <w:r w:rsidR="008D35B6">
          <w:rPr>
            <w:webHidden/>
          </w:rPr>
          <w:fldChar w:fldCharType="end"/>
        </w:r>
      </w:hyperlink>
    </w:p>
    <w:p w14:paraId="3C3BA851" w14:textId="1AA120DB" w:rsidR="008D35B6" w:rsidRDefault="0017288A">
      <w:pPr>
        <w:pStyle w:val="TOC3"/>
        <w:rPr>
          <w:rFonts w:asciiTheme="minorHAnsi" w:eastAsiaTheme="minorEastAsia" w:hAnsiTheme="minorHAnsi" w:cstheme="minorBidi"/>
          <w:sz w:val="22"/>
          <w:szCs w:val="22"/>
        </w:rPr>
      </w:pPr>
      <w:hyperlink w:anchor="_Toc6843670" w:history="1">
        <w:r w:rsidR="008D35B6" w:rsidRPr="009D1B14">
          <w:rPr>
            <w:rStyle w:val="Hyperlink"/>
          </w:rPr>
          <w:t>8.1.5.</w:t>
        </w:r>
        <w:r w:rsidR="008D35B6">
          <w:rPr>
            <w:rFonts w:asciiTheme="minorHAnsi" w:eastAsiaTheme="minorEastAsia" w:hAnsiTheme="minorHAnsi" w:cstheme="minorBidi"/>
            <w:sz w:val="22"/>
            <w:szCs w:val="22"/>
          </w:rPr>
          <w:tab/>
        </w:r>
        <w:r w:rsidR="008D35B6" w:rsidRPr="009D1B14">
          <w:rPr>
            <w:rStyle w:val="Hyperlink"/>
          </w:rPr>
          <w:t>Aggregating Emissions Factors by Time</w:t>
        </w:r>
        <w:r w:rsidR="00ED3E8A">
          <w:rPr>
            <w:rStyle w:val="Hyperlink"/>
          </w:rPr>
          <w:noBreakHyphen/>
        </w:r>
        <w:r w:rsidR="008D35B6" w:rsidRPr="009D1B14">
          <w:rPr>
            <w:rStyle w:val="Hyperlink"/>
          </w:rPr>
          <w:t>of</w:t>
        </w:r>
        <w:r w:rsidR="00ED3E8A">
          <w:rPr>
            <w:rStyle w:val="Hyperlink"/>
          </w:rPr>
          <w:noBreakHyphen/>
        </w:r>
        <w:r w:rsidR="008D35B6" w:rsidRPr="009D1B14">
          <w:rPr>
            <w:rStyle w:val="Hyperlink"/>
          </w:rPr>
          <w:t>Use Periods</w:t>
        </w:r>
        <w:r w:rsidR="008D35B6">
          <w:rPr>
            <w:webHidden/>
          </w:rPr>
          <w:tab/>
        </w:r>
        <w:r w:rsidR="008D35B6">
          <w:rPr>
            <w:webHidden/>
          </w:rPr>
          <w:fldChar w:fldCharType="begin"/>
        </w:r>
        <w:r w:rsidR="008D35B6">
          <w:rPr>
            <w:webHidden/>
          </w:rPr>
          <w:instrText xml:space="preserve"> PAGEREF _Toc6843670 \h </w:instrText>
        </w:r>
        <w:r w:rsidR="008D35B6">
          <w:rPr>
            <w:webHidden/>
          </w:rPr>
        </w:r>
        <w:r w:rsidR="008D35B6">
          <w:rPr>
            <w:webHidden/>
          </w:rPr>
          <w:fldChar w:fldCharType="separate"/>
        </w:r>
        <w:r w:rsidR="0017652A">
          <w:rPr>
            <w:webHidden/>
          </w:rPr>
          <w:t>26</w:t>
        </w:r>
        <w:r w:rsidR="008D35B6">
          <w:rPr>
            <w:webHidden/>
          </w:rPr>
          <w:fldChar w:fldCharType="end"/>
        </w:r>
      </w:hyperlink>
    </w:p>
    <w:p w14:paraId="57B4ED10" w14:textId="2629C24D" w:rsidR="008D35B6" w:rsidRDefault="0017288A">
      <w:pPr>
        <w:pStyle w:val="TOC2"/>
        <w:rPr>
          <w:rFonts w:asciiTheme="minorHAnsi" w:eastAsiaTheme="minorEastAsia" w:hAnsiTheme="minorHAnsi" w:cstheme="minorBidi"/>
          <w:sz w:val="22"/>
          <w:szCs w:val="22"/>
        </w:rPr>
      </w:pPr>
      <w:hyperlink w:anchor="_Toc6843671" w:history="1">
        <w:r w:rsidR="008D35B6" w:rsidRPr="009D1B14">
          <w:rPr>
            <w:rStyle w:val="Hyperlink"/>
          </w:rPr>
          <w:t>8.2.</w:t>
        </w:r>
        <w:r w:rsidR="008D35B6">
          <w:rPr>
            <w:rFonts w:asciiTheme="minorHAnsi" w:eastAsiaTheme="minorEastAsia" w:hAnsiTheme="minorHAnsi" w:cstheme="minorBidi"/>
            <w:sz w:val="22"/>
            <w:szCs w:val="22"/>
          </w:rPr>
          <w:tab/>
        </w:r>
        <w:r w:rsidR="008D35B6" w:rsidRPr="009D1B14">
          <w:rPr>
            <w:rStyle w:val="Hyperlink"/>
          </w:rPr>
          <w:t>Demand Response Program Participation and Eligibility</w:t>
        </w:r>
        <w:r w:rsidR="008D35B6">
          <w:rPr>
            <w:webHidden/>
          </w:rPr>
          <w:tab/>
        </w:r>
        <w:r w:rsidR="008D35B6">
          <w:rPr>
            <w:webHidden/>
          </w:rPr>
          <w:fldChar w:fldCharType="begin"/>
        </w:r>
        <w:r w:rsidR="008D35B6">
          <w:rPr>
            <w:webHidden/>
          </w:rPr>
          <w:instrText xml:space="preserve"> PAGEREF _Toc6843671 \h </w:instrText>
        </w:r>
        <w:r w:rsidR="008D35B6">
          <w:rPr>
            <w:webHidden/>
          </w:rPr>
        </w:r>
        <w:r w:rsidR="008D35B6">
          <w:rPr>
            <w:webHidden/>
          </w:rPr>
          <w:fldChar w:fldCharType="separate"/>
        </w:r>
        <w:r w:rsidR="0017652A">
          <w:rPr>
            <w:webHidden/>
          </w:rPr>
          <w:t>26</w:t>
        </w:r>
        <w:r w:rsidR="008D35B6">
          <w:rPr>
            <w:webHidden/>
          </w:rPr>
          <w:fldChar w:fldCharType="end"/>
        </w:r>
      </w:hyperlink>
    </w:p>
    <w:p w14:paraId="52F75D25" w14:textId="79665CB7" w:rsidR="008D35B6" w:rsidRDefault="0017288A">
      <w:pPr>
        <w:pStyle w:val="TOC2"/>
        <w:rPr>
          <w:rFonts w:asciiTheme="minorHAnsi" w:eastAsiaTheme="minorEastAsia" w:hAnsiTheme="minorHAnsi" w:cstheme="minorBidi"/>
          <w:sz w:val="22"/>
          <w:szCs w:val="22"/>
        </w:rPr>
      </w:pPr>
      <w:hyperlink w:anchor="_Toc6843672" w:history="1">
        <w:r w:rsidR="008D35B6" w:rsidRPr="009D1B14">
          <w:rPr>
            <w:rStyle w:val="Hyperlink"/>
          </w:rPr>
          <w:t>8.3.</w:t>
        </w:r>
        <w:r w:rsidR="008D35B6">
          <w:rPr>
            <w:rFonts w:asciiTheme="minorHAnsi" w:eastAsiaTheme="minorEastAsia" w:hAnsiTheme="minorHAnsi" w:cstheme="minorBidi"/>
            <w:sz w:val="22"/>
            <w:szCs w:val="22"/>
          </w:rPr>
          <w:tab/>
        </w:r>
        <w:r w:rsidR="008D35B6" w:rsidRPr="009D1B14">
          <w:rPr>
            <w:rStyle w:val="Hyperlink"/>
          </w:rPr>
          <w:t>EV Charging Program Participation and Ramp</w:t>
        </w:r>
        <w:r w:rsidR="00ED3E8A">
          <w:rPr>
            <w:rStyle w:val="Hyperlink"/>
          </w:rPr>
          <w:noBreakHyphen/>
        </w:r>
        <w:r w:rsidR="008D35B6" w:rsidRPr="009D1B14">
          <w:rPr>
            <w:rStyle w:val="Hyperlink"/>
          </w:rPr>
          <w:t>Up Period</w:t>
        </w:r>
        <w:r w:rsidR="008D35B6">
          <w:rPr>
            <w:webHidden/>
          </w:rPr>
          <w:tab/>
        </w:r>
        <w:r w:rsidR="008D35B6">
          <w:rPr>
            <w:webHidden/>
          </w:rPr>
          <w:fldChar w:fldCharType="begin"/>
        </w:r>
        <w:r w:rsidR="008D35B6">
          <w:rPr>
            <w:webHidden/>
          </w:rPr>
          <w:instrText xml:space="preserve"> PAGEREF _Toc6843672 \h </w:instrText>
        </w:r>
        <w:r w:rsidR="008D35B6">
          <w:rPr>
            <w:webHidden/>
          </w:rPr>
        </w:r>
        <w:r w:rsidR="008D35B6">
          <w:rPr>
            <w:webHidden/>
          </w:rPr>
          <w:fldChar w:fldCharType="separate"/>
        </w:r>
        <w:r w:rsidR="0017652A">
          <w:rPr>
            <w:webHidden/>
          </w:rPr>
          <w:t>27</w:t>
        </w:r>
        <w:r w:rsidR="008D35B6">
          <w:rPr>
            <w:webHidden/>
          </w:rPr>
          <w:fldChar w:fldCharType="end"/>
        </w:r>
      </w:hyperlink>
    </w:p>
    <w:p w14:paraId="76BD4894" w14:textId="59E36289" w:rsidR="008D35B6" w:rsidRDefault="0017288A">
      <w:pPr>
        <w:pStyle w:val="TOC2"/>
        <w:rPr>
          <w:rFonts w:asciiTheme="minorHAnsi" w:eastAsiaTheme="minorEastAsia" w:hAnsiTheme="minorHAnsi" w:cstheme="minorBidi"/>
          <w:sz w:val="22"/>
          <w:szCs w:val="22"/>
        </w:rPr>
      </w:pPr>
      <w:hyperlink w:anchor="_Toc6843673" w:history="1">
        <w:r w:rsidR="008D35B6" w:rsidRPr="009D1B14">
          <w:rPr>
            <w:rStyle w:val="Hyperlink"/>
          </w:rPr>
          <w:t>8.4.</w:t>
        </w:r>
        <w:r w:rsidR="008D35B6">
          <w:rPr>
            <w:rFonts w:asciiTheme="minorHAnsi" w:eastAsiaTheme="minorEastAsia" w:hAnsiTheme="minorHAnsi" w:cstheme="minorBidi"/>
            <w:sz w:val="22"/>
            <w:szCs w:val="22"/>
          </w:rPr>
          <w:tab/>
        </w:r>
        <w:r w:rsidR="008D35B6" w:rsidRPr="009D1B14">
          <w:rPr>
            <w:rStyle w:val="Hyperlink"/>
          </w:rPr>
          <w:t>Emissions Intensity Factor</w:t>
        </w:r>
        <w:r w:rsidR="008D35B6">
          <w:rPr>
            <w:webHidden/>
          </w:rPr>
          <w:tab/>
        </w:r>
        <w:r w:rsidR="008D35B6">
          <w:rPr>
            <w:webHidden/>
          </w:rPr>
          <w:fldChar w:fldCharType="begin"/>
        </w:r>
        <w:r w:rsidR="008D35B6">
          <w:rPr>
            <w:webHidden/>
          </w:rPr>
          <w:instrText xml:space="preserve"> PAGEREF _Toc6843673 \h </w:instrText>
        </w:r>
        <w:r w:rsidR="008D35B6">
          <w:rPr>
            <w:webHidden/>
          </w:rPr>
        </w:r>
        <w:r w:rsidR="008D35B6">
          <w:rPr>
            <w:webHidden/>
          </w:rPr>
          <w:fldChar w:fldCharType="separate"/>
        </w:r>
        <w:r w:rsidR="0017652A">
          <w:rPr>
            <w:webHidden/>
          </w:rPr>
          <w:t>28</w:t>
        </w:r>
        <w:r w:rsidR="008D35B6">
          <w:rPr>
            <w:webHidden/>
          </w:rPr>
          <w:fldChar w:fldCharType="end"/>
        </w:r>
      </w:hyperlink>
    </w:p>
    <w:p w14:paraId="5696446F" w14:textId="1065B06A" w:rsidR="008D35B6" w:rsidRDefault="0017288A">
      <w:pPr>
        <w:pStyle w:val="TOC2"/>
        <w:rPr>
          <w:rFonts w:asciiTheme="minorHAnsi" w:eastAsiaTheme="minorEastAsia" w:hAnsiTheme="minorHAnsi" w:cstheme="minorBidi"/>
          <w:sz w:val="22"/>
          <w:szCs w:val="22"/>
        </w:rPr>
      </w:pPr>
      <w:hyperlink w:anchor="_Toc6843674" w:history="1">
        <w:r w:rsidR="008D35B6" w:rsidRPr="009D1B14">
          <w:rPr>
            <w:rStyle w:val="Hyperlink"/>
          </w:rPr>
          <w:t>8.5.</w:t>
        </w:r>
        <w:r w:rsidR="008D35B6">
          <w:rPr>
            <w:rFonts w:asciiTheme="minorHAnsi" w:eastAsiaTheme="minorEastAsia" w:hAnsiTheme="minorHAnsi" w:cstheme="minorBidi"/>
            <w:sz w:val="22"/>
            <w:szCs w:val="22"/>
          </w:rPr>
          <w:tab/>
        </w:r>
        <w:r w:rsidR="008D35B6" w:rsidRPr="009D1B14">
          <w:rPr>
            <w:rStyle w:val="Hyperlink"/>
          </w:rPr>
          <w:t>Asset Life Assumptions</w:t>
        </w:r>
        <w:r w:rsidR="008D35B6">
          <w:rPr>
            <w:webHidden/>
          </w:rPr>
          <w:tab/>
        </w:r>
        <w:r w:rsidR="008D35B6">
          <w:rPr>
            <w:webHidden/>
          </w:rPr>
          <w:fldChar w:fldCharType="begin"/>
        </w:r>
        <w:r w:rsidR="008D35B6">
          <w:rPr>
            <w:webHidden/>
          </w:rPr>
          <w:instrText xml:space="preserve"> PAGEREF _Toc6843674 \h </w:instrText>
        </w:r>
        <w:r w:rsidR="008D35B6">
          <w:rPr>
            <w:webHidden/>
          </w:rPr>
        </w:r>
        <w:r w:rsidR="008D35B6">
          <w:rPr>
            <w:webHidden/>
          </w:rPr>
          <w:fldChar w:fldCharType="separate"/>
        </w:r>
        <w:r w:rsidR="0017652A">
          <w:rPr>
            <w:webHidden/>
          </w:rPr>
          <w:t>28</w:t>
        </w:r>
        <w:r w:rsidR="008D35B6">
          <w:rPr>
            <w:webHidden/>
          </w:rPr>
          <w:fldChar w:fldCharType="end"/>
        </w:r>
      </w:hyperlink>
    </w:p>
    <w:p w14:paraId="5DCC3B1A" w14:textId="5F0CCE3E" w:rsidR="008D35B6" w:rsidRDefault="0017288A">
      <w:pPr>
        <w:pStyle w:val="TOC2"/>
        <w:rPr>
          <w:rFonts w:asciiTheme="minorHAnsi" w:eastAsiaTheme="minorEastAsia" w:hAnsiTheme="minorHAnsi" w:cstheme="minorBidi"/>
          <w:sz w:val="22"/>
          <w:szCs w:val="22"/>
        </w:rPr>
      </w:pPr>
      <w:hyperlink w:anchor="_Toc6843675" w:history="1">
        <w:r w:rsidR="008D35B6" w:rsidRPr="009D1B14">
          <w:rPr>
            <w:rStyle w:val="Hyperlink"/>
          </w:rPr>
          <w:t>8.6.</w:t>
        </w:r>
        <w:r w:rsidR="008D35B6">
          <w:rPr>
            <w:rFonts w:asciiTheme="minorHAnsi" w:eastAsiaTheme="minorEastAsia" w:hAnsiTheme="minorHAnsi" w:cstheme="minorBidi"/>
            <w:sz w:val="22"/>
            <w:szCs w:val="22"/>
          </w:rPr>
          <w:tab/>
        </w:r>
        <w:r w:rsidR="008D35B6" w:rsidRPr="009D1B14">
          <w:rPr>
            <w:rStyle w:val="Hyperlink"/>
          </w:rPr>
          <w:t xml:space="preserve">Including Methane in Calculation of Carbon Intensity of Natural </w:t>
        </w:r>
        <w:r w:rsidR="0023066E">
          <w:rPr>
            <w:rStyle w:val="Hyperlink"/>
          </w:rPr>
          <w:br/>
        </w:r>
        <w:r w:rsidR="008D35B6" w:rsidRPr="009D1B14">
          <w:rPr>
            <w:rStyle w:val="Hyperlink"/>
          </w:rPr>
          <w:t>Gas</w:t>
        </w:r>
        <w:r w:rsidR="008D35B6">
          <w:rPr>
            <w:webHidden/>
          </w:rPr>
          <w:tab/>
        </w:r>
        <w:r w:rsidR="008D35B6">
          <w:rPr>
            <w:webHidden/>
          </w:rPr>
          <w:fldChar w:fldCharType="begin"/>
        </w:r>
        <w:r w:rsidR="008D35B6">
          <w:rPr>
            <w:webHidden/>
          </w:rPr>
          <w:instrText xml:space="preserve"> PAGEREF _Toc6843675 \h </w:instrText>
        </w:r>
        <w:r w:rsidR="008D35B6">
          <w:rPr>
            <w:webHidden/>
          </w:rPr>
        </w:r>
        <w:r w:rsidR="008D35B6">
          <w:rPr>
            <w:webHidden/>
          </w:rPr>
          <w:fldChar w:fldCharType="separate"/>
        </w:r>
        <w:r w:rsidR="0017652A">
          <w:rPr>
            <w:webHidden/>
          </w:rPr>
          <w:t>29</w:t>
        </w:r>
        <w:r w:rsidR="008D35B6">
          <w:rPr>
            <w:webHidden/>
          </w:rPr>
          <w:fldChar w:fldCharType="end"/>
        </w:r>
      </w:hyperlink>
    </w:p>
    <w:p w14:paraId="7F043A0B" w14:textId="69559F32" w:rsidR="008D35B6" w:rsidRDefault="0017288A">
      <w:pPr>
        <w:pStyle w:val="TOC2"/>
        <w:rPr>
          <w:rFonts w:asciiTheme="minorHAnsi" w:eastAsiaTheme="minorEastAsia" w:hAnsiTheme="minorHAnsi" w:cstheme="minorBidi"/>
          <w:sz w:val="22"/>
          <w:szCs w:val="22"/>
        </w:rPr>
      </w:pPr>
      <w:hyperlink w:anchor="_Toc6843676" w:history="1">
        <w:r w:rsidR="008D35B6" w:rsidRPr="009D1B14">
          <w:rPr>
            <w:rStyle w:val="Hyperlink"/>
          </w:rPr>
          <w:t>8.7.</w:t>
        </w:r>
        <w:r w:rsidR="008D35B6">
          <w:rPr>
            <w:rFonts w:asciiTheme="minorHAnsi" w:eastAsiaTheme="minorEastAsia" w:hAnsiTheme="minorHAnsi" w:cstheme="minorBidi"/>
            <w:sz w:val="22"/>
            <w:szCs w:val="22"/>
          </w:rPr>
          <w:tab/>
        </w:r>
        <w:r w:rsidR="008D35B6" w:rsidRPr="009D1B14">
          <w:rPr>
            <w:rStyle w:val="Hyperlink"/>
          </w:rPr>
          <w:t>Method for Calculating Energy Intensity of Buildings</w:t>
        </w:r>
        <w:r w:rsidR="008D35B6">
          <w:rPr>
            <w:webHidden/>
          </w:rPr>
          <w:tab/>
        </w:r>
        <w:r w:rsidR="008D35B6">
          <w:rPr>
            <w:webHidden/>
          </w:rPr>
          <w:fldChar w:fldCharType="begin"/>
        </w:r>
        <w:r w:rsidR="008D35B6">
          <w:rPr>
            <w:webHidden/>
          </w:rPr>
          <w:instrText xml:space="preserve"> PAGEREF _Toc6843676 \h </w:instrText>
        </w:r>
        <w:r w:rsidR="008D35B6">
          <w:rPr>
            <w:webHidden/>
          </w:rPr>
        </w:r>
        <w:r w:rsidR="008D35B6">
          <w:rPr>
            <w:webHidden/>
          </w:rPr>
          <w:fldChar w:fldCharType="separate"/>
        </w:r>
        <w:r w:rsidR="0017652A">
          <w:rPr>
            <w:webHidden/>
          </w:rPr>
          <w:t>30</w:t>
        </w:r>
        <w:r w:rsidR="008D35B6">
          <w:rPr>
            <w:webHidden/>
          </w:rPr>
          <w:fldChar w:fldCharType="end"/>
        </w:r>
      </w:hyperlink>
    </w:p>
    <w:p w14:paraId="6033C3E3" w14:textId="235A8E3A" w:rsidR="008D35B6" w:rsidRDefault="0017288A">
      <w:pPr>
        <w:pStyle w:val="TOC2"/>
        <w:rPr>
          <w:rFonts w:asciiTheme="minorHAnsi" w:eastAsiaTheme="minorEastAsia" w:hAnsiTheme="minorHAnsi" w:cstheme="minorBidi"/>
          <w:sz w:val="22"/>
          <w:szCs w:val="22"/>
        </w:rPr>
      </w:pPr>
      <w:hyperlink w:anchor="_Toc6843677" w:history="1">
        <w:r w:rsidR="008D35B6" w:rsidRPr="009D1B14">
          <w:rPr>
            <w:rStyle w:val="Hyperlink"/>
          </w:rPr>
          <w:t>8.8.</w:t>
        </w:r>
        <w:r w:rsidR="008D35B6">
          <w:rPr>
            <w:rFonts w:asciiTheme="minorHAnsi" w:eastAsiaTheme="minorEastAsia" w:hAnsiTheme="minorHAnsi" w:cstheme="minorBidi"/>
            <w:sz w:val="22"/>
            <w:szCs w:val="22"/>
          </w:rPr>
          <w:tab/>
        </w:r>
        <w:r w:rsidR="008D35B6" w:rsidRPr="009D1B14">
          <w:rPr>
            <w:rStyle w:val="Hyperlink"/>
          </w:rPr>
          <w:t>CEOP Performance Budget</w:t>
        </w:r>
        <w:r w:rsidR="008D35B6">
          <w:rPr>
            <w:webHidden/>
          </w:rPr>
          <w:tab/>
        </w:r>
        <w:r w:rsidR="008D35B6">
          <w:rPr>
            <w:webHidden/>
          </w:rPr>
          <w:fldChar w:fldCharType="begin"/>
        </w:r>
        <w:r w:rsidR="008D35B6">
          <w:rPr>
            <w:webHidden/>
          </w:rPr>
          <w:instrText xml:space="preserve"> PAGEREF _Toc6843677 \h </w:instrText>
        </w:r>
        <w:r w:rsidR="008D35B6">
          <w:rPr>
            <w:webHidden/>
          </w:rPr>
        </w:r>
        <w:r w:rsidR="008D35B6">
          <w:rPr>
            <w:webHidden/>
          </w:rPr>
          <w:fldChar w:fldCharType="separate"/>
        </w:r>
        <w:r w:rsidR="0017652A">
          <w:rPr>
            <w:webHidden/>
          </w:rPr>
          <w:t>31</w:t>
        </w:r>
        <w:r w:rsidR="008D35B6">
          <w:rPr>
            <w:webHidden/>
          </w:rPr>
          <w:fldChar w:fldCharType="end"/>
        </w:r>
      </w:hyperlink>
    </w:p>
    <w:p w14:paraId="3CEEBA1A" w14:textId="6D6C23C4" w:rsidR="008D35B6" w:rsidRDefault="0017288A">
      <w:pPr>
        <w:pStyle w:val="TOC1"/>
        <w:rPr>
          <w:rFonts w:asciiTheme="minorHAnsi" w:eastAsiaTheme="minorEastAsia" w:hAnsiTheme="minorHAnsi" w:cstheme="minorBidi"/>
          <w:sz w:val="22"/>
          <w:szCs w:val="22"/>
        </w:rPr>
      </w:pPr>
      <w:hyperlink w:anchor="_Toc6843678" w:history="1">
        <w:r w:rsidR="008D35B6" w:rsidRPr="009D1B14">
          <w:rPr>
            <w:rStyle w:val="Hyperlink"/>
          </w:rPr>
          <w:t>9.</w:t>
        </w:r>
        <w:r w:rsidR="008D35B6">
          <w:rPr>
            <w:rFonts w:asciiTheme="minorHAnsi" w:eastAsiaTheme="minorEastAsia" w:hAnsiTheme="minorHAnsi" w:cstheme="minorBidi"/>
            <w:sz w:val="22"/>
            <w:szCs w:val="22"/>
          </w:rPr>
          <w:tab/>
        </w:r>
        <w:r w:rsidR="008D35B6" w:rsidRPr="009D1B14">
          <w:rPr>
            <w:rStyle w:val="Hyperlink"/>
          </w:rPr>
          <w:t>Settlement Standard of Review</w:t>
        </w:r>
        <w:r w:rsidR="008D35B6">
          <w:rPr>
            <w:webHidden/>
          </w:rPr>
          <w:tab/>
        </w:r>
        <w:r w:rsidR="008D35B6">
          <w:rPr>
            <w:webHidden/>
          </w:rPr>
          <w:fldChar w:fldCharType="begin"/>
        </w:r>
        <w:r w:rsidR="008D35B6">
          <w:rPr>
            <w:webHidden/>
          </w:rPr>
          <w:instrText xml:space="preserve"> PAGEREF _Toc6843678 \h </w:instrText>
        </w:r>
        <w:r w:rsidR="008D35B6">
          <w:rPr>
            <w:webHidden/>
          </w:rPr>
        </w:r>
        <w:r w:rsidR="008D35B6">
          <w:rPr>
            <w:webHidden/>
          </w:rPr>
          <w:fldChar w:fldCharType="separate"/>
        </w:r>
        <w:r w:rsidR="0017652A">
          <w:rPr>
            <w:webHidden/>
          </w:rPr>
          <w:t>31</w:t>
        </w:r>
        <w:r w:rsidR="008D35B6">
          <w:rPr>
            <w:webHidden/>
          </w:rPr>
          <w:fldChar w:fldCharType="end"/>
        </w:r>
      </w:hyperlink>
    </w:p>
    <w:p w14:paraId="2D663ABB" w14:textId="3C6C47FD" w:rsidR="008D35B6" w:rsidRDefault="0017288A">
      <w:pPr>
        <w:pStyle w:val="TOC1"/>
        <w:rPr>
          <w:rFonts w:asciiTheme="minorHAnsi" w:eastAsiaTheme="minorEastAsia" w:hAnsiTheme="minorHAnsi" w:cstheme="minorBidi"/>
          <w:sz w:val="22"/>
          <w:szCs w:val="22"/>
        </w:rPr>
      </w:pPr>
      <w:hyperlink w:anchor="_Toc6843679" w:history="1">
        <w:r w:rsidR="008D35B6" w:rsidRPr="009D1B14">
          <w:rPr>
            <w:rStyle w:val="Hyperlink"/>
          </w:rPr>
          <w:t>10.</w:t>
        </w:r>
        <w:r w:rsidR="008D35B6">
          <w:rPr>
            <w:rFonts w:asciiTheme="minorHAnsi" w:eastAsiaTheme="minorEastAsia" w:hAnsiTheme="minorHAnsi" w:cstheme="minorBidi"/>
            <w:sz w:val="22"/>
            <w:szCs w:val="22"/>
          </w:rPr>
          <w:tab/>
        </w:r>
        <w:r w:rsidR="008D35B6" w:rsidRPr="009D1B14">
          <w:rPr>
            <w:rStyle w:val="Hyperlink"/>
          </w:rPr>
          <w:t>The Settlement Meets Our Standard of Review for Settlement</w:t>
        </w:r>
        <w:r w:rsidR="008D35B6">
          <w:rPr>
            <w:webHidden/>
          </w:rPr>
          <w:tab/>
        </w:r>
        <w:r w:rsidR="008D35B6">
          <w:rPr>
            <w:webHidden/>
          </w:rPr>
          <w:fldChar w:fldCharType="begin"/>
        </w:r>
        <w:r w:rsidR="008D35B6">
          <w:rPr>
            <w:webHidden/>
          </w:rPr>
          <w:instrText xml:space="preserve"> PAGEREF _Toc6843679 \h </w:instrText>
        </w:r>
        <w:r w:rsidR="008D35B6">
          <w:rPr>
            <w:webHidden/>
          </w:rPr>
        </w:r>
        <w:r w:rsidR="008D35B6">
          <w:rPr>
            <w:webHidden/>
          </w:rPr>
          <w:fldChar w:fldCharType="separate"/>
        </w:r>
        <w:r w:rsidR="0017652A">
          <w:rPr>
            <w:webHidden/>
          </w:rPr>
          <w:t>32</w:t>
        </w:r>
        <w:r w:rsidR="008D35B6">
          <w:rPr>
            <w:webHidden/>
          </w:rPr>
          <w:fldChar w:fldCharType="end"/>
        </w:r>
      </w:hyperlink>
    </w:p>
    <w:p w14:paraId="45E7F61E" w14:textId="0CC0191C" w:rsidR="008D35B6" w:rsidRDefault="0017288A">
      <w:pPr>
        <w:pStyle w:val="TOC1"/>
        <w:rPr>
          <w:rFonts w:asciiTheme="minorHAnsi" w:eastAsiaTheme="minorEastAsia" w:hAnsiTheme="minorHAnsi" w:cstheme="minorBidi"/>
          <w:sz w:val="22"/>
          <w:szCs w:val="22"/>
        </w:rPr>
      </w:pPr>
      <w:hyperlink w:anchor="_Toc6843680" w:history="1">
        <w:r w:rsidR="008D35B6" w:rsidRPr="009D1B14">
          <w:rPr>
            <w:rStyle w:val="Hyperlink"/>
          </w:rPr>
          <w:t>11.</w:t>
        </w:r>
        <w:r w:rsidR="008D35B6">
          <w:rPr>
            <w:rFonts w:asciiTheme="minorHAnsi" w:eastAsiaTheme="minorEastAsia" w:hAnsiTheme="minorHAnsi" w:cstheme="minorBidi"/>
            <w:sz w:val="22"/>
            <w:szCs w:val="22"/>
          </w:rPr>
          <w:tab/>
        </w:r>
        <w:r w:rsidR="008D35B6" w:rsidRPr="009D1B14">
          <w:rPr>
            <w:rStyle w:val="Hyperlink"/>
          </w:rPr>
          <w:t>Future Effects of Settlement</w:t>
        </w:r>
        <w:r w:rsidR="008D35B6">
          <w:rPr>
            <w:webHidden/>
          </w:rPr>
          <w:tab/>
        </w:r>
        <w:r w:rsidR="008D35B6">
          <w:rPr>
            <w:webHidden/>
          </w:rPr>
          <w:fldChar w:fldCharType="begin"/>
        </w:r>
        <w:r w:rsidR="008D35B6">
          <w:rPr>
            <w:webHidden/>
          </w:rPr>
          <w:instrText xml:space="preserve"> PAGEREF _Toc6843680 \h </w:instrText>
        </w:r>
        <w:r w:rsidR="008D35B6">
          <w:rPr>
            <w:webHidden/>
          </w:rPr>
        </w:r>
        <w:r w:rsidR="008D35B6">
          <w:rPr>
            <w:webHidden/>
          </w:rPr>
          <w:fldChar w:fldCharType="separate"/>
        </w:r>
        <w:r w:rsidR="0017652A">
          <w:rPr>
            <w:webHidden/>
          </w:rPr>
          <w:t>33</w:t>
        </w:r>
        <w:r w:rsidR="008D35B6">
          <w:rPr>
            <w:webHidden/>
          </w:rPr>
          <w:fldChar w:fldCharType="end"/>
        </w:r>
      </w:hyperlink>
    </w:p>
    <w:p w14:paraId="6ED9C319" w14:textId="470DB76A" w:rsidR="008D35B6" w:rsidRDefault="0017288A">
      <w:pPr>
        <w:pStyle w:val="TOC1"/>
        <w:rPr>
          <w:rFonts w:asciiTheme="minorHAnsi" w:eastAsiaTheme="minorEastAsia" w:hAnsiTheme="minorHAnsi" w:cstheme="minorBidi"/>
          <w:sz w:val="22"/>
          <w:szCs w:val="22"/>
        </w:rPr>
      </w:pPr>
      <w:hyperlink w:anchor="_Toc6843681" w:history="1">
        <w:r w:rsidR="008D35B6" w:rsidRPr="009D1B14">
          <w:rPr>
            <w:rStyle w:val="Hyperlink"/>
          </w:rPr>
          <w:t>12.</w:t>
        </w:r>
        <w:r w:rsidR="008D35B6">
          <w:rPr>
            <w:rFonts w:asciiTheme="minorHAnsi" w:eastAsiaTheme="minorEastAsia" w:hAnsiTheme="minorHAnsi" w:cstheme="minorBidi"/>
            <w:sz w:val="22"/>
            <w:szCs w:val="22"/>
          </w:rPr>
          <w:tab/>
        </w:r>
        <w:r w:rsidR="008D35B6" w:rsidRPr="009D1B14">
          <w:rPr>
            <w:rStyle w:val="Hyperlink"/>
          </w:rPr>
          <w:t>Reporting Requirements of the Pilot to the Commission</w:t>
        </w:r>
        <w:r w:rsidR="008D35B6">
          <w:rPr>
            <w:webHidden/>
          </w:rPr>
          <w:tab/>
        </w:r>
        <w:r w:rsidR="008D35B6">
          <w:rPr>
            <w:webHidden/>
          </w:rPr>
          <w:fldChar w:fldCharType="begin"/>
        </w:r>
        <w:r w:rsidR="008D35B6">
          <w:rPr>
            <w:webHidden/>
          </w:rPr>
          <w:instrText xml:space="preserve"> PAGEREF _Toc6843681 \h </w:instrText>
        </w:r>
        <w:r w:rsidR="008D35B6">
          <w:rPr>
            <w:webHidden/>
          </w:rPr>
        </w:r>
        <w:r w:rsidR="008D35B6">
          <w:rPr>
            <w:webHidden/>
          </w:rPr>
          <w:fldChar w:fldCharType="separate"/>
        </w:r>
        <w:r w:rsidR="0017652A">
          <w:rPr>
            <w:webHidden/>
          </w:rPr>
          <w:t>33</w:t>
        </w:r>
        <w:r w:rsidR="008D35B6">
          <w:rPr>
            <w:webHidden/>
          </w:rPr>
          <w:fldChar w:fldCharType="end"/>
        </w:r>
      </w:hyperlink>
    </w:p>
    <w:p w14:paraId="331E8CFF" w14:textId="149BC032" w:rsidR="008D35B6" w:rsidRDefault="0017288A">
      <w:pPr>
        <w:pStyle w:val="TOC1"/>
        <w:rPr>
          <w:rFonts w:asciiTheme="minorHAnsi" w:eastAsiaTheme="minorEastAsia" w:hAnsiTheme="minorHAnsi" w:cstheme="minorBidi"/>
          <w:sz w:val="22"/>
          <w:szCs w:val="22"/>
        </w:rPr>
      </w:pPr>
      <w:hyperlink w:anchor="_Toc6843682" w:history="1">
        <w:r w:rsidR="008D35B6" w:rsidRPr="009D1B14">
          <w:rPr>
            <w:rStyle w:val="Hyperlink"/>
          </w:rPr>
          <w:t>13.</w:t>
        </w:r>
        <w:r w:rsidR="008D35B6">
          <w:rPr>
            <w:rFonts w:asciiTheme="minorHAnsi" w:eastAsiaTheme="minorEastAsia" w:hAnsiTheme="minorHAnsi" w:cstheme="minorBidi"/>
            <w:sz w:val="22"/>
            <w:szCs w:val="22"/>
          </w:rPr>
          <w:tab/>
        </w:r>
        <w:r w:rsidR="008D35B6" w:rsidRPr="009D1B14">
          <w:rPr>
            <w:rStyle w:val="Hyperlink"/>
          </w:rPr>
          <w:t>Change in Determination of Need for Hearing</w:t>
        </w:r>
        <w:r w:rsidR="008D35B6">
          <w:rPr>
            <w:webHidden/>
          </w:rPr>
          <w:tab/>
        </w:r>
        <w:r w:rsidR="008D35B6">
          <w:rPr>
            <w:webHidden/>
          </w:rPr>
          <w:fldChar w:fldCharType="begin"/>
        </w:r>
        <w:r w:rsidR="008D35B6">
          <w:rPr>
            <w:webHidden/>
          </w:rPr>
          <w:instrText xml:space="preserve"> PAGEREF _Toc6843682 \h </w:instrText>
        </w:r>
        <w:r w:rsidR="008D35B6">
          <w:rPr>
            <w:webHidden/>
          </w:rPr>
        </w:r>
        <w:r w:rsidR="008D35B6">
          <w:rPr>
            <w:webHidden/>
          </w:rPr>
          <w:fldChar w:fldCharType="separate"/>
        </w:r>
        <w:r w:rsidR="0017652A">
          <w:rPr>
            <w:webHidden/>
          </w:rPr>
          <w:t>35</w:t>
        </w:r>
        <w:r w:rsidR="008D35B6">
          <w:rPr>
            <w:webHidden/>
          </w:rPr>
          <w:fldChar w:fldCharType="end"/>
        </w:r>
      </w:hyperlink>
    </w:p>
    <w:p w14:paraId="3613D04E" w14:textId="316E7AA4" w:rsidR="008D35B6" w:rsidRDefault="0017288A">
      <w:pPr>
        <w:pStyle w:val="TOC1"/>
        <w:rPr>
          <w:rFonts w:asciiTheme="minorHAnsi" w:eastAsiaTheme="minorEastAsia" w:hAnsiTheme="minorHAnsi" w:cstheme="minorBidi"/>
          <w:sz w:val="22"/>
          <w:szCs w:val="22"/>
        </w:rPr>
      </w:pPr>
      <w:hyperlink w:anchor="_Toc6843683" w:history="1">
        <w:r w:rsidR="008D35B6" w:rsidRPr="009D1B14">
          <w:rPr>
            <w:rStyle w:val="Hyperlink"/>
          </w:rPr>
          <w:t>14.</w:t>
        </w:r>
        <w:r w:rsidR="008D35B6">
          <w:rPr>
            <w:rFonts w:asciiTheme="minorHAnsi" w:eastAsiaTheme="minorEastAsia" w:hAnsiTheme="minorHAnsi" w:cstheme="minorBidi"/>
            <w:sz w:val="22"/>
            <w:szCs w:val="22"/>
          </w:rPr>
          <w:tab/>
        </w:r>
        <w:r w:rsidR="008D35B6" w:rsidRPr="009D1B14">
          <w:rPr>
            <w:rStyle w:val="Hyperlink"/>
          </w:rPr>
          <w:t>Admittance of Testimony and Exhibits into the Record</w:t>
        </w:r>
        <w:r w:rsidR="008D35B6">
          <w:rPr>
            <w:webHidden/>
          </w:rPr>
          <w:tab/>
        </w:r>
        <w:r w:rsidR="008D35B6">
          <w:rPr>
            <w:webHidden/>
          </w:rPr>
          <w:fldChar w:fldCharType="begin"/>
        </w:r>
        <w:r w:rsidR="008D35B6">
          <w:rPr>
            <w:webHidden/>
          </w:rPr>
          <w:instrText xml:space="preserve"> PAGEREF _Toc6843683 \h </w:instrText>
        </w:r>
        <w:r w:rsidR="008D35B6">
          <w:rPr>
            <w:webHidden/>
          </w:rPr>
        </w:r>
        <w:r w:rsidR="008D35B6">
          <w:rPr>
            <w:webHidden/>
          </w:rPr>
          <w:fldChar w:fldCharType="separate"/>
        </w:r>
        <w:r w:rsidR="0017652A">
          <w:rPr>
            <w:webHidden/>
          </w:rPr>
          <w:t>35</w:t>
        </w:r>
        <w:r w:rsidR="008D35B6">
          <w:rPr>
            <w:webHidden/>
          </w:rPr>
          <w:fldChar w:fldCharType="end"/>
        </w:r>
      </w:hyperlink>
    </w:p>
    <w:p w14:paraId="312B069F" w14:textId="5B83BEFE" w:rsidR="008D35B6" w:rsidRDefault="0017288A">
      <w:pPr>
        <w:pStyle w:val="TOC1"/>
        <w:rPr>
          <w:rFonts w:asciiTheme="minorHAnsi" w:eastAsiaTheme="minorEastAsia" w:hAnsiTheme="minorHAnsi" w:cstheme="minorBidi"/>
          <w:sz w:val="22"/>
          <w:szCs w:val="22"/>
        </w:rPr>
      </w:pPr>
      <w:hyperlink w:anchor="_Toc6843684" w:history="1">
        <w:r w:rsidR="008D35B6" w:rsidRPr="009D1B14">
          <w:rPr>
            <w:rStyle w:val="Hyperlink"/>
          </w:rPr>
          <w:t>15.</w:t>
        </w:r>
        <w:r w:rsidR="008D35B6">
          <w:rPr>
            <w:rFonts w:asciiTheme="minorHAnsi" w:eastAsiaTheme="minorEastAsia" w:hAnsiTheme="minorHAnsi" w:cstheme="minorBidi"/>
            <w:sz w:val="22"/>
            <w:szCs w:val="22"/>
          </w:rPr>
          <w:tab/>
        </w:r>
        <w:r w:rsidR="008D35B6" w:rsidRPr="009D1B14">
          <w:rPr>
            <w:rStyle w:val="Hyperlink"/>
          </w:rPr>
          <w:t>Compliance with the Authority Granted Herein</w:t>
        </w:r>
        <w:r w:rsidR="008D35B6">
          <w:rPr>
            <w:webHidden/>
          </w:rPr>
          <w:tab/>
        </w:r>
        <w:r w:rsidR="008D35B6">
          <w:rPr>
            <w:webHidden/>
          </w:rPr>
          <w:fldChar w:fldCharType="begin"/>
        </w:r>
        <w:r w:rsidR="008D35B6">
          <w:rPr>
            <w:webHidden/>
          </w:rPr>
          <w:instrText xml:space="preserve"> PAGEREF _Toc6843684 \h </w:instrText>
        </w:r>
        <w:r w:rsidR="008D35B6">
          <w:rPr>
            <w:webHidden/>
          </w:rPr>
        </w:r>
        <w:r w:rsidR="008D35B6">
          <w:rPr>
            <w:webHidden/>
          </w:rPr>
          <w:fldChar w:fldCharType="separate"/>
        </w:r>
        <w:r w:rsidR="0017652A">
          <w:rPr>
            <w:webHidden/>
          </w:rPr>
          <w:t>36</w:t>
        </w:r>
        <w:r w:rsidR="008D35B6">
          <w:rPr>
            <w:webHidden/>
          </w:rPr>
          <w:fldChar w:fldCharType="end"/>
        </w:r>
      </w:hyperlink>
    </w:p>
    <w:p w14:paraId="5AA9C3C6" w14:textId="022CEA37" w:rsidR="008D35B6" w:rsidRDefault="0017288A">
      <w:pPr>
        <w:pStyle w:val="TOC1"/>
        <w:rPr>
          <w:rFonts w:asciiTheme="minorHAnsi" w:eastAsiaTheme="minorEastAsia" w:hAnsiTheme="minorHAnsi" w:cstheme="minorBidi"/>
          <w:sz w:val="22"/>
          <w:szCs w:val="22"/>
        </w:rPr>
      </w:pPr>
      <w:hyperlink w:anchor="_Toc6843685" w:history="1">
        <w:r w:rsidR="008D35B6" w:rsidRPr="009D1B14">
          <w:rPr>
            <w:rStyle w:val="Hyperlink"/>
          </w:rPr>
          <w:t>16.</w:t>
        </w:r>
        <w:r w:rsidR="008D35B6">
          <w:rPr>
            <w:rFonts w:asciiTheme="minorHAnsi" w:eastAsiaTheme="minorEastAsia" w:hAnsiTheme="minorHAnsi" w:cstheme="minorBidi"/>
            <w:sz w:val="22"/>
            <w:szCs w:val="22"/>
          </w:rPr>
          <w:tab/>
        </w:r>
        <w:r w:rsidR="008D35B6" w:rsidRPr="009D1B14">
          <w:rPr>
            <w:rStyle w:val="Hyperlink"/>
          </w:rPr>
          <w:t>Comments on Proposed Decision</w:t>
        </w:r>
        <w:r w:rsidR="008D35B6">
          <w:rPr>
            <w:webHidden/>
          </w:rPr>
          <w:tab/>
        </w:r>
        <w:r w:rsidR="008D35B6">
          <w:rPr>
            <w:webHidden/>
          </w:rPr>
          <w:fldChar w:fldCharType="begin"/>
        </w:r>
        <w:r w:rsidR="008D35B6">
          <w:rPr>
            <w:webHidden/>
          </w:rPr>
          <w:instrText xml:space="preserve"> PAGEREF _Toc6843685 \h </w:instrText>
        </w:r>
        <w:r w:rsidR="008D35B6">
          <w:rPr>
            <w:webHidden/>
          </w:rPr>
        </w:r>
        <w:r w:rsidR="008D35B6">
          <w:rPr>
            <w:webHidden/>
          </w:rPr>
          <w:fldChar w:fldCharType="separate"/>
        </w:r>
        <w:r w:rsidR="0017652A">
          <w:rPr>
            <w:webHidden/>
          </w:rPr>
          <w:t>36</w:t>
        </w:r>
        <w:r w:rsidR="008D35B6">
          <w:rPr>
            <w:webHidden/>
          </w:rPr>
          <w:fldChar w:fldCharType="end"/>
        </w:r>
      </w:hyperlink>
    </w:p>
    <w:p w14:paraId="3DC85DBE" w14:textId="5782D272" w:rsidR="008D35B6" w:rsidRDefault="0017288A">
      <w:pPr>
        <w:pStyle w:val="TOC1"/>
        <w:rPr>
          <w:rFonts w:asciiTheme="minorHAnsi" w:eastAsiaTheme="minorEastAsia" w:hAnsiTheme="minorHAnsi" w:cstheme="minorBidi"/>
          <w:sz w:val="22"/>
          <w:szCs w:val="22"/>
        </w:rPr>
      </w:pPr>
      <w:hyperlink w:anchor="_Toc6843686" w:history="1">
        <w:r w:rsidR="008D35B6" w:rsidRPr="009D1B14">
          <w:rPr>
            <w:rStyle w:val="Hyperlink"/>
          </w:rPr>
          <w:t>17.</w:t>
        </w:r>
        <w:r w:rsidR="008D35B6">
          <w:rPr>
            <w:rFonts w:asciiTheme="minorHAnsi" w:eastAsiaTheme="minorEastAsia" w:hAnsiTheme="minorHAnsi" w:cstheme="minorBidi"/>
            <w:sz w:val="22"/>
            <w:szCs w:val="22"/>
          </w:rPr>
          <w:tab/>
        </w:r>
        <w:r w:rsidR="008D35B6" w:rsidRPr="009D1B14">
          <w:rPr>
            <w:rStyle w:val="Hyperlink"/>
          </w:rPr>
          <w:t>Assignment of Proceeding</w:t>
        </w:r>
        <w:r w:rsidR="008D35B6">
          <w:rPr>
            <w:webHidden/>
          </w:rPr>
          <w:tab/>
        </w:r>
        <w:r w:rsidR="008D35B6">
          <w:rPr>
            <w:webHidden/>
          </w:rPr>
          <w:fldChar w:fldCharType="begin"/>
        </w:r>
        <w:r w:rsidR="008D35B6">
          <w:rPr>
            <w:webHidden/>
          </w:rPr>
          <w:instrText xml:space="preserve"> PAGEREF _Toc6843686 \h </w:instrText>
        </w:r>
        <w:r w:rsidR="008D35B6">
          <w:rPr>
            <w:webHidden/>
          </w:rPr>
        </w:r>
        <w:r w:rsidR="008D35B6">
          <w:rPr>
            <w:webHidden/>
          </w:rPr>
          <w:fldChar w:fldCharType="separate"/>
        </w:r>
        <w:r w:rsidR="0017652A">
          <w:rPr>
            <w:webHidden/>
          </w:rPr>
          <w:t>36</w:t>
        </w:r>
        <w:r w:rsidR="008D35B6">
          <w:rPr>
            <w:webHidden/>
          </w:rPr>
          <w:fldChar w:fldCharType="end"/>
        </w:r>
      </w:hyperlink>
    </w:p>
    <w:p w14:paraId="4AC1218F" w14:textId="74423373" w:rsidR="008D35B6" w:rsidRDefault="0017288A">
      <w:pPr>
        <w:pStyle w:val="TOC1"/>
        <w:rPr>
          <w:rFonts w:asciiTheme="minorHAnsi" w:eastAsiaTheme="minorEastAsia" w:hAnsiTheme="minorHAnsi" w:cstheme="minorBidi"/>
          <w:sz w:val="22"/>
          <w:szCs w:val="22"/>
        </w:rPr>
      </w:pPr>
      <w:hyperlink w:anchor="_Toc6843687" w:history="1">
        <w:r w:rsidR="008D35B6" w:rsidRPr="009D1B14">
          <w:rPr>
            <w:rStyle w:val="Hyperlink"/>
          </w:rPr>
          <w:t>Findings of Fact</w:t>
        </w:r>
        <w:r w:rsidR="008D35B6">
          <w:rPr>
            <w:webHidden/>
          </w:rPr>
          <w:tab/>
        </w:r>
        <w:r w:rsidR="008D35B6">
          <w:rPr>
            <w:webHidden/>
          </w:rPr>
          <w:fldChar w:fldCharType="begin"/>
        </w:r>
        <w:r w:rsidR="008D35B6">
          <w:rPr>
            <w:webHidden/>
          </w:rPr>
          <w:instrText xml:space="preserve"> PAGEREF _Toc6843687 \h </w:instrText>
        </w:r>
        <w:r w:rsidR="008D35B6">
          <w:rPr>
            <w:webHidden/>
          </w:rPr>
        </w:r>
        <w:r w:rsidR="008D35B6">
          <w:rPr>
            <w:webHidden/>
          </w:rPr>
          <w:fldChar w:fldCharType="separate"/>
        </w:r>
        <w:r w:rsidR="0017652A">
          <w:rPr>
            <w:webHidden/>
          </w:rPr>
          <w:t>36</w:t>
        </w:r>
        <w:r w:rsidR="008D35B6">
          <w:rPr>
            <w:webHidden/>
          </w:rPr>
          <w:fldChar w:fldCharType="end"/>
        </w:r>
      </w:hyperlink>
    </w:p>
    <w:p w14:paraId="6E313520" w14:textId="378CE2B4" w:rsidR="008D35B6" w:rsidRDefault="0017288A">
      <w:pPr>
        <w:pStyle w:val="TOC1"/>
        <w:rPr>
          <w:rFonts w:asciiTheme="minorHAnsi" w:eastAsiaTheme="minorEastAsia" w:hAnsiTheme="minorHAnsi" w:cstheme="minorBidi"/>
          <w:sz w:val="22"/>
          <w:szCs w:val="22"/>
        </w:rPr>
      </w:pPr>
      <w:hyperlink w:anchor="_Toc6843688" w:history="1">
        <w:r w:rsidR="008D35B6" w:rsidRPr="009D1B14">
          <w:rPr>
            <w:rStyle w:val="Hyperlink"/>
          </w:rPr>
          <w:t>Conclusions of Law</w:t>
        </w:r>
        <w:r w:rsidR="008D35B6">
          <w:rPr>
            <w:webHidden/>
          </w:rPr>
          <w:tab/>
        </w:r>
        <w:r w:rsidR="008D35B6">
          <w:rPr>
            <w:webHidden/>
          </w:rPr>
          <w:fldChar w:fldCharType="begin"/>
        </w:r>
        <w:r w:rsidR="008D35B6">
          <w:rPr>
            <w:webHidden/>
          </w:rPr>
          <w:instrText xml:space="preserve"> PAGEREF _Toc6843688 \h </w:instrText>
        </w:r>
        <w:r w:rsidR="008D35B6">
          <w:rPr>
            <w:webHidden/>
          </w:rPr>
        </w:r>
        <w:r w:rsidR="008D35B6">
          <w:rPr>
            <w:webHidden/>
          </w:rPr>
          <w:fldChar w:fldCharType="separate"/>
        </w:r>
        <w:r w:rsidR="0017652A">
          <w:rPr>
            <w:webHidden/>
          </w:rPr>
          <w:t>39</w:t>
        </w:r>
        <w:r w:rsidR="008D35B6">
          <w:rPr>
            <w:webHidden/>
          </w:rPr>
          <w:fldChar w:fldCharType="end"/>
        </w:r>
      </w:hyperlink>
    </w:p>
    <w:p w14:paraId="70D00615" w14:textId="49559C08" w:rsidR="008D35B6" w:rsidRDefault="0017288A">
      <w:pPr>
        <w:pStyle w:val="TOC1"/>
        <w:rPr>
          <w:rFonts w:asciiTheme="minorHAnsi" w:eastAsiaTheme="minorEastAsia" w:hAnsiTheme="minorHAnsi" w:cstheme="minorBidi"/>
          <w:sz w:val="22"/>
          <w:szCs w:val="22"/>
        </w:rPr>
      </w:pPr>
      <w:hyperlink w:anchor="_Toc6843689" w:history="1">
        <w:r w:rsidR="008D35B6" w:rsidRPr="009D1B14">
          <w:rPr>
            <w:rStyle w:val="Hyperlink"/>
          </w:rPr>
          <w:t>ORDER</w:t>
        </w:r>
        <w:r w:rsidR="008D35B6">
          <w:rPr>
            <w:webHidden/>
          </w:rPr>
          <w:tab/>
        </w:r>
        <w:r w:rsidR="008D35B6">
          <w:rPr>
            <w:webHidden/>
          </w:rPr>
          <w:fldChar w:fldCharType="begin"/>
        </w:r>
        <w:r w:rsidR="008D35B6">
          <w:rPr>
            <w:webHidden/>
          </w:rPr>
          <w:instrText xml:space="preserve"> PAGEREF _Toc6843689 \h </w:instrText>
        </w:r>
        <w:r w:rsidR="008D35B6">
          <w:rPr>
            <w:webHidden/>
          </w:rPr>
        </w:r>
        <w:r w:rsidR="008D35B6">
          <w:rPr>
            <w:webHidden/>
          </w:rPr>
          <w:fldChar w:fldCharType="separate"/>
        </w:r>
        <w:r w:rsidR="0017652A">
          <w:rPr>
            <w:webHidden/>
          </w:rPr>
          <w:t>40</w:t>
        </w:r>
        <w:r w:rsidR="008D35B6">
          <w:rPr>
            <w:webHidden/>
          </w:rPr>
          <w:fldChar w:fldCharType="end"/>
        </w:r>
      </w:hyperlink>
    </w:p>
    <w:p w14:paraId="7A0442F0" w14:textId="5C13A8F2" w:rsidR="00506B83" w:rsidRDefault="00506B83" w:rsidP="00506B83">
      <w:pPr>
        <w:pStyle w:val="main"/>
        <w:jc w:val="left"/>
        <w:rPr>
          <w:rStyle w:val="mainChar"/>
        </w:rPr>
      </w:pPr>
      <w:r>
        <w:rPr>
          <w:rStyle w:val="mainChar"/>
        </w:rPr>
        <w:fldChar w:fldCharType="end"/>
      </w:r>
    </w:p>
    <w:p w14:paraId="0A3B1314" w14:textId="3DFAF20F" w:rsidR="00B9316E" w:rsidRPr="00B9316E" w:rsidRDefault="00B9316E" w:rsidP="00506B83">
      <w:pPr>
        <w:pStyle w:val="main"/>
        <w:jc w:val="left"/>
        <w:rPr>
          <w:rStyle w:val="mainChar"/>
          <w:rFonts w:ascii="Palatino" w:hAnsi="Palatino"/>
        </w:rPr>
      </w:pPr>
      <w:bookmarkStart w:id="2" w:name="_Toc5875259"/>
      <w:bookmarkStart w:id="3" w:name="_Toc6843653"/>
      <w:r w:rsidRPr="00B9316E">
        <w:rPr>
          <w:rStyle w:val="mainChar"/>
          <w:rFonts w:ascii="Palatino" w:hAnsi="Palatino"/>
        </w:rPr>
        <w:t>Attachment A – Settlement Agreement</w:t>
      </w:r>
      <w:bookmarkEnd w:id="2"/>
      <w:bookmarkEnd w:id="3"/>
    </w:p>
    <w:p w14:paraId="1757AA14" w14:textId="77777777" w:rsidR="00B9316E" w:rsidRPr="007104DA" w:rsidRDefault="00B9316E" w:rsidP="00506B83">
      <w:pPr>
        <w:pStyle w:val="main"/>
        <w:jc w:val="left"/>
        <w:rPr>
          <w:rFonts w:ascii="Palatino" w:hAnsi="Palatino"/>
          <w:b w:val="0"/>
        </w:rPr>
      </w:pPr>
    </w:p>
    <w:p w14:paraId="1088E1CF" w14:textId="77777777" w:rsidR="004D4F77" w:rsidRPr="007104DA" w:rsidRDefault="004D4F77" w:rsidP="00506B83">
      <w:pPr>
        <w:pStyle w:val="main"/>
        <w:jc w:val="left"/>
        <w:rPr>
          <w:rFonts w:ascii="Palatino" w:hAnsi="Palatino"/>
          <w:b w:val="0"/>
        </w:rPr>
      </w:pPr>
    </w:p>
    <w:p w14:paraId="6E4B75F9" w14:textId="77777777" w:rsidR="00506B83" w:rsidRPr="00506B83" w:rsidRDefault="00506B83" w:rsidP="00506B83">
      <w:pPr>
        <w:pStyle w:val="main"/>
        <w:jc w:val="left"/>
        <w:rPr>
          <w:rStyle w:val="mainChar"/>
        </w:rPr>
        <w:sectPr w:rsidR="00506B83" w:rsidRPr="00506B83" w:rsidSect="00195CB3">
          <w:headerReference w:type="first" r:id="rId15"/>
          <w:footerReference w:type="first" r:id="rId16"/>
          <w:pgSz w:w="12240" w:h="15840" w:code="1"/>
          <w:pgMar w:top="1728" w:right="1440" w:bottom="1440" w:left="1440" w:header="720" w:footer="720" w:gutter="0"/>
          <w:pgNumType w:fmt="lowerRoman" w:start="1"/>
          <w:cols w:space="720"/>
          <w:titlePg/>
        </w:sectPr>
      </w:pPr>
    </w:p>
    <w:p w14:paraId="5FF9BF00" w14:textId="77777777" w:rsidR="008F7F9A" w:rsidRPr="00E46A5A" w:rsidRDefault="003D71E0" w:rsidP="00E46A5A">
      <w:pPr>
        <w:jc w:val="center"/>
        <w:rPr>
          <w:rStyle w:val="mainChar"/>
          <w:b w:val="0"/>
        </w:rPr>
      </w:pPr>
      <w:r>
        <w:rPr>
          <w:rFonts w:ascii="Helvetica" w:hAnsi="Helvetica"/>
          <w:b/>
        </w:rPr>
        <w:t>DECISION</w:t>
      </w:r>
      <w:r w:rsidR="00564C38">
        <w:rPr>
          <w:rFonts w:ascii="Helvetica" w:hAnsi="Helvetica"/>
          <w:b/>
        </w:rPr>
        <w:t xml:space="preserve"> APPROVING THE CLEAN ENERGY OPTIMIZATION PILOT AND ADOPTING THE PARTIES’ JOINT SETTLEMENT AGREEMENT</w:t>
      </w:r>
    </w:p>
    <w:p w14:paraId="0B21526C" w14:textId="77777777" w:rsidR="00617664" w:rsidRDefault="00617664"/>
    <w:p w14:paraId="1863B089" w14:textId="77777777" w:rsidR="00AA050B" w:rsidRDefault="00AA050B" w:rsidP="007C1522">
      <w:pPr>
        <w:pStyle w:val="Heading1"/>
        <w:numPr>
          <w:ilvl w:val="0"/>
          <w:numId w:val="0"/>
        </w:numPr>
      </w:pPr>
      <w:bookmarkStart w:id="4" w:name="_Toc6843654"/>
      <w:bookmarkStart w:id="5" w:name="_Toc370798910"/>
      <w:r>
        <w:t>Summary</w:t>
      </w:r>
      <w:bookmarkEnd w:id="4"/>
    </w:p>
    <w:p w14:paraId="43782D32" w14:textId="502FE295" w:rsidR="00564C38" w:rsidRDefault="00564C38" w:rsidP="00564C38">
      <w:pPr>
        <w:pStyle w:val="standard"/>
      </w:pPr>
      <w:r>
        <w:t xml:space="preserve">This decision approves Southern California Edison Company’s (SCE) Clean Energy Optimization Pilot (CEOP) and adopts the December 4, 2018 Settlement Agreement between SCE, Public Advocates Office of the Public Utilities Commission, the Natural Resources Defense Council, Regents of the University of California and California State University.  The Settlement Agreement resolves all disputes between the parties with respect to adoption of the CEOP, except for determining the CEOP’s priority of funding over other clean energy and energy efficiency programs funded </w:t>
      </w:r>
      <w:r w:rsidRPr="00EE385D">
        <w:t>by Cap</w:t>
      </w:r>
      <w:r w:rsidR="00ED3E8A">
        <w:noBreakHyphen/>
      </w:r>
      <w:r w:rsidRPr="00EE385D">
        <w:t>and</w:t>
      </w:r>
      <w:r w:rsidR="00ED3E8A">
        <w:noBreakHyphen/>
      </w:r>
      <w:r w:rsidRPr="00EE385D">
        <w:t>Trade allowance</w:t>
      </w:r>
      <w:r w:rsidR="00676A4A" w:rsidRPr="00EE385D">
        <w:t xml:space="preserve"> proceeds</w:t>
      </w:r>
      <w:r w:rsidRPr="00EE385D">
        <w:t>.</w:t>
      </w:r>
    </w:p>
    <w:p w14:paraId="746A9E31" w14:textId="68203278" w:rsidR="00AA050B" w:rsidRDefault="00564C38" w:rsidP="00564C38">
      <w:pPr>
        <w:pStyle w:val="standard"/>
      </w:pPr>
      <w:r>
        <w:t>This decision also approves a total budget capped at $20.4 million for the CEOP, and establishes the CEOP’s funding priority over available Cap</w:t>
      </w:r>
      <w:r w:rsidR="00ED3E8A">
        <w:noBreakHyphen/>
      </w:r>
      <w:r>
        <w:t>and</w:t>
      </w:r>
      <w:r w:rsidR="00ED3E8A">
        <w:noBreakHyphen/>
      </w:r>
      <w:r>
        <w:t>Trade allowance funding for the Disadvantaged Communities Green Tariff and the Community Solar Green Tariff programs.  In addition, SCE is authorized to set up a CEOP balancing account to track project costs.  This proceeding is closed.</w:t>
      </w:r>
    </w:p>
    <w:p w14:paraId="32504228" w14:textId="093FF467" w:rsidR="00430D4C" w:rsidRPr="005646C1" w:rsidRDefault="00386A97" w:rsidP="005646C1">
      <w:pPr>
        <w:pStyle w:val="Heading1"/>
      </w:pPr>
      <w:bookmarkStart w:id="6" w:name="_Toc6843655"/>
      <w:r>
        <w:t xml:space="preserve">Factual </w:t>
      </w:r>
      <w:r w:rsidR="00564C38" w:rsidRPr="00564C38">
        <w:t>Background</w:t>
      </w:r>
      <w:bookmarkEnd w:id="6"/>
    </w:p>
    <w:p w14:paraId="4F7A48D1" w14:textId="5E1D0B9D" w:rsidR="00A423A4" w:rsidRDefault="009F3932" w:rsidP="00E766ED">
      <w:pPr>
        <w:spacing w:line="360" w:lineRule="auto"/>
        <w:ind w:firstLine="720"/>
        <w:rPr>
          <w:szCs w:val="26"/>
        </w:rPr>
      </w:pPr>
      <w:r w:rsidRPr="005646C1">
        <w:rPr>
          <w:szCs w:val="26"/>
        </w:rPr>
        <w:t xml:space="preserve">The purpose of the </w:t>
      </w:r>
      <w:r w:rsidR="00BE3585">
        <w:rPr>
          <w:szCs w:val="26"/>
        </w:rPr>
        <w:t>Clean Energy O</w:t>
      </w:r>
      <w:r w:rsidR="0084034B">
        <w:rPr>
          <w:szCs w:val="26"/>
        </w:rPr>
        <w:t>ptimization Pilot (</w:t>
      </w:r>
      <w:r w:rsidRPr="005646C1">
        <w:rPr>
          <w:szCs w:val="26"/>
        </w:rPr>
        <w:t>CEOP</w:t>
      </w:r>
      <w:r w:rsidR="0084034B">
        <w:rPr>
          <w:szCs w:val="26"/>
        </w:rPr>
        <w:t>)</w:t>
      </w:r>
      <w:r w:rsidRPr="005646C1">
        <w:rPr>
          <w:szCs w:val="26"/>
        </w:rPr>
        <w:t xml:space="preserve"> is to develop a streamlined, technology</w:t>
      </w:r>
      <w:r w:rsidR="00ED3E8A">
        <w:rPr>
          <w:szCs w:val="26"/>
        </w:rPr>
        <w:noBreakHyphen/>
      </w:r>
      <w:r w:rsidRPr="005646C1">
        <w:rPr>
          <w:szCs w:val="26"/>
        </w:rPr>
        <w:t xml:space="preserve">neutral method to calculate Greenhouse Gas (GHG) reductions from energy efficiency </w:t>
      </w:r>
      <w:r w:rsidR="006A322D">
        <w:rPr>
          <w:szCs w:val="26"/>
        </w:rPr>
        <w:t xml:space="preserve">(EE) </w:t>
      </w:r>
      <w:r w:rsidRPr="005646C1">
        <w:rPr>
          <w:szCs w:val="26"/>
        </w:rPr>
        <w:t>and clean energy measures using a pay for performance framework</w:t>
      </w:r>
      <w:r w:rsidR="006C080E">
        <w:rPr>
          <w:szCs w:val="26"/>
        </w:rPr>
        <w:t xml:space="preserve">. </w:t>
      </w:r>
      <w:r w:rsidR="001B754D">
        <w:rPr>
          <w:szCs w:val="26"/>
        </w:rPr>
        <w:t xml:space="preserve"> </w:t>
      </w:r>
      <w:r w:rsidR="00A423A4">
        <w:rPr>
          <w:szCs w:val="26"/>
        </w:rPr>
        <w:t xml:space="preserve">The </w:t>
      </w:r>
      <w:r w:rsidR="00953F81">
        <w:rPr>
          <w:szCs w:val="26"/>
        </w:rPr>
        <w:t>P</w:t>
      </w:r>
      <w:r w:rsidR="00A423A4">
        <w:rPr>
          <w:szCs w:val="26"/>
        </w:rPr>
        <w:t xml:space="preserve">ilot </w:t>
      </w:r>
      <w:r w:rsidR="00953F81">
        <w:rPr>
          <w:szCs w:val="26"/>
        </w:rPr>
        <w:t>P</w:t>
      </w:r>
      <w:r w:rsidR="00A423A4">
        <w:rPr>
          <w:szCs w:val="26"/>
        </w:rPr>
        <w:t xml:space="preserve">articipants are discussed in </w:t>
      </w:r>
      <w:r w:rsidR="00983317">
        <w:rPr>
          <w:szCs w:val="26"/>
        </w:rPr>
        <w:t>S</w:t>
      </w:r>
      <w:r w:rsidR="00A423A4">
        <w:rPr>
          <w:szCs w:val="26"/>
        </w:rPr>
        <w:t>ection 1.</w:t>
      </w:r>
      <w:r w:rsidR="006C080E">
        <w:rPr>
          <w:szCs w:val="26"/>
        </w:rPr>
        <w:t>1</w:t>
      </w:r>
      <w:r w:rsidR="00A423A4">
        <w:rPr>
          <w:szCs w:val="26"/>
        </w:rPr>
        <w:t>.</w:t>
      </w:r>
      <w:r w:rsidR="006C080E" w:rsidRPr="003858DA">
        <w:rPr>
          <w:szCs w:val="26"/>
        </w:rPr>
        <w:t xml:space="preserve"> </w:t>
      </w:r>
      <w:r w:rsidR="006C080E">
        <w:rPr>
          <w:szCs w:val="26"/>
        </w:rPr>
        <w:t xml:space="preserve"> The proposed pilot program is discussed in detail in </w:t>
      </w:r>
      <w:r w:rsidR="00983317">
        <w:rPr>
          <w:szCs w:val="26"/>
        </w:rPr>
        <w:t>S</w:t>
      </w:r>
      <w:r w:rsidR="006C080E">
        <w:rPr>
          <w:szCs w:val="26"/>
        </w:rPr>
        <w:t xml:space="preserve">ection 1.2.  </w:t>
      </w:r>
    </w:p>
    <w:p w14:paraId="6C50A6E0" w14:textId="77777777" w:rsidR="002C05DA" w:rsidRPr="007062D0" w:rsidRDefault="002C05DA" w:rsidP="007C1522">
      <w:pPr>
        <w:pStyle w:val="Heading2"/>
      </w:pPr>
      <w:bookmarkStart w:id="7" w:name="_Toc6843656"/>
      <w:r w:rsidRPr="007062D0">
        <w:t>Pilot Participants</w:t>
      </w:r>
      <w:bookmarkEnd w:id="7"/>
    </w:p>
    <w:p w14:paraId="0BD84655" w14:textId="6BA5829C" w:rsidR="002937FD" w:rsidRDefault="002C05DA" w:rsidP="00AD0B36">
      <w:pPr>
        <w:pStyle w:val="standard"/>
      </w:pPr>
      <w:r>
        <w:t xml:space="preserve">The Regents of the University of California (UC) and California State University (CSU) are the two </w:t>
      </w:r>
      <w:r w:rsidR="00953F81">
        <w:t>P</w:t>
      </w:r>
      <w:r>
        <w:t xml:space="preserve">ilot </w:t>
      </w:r>
      <w:r w:rsidR="00953F81">
        <w:t>P</w:t>
      </w:r>
      <w:r>
        <w:t xml:space="preserve">articipants in the CEOP.  UC and CSU engaged collaboratively with </w:t>
      </w:r>
      <w:r w:rsidR="009515E2">
        <w:t>Southern California Edison Company (</w:t>
      </w:r>
      <w:r>
        <w:t>SCE</w:t>
      </w:r>
      <w:r w:rsidR="009515E2">
        <w:t>)</w:t>
      </w:r>
      <w:r>
        <w:t xml:space="preserve"> to form the pilot as a means of addressing deep</w:t>
      </w:r>
      <w:r w:rsidR="00ED3E8A">
        <w:noBreakHyphen/>
      </w:r>
      <w:r>
        <w:t xml:space="preserve">decarbonization goals adopted by both entities.  </w:t>
      </w:r>
    </w:p>
    <w:p w14:paraId="6FE83348" w14:textId="1D6B9728" w:rsidR="0065566A" w:rsidRPr="005646C1" w:rsidRDefault="0065566A" w:rsidP="002C05DA">
      <w:pPr>
        <w:pStyle w:val="standard"/>
        <w:rPr>
          <w:u w:val="single"/>
        </w:rPr>
      </w:pPr>
      <w:r w:rsidRPr="005646C1">
        <w:rPr>
          <w:u w:val="single"/>
        </w:rPr>
        <w:t xml:space="preserve">UC </w:t>
      </w:r>
    </w:p>
    <w:p w14:paraId="719DD3D2" w14:textId="58145155" w:rsidR="001D0C14" w:rsidRDefault="00A07A1F" w:rsidP="00511498">
      <w:pPr>
        <w:pStyle w:val="standard"/>
      </w:pPr>
      <w:r>
        <w:t xml:space="preserve">The </w:t>
      </w:r>
      <w:r w:rsidR="002C05DA">
        <w:t xml:space="preserve">UC </w:t>
      </w:r>
      <w:r>
        <w:t xml:space="preserve">system </w:t>
      </w:r>
      <w:r w:rsidR="002C05DA">
        <w:t xml:space="preserve">consists of </w:t>
      </w:r>
      <w:r>
        <w:t>10</w:t>
      </w:r>
      <w:r w:rsidR="002C05DA">
        <w:t xml:space="preserve"> campuses, </w:t>
      </w:r>
      <w:r>
        <w:t>five medical centers and three national laboratories</w:t>
      </w:r>
      <w:r w:rsidR="002C05DA">
        <w:t>.</w:t>
      </w:r>
      <w:r w:rsidR="008874FB">
        <w:rPr>
          <w:rStyle w:val="FootnoteReference"/>
        </w:rPr>
        <w:footnoteReference w:id="2"/>
      </w:r>
      <w:r w:rsidR="002C05DA">
        <w:t xml:space="preserve">  In 2013, the University of California’s Carbon Neutrality Initiative (CNI) set an internal policy goal for the UC system of eliminating carbon emissions from its campus operations and purchased energy (Scope 1 and Scope 2 emissions)</w:t>
      </w:r>
      <w:r w:rsidR="002C05DA">
        <w:rPr>
          <w:rStyle w:val="FootnoteReference"/>
        </w:rPr>
        <w:footnoteReference w:id="3"/>
      </w:r>
      <w:r w:rsidR="002C05DA">
        <w:t xml:space="preserve"> by 2025.</w:t>
      </w:r>
      <w:r w:rsidR="002C05DA">
        <w:rPr>
          <w:rStyle w:val="FootnoteReference"/>
        </w:rPr>
        <w:footnoteReference w:id="4"/>
      </w:r>
      <w:r w:rsidR="002C05DA">
        <w:t xml:space="preserve"> </w:t>
      </w:r>
      <w:r w:rsidR="002D0898">
        <w:t xml:space="preserve"> </w:t>
      </w:r>
    </w:p>
    <w:p w14:paraId="14079DEB" w14:textId="1E81169A" w:rsidR="00873BBD" w:rsidRDefault="002A42B8" w:rsidP="001D0C14">
      <w:pPr>
        <w:pStyle w:val="standard"/>
      </w:pPr>
      <w:r>
        <w:t>UC currently participates in EE, demand response, onsite generation (Self Generator Incentive Program and Net Energy Metering), electric transportation (e.g., Charge Ready program), early adopter technology evaluation programs (e.g., Emerging Technologies Program, code readiness program) and SCE’s Local Capacity Requirements</w:t>
      </w:r>
      <w:r w:rsidR="002D12F8">
        <w:t xml:space="preserve"> (LCR)</w:t>
      </w:r>
      <w:r>
        <w:t xml:space="preserve"> Request for Offers</w:t>
      </w:r>
      <w:r w:rsidR="002D7882">
        <w:t xml:space="preserve"> </w:t>
      </w:r>
      <w:r w:rsidR="002D12F8">
        <w:t>(</w:t>
      </w:r>
      <w:r w:rsidR="002D7882">
        <w:t>RFO)</w:t>
      </w:r>
      <w:r>
        <w:t>.</w:t>
      </w:r>
      <w:r>
        <w:rPr>
          <w:rStyle w:val="FootnoteReference"/>
        </w:rPr>
        <w:footnoteReference w:id="5"/>
      </w:r>
      <w:r>
        <w:t xml:space="preserve">  </w:t>
      </w:r>
      <w:r w:rsidR="005C201B">
        <w:t xml:space="preserve">However, </w:t>
      </w:r>
      <w:r w:rsidR="00873BBD">
        <w:t>UC states</w:t>
      </w:r>
      <w:r w:rsidR="005C201B">
        <w:t xml:space="preserve"> that</w:t>
      </w:r>
      <w:r w:rsidR="00873BBD">
        <w:t xml:space="preserve"> “there are currently no programs that specifically focus on comprehensive GHG reduction in support of the UC Carbon Neutrality Initiative.”</w:t>
      </w:r>
      <w:r w:rsidR="00873BBD">
        <w:rPr>
          <w:rStyle w:val="FootnoteReference"/>
        </w:rPr>
        <w:footnoteReference w:id="6"/>
      </w:r>
      <w:r w:rsidR="00873BBD">
        <w:t xml:space="preserve"> </w:t>
      </w:r>
      <w:r w:rsidR="002B2D30">
        <w:t xml:space="preserve"> </w:t>
      </w:r>
      <w:r w:rsidR="00246FFC">
        <w:t>UC sees the CEOP as directly aligned with UC’s carbon neutrality goals because it shifts the focus of incentive</w:t>
      </w:r>
      <w:r w:rsidR="001D0C14">
        <w:t>s</w:t>
      </w:r>
      <w:r w:rsidR="00246FFC">
        <w:t xml:space="preserve"> from measuring energy savings </w:t>
      </w:r>
      <w:r w:rsidR="00DA0B4F">
        <w:t>to measuring GHG reductions.</w:t>
      </w:r>
      <w:r w:rsidR="00DA0B4F">
        <w:rPr>
          <w:rStyle w:val="FootnoteReference"/>
        </w:rPr>
        <w:footnoteReference w:id="7"/>
      </w:r>
      <w:r w:rsidR="00DA0B4F">
        <w:t xml:space="preserve"> </w:t>
      </w:r>
      <w:r w:rsidR="00F33E31">
        <w:t xml:space="preserve"> In the absence of incentives promoting GHG emissions reductions, UC anticipates meeting its carbon neutrality goal through </w:t>
      </w:r>
      <w:r w:rsidR="008001EC">
        <w:t xml:space="preserve">significantly </w:t>
      </w:r>
      <w:r w:rsidR="001D0C14">
        <w:t>increased</w:t>
      </w:r>
      <w:r w:rsidR="008001EC">
        <w:t xml:space="preserve"> </w:t>
      </w:r>
      <w:r w:rsidR="00F33E31">
        <w:t>purchases of off</w:t>
      </w:r>
      <w:r w:rsidR="00ED3E8A">
        <w:noBreakHyphen/>
      </w:r>
      <w:r w:rsidR="00F33E31">
        <w:t>site Renewable Energy Credits, which are cheaper than on</w:t>
      </w:r>
      <w:r w:rsidR="00ED3E8A">
        <w:noBreakHyphen/>
      </w:r>
      <w:r w:rsidR="00F33E31">
        <w:t>site measures.</w:t>
      </w:r>
      <w:r w:rsidR="008001EC">
        <w:rPr>
          <w:rStyle w:val="FootnoteReference"/>
        </w:rPr>
        <w:footnoteReference w:id="8"/>
      </w:r>
    </w:p>
    <w:p w14:paraId="48779476" w14:textId="7FC7F6F2" w:rsidR="002C05DA" w:rsidRDefault="00EE2877" w:rsidP="002439E0">
      <w:pPr>
        <w:pStyle w:val="standard"/>
      </w:pPr>
      <w:r>
        <w:t>UC proposes</w:t>
      </w:r>
      <w:r w:rsidR="002C05DA">
        <w:t xml:space="preserve"> implement</w:t>
      </w:r>
      <w:r w:rsidR="00215030">
        <w:t>ing</w:t>
      </w:r>
      <w:r>
        <w:t xml:space="preserve"> the CEOP</w:t>
      </w:r>
      <w:r w:rsidR="002C05DA">
        <w:t xml:space="preserve"> </w:t>
      </w:r>
      <w:r w:rsidR="005B10B9">
        <w:t>at</w:t>
      </w:r>
      <w:r w:rsidR="002C05DA">
        <w:t xml:space="preserve"> five participating UC campuses located in SCE’s service territory, including UC Davis Veterinary Lab, UC Irvine Medical Center, UC Irvine, UC</w:t>
      </w:r>
      <w:r w:rsidR="00732D85">
        <w:t xml:space="preserve"> Los Angeles</w:t>
      </w:r>
      <w:r w:rsidR="002C05DA">
        <w:t xml:space="preserve"> Medical Center</w:t>
      </w:r>
      <w:r w:rsidR="00ED3E8A">
        <w:noBreakHyphen/>
      </w:r>
      <w:r w:rsidR="00B87B9C">
        <w:t xml:space="preserve"> Santa Monica</w:t>
      </w:r>
      <w:r w:rsidR="002C05DA">
        <w:t xml:space="preserve"> and UC Santa Barbara.</w:t>
      </w:r>
      <w:r w:rsidR="002C05DA">
        <w:rPr>
          <w:rStyle w:val="FootnoteReference"/>
        </w:rPr>
        <w:footnoteReference w:id="9"/>
      </w:r>
      <w:r w:rsidR="003654A7" w:rsidRPr="005646C1">
        <w:rPr>
          <w:vertAlign w:val="superscript"/>
        </w:rPr>
        <w:t>,</w:t>
      </w:r>
      <w:r w:rsidR="003654A7">
        <w:rPr>
          <w:rStyle w:val="FootnoteReference"/>
        </w:rPr>
        <w:footnoteReference w:id="10"/>
      </w:r>
      <w:r w:rsidR="00951B8D">
        <w:t xml:space="preserve">  </w:t>
      </w:r>
      <w:r w:rsidR="002439E0">
        <w:t>An e</w:t>
      </w:r>
      <w:r w:rsidR="00951B8D">
        <w:t>xample</w:t>
      </w:r>
      <w:r w:rsidR="004966CB">
        <w:t xml:space="preserve"> </w:t>
      </w:r>
      <w:r w:rsidR="0054406C">
        <w:t xml:space="preserve">of </w:t>
      </w:r>
      <w:r w:rsidR="005B10B9">
        <w:t xml:space="preserve">a </w:t>
      </w:r>
      <w:r w:rsidR="00951B8D">
        <w:t>proposed project</w:t>
      </w:r>
      <w:r w:rsidR="0054406C">
        <w:t xml:space="preserve"> in the UC system </w:t>
      </w:r>
      <w:r w:rsidR="002439E0">
        <w:t xml:space="preserve">is </w:t>
      </w:r>
      <w:r w:rsidR="00951B8D">
        <w:t xml:space="preserve">replacement of aging boilers on UC Santa Barbara’s campus with high efficiency boilers, </w:t>
      </w:r>
      <w:r w:rsidR="00AD6E26">
        <w:t>including the</w:t>
      </w:r>
      <w:r w:rsidR="00951B8D">
        <w:t xml:space="preserve"> potential electrification of three of the largest boilers</w:t>
      </w:r>
      <w:r w:rsidR="00F25FCB">
        <w:t>.</w:t>
      </w:r>
      <w:r w:rsidR="00F25FCB">
        <w:rPr>
          <w:rStyle w:val="FootnoteReference"/>
        </w:rPr>
        <w:footnoteReference w:id="11"/>
      </w:r>
    </w:p>
    <w:p w14:paraId="5BF9AB21" w14:textId="2715C59C" w:rsidR="00C84A21" w:rsidRPr="005646C1" w:rsidRDefault="00C84A21" w:rsidP="007C1522">
      <w:pPr>
        <w:spacing w:after="120"/>
        <w:ind w:firstLine="720"/>
        <w:rPr>
          <w:u w:val="single"/>
        </w:rPr>
      </w:pPr>
      <w:r w:rsidRPr="005646C1">
        <w:rPr>
          <w:u w:val="single"/>
        </w:rPr>
        <w:t>CSU</w:t>
      </w:r>
    </w:p>
    <w:p w14:paraId="65926481" w14:textId="0A966A41" w:rsidR="00680F36" w:rsidRDefault="00680F36" w:rsidP="00EC5BD3">
      <w:pPr>
        <w:spacing w:line="360" w:lineRule="auto"/>
        <w:ind w:firstLine="720"/>
      </w:pPr>
      <w:r>
        <w:t xml:space="preserve">The CSU </w:t>
      </w:r>
      <w:r w:rsidR="00513F7B">
        <w:t>system</w:t>
      </w:r>
      <w:r>
        <w:t xml:space="preserve"> consists of </w:t>
      </w:r>
      <w:r w:rsidR="003C53E0">
        <w:t xml:space="preserve">23 campuses and </w:t>
      </w:r>
      <w:r w:rsidR="00437AC0">
        <w:t>eight off</w:t>
      </w:r>
      <w:r w:rsidR="00ED3E8A">
        <w:noBreakHyphen/>
      </w:r>
      <w:r w:rsidR="00437AC0">
        <w:t>campus centers.</w:t>
      </w:r>
      <w:r w:rsidR="00437AC0">
        <w:rPr>
          <w:rStyle w:val="FootnoteReference"/>
        </w:rPr>
        <w:footnoteReference w:id="12"/>
      </w:r>
      <w:r w:rsidR="00437AC0">
        <w:t xml:space="preserve"> </w:t>
      </w:r>
      <w:r w:rsidR="00BF76AD">
        <w:t xml:space="preserve"> </w:t>
      </w:r>
      <w:r w:rsidR="002B0242">
        <w:t xml:space="preserve">The 2014 CSU Sustainability Policy established an internal policy goal </w:t>
      </w:r>
      <w:r w:rsidR="007224A3">
        <w:t>of</w:t>
      </w:r>
      <w:r w:rsidR="002B0242">
        <w:t xml:space="preserve"> reduc</w:t>
      </w:r>
      <w:r w:rsidR="007224A3">
        <w:t>ing</w:t>
      </w:r>
      <w:r w:rsidR="002B0242">
        <w:t xml:space="preserve"> Scope 1 and Scope 2 emissions to 1990 levels by 2020 and to 80% below 1990 levels by 2040.  </w:t>
      </w:r>
      <w:r w:rsidR="00782409">
        <w:t xml:space="preserve">CSU </w:t>
      </w:r>
      <w:r w:rsidR="005E1EFB">
        <w:t>already achieved its 2020 goal and is working towards its 2040 goal.</w:t>
      </w:r>
      <w:r w:rsidR="005E1EFB">
        <w:rPr>
          <w:rStyle w:val="FootnoteReference"/>
        </w:rPr>
        <w:footnoteReference w:id="13"/>
      </w:r>
      <w:r w:rsidR="00B657DA">
        <w:t xml:space="preserve">  In addition, 15 of the 23 campuses</w:t>
      </w:r>
      <w:r w:rsidR="00D11051">
        <w:t>, including Cal Poly Pomona,</w:t>
      </w:r>
      <w:r w:rsidR="00B657DA">
        <w:t xml:space="preserve"> voluntarily agreed to reduce </w:t>
      </w:r>
      <w:r w:rsidR="00CE1B4D">
        <w:t xml:space="preserve">their </w:t>
      </w:r>
      <w:r w:rsidR="006C2990">
        <w:t>S</w:t>
      </w:r>
      <w:r w:rsidR="00B657DA">
        <w:t>cope 3</w:t>
      </w:r>
      <w:r w:rsidR="00B657DA">
        <w:rPr>
          <w:rStyle w:val="FootnoteReference"/>
        </w:rPr>
        <w:footnoteReference w:id="14"/>
      </w:r>
      <w:r w:rsidR="00B657DA">
        <w:t xml:space="preserve"> emissions</w:t>
      </w:r>
      <w:r w:rsidR="00246F61">
        <w:t xml:space="preserve"> through a signed commitment with Second Nature, a non</w:t>
      </w:r>
      <w:r w:rsidR="00ED3E8A">
        <w:noBreakHyphen/>
      </w:r>
      <w:r w:rsidR="00246F61">
        <w:t>profit organization</w:t>
      </w:r>
      <w:r w:rsidR="00B657DA">
        <w:t>.</w:t>
      </w:r>
    </w:p>
    <w:p w14:paraId="0F08FAAB" w14:textId="1567642F" w:rsidR="00233D9D" w:rsidRDefault="00D61A29" w:rsidP="00EC5BD3">
      <w:pPr>
        <w:spacing w:line="360" w:lineRule="auto"/>
        <w:ind w:firstLine="720"/>
      </w:pPr>
      <w:r>
        <w:t xml:space="preserve">CSU currently participates in SCE’s </w:t>
      </w:r>
      <w:r w:rsidR="001C3E43">
        <w:t>EE</w:t>
      </w:r>
      <w:r>
        <w:t xml:space="preserve">, </w:t>
      </w:r>
      <w:r w:rsidR="007224A3">
        <w:t>electric vehicle (</w:t>
      </w:r>
      <w:r>
        <w:t>EV</w:t>
      </w:r>
      <w:r w:rsidR="007224A3">
        <w:t>)</w:t>
      </w:r>
      <w:r>
        <w:t xml:space="preserve"> charging infrastructure, solar and battery installations, demand response, and SCE’s LCR RFO programs.</w:t>
      </w:r>
      <w:r>
        <w:rPr>
          <w:rStyle w:val="FootnoteReference"/>
        </w:rPr>
        <w:footnoteReference w:id="15"/>
      </w:r>
      <w:r>
        <w:t xml:space="preserve"> </w:t>
      </w:r>
      <w:r w:rsidR="00386035">
        <w:t xml:space="preserve"> </w:t>
      </w:r>
      <w:r w:rsidR="00233D9D">
        <w:t>CSU also has</w:t>
      </w:r>
      <w:r w:rsidR="005455DB">
        <w:t>,</w:t>
      </w:r>
      <w:r w:rsidR="00233D9D">
        <w:t xml:space="preserve"> or is in the process of creating</w:t>
      </w:r>
      <w:r w:rsidR="005455DB">
        <w:t>,</w:t>
      </w:r>
      <w:r w:rsidR="00233D9D">
        <w:t xml:space="preserve"> energy and emission</w:t>
      </w:r>
      <w:r w:rsidR="00ED3E8A">
        <w:noBreakHyphen/>
      </w:r>
      <w:r w:rsidR="00233D9D">
        <w:t>reducing master enabling agreements (MEAs)</w:t>
      </w:r>
      <w:r w:rsidR="00D92413">
        <w:rPr>
          <w:rStyle w:val="FootnoteReference"/>
        </w:rPr>
        <w:footnoteReference w:id="16"/>
      </w:r>
      <w:r w:rsidR="00233D9D">
        <w:t xml:space="preserve"> to procure “on</w:t>
      </w:r>
      <w:r w:rsidR="00ED3E8A">
        <w:noBreakHyphen/>
      </w:r>
      <w:r w:rsidR="00233D9D">
        <w:t>site solar, third</w:t>
      </w:r>
      <w:r w:rsidR="00ED3E8A">
        <w:noBreakHyphen/>
      </w:r>
      <w:r w:rsidR="00233D9D">
        <w:t>party financed on</w:t>
      </w:r>
      <w:r w:rsidR="00ED3E8A">
        <w:noBreakHyphen/>
      </w:r>
      <w:r w:rsidR="00233D9D">
        <w:t>site battery energy storage, self</w:t>
      </w:r>
      <w:r w:rsidR="00ED3E8A">
        <w:noBreakHyphen/>
      </w:r>
      <w:r w:rsidR="00233D9D">
        <w:t>funded building</w:t>
      </w:r>
      <w:r w:rsidR="00ED3E8A">
        <w:noBreakHyphen/>
      </w:r>
      <w:r w:rsidR="00233D9D">
        <w:t>retrocommissioning, and self</w:t>
      </w:r>
      <w:r w:rsidR="00ED3E8A">
        <w:noBreakHyphen/>
      </w:r>
      <w:r w:rsidR="00233D9D">
        <w:t>funded energy information systems services.”</w:t>
      </w:r>
      <w:r w:rsidR="00233D9D">
        <w:rPr>
          <w:rStyle w:val="FootnoteReference"/>
        </w:rPr>
        <w:footnoteReference w:id="17"/>
      </w:r>
      <w:r w:rsidR="00925B95">
        <w:t xml:space="preserve">  </w:t>
      </w:r>
      <w:r w:rsidR="00190DFC">
        <w:t xml:space="preserve">Finally, </w:t>
      </w:r>
      <w:r w:rsidR="00925B95">
        <w:t xml:space="preserve">CSU </w:t>
      </w:r>
      <w:r w:rsidR="009868B5">
        <w:t>has a Cal</w:t>
      </w:r>
      <w:r w:rsidR="00ED3E8A">
        <w:noBreakHyphen/>
      </w:r>
      <w:r w:rsidR="009868B5">
        <w:t>Op grant from the California Energy Commission to complete a needs assessment and develop an MEA focused on procurement from distributed energy resources.</w:t>
      </w:r>
      <w:r w:rsidR="00AC0F9D">
        <w:rPr>
          <w:rStyle w:val="FootnoteReference"/>
        </w:rPr>
        <w:footnoteReference w:id="18"/>
      </w:r>
      <w:r w:rsidR="009868B5">
        <w:t xml:space="preserve"> </w:t>
      </w:r>
      <w:r w:rsidR="00BF2601">
        <w:t xml:space="preserve"> CSU does not participate in, nor is it aware of, any program specifically designed to help CS</w:t>
      </w:r>
      <w:r w:rsidR="003818C1">
        <w:t>U</w:t>
      </w:r>
      <w:r w:rsidR="00BF2601">
        <w:t xml:space="preserve"> achieve its</w:t>
      </w:r>
      <w:r w:rsidR="001D74D2">
        <w:t xml:space="preserve"> 2040</w:t>
      </w:r>
      <w:r w:rsidR="00BF2601">
        <w:t xml:space="preserve"> GHG reduction goal.</w:t>
      </w:r>
      <w:r w:rsidR="00D873DC">
        <w:rPr>
          <w:rStyle w:val="FootnoteReference"/>
        </w:rPr>
        <w:footnoteReference w:id="19"/>
      </w:r>
      <w:r w:rsidR="00BF2601">
        <w:t xml:space="preserve">   </w:t>
      </w:r>
    </w:p>
    <w:p w14:paraId="13DAEC35" w14:textId="0D16364C" w:rsidR="00D61A29" w:rsidRDefault="00386035" w:rsidP="00EC5BD3">
      <w:pPr>
        <w:spacing w:line="360" w:lineRule="auto"/>
        <w:ind w:firstLine="720"/>
      </w:pPr>
      <w:r>
        <w:t>CSU cites its large fleet of legacy buildings</w:t>
      </w:r>
      <w:r w:rsidR="00AA420E">
        <w:rPr>
          <w:rStyle w:val="FootnoteReference"/>
        </w:rPr>
        <w:footnoteReference w:id="20"/>
      </w:r>
      <w:r>
        <w:t xml:space="preserve"> as a </w:t>
      </w:r>
      <w:r w:rsidR="00F422A5">
        <w:t xml:space="preserve">significant </w:t>
      </w:r>
      <w:r>
        <w:t>challenge to meeting its</w:t>
      </w:r>
      <w:r w:rsidR="00945038">
        <w:t xml:space="preserve"> 2040</w:t>
      </w:r>
      <w:r>
        <w:t xml:space="preserve"> GHG reduction goals</w:t>
      </w:r>
      <w:r w:rsidR="00CA24F7">
        <w:t xml:space="preserve"> through existing programs</w:t>
      </w:r>
      <w:r>
        <w:t>.  CSU</w:t>
      </w:r>
      <w:r w:rsidR="007A62A6">
        <w:t xml:space="preserve"> asserts</w:t>
      </w:r>
      <w:r w:rsidR="00B6423F">
        <w:t xml:space="preserve"> that its EE incentives applications receive reduced EE savings</w:t>
      </w:r>
      <w:r w:rsidR="002F5081">
        <w:t xml:space="preserve"> estimates</w:t>
      </w:r>
      <w:r w:rsidR="00B6423F">
        <w:t xml:space="preserve"> as a result of consideration in the Database for Energy Efficiency Resources (DEER)</w:t>
      </w:r>
      <w:r w:rsidR="00ED3E8A">
        <w:noBreakHyphen/>
      </w:r>
      <w:r w:rsidR="004826B0" w:rsidRPr="00AD5E14">
        <w:t>E</w:t>
      </w:r>
      <w:r w:rsidR="00AD5E14" w:rsidRPr="006C2320">
        <w:t xml:space="preserve">ffective </w:t>
      </w:r>
      <w:r w:rsidR="004826B0" w:rsidRPr="00AD5E14">
        <w:t>U</w:t>
      </w:r>
      <w:r w:rsidR="00AD5E14" w:rsidRPr="006C2320">
        <w:t xml:space="preserve">seful </w:t>
      </w:r>
      <w:r w:rsidR="004826B0" w:rsidRPr="00AD5E14">
        <w:t>L</w:t>
      </w:r>
      <w:r w:rsidR="00AD5E14" w:rsidRPr="00AD5E14">
        <w:t>ife</w:t>
      </w:r>
      <w:r w:rsidR="004826B0">
        <w:t xml:space="preserve"> (EUL) values.  </w:t>
      </w:r>
      <w:r w:rsidR="00CA24F7">
        <w:t>T</w:t>
      </w:r>
      <w:r w:rsidR="004826B0">
        <w:t>he DEER</w:t>
      </w:r>
      <w:r w:rsidR="00ED3E8A">
        <w:noBreakHyphen/>
      </w:r>
      <w:r w:rsidR="004826B0">
        <w:t>EUL</w:t>
      </w:r>
      <w:r w:rsidR="00B6423F">
        <w:t xml:space="preserve"> reduces the EE savings amount by the amount</w:t>
      </w:r>
      <w:r w:rsidR="004826B0">
        <w:t xml:space="preserve"> of savings achieved </w:t>
      </w:r>
      <w:r w:rsidR="003C0ED9">
        <w:t>to</w:t>
      </w:r>
      <w:r w:rsidR="004826B0">
        <w:t xml:space="preserve"> bring a building up to code</w:t>
      </w:r>
      <w:r w:rsidR="00B6423F">
        <w:t xml:space="preserve">.  </w:t>
      </w:r>
      <w:r w:rsidR="00D46A45">
        <w:t xml:space="preserve">However, reduced </w:t>
      </w:r>
      <w:r w:rsidR="003C0ED9">
        <w:t xml:space="preserve">incentive </w:t>
      </w:r>
      <w:r w:rsidR="00D46A45">
        <w:t xml:space="preserve">funding makes it less likely CSU </w:t>
      </w:r>
      <w:r w:rsidR="001C3E43">
        <w:t xml:space="preserve">can </w:t>
      </w:r>
      <w:r w:rsidR="00D46A45">
        <w:t xml:space="preserve">fund </w:t>
      </w:r>
      <w:r w:rsidR="007C0DDE">
        <w:t>needed</w:t>
      </w:r>
      <w:r w:rsidR="00D46A45">
        <w:t xml:space="preserve"> capital improvement project</w:t>
      </w:r>
      <w:r w:rsidR="007C0DDE">
        <w:t>s which would lower its on</w:t>
      </w:r>
      <w:r w:rsidR="00ED3E8A">
        <w:noBreakHyphen/>
      </w:r>
      <w:r w:rsidR="007C0DDE">
        <w:t>site GHG emissions</w:t>
      </w:r>
      <w:r w:rsidR="00D46A45">
        <w:t>.  As of March 2018, CS</w:t>
      </w:r>
      <w:r w:rsidR="00D00A9B">
        <w:t>U</w:t>
      </w:r>
      <w:r w:rsidR="00D46A45">
        <w:t>’s Facilities Condition Assessment of 66% of its building</w:t>
      </w:r>
      <w:r w:rsidR="0089587E">
        <w:t>s</w:t>
      </w:r>
      <w:r w:rsidR="00D46A45">
        <w:t xml:space="preserve"> found that 90% of CSU’s energy consuming equipment is beyond the age limits</w:t>
      </w:r>
      <w:r w:rsidR="00D46A45">
        <w:rPr>
          <w:rStyle w:val="FootnoteReference"/>
        </w:rPr>
        <w:footnoteReference w:id="21"/>
      </w:r>
      <w:r w:rsidR="00D46A45">
        <w:t xml:space="preserve"> eligible for incentive</w:t>
      </w:r>
      <w:r w:rsidR="008B0D64">
        <w:t>s</w:t>
      </w:r>
      <w:r w:rsidR="00D46A45">
        <w:t xml:space="preserve"> under DEER</w:t>
      </w:r>
      <w:r w:rsidR="00ED3E8A">
        <w:noBreakHyphen/>
      </w:r>
      <w:r w:rsidR="00D46A45">
        <w:t xml:space="preserve">EUL. </w:t>
      </w:r>
      <w:r w:rsidR="00B5223E">
        <w:t xml:space="preserve"> </w:t>
      </w:r>
      <w:r w:rsidR="00CA24F7">
        <w:t xml:space="preserve">CSU also cites current </w:t>
      </w:r>
      <w:r w:rsidR="004A280A">
        <w:t>e</w:t>
      </w:r>
      <w:r w:rsidR="005C2C91">
        <w:t>nergy</w:t>
      </w:r>
      <w:r w:rsidR="00CA24F7">
        <w:t xml:space="preserve"> programs’ prohibition of incentives for fuel switching as a challenge to CSU’s reduction of significant </w:t>
      </w:r>
      <w:r w:rsidR="003351CA">
        <w:t>on</w:t>
      </w:r>
      <w:r w:rsidR="00ED3E8A">
        <w:noBreakHyphen/>
      </w:r>
      <w:r w:rsidR="003351CA">
        <w:t xml:space="preserve">site </w:t>
      </w:r>
      <w:r w:rsidR="00CA24F7">
        <w:t>GHG emissions as a result of investments in cogeneration plans, boilers, and other equipment fueled by natural gas.</w:t>
      </w:r>
      <w:r w:rsidR="00CA24F7">
        <w:rPr>
          <w:rStyle w:val="FootnoteReference"/>
        </w:rPr>
        <w:footnoteReference w:id="22"/>
      </w:r>
    </w:p>
    <w:p w14:paraId="5F439056" w14:textId="594CDAED" w:rsidR="00B51783" w:rsidRDefault="002E5EE9" w:rsidP="00EC5BD3">
      <w:pPr>
        <w:spacing w:line="360" w:lineRule="auto"/>
        <w:ind w:firstLine="720"/>
      </w:pPr>
      <w:r>
        <w:t>CSU recognizes that</w:t>
      </w:r>
      <w:r w:rsidR="007B75EF">
        <w:t xml:space="preserve"> it met its 2020 GHG </w:t>
      </w:r>
      <w:r w:rsidR="001B4AD9">
        <w:t xml:space="preserve">emissions </w:t>
      </w:r>
      <w:r w:rsidR="007B75EF">
        <w:t>reduction goal in large part through</w:t>
      </w:r>
      <w:r w:rsidR="0058259C">
        <w:t xml:space="preserve"> reduced GHG emissions in purchased electricity as a result of state</w:t>
      </w:r>
      <w:r w:rsidR="00ED3E8A">
        <w:noBreakHyphen/>
      </w:r>
      <w:r w:rsidR="0058259C">
        <w:t>level and systemwide efforts to increase renewable energy on California’s electric grid.</w:t>
      </w:r>
      <w:r w:rsidR="0058259C">
        <w:rPr>
          <w:rStyle w:val="FootnoteReference"/>
        </w:rPr>
        <w:footnoteReference w:id="23"/>
      </w:r>
      <w:r w:rsidR="0058259C">
        <w:t xml:space="preserve"> </w:t>
      </w:r>
      <w:r w:rsidR="007B75EF">
        <w:t xml:space="preserve"> </w:t>
      </w:r>
      <w:r w:rsidR="00C33FD2">
        <w:t xml:space="preserve">CSU anticipates </w:t>
      </w:r>
      <w:r w:rsidR="000648C3">
        <w:t xml:space="preserve">that meeting </w:t>
      </w:r>
      <w:r w:rsidR="005D5D7B">
        <w:t xml:space="preserve">its 2040 deep decarbonization </w:t>
      </w:r>
      <w:r w:rsidR="00DD5325">
        <w:t xml:space="preserve">goal </w:t>
      </w:r>
      <w:r w:rsidR="00D22183">
        <w:t>will</w:t>
      </w:r>
      <w:r w:rsidR="005D5D7B">
        <w:t xml:space="preserve"> prove more challenging, and sees the CEOP as a pilot which could directly help CSU achieve its 2040 GHG reduction goal.</w:t>
      </w:r>
      <w:r w:rsidR="00F12611">
        <w:rPr>
          <w:rStyle w:val="FootnoteReference"/>
        </w:rPr>
        <w:footnoteReference w:id="24"/>
      </w:r>
    </w:p>
    <w:p w14:paraId="40AC3164" w14:textId="43654370" w:rsidR="00B017EF" w:rsidRDefault="00165CB4" w:rsidP="007E16CD">
      <w:pPr>
        <w:spacing w:line="360" w:lineRule="auto"/>
        <w:ind w:firstLine="720"/>
      </w:pPr>
      <w:r>
        <w:t xml:space="preserve">If the CEOP is approved, CSU proposes to commit </w:t>
      </w:r>
      <w:r w:rsidR="00C35794">
        <w:t>$3.3 million towards G</w:t>
      </w:r>
      <w:r w:rsidR="004D0E4E">
        <w:t>H</w:t>
      </w:r>
      <w:r w:rsidR="00C35794">
        <w:t>G reduction projects per year f</w:t>
      </w:r>
      <w:r w:rsidR="007C3F9D">
        <w:t>o</w:t>
      </w:r>
      <w:r w:rsidR="00C35794">
        <w:t>r each participating campus, for a total of up to approximately $10 million per year.</w:t>
      </w:r>
      <w:r w:rsidR="003F48AE">
        <w:rPr>
          <w:rStyle w:val="FootnoteReference"/>
        </w:rPr>
        <w:footnoteReference w:id="25"/>
      </w:r>
      <w:r w:rsidR="00C35794">
        <w:t xml:space="preserve"> </w:t>
      </w:r>
      <w:r w:rsidR="003F48AE">
        <w:t xml:space="preserve"> </w:t>
      </w:r>
      <w:r w:rsidR="00356AE1">
        <w:t xml:space="preserve">Currently, </w:t>
      </w:r>
      <w:r w:rsidR="002C05DA">
        <w:t>two CSU campuses located in SCE’s service territory</w:t>
      </w:r>
      <w:r w:rsidR="002D7958">
        <w:t xml:space="preserve"> (</w:t>
      </w:r>
      <w:r w:rsidR="002C05DA">
        <w:t>Cal Poly Pomona</w:t>
      </w:r>
      <w:r w:rsidR="002D7958">
        <w:t xml:space="preserve"> and</w:t>
      </w:r>
      <w:r w:rsidR="002C05DA">
        <w:t xml:space="preserve"> CSU Dominguez Hills</w:t>
      </w:r>
      <w:r w:rsidR="002D7958">
        <w:t>)</w:t>
      </w:r>
      <w:r w:rsidR="00942900">
        <w:t xml:space="preserve"> </w:t>
      </w:r>
      <w:r w:rsidR="0049761A">
        <w:t>plan</w:t>
      </w:r>
      <w:r w:rsidR="00942900">
        <w:t xml:space="preserve"> to participate in the CEOP</w:t>
      </w:r>
      <w:r w:rsidR="002C05DA">
        <w:t>.</w:t>
      </w:r>
      <w:r w:rsidR="002C05DA">
        <w:rPr>
          <w:rStyle w:val="FootnoteReference"/>
        </w:rPr>
        <w:footnoteReference w:id="26"/>
      </w:r>
      <w:r w:rsidR="0035776A">
        <w:t xml:space="preserve">  Examples of projects w</w:t>
      </w:r>
      <w:r w:rsidR="00602C4D">
        <w:t xml:space="preserve">hich </w:t>
      </w:r>
      <w:r w:rsidR="00AC29F1">
        <w:t xml:space="preserve">CSU may </w:t>
      </w:r>
      <w:r w:rsidR="00A64AD7">
        <w:t>implement through</w:t>
      </w:r>
      <w:r w:rsidR="00AC29F1">
        <w:t xml:space="preserve"> </w:t>
      </w:r>
      <w:r w:rsidR="004A280A">
        <w:t xml:space="preserve">the CEOP are electrification of </w:t>
      </w:r>
      <w:r w:rsidR="004E2F63">
        <w:t xml:space="preserve">heating and cooling, installation of solar </w:t>
      </w:r>
      <w:r w:rsidR="003D2955">
        <w:t>plus</w:t>
      </w:r>
      <w:r w:rsidR="004E2F63">
        <w:t xml:space="preserve"> storage, installation of electrical vehicle </w:t>
      </w:r>
      <w:r w:rsidR="00462252">
        <w:t xml:space="preserve">charging stations, installation of interior </w:t>
      </w:r>
      <w:r w:rsidR="004804E0">
        <w:t>L</w:t>
      </w:r>
      <w:r w:rsidR="00A47501">
        <w:t xml:space="preserve">ight </w:t>
      </w:r>
      <w:r w:rsidR="004804E0">
        <w:t>E</w:t>
      </w:r>
      <w:r w:rsidR="00A47501">
        <w:t xml:space="preserve">mitting </w:t>
      </w:r>
      <w:r w:rsidR="004804E0">
        <w:t>D</w:t>
      </w:r>
      <w:r w:rsidR="00A47501">
        <w:t>iode</w:t>
      </w:r>
      <w:r w:rsidR="00462252">
        <w:t xml:space="preserve"> lighting and behavior</w:t>
      </w:r>
      <w:r w:rsidR="00AD7A2A">
        <w:t>al</w:t>
      </w:r>
      <w:r w:rsidR="00462252">
        <w:t xml:space="preserve"> change measures.</w:t>
      </w:r>
      <w:r w:rsidR="004804E0">
        <w:rPr>
          <w:rStyle w:val="FootnoteReference"/>
        </w:rPr>
        <w:footnoteReference w:id="27"/>
      </w:r>
      <w:r w:rsidR="00462252">
        <w:t xml:space="preserve">  </w:t>
      </w:r>
    </w:p>
    <w:p w14:paraId="36FB02D1" w14:textId="5673A736" w:rsidR="00325661" w:rsidRDefault="00325661" w:rsidP="007C1522">
      <w:pPr>
        <w:pStyle w:val="Heading2"/>
      </w:pPr>
      <w:bookmarkStart w:id="8" w:name="_Toc6843657"/>
      <w:r>
        <w:t>The Proposed Pilot Program</w:t>
      </w:r>
      <w:bookmarkEnd w:id="8"/>
    </w:p>
    <w:p w14:paraId="0D1823FF" w14:textId="027F02D7" w:rsidR="009F3932" w:rsidRPr="00E2611A" w:rsidRDefault="009F3932" w:rsidP="00E766ED">
      <w:pPr>
        <w:spacing w:line="360" w:lineRule="auto"/>
        <w:ind w:firstLine="720"/>
        <w:rPr>
          <w:szCs w:val="26"/>
        </w:rPr>
      </w:pPr>
      <w:r w:rsidRPr="005D6881">
        <w:rPr>
          <w:szCs w:val="26"/>
        </w:rPr>
        <w:t xml:space="preserve">The CEOP </w:t>
      </w:r>
      <w:r w:rsidRPr="00447C26">
        <w:rPr>
          <w:szCs w:val="26"/>
        </w:rPr>
        <w:t xml:space="preserve">will be the first program </w:t>
      </w:r>
      <w:r w:rsidR="0098615F">
        <w:rPr>
          <w:szCs w:val="26"/>
        </w:rPr>
        <w:t>proposing to</w:t>
      </w:r>
      <w:r w:rsidRPr="00447C26">
        <w:rPr>
          <w:szCs w:val="26"/>
        </w:rPr>
        <w:t xml:space="preserve"> provide incentive payments directly for GHG emission reductions, rather than for gas or electricity savings or directly for equipment.  Th</w:t>
      </w:r>
      <w:r w:rsidRPr="00213051">
        <w:rPr>
          <w:szCs w:val="26"/>
        </w:rPr>
        <w:t xml:space="preserve">is program </w:t>
      </w:r>
      <w:r w:rsidR="00C56341">
        <w:rPr>
          <w:szCs w:val="26"/>
        </w:rPr>
        <w:t>intend</w:t>
      </w:r>
      <w:r w:rsidR="00EF03F5">
        <w:rPr>
          <w:szCs w:val="26"/>
        </w:rPr>
        <w:t>s</w:t>
      </w:r>
      <w:r w:rsidR="00C56341">
        <w:rPr>
          <w:szCs w:val="26"/>
        </w:rPr>
        <w:t xml:space="preserve"> to create</w:t>
      </w:r>
      <w:r w:rsidRPr="00213051">
        <w:rPr>
          <w:szCs w:val="26"/>
        </w:rPr>
        <w:t xml:space="preserve"> an opportunity to compare the relative costs an</w:t>
      </w:r>
      <w:r w:rsidRPr="00CB2EE6">
        <w:rPr>
          <w:szCs w:val="26"/>
        </w:rPr>
        <w:t>d savings of multiple gas and electric demand</w:t>
      </w:r>
      <w:r w:rsidR="00ED3E8A">
        <w:rPr>
          <w:szCs w:val="26"/>
        </w:rPr>
        <w:noBreakHyphen/>
      </w:r>
      <w:r w:rsidRPr="00CB2EE6">
        <w:rPr>
          <w:szCs w:val="26"/>
        </w:rPr>
        <w:t xml:space="preserve">side energy resources using the common metric of GHG reductions. </w:t>
      </w:r>
    </w:p>
    <w:p w14:paraId="742B0F31" w14:textId="41B502C2" w:rsidR="00AA475B" w:rsidRDefault="00D438AD" w:rsidP="005D6881">
      <w:pPr>
        <w:pStyle w:val="NormalWeb"/>
        <w:spacing w:before="0" w:beforeAutospacing="0" w:after="0" w:afterAutospacing="0" w:line="360" w:lineRule="auto"/>
        <w:ind w:firstLine="720"/>
        <w:rPr>
          <w:rFonts w:ascii="Palatino" w:hAnsi="Palatino"/>
          <w:sz w:val="26"/>
          <w:szCs w:val="26"/>
        </w:rPr>
      </w:pPr>
      <w:r w:rsidRPr="00B70471">
        <w:rPr>
          <w:rFonts w:ascii="Palatino" w:hAnsi="Palatino"/>
          <w:sz w:val="26"/>
          <w:szCs w:val="26"/>
        </w:rPr>
        <w:t>SCE plans to implement the program over a four</w:t>
      </w:r>
      <w:r w:rsidR="00ED3E8A">
        <w:rPr>
          <w:rFonts w:ascii="Palatino" w:hAnsi="Palatino"/>
          <w:sz w:val="26"/>
          <w:szCs w:val="26"/>
        </w:rPr>
        <w:noBreakHyphen/>
      </w:r>
      <w:r w:rsidRPr="00B70471">
        <w:rPr>
          <w:rFonts w:ascii="Palatino" w:hAnsi="Palatino"/>
          <w:sz w:val="26"/>
          <w:szCs w:val="26"/>
        </w:rPr>
        <w:t>year period, during which time participating campuses will be paid on a “first</w:t>
      </w:r>
      <w:r w:rsidR="00ED3E8A">
        <w:rPr>
          <w:rFonts w:ascii="Palatino" w:hAnsi="Palatino"/>
          <w:sz w:val="26"/>
          <w:szCs w:val="26"/>
        </w:rPr>
        <w:noBreakHyphen/>
      </w:r>
      <w:r w:rsidRPr="00B70471">
        <w:rPr>
          <w:rFonts w:ascii="Palatino" w:hAnsi="Palatino"/>
          <w:sz w:val="26"/>
          <w:szCs w:val="26"/>
        </w:rPr>
        <w:t>to</w:t>
      </w:r>
      <w:r w:rsidR="00ED3E8A">
        <w:rPr>
          <w:rFonts w:ascii="Palatino" w:hAnsi="Palatino"/>
          <w:sz w:val="26"/>
          <w:szCs w:val="26"/>
        </w:rPr>
        <w:noBreakHyphen/>
      </w:r>
      <w:r w:rsidRPr="00B70471">
        <w:rPr>
          <w:rFonts w:ascii="Palatino" w:hAnsi="Palatino"/>
          <w:sz w:val="26"/>
          <w:szCs w:val="26"/>
        </w:rPr>
        <w:t>perform, first</w:t>
      </w:r>
      <w:r w:rsidR="00ED3E8A">
        <w:rPr>
          <w:rFonts w:ascii="Palatino" w:hAnsi="Palatino"/>
          <w:sz w:val="26"/>
          <w:szCs w:val="26"/>
        </w:rPr>
        <w:noBreakHyphen/>
      </w:r>
      <w:r w:rsidRPr="00B70471">
        <w:rPr>
          <w:rFonts w:ascii="Palatino" w:hAnsi="Palatino"/>
          <w:sz w:val="26"/>
          <w:szCs w:val="26"/>
        </w:rPr>
        <w:t>to</w:t>
      </w:r>
      <w:r w:rsidR="00ED3E8A">
        <w:rPr>
          <w:rFonts w:ascii="Palatino" w:hAnsi="Palatino"/>
          <w:sz w:val="26"/>
          <w:szCs w:val="26"/>
        </w:rPr>
        <w:noBreakHyphen/>
      </w:r>
      <w:r w:rsidR="00123506">
        <w:rPr>
          <w:rFonts w:ascii="Palatino" w:hAnsi="Palatino"/>
          <w:sz w:val="26"/>
          <w:szCs w:val="26"/>
        </w:rPr>
        <w:t>be</w:t>
      </w:r>
      <w:r w:rsidR="00ED3E8A">
        <w:rPr>
          <w:rFonts w:ascii="Palatino" w:hAnsi="Palatino"/>
          <w:sz w:val="26"/>
          <w:szCs w:val="26"/>
        </w:rPr>
        <w:noBreakHyphen/>
      </w:r>
      <w:r w:rsidRPr="00B70471">
        <w:rPr>
          <w:rFonts w:ascii="Palatino" w:hAnsi="Palatino"/>
          <w:sz w:val="26"/>
          <w:szCs w:val="26"/>
        </w:rPr>
        <w:t>paid” approach.</w:t>
      </w:r>
      <w:r w:rsidR="008D1936" w:rsidRPr="00B70471">
        <w:rPr>
          <w:rStyle w:val="FootnoteReference"/>
          <w:rFonts w:ascii="Palatino" w:hAnsi="Palatino"/>
          <w:sz w:val="26"/>
          <w:szCs w:val="26"/>
        </w:rPr>
        <w:footnoteReference w:id="28"/>
      </w:r>
      <w:r w:rsidRPr="00B70471">
        <w:rPr>
          <w:rFonts w:ascii="Palatino" w:hAnsi="Palatino"/>
          <w:sz w:val="26"/>
          <w:szCs w:val="26"/>
        </w:rPr>
        <w:t xml:space="preserve">  </w:t>
      </w:r>
      <w:r w:rsidR="00D530CB" w:rsidRPr="00B70471">
        <w:rPr>
          <w:rFonts w:ascii="Palatino" w:hAnsi="Palatino"/>
          <w:sz w:val="26"/>
          <w:szCs w:val="26"/>
        </w:rPr>
        <w:t>Thereby, performance payments are not committed to any individual campus or project</w:t>
      </w:r>
      <w:r w:rsidR="008464DA">
        <w:rPr>
          <w:rFonts w:ascii="Palatino" w:hAnsi="Palatino"/>
          <w:sz w:val="26"/>
          <w:szCs w:val="26"/>
        </w:rPr>
        <w:t xml:space="preserve"> at the outset of the CEOP</w:t>
      </w:r>
      <w:r w:rsidR="00D530CB" w:rsidRPr="005646C1">
        <w:rPr>
          <w:rFonts w:ascii="Palatino" w:hAnsi="Palatino"/>
          <w:sz w:val="26"/>
          <w:szCs w:val="26"/>
        </w:rPr>
        <w:t>.</w:t>
      </w:r>
      <w:r w:rsidR="00EF5E7B" w:rsidRPr="00B70471">
        <w:rPr>
          <w:rStyle w:val="FootnoteReference"/>
          <w:rFonts w:ascii="Palatino" w:hAnsi="Palatino"/>
          <w:sz w:val="26"/>
          <w:szCs w:val="26"/>
        </w:rPr>
        <w:footnoteReference w:id="29"/>
      </w:r>
      <w:r w:rsidR="00D530CB" w:rsidRPr="00B70471">
        <w:rPr>
          <w:rFonts w:ascii="Palatino" w:hAnsi="Palatino"/>
          <w:sz w:val="26"/>
          <w:szCs w:val="26"/>
        </w:rPr>
        <w:t xml:space="preserve"> </w:t>
      </w:r>
      <w:r w:rsidR="00B05820">
        <w:rPr>
          <w:rFonts w:ascii="Palatino" w:hAnsi="Palatino"/>
          <w:sz w:val="26"/>
          <w:szCs w:val="26"/>
        </w:rPr>
        <w:t xml:space="preserve"> </w:t>
      </w:r>
      <w:r w:rsidR="00AA475B">
        <w:rPr>
          <w:rFonts w:ascii="Palatino" w:hAnsi="Palatino"/>
          <w:sz w:val="26"/>
          <w:szCs w:val="26"/>
        </w:rPr>
        <w:t>However, SCE forecast</w:t>
      </w:r>
      <w:r w:rsidR="00F46B69">
        <w:rPr>
          <w:rFonts w:ascii="Palatino" w:hAnsi="Palatino"/>
          <w:sz w:val="26"/>
          <w:szCs w:val="26"/>
        </w:rPr>
        <w:t>s</w:t>
      </w:r>
      <w:r w:rsidR="00AA475B">
        <w:rPr>
          <w:rFonts w:ascii="Palatino" w:hAnsi="Palatino"/>
          <w:sz w:val="26"/>
          <w:szCs w:val="26"/>
        </w:rPr>
        <w:t xml:space="preserve"> the following budget based on the types of projects the Pilot Participants </w:t>
      </w:r>
      <w:r w:rsidR="00C03A96">
        <w:rPr>
          <w:rFonts w:ascii="Palatino" w:hAnsi="Palatino"/>
          <w:sz w:val="26"/>
          <w:szCs w:val="26"/>
        </w:rPr>
        <w:t>anticipate</w:t>
      </w:r>
      <w:r w:rsidR="00237B25">
        <w:rPr>
          <w:rFonts w:ascii="Palatino" w:hAnsi="Palatino"/>
          <w:sz w:val="26"/>
          <w:szCs w:val="26"/>
        </w:rPr>
        <w:t xml:space="preserve"> completing as well as anticipated administrative costs of administering and reporting on the pilot</w:t>
      </w:r>
      <w:r w:rsidR="00C03A96">
        <w:rPr>
          <w:rFonts w:ascii="Palatino" w:hAnsi="Palatino"/>
          <w:sz w:val="26"/>
          <w:szCs w:val="26"/>
        </w:rPr>
        <w:t>, as follows:</w:t>
      </w:r>
    </w:p>
    <w:p w14:paraId="27E1316C" w14:textId="5011B0B6" w:rsidR="00AA475B" w:rsidRDefault="00B065E9" w:rsidP="0016028E">
      <w:pPr>
        <w:pStyle w:val="NormalWeb"/>
        <w:spacing w:before="0" w:beforeAutospacing="0" w:after="0" w:afterAutospacing="0" w:line="360" w:lineRule="auto"/>
        <w:rPr>
          <w:rFonts w:ascii="Palatino" w:hAnsi="Palatino"/>
          <w:sz w:val="26"/>
          <w:szCs w:val="26"/>
        </w:rPr>
      </w:pPr>
      <w:r>
        <w:rPr>
          <w:noProof/>
        </w:rPr>
        <w:drawing>
          <wp:inline distT="0" distB="0" distL="0" distR="0" wp14:anchorId="4D83D9AE" wp14:editId="5652C649">
            <wp:extent cx="600075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2240" cy="2610498"/>
                    </a:xfrm>
                    <a:prstGeom prst="rect">
                      <a:avLst/>
                    </a:prstGeom>
                  </pic:spPr>
                </pic:pic>
              </a:graphicData>
            </a:graphic>
          </wp:inline>
        </w:drawing>
      </w:r>
    </w:p>
    <w:p w14:paraId="787BC23A" w14:textId="0A012605" w:rsidR="005D6881" w:rsidRPr="00CB2EE6" w:rsidRDefault="00AA475B" w:rsidP="005D6881">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Pilot Participants</w:t>
      </w:r>
      <w:r w:rsidR="005D6881" w:rsidRPr="005D6881">
        <w:rPr>
          <w:rFonts w:ascii="Palatino" w:hAnsi="Palatino"/>
          <w:sz w:val="26"/>
          <w:szCs w:val="26"/>
        </w:rPr>
        <w:t xml:space="preserve"> </w:t>
      </w:r>
      <w:r w:rsidR="00C1627B">
        <w:rPr>
          <w:rFonts w:ascii="Palatino" w:hAnsi="Palatino"/>
          <w:sz w:val="26"/>
          <w:szCs w:val="26"/>
        </w:rPr>
        <w:t>propose to</w:t>
      </w:r>
      <w:r w:rsidR="005D6881" w:rsidRPr="00447C26">
        <w:rPr>
          <w:rFonts w:ascii="Palatino" w:hAnsi="Palatino"/>
          <w:sz w:val="26"/>
          <w:szCs w:val="26"/>
        </w:rPr>
        <w:t xml:space="preserve"> implement a variety of clean energy</w:t>
      </w:r>
      <w:r w:rsidR="005D6881" w:rsidRPr="00213051">
        <w:rPr>
          <w:rFonts w:ascii="Palatino" w:hAnsi="Palatino"/>
          <w:sz w:val="26"/>
          <w:szCs w:val="26"/>
        </w:rPr>
        <w:t xml:space="preserve"> measures across seven campuses located in SCE’s service territory,</w:t>
      </w:r>
      <w:r w:rsidR="005D6881" w:rsidRPr="000F49CC">
        <w:rPr>
          <w:rFonts w:ascii="Palatino" w:hAnsi="Palatino"/>
          <w:sz w:val="26"/>
          <w:szCs w:val="26"/>
        </w:rPr>
        <w:t xml:space="preserve"> including</w:t>
      </w:r>
      <w:r w:rsidR="005D6881" w:rsidRPr="00CB2EE6">
        <w:rPr>
          <w:rFonts w:ascii="Palatino" w:hAnsi="Palatino"/>
          <w:sz w:val="26"/>
          <w:szCs w:val="26"/>
        </w:rPr>
        <w:t xml:space="preserve">: </w:t>
      </w:r>
    </w:p>
    <w:p w14:paraId="3ED73696" w14:textId="77777777" w:rsidR="005D6881" w:rsidRPr="00C15A46" w:rsidRDefault="005D6881" w:rsidP="005D6881">
      <w:pPr>
        <w:pStyle w:val="NormalWeb"/>
        <w:numPr>
          <w:ilvl w:val="0"/>
          <w:numId w:val="48"/>
        </w:numPr>
        <w:spacing w:before="0" w:beforeAutospacing="0" w:after="120" w:afterAutospacing="0"/>
        <w:rPr>
          <w:rFonts w:ascii="Palatino" w:hAnsi="Palatino"/>
          <w:sz w:val="26"/>
          <w:szCs w:val="26"/>
        </w:rPr>
      </w:pPr>
      <w:r w:rsidRPr="00E043A4">
        <w:rPr>
          <w:rFonts w:ascii="Palatino" w:hAnsi="Palatino"/>
          <w:sz w:val="26"/>
          <w:szCs w:val="26"/>
        </w:rPr>
        <w:t xml:space="preserve">Energy efficiency, including building and lighting retrofits, operational, maintenance and behavioral </w:t>
      </w:r>
      <w:r w:rsidRPr="00C15A46">
        <w:rPr>
          <w:rFonts w:ascii="Palatino" w:hAnsi="Palatino"/>
          <w:sz w:val="26"/>
          <w:szCs w:val="26"/>
        </w:rPr>
        <w:t>initiatives;</w:t>
      </w:r>
    </w:p>
    <w:p w14:paraId="6155FAB9" w14:textId="77777777" w:rsidR="005D6881" w:rsidRPr="00073340" w:rsidRDefault="005D6881" w:rsidP="005D6881">
      <w:pPr>
        <w:pStyle w:val="NormalWeb"/>
        <w:numPr>
          <w:ilvl w:val="0"/>
          <w:numId w:val="48"/>
        </w:numPr>
        <w:spacing w:before="0" w:beforeAutospacing="0" w:after="120" w:afterAutospacing="0"/>
        <w:rPr>
          <w:rFonts w:ascii="Palatino" w:hAnsi="Palatino"/>
          <w:sz w:val="26"/>
          <w:szCs w:val="26"/>
        </w:rPr>
      </w:pPr>
      <w:r w:rsidRPr="00677A30">
        <w:rPr>
          <w:rFonts w:ascii="Palatino" w:hAnsi="Palatino"/>
          <w:sz w:val="26"/>
          <w:szCs w:val="26"/>
        </w:rPr>
        <w:t>Smart load growth</w:t>
      </w:r>
      <w:r w:rsidRPr="006E0144">
        <w:rPr>
          <w:rFonts w:ascii="Palatino" w:hAnsi="Palatino"/>
          <w:sz w:val="26"/>
          <w:szCs w:val="26"/>
        </w:rPr>
        <w:t xml:space="preserve">, and </w:t>
      </w:r>
      <w:r w:rsidRPr="00994BD4">
        <w:rPr>
          <w:rFonts w:ascii="Palatino" w:hAnsi="Palatino"/>
          <w:sz w:val="26"/>
          <w:szCs w:val="26"/>
        </w:rPr>
        <w:t>new construction</w:t>
      </w:r>
      <w:r w:rsidRPr="00073340">
        <w:rPr>
          <w:rFonts w:ascii="Palatino" w:hAnsi="Palatino"/>
          <w:sz w:val="26"/>
          <w:szCs w:val="26"/>
        </w:rPr>
        <w:t>;</w:t>
      </w:r>
    </w:p>
    <w:p w14:paraId="3A806A11" w14:textId="69D4A485" w:rsidR="005D6881" w:rsidRPr="00064F02" w:rsidRDefault="005D6881" w:rsidP="005D6881">
      <w:pPr>
        <w:pStyle w:val="NormalWeb"/>
        <w:numPr>
          <w:ilvl w:val="0"/>
          <w:numId w:val="48"/>
        </w:numPr>
        <w:spacing w:before="0" w:beforeAutospacing="0" w:after="120" w:afterAutospacing="0"/>
        <w:rPr>
          <w:rFonts w:ascii="Palatino" w:hAnsi="Palatino"/>
          <w:sz w:val="26"/>
          <w:szCs w:val="26"/>
        </w:rPr>
      </w:pPr>
      <w:r w:rsidRPr="005050CF">
        <w:rPr>
          <w:rFonts w:ascii="Palatino" w:hAnsi="Palatino"/>
          <w:sz w:val="26"/>
          <w:szCs w:val="26"/>
        </w:rPr>
        <w:t>On</w:t>
      </w:r>
      <w:r w:rsidR="00ED3E8A">
        <w:rPr>
          <w:rFonts w:ascii="Palatino" w:hAnsi="Palatino"/>
          <w:sz w:val="26"/>
          <w:szCs w:val="26"/>
        </w:rPr>
        <w:noBreakHyphen/>
      </w:r>
      <w:r w:rsidRPr="005050CF">
        <w:rPr>
          <w:rFonts w:ascii="Palatino" w:hAnsi="Palatino"/>
          <w:sz w:val="26"/>
          <w:szCs w:val="26"/>
        </w:rPr>
        <w:t>site renewables</w:t>
      </w:r>
      <w:r w:rsidRPr="00064F02">
        <w:rPr>
          <w:rFonts w:ascii="Palatino" w:hAnsi="Palatino"/>
          <w:sz w:val="26"/>
          <w:szCs w:val="26"/>
        </w:rPr>
        <w:t xml:space="preserve"> and energy storage; </w:t>
      </w:r>
    </w:p>
    <w:p w14:paraId="4C45D76C" w14:textId="569EA9F7" w:rsidR="00B05820" w:rsidRDefault="005D6881" w:rsidP="00B05820">
      <w:pPr>
        <w:pStyle w:val="NormalWeb"/>
        <w:numPr>
          <w:ilvl w:val="0"/>
          <w:numId w:val="48"/>
        </w:numPr>
        <w:spacing w:before="0" w:beforeAutospacing="0" w:after="120" w:afterAutospacing="0"/>
        <w:rPr>
          <w:rFonts w:ascii="Palatino" w:hAnsi="Palatino"/>
          <w:sz w:val="26"/>
          <w:szCs w:val="26"/>
        </w:rPr>
      </w:pPr>
      <w:r w:rsidRPr="005240D8">
        <w:rPr>
          <w:rFonts w:ascii="Palatino" w:hAnsi="Palatino"/>
          <w:sz w:val="26"/>
          <w:szCs w:val="26"/>
        </w:rPr>
        <w:t>E</w:t>
      </w:r>
      <w:r w:rsidR="00073340">
        <w:rPr>
          <w:rFonts w:ascii="Palatino" w:hAnsi="Palatino"/>
          <w:sz w:val="26"/>
          <w:szCs w:val="26"/>
        </w:rPr>
        <w:t>lectric Vehicle (E</w:t>
      </w:r>
      <w:r w:rsidRPr="00073340">
        <w:rPr>
          <w:rFonts w:ascii="Palatino" w:hAnsi="Palatino"/>
          <w:sz w:val="26"/>
          <w:szCs w:val="26"/>
        </w:rPr>
        <w:t>V</w:t>
      </w:r>
      <w:r w:rsidR="00073340">
        <w:rPr>
          <w:rFonts w:ascii="Palatino" w:hAnsi="Palatino"/>
          <w:sz w:val="26"/>
          <w:szCs w:val="26"/>
        </w:rPr>
        <w:t>)</w:t>
      </w:r>
      <w:r w:rsidRPr="00073340">
        <w:rPr>
          <w:rFonts w:ascii="Palatino" w:hAnsi="Palatino"/>
          <w:sz w:val="26"/>
          <w:szCs w:val="26"/>
        </w:rPr>
        <w:t xml:space="preserve"> charging installations and electrification of bus fleets; and</w:t>
      </w:r>
    </w:p>
    <w:p w14:paraId="0AA7FFB0" w14:textId="105F6A62" w:rsidR="00AA475B" w:rsidRPr="001A0C20" w:rsidRDefault="005D6881" w:rsidP="00B70471">
      <w:pPr>
        <w:pStyle w:val="NormalWeb"/>
        <w:numPr>
          <w:ilvl w:val="0"/>
          <w:numId w:val="48"/>
        </w:numPr>
        <w:spacing w:before="0" w:beforeAutospacing="0" w:after="120" w:afterAutospacing="0"/>
        <w:rPr>
          <w:szCs w:val="26"/>
        </w:rPr>
      </w:pPr>
      <w:r w:rsidRPr="00B70471">
        <w:rPr>
          <w:rFonts w:ascii="Palatino" w:hAnsi="Palatino"/>
          <w:sz w:val="26"/>
          <w:szCs w:val="26"/>
        </w:rPr>
        <w:t>Building electrification and fuel switching.</w:t>
      </w:r>
    </w:p>
    <w:p w14:paraId="04B78632" w14:textId="5152169D" w:rsidR="005D6881" w:rsidRDefault="00EE187D" w:rsidP="00FD5266">
      <w:pPr>
        <w:pStyle w:val="NormalWeb"/>
        <w:spacing w:before="0" w:beforeAutospacing="0" w:after="0" w:afterAutospacing="0" w:line="360" w:lineRule="auto"/>
        <w:ind w:firstLine="720"/>
        <w:rPr>
          <w:rFonts w:ascii="Palatino" w:hAnsi="Palatino"/>
          <w:sz w:val="26"/>
          <w:szCs w:val="26"/>
        </w:rPr>
      </w:pPr>
      <w:r w:rsidRPr="00B05820">
        <w:rPr>
          <w:rFonts w:ascii="Palatino" w:hAnsi="Palatino"/>
          <w:sz w:val="26"/>
          <w:szCs w:val="26"/>
        </w:rPr>
        <w:t xml:space="preserve">At the start of the pilot, an initial GHG emissions baseline is established for each campus.  </w:t>
      </w:r>
      <w:r w:rsidR="009F3932" w:rsidRPr="00B70471">
        <w:rPr>
          <w:rFonts w:ascii="Palatino" w:hAnsi="Palatino"/>
          <w:sz w:val="26"/>
          <w:szCs w:val="26"/>
        </w:rPr>
        <w:t>T</w:t>
      </w:r>
      <w:r w:rsidR="00BC4904">
        <w:rPr>
          <w:rFonts w:ascii="Palatino" w:hAnsi="Palatino"/>
          <w:sz w:val="26"/>
          <w:szCs w:val="26"/>
        </w:rPr>
        <w:t xml:space="preserve">hen, </w:t>
      </w:r>
      <w:r w:rsidR="004303C8">
        <w:rPr>
          <w:rFonts w:ascii="Palatino" w:hAnsi="Palatino"/>
          <w:sz w:val="26"/>
          <w:szCs w:val="26"/>
        </w:rPr>
        <w:t>SCE</w:t>
      </w:r>
      <w:r w:rsidR="009F3932" w:rsidRPr="00B70471">
        <w:rPr>
          <w:rFonts w:ascii="Palatino" w:hAnsi="Palatino"/>
          <w:sz w:val="26"/>
          <w:szCs w:val="26"/>
        </w:rPr>
        <w:t xml:space="preserve"> will offer </w:t>
      </w:r>
      <w:r w:rsidR="00FD5266" w:rsidRPr="005D6881">
        <w:rPr>
          <w:rFonts w:ascii="Palatino" w:hAnsi="Palatino"/>
          <w:sz w:val="26"/>
          <w:szCs w:val="26"/>
        </w:rPr>
        <w:t xml:space="preserve">annual </w:t>
      </w:r>
      <w:r w:rsidR="00F66307" w:rsidRPr="005D6881">
        <w:rPr>
          <w:rFonts w:ascii="Palatino" w:hAnsi="Palatino"/>
          <w:sz w:val="26"/>
          <w:szCs w:val="26"/>
        </w:rPr>
        <w:t xml:space="preserve">performance </w:t>
      </w:r>
      <w:r w:rsidR="009F3932" w:rsidRPr="00B70471">
        <w:rPr>
          <w:rFonts w:ascii="Palatino" w:hAnsi="Palatino"/>
          <w:sz w:val="26"/>
          <w:szCs w:val="26"/>
        </w:rPr>
        <w:t xml:space="preserve">payments for </w:t>
      </w:r>
      <w:r w:rsidR="00CF5603" w:rsidRPr="005D6881">
        <w:rPr>
          <w:rFonts w:ascii="Palatino" w:hAnsi="Palatino"/>
          <w:sz w:val="26"/>
          <w:szCs w:val="26"/>
        </w:rPr>
        <w:t xml:space="preserve">both </w:t>
      </w:r>
      <w:r w:rsidR="00E24FB7" w:rsidRPr="005D6881">
        <w:rPr>
          <w:rFonts w:ascii="Palatino" w:hAnsi="Palatino"/>
          <w:sz w:val="26"/>
          <w:szCs w:val="26"/>
        </w:rPr>
        <w:t xml:space="preserve">the </w:t>
      </w:r>
      <w:r w:rsidR="00CF5603" w:rsidRPr="00447C26">
        <w:rPr>
          <w:rFonts w:ascii="Palatino" w:hAnsi="Palatino"/>
          <w:sz w:val="26"/>
          <w:szCs w:val="26"/>
        </w:rPr>
        <w:t>incremental</w:t>
      </w:r>
      <w:r w:rsidR="00E24FB7" w:rsidRPr="00447C26">
        <w:rPr>
          <w:rFonts w:ascii="Palatino" w:hAnsi="Palatino"/>
          <w:sz w:val="26"/>
          <w:szCs w:val="26"/>
        </w:rPr>
        <w:t>ity</w:t>
      </w:r>
      <w:r w:rsidR="00CF5603" w:rsidRPr="00447C26">
        <w:rPr>
          <w:rFonts w:ascii="Palatino" w:hAnsi="Palatino"/>
          <w:sz w:val="26"/>
          <w:szCs w:val="26"/>
        </w:rPr>
        <w:t xml:space="preserve"> and </w:t>
      </w:r>
      <w:r w:rsidR="00CF5603" w:rsidRPr="00123506">
        <w:rPr>
          <w:rFonts w:ascii="Palatino" w:hAnsi="Palatino"/>
          <w:sz w:val="26"/>
          <w:szCs w:val="26"/>
        </w:rPr>
        <w:t>persisten</w:t>
      </w:r>
      <w:r w:rsidR="00E24FB7" w:rsidRPr="00123506">
        <w:rPr>
          <w:rFonts w:ascii="Palatino" w:hAnsi="Palatino"/>
          <w:sz w:val="26"/>
          <w:szCs w:val="26"/>
        </w:rPr>
        <w:t>ce of</w:t>
      </w:r>
      <w:r w:rsidR="00CF5603" w:rsidRPr="00123506">
        <w:rPr>
          <w:rFonts w:ascii="Palatino" w:hAnsi="Palatino"/>
          <w:sz w:val="26"/>
          <w:szCs w:val="26"/>
        </w:rPr>
        <w:t xml:space="preserve"> </w:t>
      </w:r>
      <w:r w:rsidR="00E24FB7" w:rsidRPr="00123506">
        <w:rPr>
          <w:rFonts w:ascii="Palatino" w:hAnsi="Palatino"/>
          <w:sz w:val="26"/>
          <w:szCs w:val="26"/>
        </w:rPr>
        <w:t xml:space="preserve">GHG </w:t>
      </w:r>
      <w:r w:rsidR="009F3932" w:rsidRPr="00B70471">
        <w:rPr>
          <w:rFonts w:ascii="Palatino" w:hAnsi="Palatino"/>
          <w:sz w:val="26"/>
          <w:szCs w:val="26"/>
        </w:rPr>
        <w:t>reductions</w:t>
      </w:r>
      <w:r w:rsidR="00F66307" w:rsidRPr="00B70471">
        <w:rPr>
          <w:rStyle w:val="FootnoteReference"/>
          <w:rFonts w:ascii="Palatino" w:hAnsi="Palatino"/>
          <w:sz w:val="26"/>
          <w:szCs w:val="26"/>
        </w:rPr>
        <w:footnoteReference w:id="30"/>
      </w:r>
      <w:r w:rsidR="00EA66C2" w:rsidRPr="005D6881">
        <w:rPr>
          <w:rFonts w:ascii="Palatino" w:hAnsi="Palatino"/>
          <w:sz w:val="26"/>
          <w:szCs w:val="26"/>
        </w:rPr>
        <w:t xml:space="preserve"> </w:t>
      </w:r>
      <w:r w:rsidR="00F80952">
        <w:rPr>
          <w:rFonts w:ascii="Palatino" w:hAnsi="Palatino"/>
          <w:sz w:val="26"/>
          <w:szCs w:val="26"/>
        </w:rPr>
        <w:t>achi</w:t>
      </w:r>
      <w:r w:rsidR="005A5EA8">
        <w:rPr>
          <w:rFonts w:ascii="Palatino" w:hAnsi="Palatino"/>
          <w:sz w:val="26"/>
          <w:szCs w:val="26"/>
        </w:rPr>
        <w:t>e</w:t>
      </w:r>
      <w:r w:rsidR="00F80952">
        <w:rPr>
          <w:rFonts w:ascii="Palatino" w:hAnsi="Palatino"/>
          <w:sz w:val="26"/>
          <w:szCs w:val="26"/>
        </w:rPr>
        <w:t xml:space="preserve">ved at each campus </w:t>
      </w:r>
      <w:r w:rsidR="007A7E7F" w:rsidRPr="005D6881">
        <w:rPr>
          <w:rFonts w:ascii="Palatino" w:hAnsi="Palatino"/>
          <w:sz w:val="26"/>
          <w:szCs w:val="26"/>
        </w:rPr>
        <w:t>based on</w:t>
      </w:r>
      <w:r w:rsidR="009F3932" w:rsidRPr="00B70471">
        <w:rPr>
          <w:rFonts w:ascii="Palatino" w:hAnsi="Palatino"/>
          <w:sz w:val="26"/>
          <w:szCs w:val="26"/>
        </w:rPr>
        <w:t xml:space="preserve"> electricity and gas consumption measured at the meter against </w:t>
      </w:r>
      <w:r w:rsidR="005A5EA8">
        <w:rPr>
          <w:rFonts w:ascii="Palatino" w:hAnsi="Palatino"/>
          <w:sz w:val="26"/>
          <w:szCs w:val="26"/>
        </w:rPr>
        <w:t xml:space="preserve">a </w:t>
      </w:r>
      <w:r w:rsidR="009F3932" w:rsidRPr="00B70471">
        <w:rPr>
          <w:rFonts w:ascii="Palatino" w:hAnsi="Palatino"/>
          <w:sz w:val="26"/>
          <w:szCs w:val="26"/>
        </w:rPr>
        <w:t xml:space="preserve"> baseline energy consumption</w:t>
      </w:r>
      <w:r w:rsidR="005A5EA8">
        <w:rPr>
          <w:rFonts w:ascii="Palatino" w:hAnsi="Palatino"/>
          <w:sz w:val="26"/>
          <w:szCs w:val="26"/>
        </w:rPr>
        <w:t xml:space="preserve"> for each campus</w:t>
      </w:r>
      <w:r w:rsidR="009F3932" w:rsidRPr="00B70471">
        <w:rPr>
          <w:rFonts w:ascii="Palatino" w:hAnsi="Palatino"/>
          <w:sz w:val="26"/>
          <w:szCs w:val="26"/>
        </w:rPr>
        <w:t xml:space="preserve"> from the prior year.</w:t>
      </w:r>
      <w:r w:rsidR="00E83820" w:rsidRPr="005D6881">
        <w:rPr>
          <w:rFonts w:ascii="Palatino" w:hAnsi="Palatino"/>
          <w:sz w:val="26"/>
          <w:szCs w:val="26"/>
        </w:rPr>
        <w:t xml:space="preserve">  A new baseline is established each year against</w:t>
      </w:r>
      <w:r w:rsidR="00327F82" w:rsidRPr="005D6881">
        <w:rPr>
          <w:rFonts w:ascii="Palatino" w:hAnsi="Palatino"/>
          <w:sz w:val="26"/>
          <w:szCs w:val="26"/>
        </w:rPr>
        <w:t xml:space="preserve"> which</w:t>
      </w:r>
      <w:r w:rsidR="00E83820" w:rsidRPr="005D6881">
        <w:rPr>
          <w:rFonts w:ascii="Palatino" w:hAnsi="Palatino"/>
          <w:sz w:val="26"/>
          <w:szCs w:val="26"/>
        </w:rPr>
        <w:t xml:space="preserve"> increm</w:t>
      </w:r>
      <w:r w:rsidR="00E83820" w:rsidRPr="00B05820">
        <w:rPr>
          <w:rFonts w:ascii="Palatino" w:hAnsi="Palatino"/>
          <w:sz w:val="26"/>
          <w:szCs w:val="26"/>
        </w:rPr>
        <w:t xml:space="preserve">ental GHG reductions </w:t>
      </w:r>
      <w:r w:rsidR="00327F82" w:rsidRPr="00B05820">
        <w:rPr>
          <w:rFonts w:ascii="Palatino" w:hAnsi="Palatino"/>
          <w:sz w:val="26"/>
          <w:szCs w:val="26"/>
        </w:rPr>
        <w:t>are measured the</w:t>
      </w:r>
      <w:r w:rsidR="00E83820" w:rsidRPr="00B05820">
        <w:rPr>
          <w:rFonts w:ascii="Palatino" w:hAnsi="Palatino"/>
          <w:sz w:val="26"/>
          <w:szCs w:val="26"/>
        </w:rPr>
        <w:t xml:space="preserve"> following yea</w:t>
      </w:r>
      <w:r w:rsidR="00E83820" w:rsidRPr="00654ECE">
        <w:rPr>
          <w:rFonts w:ascii="Palatino" w:hAnsi="Palatino"/>
          <w:sz w:val="26"/>
          <w:szCs w:val="26"/>
        </w:rPr>
        <w:t>r.</w:t>
      </w:r>
    </w:p>
    <w:p w14:paraId="30D1654C" w14:textId="3484DB39" w:rsidR="00624BEE" w:rsidRDefault="00624BEE" w:rsidP="00FD5266">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 xml:space="preserve">The </w:t>
      </w:r>
      <w:r w:rsidR="001B09D8">
        <w:rPr>
          <w:rFonts w:ascii="Palatino" w:hAnsi="Palatino"/>
          <w:sz w:val="26"/>
          <w:szCs w:val="26"/>
        </w:rPr>
        <w:t xml:space="preserve">proposed </w:t>
      </w:r>
      <w:r>
        <w:rPr>
          <w:rFonts w:ascii="Palatino" w:hAnsi="Palatino"/>
          <w:sz w:val="26"/>
          <w:szCs w:val="26"/>
        </w:rPr>
        <w:t>baseline calculation is as follows:</w:t>
      </w:r>
      <w:r w:rsidR="00E043A4">
        <w:rPr>
          <w:rStyle w:val="FootnoteReference"/>
          <w:rFonts w:ascii="Palatino" w:hAnsi="Palatino"/>
          <w:szCs w:val="26"/>
        </w:rPr>
        <w:footnoteReference w:id="31"/>
      </w:r>
    </w:p>
    <w:p w14:paraId="331A409B" w14:textId="2C2BE6B7" w:rsidR="00624BEE" w:rsidRDefault="00A25C74" w:rsidP="00FD5266">
      <w:pPr>
        <w:pStyle w:val="NormalWeb"/>
        <w:spacing w:before="0" w:beforeAutospacing="0" w:after="0" w:afterAutospacing="0" w:line="360" w:lineRule="auto"/>
        <w:ind w:firstLine="720"/>
        <w:rPr>
          <w:rFonts w:ascii="Palatino" w:hAnsi="Palatino"/>
          <w:sz w:val="26"/>
          <w:szCs w:val="26"/>
        </w:rPr>
      </w:pPr>
      <w:r>
        <w:rPr>
          <w:noProof/>
        </w:rPr>
        <w:drawing>
          <wp:inline distT="0" distB="0" distL="0" distR="0" wp14:anchorId="2B3ED84B" wp14:editId="24FC789C">
            <wp:extent cx="5608563" cy="8318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8563" cy="831804"/>
                    </a:xfrm>
                    <a:prstGeom prst="rect">
                      <a:avLst/>
                    </a:prstGeom>
                  </pic:spPr>
                </pic:pic>
              </a:graphicData>
            </a:graphic>
          </wp:inline>
        </w:drawing>
      </w:r>
    </w:p>
    <w:p w14:paraId="619CC661" w14:textId="1AAB7518" w:rsidR="00B972DC" w:rsidRDefault="001B09D8" w:rsidP="00FD5266">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The proposed emissions reduction calculation is as follows:</w:t>
      </w:r>
      <w:r w:rsidR="00E043A4">
        <w:rPr>
          <w:rStyle w:val="FootnoteReference"/>
          <w:rFonts w:ascii="Palatino" w:hAnsi="Palatino"/>
          <w:szCs w:val="26"/>
        </w:rPr>
        <w:footnoteReference w:id="32"/>
      </w:r>
      <w:r>
        <w:rPr>
          <w:rFonts w:ascii="Palatino" w:hAnsi="Palatino"/>
          <w:sz w:val="26"/>
          <w:szCs w:val="26"/>
        </w:rPr>
        <w:t xml:space="preserve"> </w:t>
      </w:r>
    </w:p>
    <w:p w14:paraId="4700CEDF" w14:textId="631D35E2" w:rsidR="001B09D8" w:rsidRPr="00654ECE" w:rsidRDefault="0066714D" w:rsidP="00FD5266">
      <w:pPr>
        <w:pStyle w:val="NormalWeb"/>
        <w:spacing w:before="0" w:beforeAutospacing="0" w:after="0" w:afterAutospacing="0" w:line="360" w:lineRule="auto"/>
        <w:ind w:firstLine="720"/>
        <w:rPr>
          <w:rFonts w:ascii="Palatino" w:hAnsi="Palatino"/>
          <w:sz w:val="26"/>
          <w:szCs w:val="26"/>
        </w:rPr>
      </w:pPr>
      <w:r>
        <w:rPr>
          <w:noProof/>
        </w:rPr>
        <w:drawing>
          <wp:inline distT="0" distB="0" distL="0" distR="0" wp14:anchorId="72A90A9F" wp14:editId="5A0968B3">
            <wp:extent cx="5608563" cy="73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563" cy="730887"/>
                    </a:xfrm>
                    <a:prstGeom prst="rect">
                      <a:avLst/>
                    </a:prstGeom>
                  </pic:spPr>
                </pic:pic>
              </a:graphicData>
            </a:graphic>
          </wp:inline>
        </w:drawing>
      </w:r>
    </w:p>
    <w:p w14:paraId="41E58275" w14:textId="7DCF3C37" w:rsidR="006E0144" w:rsidRDefault="006E0144" w:rsidP="006E0144">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The emissions performance for each project is adjusted for its</w:t>
      </w:r>
      <w:r w:rsidR="00BD245A">
        <w:rPr>
          <w:rFonts w:ascii="Palatino" w:hAnsi="Palatino"/>
          <w:sz w:val="26"/>
          <w:szCs w:val="26"/>
        </w:rPr>
        <w:t xml:space="preserve"> GHG</w:t>
      </w:r>
      <w:r>
        <w:rPr>
          <w:rFonts w:ascii="Palatino" w:hAnsi="Palatino"/>
          <w:sz w:val="26"/>
          <w:szCs w:val="26"/>
        </w:rPr>
        <w:t xml:space="preserve"> intensity factor, with the exception of transportation projects,</w:t>
      </w:r>
      <w:r>
        <w:rPr>
          <w:rStyle w:val="FootnoteReference"/>
          <w:rFonts w:ascii="Palatino" w:hAnsi="Palatino"/>
          <w:szCs w:val="26"/>
        </w:rPr>
        <w:footnoteReference w:id="33"/>
      </w:r>
      <w:r>
        <w:rPr>
          <w:rFonts w:ascii="Palatino" w:hAnsi="Palatino"/>
          <w:sz w:val="26"/>
          <w:szCs w:val="26"/>
        </w:rPr>
        <w:t xml:space="preserve"> and controlled for weather and campus gross square footage.</w:t>
      </w:r>
      <w:r>
        <w:rPr>
          <w:rStyle w:val="FootnoteReference"/>
          <w:rFonts w:ascii="Palatino" w:hAnsi="Palatino"/>
          <w:szCs w:val="26"/>
        </w:rPr>
        <w:footnoteReference w:id="34"/>
      </w:r>
      <w:r>
        <w:rPr>
          <w:rFonts w:ascii="Palatino" w:hAnsi="Palatino"/>
          <w:sz w:val="26"/>
          <w:szCs w:val="26"/>
        </w:rPr>
        <w:t xml:space="preserve"> </w:t>
      </w:r>
    </w:p>
    <w:p w14:paraId="6A446F78" w14:textId="2C2FD405" w:rsidR="00B81CFB" w:rsidRDefault="00B81CFB" w:rsidP="00747E7C">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 xml:space="preserve">The proposed adjustment for net campus emissions performance is as follows: </w:t>
      </w:r>
    </w:p>
    <w:p w14:paraId="09B8E541" w14:textId="4E7E0AEC" w:rsidR="00B81CFB" w:rsidRDefault="000F3FC8" w:rsidP="004D0555">
      <w:pPr>
        <w:pStyle w:val="NormalWeb"/>
        <w:spacing w:before="0" w:beforeAutospacing="0" w:after="0" w:afterAutospacing="0" w:line="360" w:lineRule="auto"/>
        <w:ind w:firstLine="720"/>
        <w:rPr>
          <w:rFonts w:ascii="Palatino" w:hAnsi="Palatino"/>
          <w:sz w:val="26"/>
          <w:szCs w:val="26"/>
        </w:rPr>
      </w:pPr>
      <w:r>
        <w:rPr>
          <w:noProof/>
        </w:rPr>
        <w:drawing>
          <wp:inline distT="0" distB="0" distL="0" distR="0" wp14:anchorId="78484809" wp14:editId="080073FD">
            <wp:extent cx="2896025" cy="84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6025" cy="847095"/>
                    </a:xfrm>
                    <a:prstGeom prst="rect">
                      <a:avLst/>
                    </a:prstGeom>
                  </pic:spPr>
                </pic:pic>
              </a:graphicData>
            </a:graphic>
          </wp:inline>
        </w:drawing>
      </w:r>
    </w:p>
    <w:p w14:paraId="06E60DAE" w14:textId="187FB244" w:rsidR="00747E7C" w:rsidRDefault="000A75D9" w:rsidP="00747E7C">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SCE proposes to calculate p</w:t>
      </w:r>
      <w:r w:rsidR="00747E7C">
        <w:rPr>
          <w:rFonts w:ascii="Palatino" w:hAnsi="Palatino"/>
          <w:sz w:val="26"/>
          <w:szCs w:val="26"/>
        </w:rPr>
        <w:t>erformance payments as follows:</w:t>
      </w:r>
    </w:p>
    <w:p w14:paraId="2FE13D01" w14:textId="1E144324" w:rsidR="00747E7C" w:rsidRDefault="0081438A" w:rsidP="009A17CF">
      <w:pPr>
        <w:pStyle w:val="NormalWeb"/>
        <w:spacing w:before="0" w:beforeAutospacing="0" w:after="0" w:afterAutospacing="0" w:line="360" w:lineRule="auto"/>
        <w:ind w:firstLine="720"/>
        <w:rPr>
          <w:rFonts w:ascii="Palatino" w:hAnsi="Palatino"/>
          <w:sz w:val="26"/>
          <w:szCs w:val="26"/>
        </w:rPr>
      </w:pPr>
      <w:r>
        <w:rPr>
          <w:noProof/>
        </w:rPr>
        <w:drawing>
          <wp:inline distT="0" distB="0" distL="0" distR="0" wp14:anchorId="2FD808A3" wp14:editId="0DD01F66">
            <wp:extent cx="5143731" cy="93272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3731" cy="932722"/>
                    </a:xfrm>
                    <a:prstGeom prst="rect">
                      <a:avLst/>
                    </a:prstGeom>
                  </pic:spPr>
                </pic:pic>
              </a:graphicData>
            </a:graphic>
          </wp:inline>
        </w:drawing>
      </w:r>
    </w:p>
    <w:p w14:paraId="0AE7E483" w14:textId="2AA762E6" w:rsidR="00F80328" w:rsidRDefault="005E69F0" w:rsidP="00ED0851">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 xml:space="preserve">GHG valuation uses </w:t>
      </w:r>
      <w:r w:rsidR="00F80328">
        <w:rPr>
          <w:rFonts w:ascii="Palatino" w:hAnsi="Palatino"/>
          <w:sz w:val="26"/>
          <w:szCs w:val="26"/>
        </w:rPr>
        <w:t>the marginal cost of GHG abatement adopted by the Commission in Decision 18</w:t>
      </w:r>
      <w:r w:rsidR="00ED3E8A">
        <w:rPr>
          <w:rFonts w:ascii="Palatino" w:hAnsi="Palatino"/>
          <w:sz w:val="26"/>
          <w:szCs w:val="26"/>
        </w:rPr>
        <w:noBreakHyphen/>
      </w:r>
      <w:r w:rsidR="00F80328">
        <w:rPr>
          <w:rFonts w:ascii="Palatino" w:hAnsi="Palatino"/>
          <w:sz w:val="26"/>
          <w:szCs w:val="26"/>
        </w:rPr>
        <w:t>02</w:t>
      </w:r>
      <w:r w:rsidR="00ED3E8A">
        <w:rPr>
          <w:rFonts w:ascii="Palatino" w:hAnsi="Palatino"/>
          <w:sz w:val="26"/>
          <w:szCs w:val="26"/>
        </w:rPr>
        <w:noBreakHyphen/>
      </w:r>
      <w:r w:rsidR="00F80328">
        <w:rPr>
          <w:rFonts w:ascii="Palatino" w:hAnsi="Palatino"/>
          <w:sz w:val="26"/>
          <w:szCs w:val="26"/>
        </w:rPr>
        <w:t xml:space="preserve">018. </w:t>
      </w:r>
      <w:r w:rsidR="005050CF">
        <w:rPr>
          <w:rFonts w:ascii="Palatino" w:hAnsi="Palatino"/>
          <w:sz w:val="26"/>
          <w:szCs w:val="26"/>
        </w:rPr>
        <w:t xml:space="preserve"> SCE also proposes to adjust the performance payments to reflect the asset life of certain long</w:t>
      </w:r>
      <w:r w:rsidR="00ED3E8A">
        <w:rPr>
          <w:rFonts w:ascii="Palatino" w:hAnsi="Palatino"/>
          <w:sz w:val="26"/>
          <w:szCs w:val="26"/>
        </w:rPr>
        <w:noBreakHyphen/>
      </w:r>
      <w:r w:rsidR="005050CF">
        <w:rPr>
          <w:rFonts w:ascii="Palatino" w:hAnsi="Palatino"/>
          <w:sz w:val="26"/>
          <w:szCs w:val="26"/>
        </w:rPr>
        <w:t>term technologies to encourage investment in technologies that provide GHG emissions reductions beyond the life of the CEOP.</w:t>
      </w:r>
      <w:r w:rsidR="005050CF">
        <w:rPr>
          <w:rStyle w:val="FootnoteReference"/>
          <w:rFonts w:ascii="Palatino" w:hAnsi="Palatino"/>
          <w:szCs w:val="26"/>
        </w:rPr>
        <w:footnoteReference w:id="35"/>
      </w:r>
      <w:r w:rsidR="005050CF">
        <w:rPr>
          <w:rFonts w:ascii="Palatino" w:hAnsi="Palatino"/>
          <w:sz w:val="26"/>
          <w:szCs w:val="26"/>
        </w:rPr>
        <w:t xml:space="preserve">  </w:t>
      </w:r>
    </w:p>
    <w:p w14:paraId="61DEF99C" w14:textId="0A9D4FF1" w:rsidR="00CF5603" w:rsidRDefault="00BE197B" w:rsidP="00ED0851">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T</w:t>
      </w:r>
      <w:r w:rsidR="00654ECE">
        <w:rPr>
          <w:rFonts w:ascii="Palatino" w:hAnsi="Palatino"/>
          <w:sz w:val="26"/>
          <w:szCs w:val="26"/>
        </w:rPr>
        <w:t xml:space="preserve">o </w:t>
      </w:r>
      <w:r w:rsidR="00E93054">
        <w:rPr>
          <w:rFonts w:ascii="Palatino" w:hAnsi="Palatino"/>
          <w:sz w:val="26"/>
          <w:szCs w:val="26"/>
        </w:rPr>
        <w:t xml:space="preserve">avoid duplicative funding of </w:t>
      </w:r>
      <w:r w:rsidR="00953F81">
        <w:rPr>
          <w:rFonts w:ascii="Palatino" w:hAnsi="Palatino"/>
          <w:sz w:val="26"/>
          <w:szCs w:val="26"/>
        </w:rPr>
        <w:t>P</w:t>
      </w:r>
      <w:r w:rsidR="00E93054">
        <w:rPr>
          <w:rFonts w:ascii="Palatino" w:hAnsi="Palatino"/>
          <w:sz w:val="26"/>
          <w:szCs w:val="26"/>
        </w:rPr>
        <w:t xml:space="preserve">ilot </w:t>
      </w:r>
      <w:r w:rsidR="00953F81">
        <w:rPr>
          <w:rFonts w:ascii="Palatino" w:hAnsi="Palatino"/>
          <w:sz w:val="26"/>
          <w:szCs w:val="26"/>
        </w:rPr>
        <w:t>P</w:t>
      </w:r>
      <w:r w:rsidR="00E93054">
        <w:rPr>
          <w:rFonts w:ascii="Palatino" w:hAnsi="Palatino"/>
          <w:sz w:val="26"/>
          <w:szCs w:val="26"/>
        </w:rPr>
        <w:t>articipants</w:t>
      </w:r>
      <w:r w:rsidR="00705B51">
        <w:rPr>
          <w:rFonts w:ascii="Palatino" w:hAnsi="Palatino"/>
          <w:sz w:val="26"/>
          <w:szCs w:val="26"/>
        </w:rPr>
        <w:t>, SCE proposes to</w:t>
      </w:r>
      <w:r w:rsidR="00E93054">
        <w:rPr>
          <w:rFonts w:ascii="Palatino" w:hAnsi="Palatino"/>
          <w:sz w:val="26"/>
          <w:szCs w:val="26"/>
        </w:rPr>
        <w:t xml:space="preserve"> </w:t>
      </w:r>
      <w:r w:rsidR="00D418F9">
        <w:rPr>
          <w:rFonts w:ascii="Palatino" w:hAnsi="Palatino"/>
          <w:sz w:val="26"/>
          <w:szCs w:val="26"/>
        </w:rPr>
        <w:t>mak</w:t>
      </w:r>
      <w:r w:rsidR="00705B51">
        <w:rPr>
          <w:rFonts w:ascii="Palatino" w:hAnsi="Palatino"/>
          <w:sz w:val="26"/>
          <w:szCs w:val="26"/>
        </w:rPr>
        <w:t>e</w:t>
      </w:r>
      <w:r w:rsidR="00D418F9">
        <w:rPr>
          <w:rFonts w:ascii="Palatino" w:hAnsi="Palatino"/>
          <w:sz w:val="26"/>
          <w:szCs w:val="26"/>
        </w:rPr>
        <w:t xml:space="preserve"> </w:t>
      </w:r>
      <w:r w:rsidR="00E84E6C">
        <w:rPr>
          <w:rFonts w:ascii="Palatino" w:hAnsi="Palatino"/>
          <w:sz w:val="26"/>
          <w:szCs w:val="26"/>
        </w:rPr>
        <w:t>CEOP participants ineligible for funding from all EE Portfolio Programs other than the education</w:t>
      </w:r>
      <w:r w:rsidR="00ED3E8A">
        <w:rPr>
          <w:rFonts w:ascii="Palatino" w:hAnsi="Palatino"/>
          <w:sz w:val="26"/>
          <w:szCs w:val="26"/>
        </w:rPr>
        <w:noBreakHyphen/>
      </w:r>
      <w:r w:rsidR="00E84E6C">
        <w:rPr>
          <w:rFonts w:ascii="Palatino" w:hAnsi="Palatino"/>
          <w:sz w:val="26"/>
          <w:szCs w:val="26"/>
        </w:rPr>
        <w:t xml:space="preserve">related funding supported by the UC/CSU </w:t>
      </w:r>
      <w:r w:rsidR="00000A76">
        <w:rPr>
          <w:rFonts w:ascii="Palatino" w:hAnsi="Palatino"/>
          <w:sz w:val="26"/>
          <w:szCs w:val="26"/>
        </w:rPr>
        <w:t>P</w:t>
      </w:r>
      <w:r w:rsidR="00E84E6C">
        <w:rPr>
          <w:rFonts w:ascii="Palatino" w:hAnsi="Palatino"/>
          <w:sz w:val="26"/>
          <w:szCs w:val="26"/>
        </w:rPr>
        <w:t xml:space="preserve">artnership </w:t>
      </w:r>
      <w:r w:rsidR="003B02CC">
        <w:rPr>
          <w:rFonts w:ascii="Palatino" w:hAnsi="Palatino"/>
          <w:sz w:val="26"/>
          <w:szCs w:val="26"/>
        </w:rPr>
        <w:t>P</w:t>
      </w:r>
      <w:r w:rsidR="00E84E6C">
        <w:rPr>
          <w:rFonts w:ascii="Palatino" w:hAnsi="Palatino"/>
          <w:sz w:val="26"/>
          <w:szCs w:val="26"/>
        </w:rPr>
        <w:t>rogram</w:t>
      </w:r>
      <w:r w:rsidR="00E2611A">
        <w:rPr>
          <w:rFonts w:ascii="Palatino" w:hAnsi="Palatino"/>
          <w:sz w:val="26"/>
          <w:szCs w:val="26"/>
        </w:rPr>
        <w:t xml:space="preserve"> and </w:t>
      </w:r>
      <w:r w:rsidR="00B23410">
        <w:rPr>
          <w:rFonts w:ascii="Palatino" w:hAnsi="Palatino"/>
          <w:sz w:val="26"/>
          <w:szCs w:val="26"/>
        </w:rPr>
        <w:t>the</w:t>
      </w:r>
      <w:r w:rsidR="00E2611A">
        <w:rPr>
          <w:rFonts w:ascii="Palatino" w:hAnsi="Palatino"/>
          <w:sz w:val="26"/>
          <w:szCs w:val="26"/>
        </w:rPr>
        <w:t xml:space="preserve"> Self</w:t>
      </w:r>
      <w:r w:rsidR="00ED3E8A">
        <w:rPr>
          <w:rFonts w:ascii="Palatino" w:hAnsi="Palatino"/>
          <w:sz w:val="26"/>
          <w:szCs w:val="26"/>
        </w:rPr>
        <w:noBreakHyphen/>
      </w:r>
      <w:r w:rsidR="00204503">
        <w:rPr>
          <w:rFonts w:ascii="Palatino" w:hAnsi="Palatino"/>
          <w:sz w:val="26"/>
          <w:szCs w:val="26"/>
        </w:rPr>
        <w:t>G</w:t>
      </w:r>
      <w:r w:rsidR="00E2611A">
        <w:rPr>
          <w:rFonts w:ascii="Palatino" w:hAnsi="Palatino"/>
          <w:sz w:val="26"/>
          <w:szCs w:val="26"/>
        </w:rPr>
        <w:t>eneration Incentive Program</w:t>
      </w:r>
      <w:r w:rsidR="00E84E6C">
        <w:rPr>
          <w:rFonts w:ascii="Palatino" w:hAnsi="Palatino"/>
          <w:sz w:val="26"/>
          <w:szCs w:val="26"/>
        </w:rPr>
        <w:t>.</w:t>
      </w:r>
      <w:r w:rsidR="00CB2EE6">
        <w:rPr>
          <w:rStyle w:val="FootnoteReference"/>
          <w:rFonts w:ascii="Palatino" w:hAnsi="Palatino"/>
          <w:szCs w:val="26"/>
        </w:rPr>
        <w:footnoteReference w:id="36"/>
      </w:r>
      <w:r w:rsidR="00ED0851">
        <w:rPr>
          <w:rFonts w:ascii="Palatino" w:hAnsi="Palatino"/>
          <w:sz w:val="26"/>
          <w:szCs w:val="26"/>
        </w:rPr>
        <w:t xml:space="preserve">  Also, SCE propose</w:t>
      </w:r>
      <w:r w:rsidR="00F20067">
        <w:rPr>
          <w:rFonts w:ascii="Palatino" w:hAnsi="Palatino"/>
          <w:sz w:val="26"/>
          <w:szCs w:val="26"/>
        </w:rPr>
        <w:t>s to</w:t>
      </w:r>
      <w:r w:rsidR="00CE06B8">
        <w:rPr>
          <w:rFonts w:ascii="Palatino" w:hAnsi="Palatino"/>
          <w:sz w:val="26"/>
          <w:szCs w:val="26"/>
        </w:rPr>
        <w:t xml:space="preserve"> isolate GHG reductions from the CEOP by</w:t>
      </w:r>
      <w:r w:rsidR="00F20067">
        <w:rPr>
          <w:rFonts w:ascii="Palatino" w:hAnsi="Palatino"/>
          <w:sz w:val="26"/>
          <w:szCs w:val="26"/>
        </w:rPr>
        <w:t xml:space="preserve"> adjust</w:t>
      </w:r>
      <w:r w:rsidR="00CE06B8">
        <w:rPr>
          <w:rFonts w:ascii="Palatino" w:hAnsi="Palatino"/>
          <w:sz w:val="26"/>
          <w:szCs w:val="26"/>
        </w:rPr>
        <w:t>ing</w:t>
      </w:r>
      <w:r w:rsidR="00F20067">
        <w:rPr>
          <w:rFonts w:ascii="Palatino" w:hAnsi="Palatino"/>
          <w:sz w:val="26"/>
          <w:szCs w:val="26"/>
        </w:rPr>
        <w:t xml:space="preserve"> the CEOP baseline</w:t>
      </w:r>
      <w:r w:rsidR="00ED0851">
        <w:rPr>
          <w:rFonts w:ascii="Palatino" w:hAnsi="Palatino"/>
          <w:sz w:val="26"/>
          <w:szCs w:val="26"/>
        </w:rPr>
        <w:t xml:space="preserve"> to remove </w:t>
      </w:r>
      <w:r w:rsidR="00F20067">
        <w:rPr>
          <w:rFonts w:ascii="Palatino" w:hAnsi="Palatino"/>
          <w:sz w:val="26"/>
          <w:szCs w:val="26"/>
        </w:rPr>
        <w:t xml:space="preserve">GHG reductions as a result of all </w:t>
      </w:r>
      <w:r w:rsidR="00E93054">
        <w:rPr>
          <w:rFonts w:ascii="Palatino" w:hAnsi="Palatino"/>
          <w:sz w:val="26"/>
          <w:szCs w:val="26"/>
        </w:rPr>
        <w:t>existing incentive applications, UC/CSU Partnership programs, H</w:t>
      </w:r>
      <w:r w:rsidR="00781E73">
        <w:rPr>
          <w:rFonts w:ascii="Palatino" w:hAnsi="Palatino"/>
          <w:sz w:val="26"/>
          <w:szCs w:val="26"/>
        </w:rPr>
        <w:t>igh Opportunity Programs and Projects</w:t>
      </w:r>
      <w:r w:rsidR="00E93054">
        <w:rPr>
          <w:rFonts w:ascii="Palatino" w:hAnsi="Palatino"/>
          <w:sz w:val="26"/>
          <w:szCs w:val="26"/>
        </w:rPr>
        <w:t>, Automated Demand Response, Local Capacity Requirement Contracts and Non</w:t>
      </w:r>
      <w:r w:rsidR="00ED3E8A">
        <w:rPr>
          <w:rFonts w:ascii="Palatino" w:hAnsi="Palatino"/>
          <w:sz w:val="26"/>
          <w:szCs w:val="26"/>
        </w:rPr>
        <w:noBreakHyphen/>
      </w:r>
      <w:r w:rsidR="00E93054">
        <w:rPr>
          <w:rFonts w:ascii="Palatino" w:hAnsi="Palatino"/>
          <w:sz w:val="26"/>
          <w:szCs w:val="26"/>
        </w:rPr>
        <w:t>SCE Utility Rebates.</w:t>
      </w:r>
      <w:r w:rsidR="00213051">
        <w:rPr>
          <w:rStyle w:val="FootnoteReference"/>
          <w:rFonts w:ascii="Palatino" w:hAnsi="Palatino"/>
          <w:szCs w:val="26"/>
        </w:rPr>
        <w:footnoteReference w:id="37"/>
      </w:r>
    </w:p>
    <w:p w14:paraId="096444BD" w14:textId="3F5A8B2D" w:rsidR="00232B0B" w:rsidRDefault="00232B0B" w:rsidP="00FD0668">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In addition to the quantitative analysis involved in accurately measuring GHG reductions, the CEOP will</w:t>
      </w:r>
      <w:r w:rsidR="001A1AD4">
        <w:rPr>
          <w:rFonts w:ascii="Palatino" w:hAnsi="Palatino"/>
          <w:sz w:val="26"/>
          <w:szCs w:val="26"/>
        </w:rPr>
        <w:t xml:space="preserve"> </w:t>
      </w:r>
      <w:r>
        <w:rPr>
          <w:rFonts w:ascii="Palatino" w:hAnsi="Palatino"/>
          <w:sz w:val="26"/>
          <w:szCs w:val="26"/>
        </w:rPr>
        <w:t>qualitatively evaluat</w:t>
      </w:r>
      <w:r w:rsidR="0004241A">
        <w:rPr>
          <w:rFonts w:ascii="Palatino" w:hAnsi="Palatino"/>
          <w:sz w:val="26"/>
          <w:szCs w:val="26"/>
        </w:rPr>
        <w:t>e</w:t>
      </w:r>
      <w:r w:rsidR="005F034B">
        <w:rPr>
          <w:rFonts w:ascii="Palatino" w:hAnsi="Palatino"/>
          <w:sz w:val="26"/>
          <w:szCs w:val="26"/>
        </w:rPr>
        <w:t xml:space="preserve"> the</w:t>
      </w:r>
      <w:r w:rsidR="0004241A">
        <w:rPr>
          <w:rFonts w:ascii="Palatino" w:hAnsi="Palatino"/>
          <w:sz w:val="26"/>
          <w:szCs w:val="26"/>
        </w:rPr>
        <w:t xml:space="preserve"> </w:t>
      </w:r>
      <w:r w:rsidR="00953F81">
        <w:rPr>
          <w:rFonts w:ascii="Palatino" w:hAnsi="Palatino"/>
          <w:sz w:val="26"/>
          <w:szCs w:val="26"/>
        </w:rPr>
        <w:t>P</w:t>
      </w:r>
      <w:r w:rsidR="0004241A">
        <w:rPr>
          <w:rFonts w:ascii="Palatino" w:hAnsi="Palatino"/>
          <w:sz w:val="26"/>
          <w:szCs w:val="26"/>
        </w:rPr>
        <w:t xml:space="preserve">ilot </w:t>
      </w:r>
      <w:r w:rsidR="00953F81">
        <w:rPr>
          <w:rFonts w:ascii="Palatino" w:hAnsi="Palatino"/>
          <w:sz w:val="26"/>
          <w:szCs w:val="26"/>
        </w:rPr>
        <w:t>P</w:t>
      </w:r>
      <w:r w:rsidR="0004241A">
        <w:rPr>
          <w:rFonts w:ascii="Palatino" w:hAnsi="Palatino"/>
          <w:sz w:val="26"/>
          <w:szCs w:val="26"/>
        </w:rPr>
        <w:t>articipants</w:t>
      </w:r>
      <w:r w:rsidR="006833F1">
        <w:rPr>
          <w:rFonts w:ascii="Palatino" w:hAnsi="Palatino"/>
          <w:sz w:val="26"/>
          <w:szCs w:val="26"/>
        </w:rPr>
        <w:t>’</w:t>
      </w:r>
      <w:r w:rsidR="0004241A">
        <w:rPr>
          <w:rFonts w:ascii="Palatino" w:hAnsi="Palatino"/>
          <w:sz w:val="26"/>
          <w:szCs w:val="26"/>
        </w:rPr>
        <w:t xml:space="preserve"> experience by, for example,</w:t>
      </w:r>
      <w:r>
        <w:rPr>
          <w:rFonts w:ascii="Palatino" w:hAnsi="Palatino"/>
          <w:sz w:val="26"/>
          <w:szCs w:val="26"/>
        </w:rPr>
        <w:t xml:space="preserve"> </w:t>
      </w:r>
      <w:r w:rsidR="0004241A">
        <w:rPr>
          <w:rFonts w:ascii="Palatino" w:hAnsi="Palatino"/>
          <w:sz w:val="26"/>
          <w:szCs w:val="26"/>
        </w:rPr>
        <w:t>conducting interviews with the</w:t>
      </w:r>
      <w:r w:rsidR="00DF56A5">
        <w:rPr>
          <w:rFonts w:ascii="Palatino" w:hAnsi="Palatino"/>
          <w:sz w:val="26"/>
          <w:szCs w:val="26"/>
        </w:rPr>
        <w:t>m</w:t>
      </w:r>
      <w:r w:rsidR="0004241A">
        <w:rPr>
          <w:rFonts w:ascii="Palatino" w:hAnsi="Palatino"/>
          <w:sz w:val="26"/>
          <w:szCs w:val="26"/>
        </w:rPr>
        <w:t xml:space="preserve"> to </w:t>
      </w:r>
      <w:r>
        <w:rPr>
          <w:rFonts w:ascii="Palatino" w:hAnsi="Palatino"/>
          <w:sz w:val="26"/>
          <w:szCs w:val="26"/>
        </w:rPr>
        <w:t xml:space="preserve">understand </w:t>
      </w:r>
      <w:r w:rsidR="002D7FCA">
        <w:rPr>
          <w:rFonts w:ascii="Palatino" w:hAnsi="Palatino"/>
          <w:sz w:val="26"/>
          <w:szCs w:val="26"/>
        </w:rPr>
        <w:t>changes to the</w:t>
      </w:r>
      <w:r w:rsidR="007A6636">
        <w:rPr>
          <w:rFonts w:ascii="Palatino" w:hAnsi="Palatino"/>
          <w:sz w:val="26"/>
          <w:szCs w:val="26"/>
        </w:rPr>
        <w:t xml:space="preserve">ir </w:t>
      </w:r>
      <w:r w:rsidR="002D7FCA">
        <w:rPr>
          <w:rFonts w:ascii="Palatino" w:hAnsi="Palatino"/>
          <w:sz w:val="26"/>
          <w:szCs w:val="26"/>
        </w:rPr>
        <w:t xml:space="preserve">emissions reduction plans </w:t>
      </w:r>
      <w:r w:rsidR="00051604">
        <w:rPr>
          <w:rFonts w:ascii="Palatino" w:hAnsi="Palatino"/>
          <w:sz w:val="26"/>
          <w:szCs w:val="26"/>
        </w:rPr>
        <w:t xml:space="preserve">as a </w:t>
      </w:r>
      <w:r w:rsidR="002D7FCA">
        <w:rPr>
          <w:rFonts w:ascii="Palatino" w:hAnsi="Palatino"/>
          <w:sz w:val="26"/>
          <w:szCs w:val="26"/>
        </w:rPr>
        <w:t>result</w:t>
      </w:r>
      <w:r w:rsidR="0005354A">
        <w:rPr>
          <w:rFonts w:ascii="Palatino" w:hAnsi="Palatino"/>
          <w:sz w:val="26"/>
          <w:szCs w:val="26"/>
        </w:rPr>
        <w:t>ing</w:t>
      </w:r>
      <w:r w:rsidR="002D7FCA">
        <w:rPr>
          <w:rFonts w:ascii="Palatino" w:hAnsi="Palatino"/>
          <w:sz w:val="26"/>
          <w:szCs w:val="26"/>
        </w:rPr>
        <w:t xml:space="preserve"> </w:t>
      </w:r>
      <w:r w:rsidR="00051604">
        <w:rPr>
          <w:rFonts w:ascii="Palatino" w:hAnsi="Palatino"/>
          <w:sz w:val="26"/>
          <w:szCs w:val="26"/>
        </w:rPr>
        <w:t>of</w:t>
      </w:r>
      <w:r w:rsidR="002D7FCA">
        <w:rPr>
          <w:rFonts w:ascii="Palatino" w:hAnsi="Palatino"/>
          <w:sz w:val="26"/>
          <w:szCs w:val="26"/>
        </w:rPr>
        <w:t xml:space="preserve"> the pilot</w:t>
      </w:r>
      <w:r w:rsidR="0004241A">
        <w:rPr>
          <w:rFonts w:ascii="Palatino" w:hAnsi="Palatino"/>
          <w:sz w:val="26"/>
          <w:szCs w:val="26"/>
        </w:rPr>
        <w:t>.</w:t>
      </w:r>
      <w:r w:rsidR="004E5FC6">
        <w:rPr>
          <w:rStyle w:val="FootnoteReference"/>
          <w:rFonts w:ascii="Palatino" w:hAnsi="Palatino"/>
          <w:szCs w:val="26"/>
        </w:rPr>
        <w:footnoteReference w:id="38"/>
      </w:r>
    </w:p>
    <w:p w14:paraId="721EF673" w14:textId="2D877B93" w:rsidR="00633295" w:rsidRDefault="00E412F3" w:rsidP="00B057EF">
      <w:pPr>
        <w:pStyle w:val="NormalWeb"/>
        <w:spacing w:before="0" w:beforeAutospacing="0" w:after="0" w:afterAutospacing="0" w:line="360" w:lineRule="auto"/>
        <w:ind w:firstLine="720"/>
        <w:rPr>
          <w:rFonts w:ascii="Palatino" w:hAnsi="Palatino"/>
          <w:sz w:val="26"/>
          <w:szCs w:val="26"/>
        </w:rPr>
      </w:pPr>
      <w:r>
        <w:rPr>
          <w:rFonts w:ascii="Palatino" w:hAnsi="Palatino"/>
          <w:sz w:val="26"/>
          <w:szCs w:val="26"/>
        </w:rPr>
        <w:t xml:space="preserve">SCE </w:t>
      </w:r>
      <w:r w:rsidR="00963BC9">
        <w:rPr>
          <w:rFonts w:ascii="Palatino" w:hAnsi="Palatino"/>
          <w:sz w:val="26"/>
          <w:szCs w:val="26"/>
        </w:rPr>
        <w:t>proposes to</w:t>
      </w:r>
      <w:r>
        <w:rPr>
          <w:rFonts w:ascii="Palatino" w:hAnsi="Palatino"/>
          <w:sz w:val="26"/>
          <w:szCs w:val="26"/>
        </w:rPr>
        <w:t xml:space="preserve"> act as the administrator of the pilot and engage a third</w:t>
      </w:r>
      <w:r w:rsidR="00ED3E8A">
        <w:rPr>
          <w:rFonts w:ascii="Palatino" w:hAnsi="Palatino"/>
          <w:sz w:val="26"/>
          <w:szCs w:val="26"/>
        </w:rPr>
        <w:noBreakHyphen/>
      </w:r>
      <w:r>
        <w:rPr>
          <w:rFonts w:ascii="Palatino" w:hAnsi="Palatino"/>
          <w:sz w:val="26"/>
          <w:szCs w:val="26"/>
        </w:rPr>
        <w:t xml:space="preserve">party </w:t>
      </w:r>
      <w:r w:rsidR="001C6156">
        <w:rPr>
          <w:rFonts w:ascii="Palatino" w:hAnsi="Palatino"/>
          <w:sz w:val="26"/>
          <w:szCs w:val="26"/>
        </w:rPr>
        <w:t xml:space="preserve">Evaluation Consultant </w:t>
      </w:r>
      <w:r>
        <w:rPr>
          <w:rFonts w:ascii="Palatino" w:hAnsi="Palatino"/>
          <w:sz w:val="26"/>
          <w:szCs w:val="26"/>
        </w:rPr>
        <w:t>to independently verify</w:t>
      </w:r>
      <w:r w:rsidR="001C6156">
        <w:rPr>
          <w:rFonts w:ascii="Palatino" w:hAnsi="Palatino"/>
          <w:sz w:val="26"/>
          <w:szCs w:val="26"/>
        </w:rPr>
        <w:t xml:space="preserve"> performance payment calculations.</w:t>
      </w:r>
      <w:r w:rsidR="00064F02">
        <w:rPr>
          <w:rStyle w:val="FootnoteReference"/>
          <w:rFonts w:ascii="Palatino" w:hAnsi="Palatino"/>
          <w:szCs w:val="26"/>
        </w:rPr>
        <w:footnoteReference w:id="39"/>
      </w:r>
      <w:r w:rsidR="001C6156">
        <w:rPr>
          <w:rFonts w:ascii="Palatino" w:hAnsi="Palatino"/>
          <w:sz w:val="26"/>
          <w:szCs w:val="26"/>
        </w:rPr>
        <w:t xml:space="preserve"> </w:t>
      </w:r>
      <w:r>
        <w:rPr>
          <w:rFonts w:ascii="Palatino" w:hAnsi="Palatino"/>
          <w:sz w:val="26"/>
          <w:szCs w:val="26"/>
        </w:rPr>
        <w:t xml:space="preserve"> </w:t>
      </w:r>
      <w:r w:rsidR="00963BC9">
        <w:rPr>
          <w:rFonts w:ascii="Palatino" w:hAnsi="Palatino"/>
          <w:sz w:val="26"/>
          <w:szCs w:val="26"/>
        </w:rPr>
        <w:t xml:space="preserve">The Evaluation Consultant </w:t>
      </w:r>
      <w:r w:rsidR="0068746D">
        <w:rPr>
          <w:rFonts w:ascii="Palatino" w:hAnsi="Palatino"/>
          <w:sz w:val="26"/>
          <w:szCs w:val="26"/>
        </w:rPr>
        <w:t>is expected to</w:t>
      </w:r>
      <w:r w:rsidR="00DB4D02">
        <w:rPr>
          <w:rFonts w:ascii="Palatino" w:hAnsi="Palatino"/>
          <w:sz w:val="26"/>
          <w:szCs w:val="26"/>
        </w:rPr>
        <w:t xml:space="preserve"> participate</w:t>
      </w:r>
      <w:r w:rsidR="0076056E">
        <w:rPr>
          <w:rFonts w:ascii="Palatino" w:hAnsi="Palatino"/>
          <w:sz w:val="26"/>
          <w:szCs w:val="26"/>
        </w:rPr>
        <w:t xml:space="preserve"> </w:t>
      </w:r>
      <w:r w:rsidR="00DB4D02">
        <w:rPr>
          <w:rFonts w:ascii="Palatino" w:hAnsi="Palatino"/>
          <w:sz w:val="26"/>
          <w:szCs w:val="26"/>
        </w:rPr>
        <w:t>in stakeholder engagement meeting</w:t>
      </w:r>
      <w:r w:rsidR="0076056E">
        <w:rPr>
          <w:rFonts w:ascii="Palatino" w:hAnsi="Palatino"/>
          <w:sz w:val="26"/>
          <w:szCs w:val="26"/>
        </w:rPr>
        <w:t>s</w:t>
      </w:r>
      <w:r w:rsidR="00DB4D02">
        <w:rPr>
          <w:rFonts w:ascii="Palatino" w:hAnsi="Palatino"/>
          <w:sz w:val="26"/>
          <w:szCs w:val="26"/>
        </w:rPr>
        <w:t xml:space="preserve"> and </w:t>
      </w:r>
      <w:r w:rsidR="0068746D">
        <w:rPr>
          <w:rFonts w:ascii="Palatino" w:hAnsi="Palatino"/>
          <w:sz w:val="26"/>
          <w:szCs w:val="26"/>
        </w:rPr>
        <w:t xml:space="preserve">prepare </w:t>
      </w:r>
      <w:r w:rsidR="005C1FB5">
        <w:rPr>
          <w:rFonts w:ascii="Palatino" w:hAnsi="Palatino"/>
          <w:sz w:val="26"/>
          <w:szCs w:val="26"/>
        </w:rPr>
        <w:t>annual, mid</w:t>
      </w:r>
      <w:r w:rsidR="00ED3E8A">
        <w:rPr>
          <w:rFonts w:ascii="Palatino" w:hAnsi="Palatino"/>
          <w:sz w:val="26"/>
          <w:szCs w:val="26"/>
        </w:rPr>
        <w:noBreakHyphen/>
      </w:r>
      <w:r w:rsidR="005C1FB5">
        <w:rPr>
          <w:rFonts w:ascii="Palatino" w:hAnsi="Palatino"/>
          <w:sz w:val="26"/>
          <w:szCs w:val="26"/>
        </w:rPr>
        <w:t>term and final reports summarizing the results of the pilot.</w:t>
      </w:r>
      <w:r w:rsidR="005240D8">
        <w:rPr>
          <w:rStyle w:val="FootnoteReference"/>
          <w:rFonts w:ascii="Palatino" w:hAnsi="Palatino"/>
          <w:szCs w:val="26"/>
        </w:rPr>
        <w:footnoteReference w:id="40"/>
      </w:r>
      <w:r w:rsidR="00BF515B">
        <w:rPr>
          <w:rFonts w:ascii="Palatino" w:hAnsi="Palatino"/>
          <w:sz w:val="26"/>
          <w:szCs w:val="26"/>
        </w:rPr>
        <w:t xml:space="preserve">  Quarterly stakeholder meeting</w:t>
      </w:r>
      <w:r w:rsidR="00DA34FF">
        <w:rPr>
          <w:rFonts w:ascii="Palatino" w:hAnsi="Palatino"/>
          <w:sz w:val="26"/>
          <w:szCs w:val="26"/>
        </w:rPr>
        <w:t>s</w:t>
      </w:r>
      <w:r w:rsidR="00BF515B">
        <w:rPr>
          <w:rFonts w:ascii="Palatino" w:hAnsi="Palatino"/>
          <w:sz w:val="26"/>
          <w:szCs w:val="26"/>
        </w:rPr>
        <w:t xml:space="preserve"> are also proposed.</w:t>
      </w:r>
    </w:p>
    <w:p w14:paraId="0488F6B9" w14:textId="29E116DB" w:rsidR="0029262C" w:rsidRPr="009F3932" w:rsidRDefault="001A0C20" w:rsidP="009165FC">
      <w:pPr>
        <w:pStyle w:val="NormalWeb"/>
        <w:spacing w:before="0" w:beforeAutospacing="0" w:after="0" w:afterAutospacing="0" w:line="360" w:lineRule="auto"/>
        <w:ind w:firstLine="720"/>
      </w:pPr>
      <w:r w:rsidRPr="009165FC">
        <w:rPr>
          <w:rFonts w:ascii="Palatino" w:hAnsi="Palatino"/>
          <w:sz w:val="26"/>
          <w:szCs w:val="26"/>
        </w:rPr>
        <w:t xml:space="preserve">SCE proposes to track recorded expenses in a balancing account, which would be subject to reasonableness review in </w:t>
      </w:r>
      <w:r w:rsidR="00CD6002" w:rsidRPr="009165FC">
        <w:rPr>
          <w:rFonts w:ascii="Palatino" w:hAnsi="Palatino"/>
          <w:sz w:val="26"/>
          <w:szCs w:val="26"/>
        </w:rPr>
        <w:t>SCE’s</w:t>
      </w:r>
      <w:r w:rsidRPr="009165FC">
        <w:rPr>
          <w:rFonts w:ascii="Palatino" w:hAnsi="Palatino"/>
          <w:sz w:val="26"/>
          <w:szCs w:val="26"/>
        </w:rPr>
        <w:t xml:space="preserve"> annual Energy Resource Recovery Account (ERRA) compliance filing</w:t>
      </w:r>
      <w:r w:rsidR="00983E18" w:rsidRPr="009165FC">
        <w:rPr>
          <w:rFonts w:ascii="Palatino" w:hAnsi="Palatino"/>
          <w:sz w:val="26"/>
          <w:szCs w:val="26"/>
        </w:rPr>
        <w:t>s</w:t>
      </w:r>
      <w:r>
        <w:rPr>
          <w:rFonts w:ascii="Palatino" w:hAnsi="Palatino"/>
          <w:sz w:val="26"/>
          <w:szCs w:val="26"/>
        </w:rPr>
        <w:t>.</w:t>
      </w:r>
    </w:p>
    <w:p w14:paraId="3943C57F" w14:textId="3B3690E6" w:rsidR="00617664" w:rsidRDefault="00564C38" w:rsidP="00564C38">
      <w:pPr>
        <w:pStyle w:val="Heading1"/>
      </w:pPr>
      <w:bookmarkStart w:id="9" w:name="_Toc6843658"/>
      <w:r>
        <w:t>Procedural History</w:t>
      </w:r>
      <w:bookmarkEnd w:id="9"/>
    </w:p>
    <w:p w14:paraId="77FC712D" w14:textId="65116BD4" w:rsidR="00564C38" w:rsidRDefault="00564C38" w:rsidP="00EB5D3A">
      <w:pPr>
        <w:pStyle w:val="standard"/>
      </w:pPr>
      <w:r>
        <w:t>On May 15, 2018, SCE filed Application (A.) 18</w:t>
      </w:r>
      <w:r w:rsidR="00ED3E8A">
        <w:noBreakHyphen/>
      </w:r>
      <w:r>
        <w:t>05</w:t>
      </w:r>
      <w:r w:rsidR="00ED3E8A">
        <w:noBreakHyphen/>
      </w:r>
      <w:r>
        <w:t>015 requesting authority to use $21.4 million from its Cap</w:t>
      </w:r>
      <w:r w:rsidR="00ED3E8A">
        <w:noBreakHyphen/>
      </w:r>
      <w:r>
        <w:t>and</w:t>
      </w:r>
      <w:r w:rsidR="00ED3E8A">
        <w:noBreakHyphen/>
      </w:r>
      <w:r>
        <w:t>Trade allowance revenues to conduct its CEOP and establish a CEOP balancing account to track project costs</w:t>
      </w:r>
      <w:r w:rsidR="00CD4E30">
        <w:t xml:space="preserve"> </w:t>
      </w:r>
      <w:r>
        <w:t>(Application).  SCE’s Application was filed with support from UC and CSU</w:t>
      </w:r>
      <w:r w:rsidR="00EB5D3A">
        <w:t>.</w:t>
      </w:r>
    </w:p>
    <w:p w14:paraId="2A8EB599" w14:textId="77777777" w:rsidR="00564C38" w:rsidRDefault="00564C38" w:rsidP="00564C38">
      <w:pPr>
        <w:pStyle w:val="standard"/>
      </w:pPr>
      <w:r>
        <w:t>The Rural Hard to Reach Local Government Partnerships Working Group filed a response on June 14, 2018, which expressed support for the California Public Utilities Commission’s (Commission) adoption of the CEOP.  The Public Advocates Office of the Public Utilities Commission</w:t>
      </w:r>
      <w:r>
        <w:rPr>
          <w:rStyle w:val="FootnoteReference"/>
        </w:rPr>
        <w:footnoteReference w:id="41"/>
      </w:r>
      <w:r>
        <w:t xml:space="preserve"> (Public Advocates Office) filed a protest on June 18, 2018.  SCE filed a reply to Public Advocates Office’s protest on June 28, 2018.</w:t>
      </w:r>
    </w:p>
    <w:p w14:paraId="3FD977F0" w14:textId="77777777" w:rsidR="00564C38" w:rsidRDefault="00564C38" w:rsidP="00564C38">
      <w:pPr>
        <w:pStyle w:val="standard"/>
      </w:pPr>
      <w:r>
        <w:t xml:space="preserve">The assigned Administrative Law Judge (ALJ) (ALJ Kline) held a prehearing conference (PHC) on </w:t>
      </w:r>
      <w:r w:rsidRPr="0075178C">
        <w:t>July 6, 2018 to</w:t>
      </w:r>
      <w:r>
        <w:t xml:space="preserve"> discuss the issues of law and fact, and determine the need for hearing and schedule for resolving the matter.  At the PHC, ALJ Kline also granted party status to UC and CSU.  Subsequently, the Natural Resources Defense Council (NRDC) was</w:t>
      </w:r>
      <w:r w:rsidR="00761C0B">
        <w:t xml:space="preserve"> granted party status on August </w:t>
      </w:r>
      <w:r>
        <w:t xml:space="preserve">2, 2018. </w:t>
      </w:r>
    </w:p>
    <w:p w14:paraId="14DB055C" w14:textId="28DE8BA9" w:rsidR="00564C38" w:rsidRPr="00564C38" w:rsidRDefault="00564C38" w:rsidP="00564C38">
      <w:pPr>
        <w:pStyle w:val="standard"/>
      </w:pPr>
      <w:r>
        <w:t>The Commission’s Energy Division held a workshop on the CEOP on August 16, 2018.  Parties filed post</w:t>
      </w:r>
      <w:r w:rsidR="00ED3E8A">
        <w:noBreakHyphen/>
      </w:r>
      <w:r>
        <w:t>workshop comments and reply comments on the CEOP on August 30, 2018 and September 10, 2018, respectively.  SCE, Public Advocates Office, NRDC, UC and CSU (the Settling Parties) filed a motion for approval of a Settlement Agreement</w:t>
      </w:r>
      <w:r w:rsidRPr="00A751C2">
        <w:t xml:space="preserve"> </w:t>
      </w:r>
      <w:r>
        <w:t>on December 4, 2018.</w:t>
      </w:r>
      <w:r>
        <w:rPr>
          <w:rStyle w:val="FootnoteReference"/>
        </w:rPr>
        <w:footnoteReference w:id="42"/>
      </w:r>
    </w:p>
    <w:p w14:paraId="316965BA" w14:textId="77777777" w:rsidR="00617664" w:rsidRDefault="00564C38" w:rsidP="00564C38">
      <w:pPr>
        <w:pStyle w:val="Heading1"/>
      </w:pPr>
      <w:bookmarkStart w:id="10" w:name="_Toc6843659"/>
      <w:r>
        <w:t>Issues Before the Commission</w:t>
      </w:r>
      <w:bookmarkEnd w:id="10"/>
    </w:p>
    <w:p w14:paraId="3370591A" w14:textId="77777777" w:rsidR="00564C38" w:rsidRDefault="00564C38" w:rsidP="00564C38">
      <w:pPr>
        <w:pStyle w:val="standard"/>
      </w:pPr>
      <w:r>
        <w:t>The issues to be determined are the following:</w:t>
      </w:r>
    </w:p>
    <w:p w14:paraId="78170DB0" w14:textId="1CA6F1BC" w:rsidR="00564C38" w:rsidRPr="00BA0856" w:rsidRDefault="00564C38" w:rsidP="002B4A62">
      <w:pPr>
        <w:numPr>
          <w:ilvl w:val="0"/>
          <w:numId w:val="38"/>
        </w:numPr>
        <w:spacing w:after="160"/>
        <w:ind w:left="1080" w:right="1440" w:hanging="374"/>
      </w:pPr>
      <w:r w:rsidRPr="00D43228">
        <w:rPr>
          <w:rFonts w:eastAsia="Book Antiqua" w:cs="Book Antiqua"/>
          <w:szCs w:val="26"/>
        </w:rPr>
        <w:t xml:space="preserve">Is </w:t>
      </w:r>
      <w:r w:rsidRPr="00D43228">
        <w:rPr>
          <w:szCs w:val="26"/>
        </w:rPr>
        <w:t>the</w:t>
      </w:r>
      <w:r w:rsidRPr="00BA0856">
        <w:t xml:space="preserve"> proposed pilot in compliance with </w:t>
      </w:r>
      <w:r>
        <w:t>applicable</w:t>
      </w:r>
      <w:r w:rsidRPr="00BA0856">
        <w:t xml:space="preserve"> statutes related to the use of Cap</w:t>
      </w:r>
      <w:r w:rsidR="00ED3E8A">
        <w:noBreakHyphen/>
      </w:r>
      <w:r w:rsidRPr="00BA0856">
        <w:t>and</w:t>
      </w:r>
      <w:r w:rsidR="00ED3E8A">
        <w:noBreakHyphen/>
      </w:r>
      <w:r w:rsidRPr="00BA0856">
        <w:t xml:space="preserve">Trade allowance revenues for clean energy </w:t>
      </w:r>
      <w:r>
        <w:t xml:space="preserve">and energy efficiency </w:t>
      </w:r>
      <w:r w:rsidRPr="00BA0856">
        <w:t xml:space="preserve">projects, including </w:t>
      </w:r>
      <w:r>
        <w:t>Public Utilities (</w:t>
      </w:r>
      <w:r w:rsidRPr="00BA0856">
        <w:t>Pub. Util</w:t>
      </w:r>
      <w:r>
        <w:t>.)</w:t>
      </w:r>
      <w:r w:rsidRPr="00BA0856">
        <w:t xml:space="preserve"> Code </w:t>
      </w:r>
      <w:r>
        <w:rPr>
          <w:rFonts w:ascii="Book Antiqua" w:hAnsi="Book Antiqua"/>
        </w:rPr>
        <w:t>§</w:t>
      </w:r>
      <w:r>
        <w:t xml:space="preserve"> </w:t>
      </w:r>
      <w:r w:rsidRPr="00BA0856">
        <w:t>748.5(c)</w:t>
      </w:r>
      <w:r>
        <w:t>?</w:t>
      </w:r>
    </w:p>
    <w:p w14:paraId="27751193" w14:textId="08BFC0ED" w:rsidR="00564C38" w:rsidRDefault="00564C38" w:rsidP="002B4A62">
      <w:pPr>
        <w:numPr>
          <w:ilvl w:val="0"/>
          <w:numId w:val="38"/>
        </w:numPr>
        <w:spacing w:after="160"/>
        <w:ind w:left="1080" w:right="1440" w:hanging="374"/>
        <w:rPr>
          <w:rFonts w:eastAsia="Book Antiqua" w:cs="Book Antiqua"/>
          <w:szCs w:val="26"/>
        </w:rPr>
      </w:pPr>
      <w:r>
        <w:t xml:space="preserve">Does the proposed pilot meet </w:t>
      </w:r>
      <w:r w:rsidR="00AB62AC">
        <w:t>Decision (D</w:t>
      </w:r>
      <w:r w:rsidRPr="00BA0856">
        <w:t>.</w:t>
      </w:r>
      <w:r w:rsidR="00AB62AC">
        <w:t xml:space="preserve">) </w:t>
      </w:r>
      <w:r w:rsidRPr="00BA0856">
        <w:t>14</w:t>
      </w:r>
      <w:r w:rsidR="00ED3E8A">
        <w:noBreakHyphen/>
      </w:r>
      <w:r w:rsidRPr="00BA0856">
        <w:t>10</w:t>
      </w:r>
      <w:r w:rsidR="00ED3E8A">
        <w:noBreakHyphen/>
      </w:r>
      <w:r w:rsidRPr="00BA0856">
        <w:t>033</w:t>
      </w:r>
      <w:r>
        <w:t xml:space="preserve">’s requirement of </w:t>
      </w:r>
      <w:r w:rsidR="00335E12">
        <w:t>c</w:t>
      </w:r>
      <w:r>
        <w:t xml:space="preserve">lean </w:t>
      </w:r>
      <w:r w:rsidR="007B2A50">
        <w:t>e</w:t>
      </w:r>
      <w:r>
        <w:t>nergy and energy efficiency projects to:</w:t>
      </w:r>
    </w:p>
    <w:p w14:paraId="512FF8F6" w14:textId="77777777" w:rsidR="00564C38" w:rsidRDefault="00564C38" w:rsidP="002B4A62">
      <w:pPr>
        <w:numPr>
          <w:ilvl w:val="1"/>
          <w:numId w:val="38"/>
        </w:numPr>
        <w:spacing w:after="160"/>
        <w:ind w:left="1440" w:right="1440"/>
        <w:rPr>
          <w:rFonts w:eastAsia="Book Antiqua" w:cs="Book Antiqua"/>
          <w:szCs w:val="26"/>
        </w:rPr>
      </w:pPr>
      <w:r>
        <w:rPr>
          <w:rFonts w:eastAsia="Book Antiqua" w:cs="Book Antiqua"/>
          <w:szCs w:val="26"/>
        </w:rPr>
        <w:t>Demonstrate that existing funds are available to fund the proposed pilot;</w:t>
      </w:r>
    </w:p>
    <w:p w14:paraId="386ED6ED" w14:textId="77777777" w:rsidR="00564C38" w:rsidRPr="002D5984" w:rsidRDefault="00564C38" w:rsidP="002B4A62">
      <w:pPr>
        <w:numPr>
          <w:ilvl w:val="1"/>
          <w:numId w:val="38"/>
        </w:numPr>
        <w:spacing w:after="160"/>
        <w:ind w:left="1440" w:right="1440"/>
        <w:rPr>
          <w:rFonts w:eastAsia="Book Antiqua" w:cs="Book Antiqua"/>
          <w:szCs w:val="26"/>
        </w:rPr>
      </w:pPr>
      <w:r>
        <w:rPr>
          <w:rFonts w:eastAsia="Book Antiqua" w:cs="Book Antiqua"/>
          <w:szCs w:val="26"/>
        </w:rPr>
        <w:t xml:space="preserve">Explain why the project qualifies under Pub. Util. Code </w:t>
      </w:r>
      <w:r w:rsidRPr="002D5984">
        <w:rPr>
          <w:rFonts w:ascii="Book Antiqua" w:eastAsia="Book Antiqua" w:hAnsi="Book Antiqua" w:cs="Book Antiqua"/>
          <w:szCs w:val="26"/>
        </w:rPr>
        <w:t>§</w:t>
      </w:r>
      <w:r w:rsidRPr="002D5984">
        <w:rPr>
          <w:rFonts w:eastAsia="Book Antiqua" w:cs="Book Antiqua"/>
          <w:szCs w:val="26"/>
        </w:rPr>
        <w:t xml:space="preserve"> 748.5(c);</w:t>
      </w:r>
    </w:p>
    <w:p w14:paraId="0F38089C" w14:textId="69E88DEF" w:rsidR="00564C38" w:rsidRDefault="00564C38" w:rsidP="002B4A62">
      <w:pPr>
        <w:numPr>
          <w:ilvl w:val="1"/>
          <w:numId w:val="38"/>
        </w:numPr>
        <w:spacing w:after="160"/>
        <w:ind w:left="1440" w:right="1440"/>
        <w:rPr>
          <w:rFonts w:eastAsia="Book Antiqua" w:cs="Book Antiqua"/>
          <w:szCs w:val="26"/>
        </w:rPr>
      </w:pPr>
      <w:r>
        <w:rPr>
          <w:rFonts w:eastAsia="Book Antiqua" w:cs="Book Antiqua"/>
          <w:szCs w:val="26"/>
        </w:rPr>
        <w:t>Explain why the project is best funded to use GHG allowance revenues instead of ordinary recovery through rates;</w:t>
      </w:r>
    </w:p>
    <w:p w14:paraId="73AEF939" w14:textId="77777777" w:rsidR="00564C38" w:rsidRDefault="00564C38" w:rsidP="002B4A62">
      <w:pPr>
        <w:numPr>
          <w:ilvl w:val="1"/>
          <w:numId w:val="38"/>
        </w:numPr>
        <w:spacing w:after="160"/>
        <w:ind w:left="1440" w:right="1440"/>
        <w:rPr>
          <w:rFonts w:eastAsia="Book Antiqua" w:cs="Book Antiqua"/>
          <w:szCs w:val="26"/>
        </w:rPr>
      </w:pPr>
      <w:r>
        <w:rPr>
          <w:rFonts w:eastAsia="Book Antiqua" w:cs="Book Antiqua"/>
          <w:szCs w:val="26"/>
        </w:rPr>
        <w:t>Reference the Forecast Clean Energy Amount;</w:t>
      </w:r>
    </w:p>
    <w:p w14:paraId="1A9BF486" w14:textId="77777777" w:rsidR="00564C38" w:rsidRPr="00A66801" w:rsidRDefault="00564C38" w:rsidP="002B4A62">
      <w:pPr>
        <w:numPr>
          <w:ilvl w:val="1"/>
          <w:numId w:val="38"/>
        </w:numPr>
        <w:spacing w:after="160"/>
        <w:ind w:left="1440" w:right="1440"/>
        <w:rPr>
          <w:rFonts w:eastAsia="Book Antiqua" w:cs="Book Antiqua"/>
          <w:szCs w:val="26"/>
        </w:rPr>
      </w:pPr>
      <w:r>
        <w:rPr>
          <w:rFonts w:eastAsia="Book Antiqua" w:cs="Book Antiqua"/>
          <w:szCs w:val="26"/>
        </w:rPr>
        <w:t>Explain why</w:t>
      </w:r>
      <w:r w:rsidRPr="00A66801">
        <w:rPr>
          <w:rFonts w:eastAsia="Book Antiqua" w:cs="Book Antiqua"/>
          <w:szCs w:val="26"/>
        </w:rPr>
        <w:t xml:space="preserve"> the proposed pilot </w:t>
      </w:r>
      <w:r>
        <w:rPr>
          <w:rFonts w:eastAsia="Book Antiqua" w:cs="Book Antiqua"/>
          <w:szCs w:val="26"/>
        </w:rPr>
        <w:t>is</w:t>
      </w:r>
      <w:r w:rsidRPr="00A66801">
        <w:rPr>
          <w:rFonts w:eastAsia="Book Antiqua" w:cs="Book Antiqua"/>
          <w:szCs w:val="26"/>
        </w:rPr>
        <w:t xml:space="preserve"> reasonable, including</w:t>
      </w:r>
      <w:r>
        <w:rPr>
          <w:rFonts w:eastAsia="Book Antiqua" w:cs="Book Antiqua"/>
          <w:szCs w:val="26"/>
        </w:rPr>
        <w:t xml:space="preserve"> but not limited to </w:t>
      </w:r>
      <w:r w:rsidRPr="00A66801">
        <w:rPr>
          <w:rFonts w:eastAsia="Book Antiqua" w:cs="Book Antiqua"/>
          <w:szCs w:val="26"/>
        </w:rPr>
        <w:t>consideration of:</w:t>
      </w:r>
    </w:p>
    <w:p w14:paraId="6C00730C" w14:textId="77777777" w:rsidR="00564C38" w:rsidRDefault="00564C38" w:rsidP="002B4A62">
      <w:pPr>
        <w:numPr>
          <w:ilvl w:val="2"/>
          <w:numId w:val="38"/>
        </w:numPr>
        <w:spacing w:after="160"/>
        <w:ind w:left="2070" w:hanging="270"/>
        <w:rPr>
          <w:rFonts w:eastAsia="Book Antiqua" w:cs="Book Antiqua"/>
          <w:szCs w:val="26"/>
        </w:rPr>
      </w:pPr>
      <w:r>
        <w:rPr>
          <w:rFonts w:eastAsia="Book Antiqua" w:cs="Book Antiqua"/>
          <w:szCs w:val="26"/>
        </w:rPr>
        <w:t>Pilot budget levels;</w:t>
      </w:r>
    </w:p>
    <w:p w14:paraId="684A804E" w14:textId="77777777" w:rsidR="00564C38" w:rsidRDefault="00564C38" w:rsidP="002B4A62">
      <w:pPr>
        <w:numPr>
          <w:ilvl w:val="2"/>
          <w:numId w:val="38"/>
        </w:numPr>
        <w:spacing w:after="160"/>
        <w:ind w:left="2070" w:hanging="270"/>
        <w:rPr>
          <w:rFonts w:eastAsia="Book Antiqua" w:cs="Book Antiqua"/>
          <w:szCs w:val="26"/>
        </w:rPr>
      </w:pPr>
      <w:r>
        <w:rPr>
          <w:rFonts w:eastAsia="Book Antiqua" w:cs="Book Antiqua"/>
          <w:szCs w:val="26"/>
        </w:rPr>
        <w:t xml:space="preserve">Baseline calculations methods; </w:t>
      </w:r>
    </w:p>
    <w:p w14:paraId="0D290E60" w14:textId="77777777" w:rsidR="00564C38" w:rsidRDefault="00564C38" w:rsidP="002B4A62">
      <w:pPr>
        <w:numPr>
          <w:ilvl w:val="2"/>
          <w:numId w:val="38"/>
        </w:numPr>
        <w:spacing w:after="160"/>
        <w:ind w:left="2070" w:hanging="270"/>
        <w:rPr>
          <w:rFonts w:eastAsia="Book Antiqua" w:cs="Book Antiqua"/>
          <w:szCs w:val="26"/>
        </w:rPr>
      </w:pPr>
      <w:r>
        <w:rPr>
          <w:rFonts w:eastAsia="Book Antiqua" w:cs="Book Antiqua"/>
          <w:szCs w:val="26"/>
        </w:rPr>
        <w:t>Justification for annual weather adjustment factor for baseline calculations;</w:t>
      </w:r>
    </w:p>
    <w:p w14:paraId="7B192AC6" w14:textId="77777777" w:rsidR="00564C38" w:rsidRDefault="00564C38" w:rsidP="002B4A62">
      <w:pPr>
        <w:numPr>
          <w:ilvl w:val="2"/>
          <w:numId w:val="38"/>
        </w:numPr>
        <w:spacing w:after="160"/>
        <w:ind w:left="2070" w:hanging="270"/>
        <w:rPr>
          <w:rFonts w:eastAsia="Book Antiqua" w:cs="Book Antiqua"/>
          <w:szCs w:val="26"/>
        </w:rPr>
      </w:pPr>
      <w:r>
        <w:rPr>
          <w:rFonts w:eastAsia="Book Antiqua" w:cs="Book Antiqua"/>
          <w:szCs w:val="26"/>
        </w:rPr>
        <w:t>Incentive payment structure and timing;</w:t>
      </w:r>
    </w:p>
    <w:p w14:paraId="0F8AED16" w14:textId="77777777" w:rsidR="00564C38" w:rsidRPr="008E731A" w:rsidRDefault="00564C38" w:rsidP="002B4A62">
      <w:pPr>
        <w:numPr>
          <w:ilvl w:val="2"/>
          <w:numId w:val="38"/>
        </w:numPr>
        <w:spacing w:after="160"/>
        <w:ind w:left="2070" w:hanging="270"/>
        <w:rPr>
          <w:rFonts w:eastAsia="Book Antiqua" w:cs="Book Antiqua"/>
          <w:szCs w:val="26"/>
        </w:rPr>
      </w:pPr>
      <w:r>
        <w:rPr>
          <w:rFonts w:eastAsia="Book Antiqua" w:cs="Book Antiqua"/>
          <w:szCs w:val="26"/>
        </w:rPr>
        <w:t>Asset life assumptions;</w:t>
      </w:r>
    </w:p>
    <w:p w14:paraId="5FB621E8" w14:textId="77777777" w:rsidR="00564C38" w:rsidRPr="005E427F" w:rsidRDefault="00564C38" w:rsidP="002B4A62">
      <w:pPr>
        <w:numPr>
          <w:ilvl w:val="2"/>
          <w:numId w:val="38"/>
        </w:numPr>
        <w:spacing w:after="160"/>
        <w:ind w:left="2070" w:hanging="270"/>
        <w:rPr>
          <w:rFonts w:eastAsia="Book Antiqua" w:cs="Book Antiqua"/>
          <w:szCs w:val="26"/>
        </w:rPr>
      </w:pPr>
      <w:r>
        <w:rPr>
          <w:rFonts w:eastAsia="Book Antiqua" w:cs="Book Antiqua"/>
          <w:szCs w:val="26"/>
        </w:rPr>
        <w:t>Methods for calculating the energy intensity of buildings and carbon intensity of natural gas; and</w:t>
      </w:r>
    </w:p>
    <w:p w14:paraId="693FB4F8" w14:textId="77777777" w:rsidR="00564C38" w:rsidRPr="0088580D" w:rsidRDefault="00564C38" w:rsidP="002B4A62">
      <w:pPr>
        <w:numPr>
          <w:ilvl w:val="2"/>
          <w:numId w:val="38"/>
        </w:numPr>
        <w:spacing w:after="160"/>
        <w:ind w:left="2070" w:hanging="270"/>
        <w:rPr>
          <w:rFonts w:eastAsia="Book Antiqua" w:cs="Book Antiqua"/>
          <w:szCs w:val="26"/>
        </w:rPr>
      </w:pPr>
      <w:r>
        <w:rPr>
          <w:rFonts w:eastAsia="Book Antiqua" w:cs="Book Antiqua"/>
          <w:szCs w:val="26"/>
        </w:rPr>
        <w:t>Effectiveness of incentives to target GHG mitigation.</w:t>
      </w:r>
    </w:p>
    <w:p w14:paraId="4C0E7951" w14:textId="77777777" w:rsidR="00564C38" w:rsidRPr="00AB62AC" w:rsidRDefault="00564C38" w:rsidP="00170D88">
      <w:pPr>
        <w:keepNext/>
        <w:keepLines/>
        <w:numPr>
          <w:ilvl w:val="0"/>
          <w:numId w:val="38"/>
        </w:numPr>
        <w:spacing w:after="160"/>
        <w:ind w:left="1080"/>
        <w:rPr>
          <w:rFonts w:eastAsia="Book Antiqua" w:cs="Book Antiqua"/>
          <w:color w:val="0070C0"/>
          <w:szCs w:val="26"/>
        </w:rPr>
      </w:pPr>
      <w:r w:rsidRPr="00BA0856">
        <w:rPr>
          <w:rFonts w:eastAsia="Book Antiqua" w:cs="Book Antiqua"/>
          <w:szCs w:val="26"/>
        </w:rPr>
        <w:t>Consideration of any safety concerns.</w:t>
      </w:r>
    </w:p>
    <w:p w14:paraId="6250EF7E" w14:textId="77777777" w:rsidR="00564C38" w:rsidRPr="00AB62AC" w:rsidRDefault="00564C38" w:rsidP="00170D88">
      <w:pPr>
        <w:keepNext/>
        <w:keepLines/>
        <w:numPr>
          <w:ilvl w:val="0"/>
          <w:numId w:val="38"/>
        </w:numPr>
        <w:spacing w:after="160"/>
        <w:ind w:left="1080"/>
        <w:rPr>
          <w:rFonts w:eastAsia="Book Antiqua" w:cs="Book Antiqua"/>
          <w:color w:val="0070C0"/>
          <w:szCs w:val="26"/>
        </w:rPr>
      </w:pPr>
      <w:r w:rsidRPr="00AB62AC">
        <w:rPr>
          <w:rFonts w:eastAsia="Book Antiqua" w:cs="Book Antiqua"/>
          <w:szCs w:val="26"/>
        </w:rPr>
        <w:t>Consideration of any impacts on disadvantaged communities.</w:t>
      </w:r>
    </w:p>
    <w:p w14:paraId="56009129" w14:textId="6862A078" w:rsidR="00564C38" w:rsidRDefault="00564C38" w:rsidP="00564C38">
      <w:pPr>
        <w:pStyle w:val="Heading1"/>
      </w:pPr>
      <w:bookmarkStart w:id="11" w:name="_Toc6843660"/>
      <w:r>
        <w:t xml:space="preserve">Availability of Funding for CEOP and Funding </w:t>
      </w:r>
      <w:r w:rsidR="006F2B48">
        <w:t>Order</w:t>
      </w:r>
      <w:r w:rsidR="00B75527">
        <w:t xml:space="preserve"> Under the Cap</w:t>
      </w:r>
      <w:r w:rsidR="00ED3E8A">
        <w:noBreakHyphen/>
      </w:r>
      <w:r w:rsidR="00B75527">
        <w:t>and</w:t>
      </w:r>
      <w:r w:rsidR="00ED3E8A">
        <w:noBreakHyphen/>
      </w:r>
      <w:r w:rsidR="00B75527">
        <w:t>Trade Program</w:t>
      </w:r>
      <w:bookmarkEnd w:id="11"/>
    </w:p>
    <w:p w14:paraId="5200D291" w14:textId="5C797217" w:rsidR="00960242" w:rsidRDefault="003B4778" w:rsidP="00564C38">
      <w:pPr>
        <w:pStyle w:val="standard"/>
      </w:pPr>
      <w:r>
        <w:t xml:space="preserve">California’s </w:t>
      </w:r>
      <w:r w:rsidR="00104607">
        <w:t>Cap</w:t>
      </w:r>
      <w:r w:rsidR="00ED3E8A">
        <w:noBreakHyphen/>
      </w:r>
      <w:r w:rsidR="00104607">
        <w:t>and</w:t>
      </w:r>
      <w:r w:rsidR="00ED3E8A">
        <w:noBreakHyphen/>
      </w:r>
      <w:r w:rsidR="00E77A63">
        <w:t>T</w:t>
      </w:r>
      <w:r w:rsidR="00B406C8">
        <w:t xml:space="preserve">rade </w:t>
      </w:r>
      <w:r w:rsidR="00E77A63">
        <w:t>P</w:t>
      </w:r>
      <w:r w:rsidR="00B406C8">
        <w:t xml:space="preserve">rogram </w:t>
      </w:r>
      <w:r w:rsidR="00E77A63">
        <w:t>sets a statewide cap on GHG emissions that declines over time</w:t>
      </w:r>
      <w:r w:rsidR="00B406C8">
        <w:t xml:space="preserve">.  Allowances are the currency of the </w:t>
      </w:r>
      <w:r w:rsidR="00463FAD">
        <w:t>C</w:t>
      </w:r>
      <w:r w:rsidR="00B406C8">
        <w:t>ap</w:t>
      </w:r>
      <w:r w:rsidR="00ED3E8A">
        <w:noBreakHyphen/>
      </w:r>
      <w:r w:rsidR="00B406C8">
        <w:t>and</w:t>
      </w:r>
      <w:r w:rsidR="00ED3E8A">
        <w:noBreakHyphen/>
      </w:r>
      <w:r w:rsidR="00D23930">
        <w:t>T</w:t>
      </w:r>
      <w:r w:rsidR="00B406C8">
        <w:t xml:space="preserve">rade program.  Each allowance is a tradeable permit representing one metric ton of carbon dioxide gas equivalent.  </w:t>
      </w:r>
    </w:p>
    <w:p w14:paraId="5F2BD761" w14:textId="00768A4F" w:rsidR="00992D1A" w:rsidRDefault="007C5A72" w:rsidP="00564C38">
      <w:pPr>
        <w:pStyle w:val="standard"/>
      </w:pPr>
      <w:r>
        <w:t>The California Air Resources Board (</w:t>
      </w:r>
      <w:r w:rsidR="00E77A63">
        <w:t>C</w:t>
      </w:r>
      <w:r>
        <w:t xml:space="preserve">ARB), </w:t>
      </w:r>
      <w:r w:rsidR="004A1D3E">
        <w:t>the agency</w:t>
      </w:r>
      <w:r>
        <w:t xml:space="preserve"> responsible for administering </w:t>
      </w:r>
      <w:r w:rsidR="00EC54D9">
        <w:t>California’s Cap</w:t>
      </w:r>
      <w:r w:rsidR="00ED3E8A">
        <w:noBreakHyphen/>
      </w:r>
      <w:r w:rsidR="00EC54D9">
        <w:t>and</w:t>
      </w:r>
      <w:r w:rsidR="00ED3E8A">
        <w:noBreakHyphen/>
      </w:r>
      <w:r w:rsidR="00EC54D9">
        <w:t>Trade program</w:t>
      </w:r>
      <w:r w:rsidR="004A1D3E">
        <w:t>,</w:t>
      </w:r>
      <w:r w:rsidR="00A05BBE">
        <w:t xml:space="preserve"> distributes allowances through </w:t>
      </w:r>
      <w:r w:rsidR="00092891">
        <w:t>both</w:t>
      </w:r>
      <w:r w:rsidR="006261C4">
        <w:t xml:space="preserve"> </w:t>
      </w:r>
      <w:r w:rsidR="00A05BBE">
        <w:t xml:space="preserve">direct (free) allocation and auction. </w:t>
      </w:r>
      <w:r w:rsidR="005D26B8">
        <w:t xml:space="preserve"> </w:t>
      </w:r>
      <w:r w:rsidR="00E77A63">
        <w:t>C</w:t>
      </w:r>
      <w:r w:rsidR="005D26B8">
        <w:t>ARB granted electric distributio</w:t>
      </w:r>
      <w:r w:rsidR="00AF3676">
        <w:t>n companies, including investor</w:t>
      </w:r>
      <w:r w:rsidR="00ED3E8A">
        <w:noBreakHyphen/>
      </w:r>
      <w:r w:rsidR="005D26B8">
        <w:t>owned utilities an</w:t>
      </w:r>
      <w:r w:rsidR="00AF3676">
        <w:t>d publicly</w:t>
      </w:r>
      <w:r w:rsidR="00ED3E8A">
        <w:noBreakHyphen/>
      </w:r>
      <w:r w:rsidR="005D26B8">
        <w:t xml:space="preserve">owned utilities, </w:t>
      </w:r>
      <w:r w:rsidR="00AF3676">
        <w:t xml:space="preserve">direct allocation </w:t>
      </w:r>
      <w:r w:rsidR="00DF08FB">
        <w:t xml:space="preserve">of allowances for the purpose of protecting electricity customers and advancing AB 32 objectives. </w:t>
      </w:r>
      <w:r w:rsidR="009D1164">
        <w:t xml:space="preserve"> Under this allocation methodology, </w:t>
      </w:r>
      <w:r w:rsidR="00A23FC3">
        <w:t>the investor</w:t>
      </w:r>
      <w:r w:rsidR="00ED3E8A">
        <w:noBreakHyphen/>
      </w:r>
      <w:r w:rsidR="00A23FC3">
        <w:t xml:space="preserve">owned utilities receive an allowance allocation on behalf of all customers of the </w:t>
      </w:r>
      <w:r w:rsidR="004336E3">
        <w:t xml:space="preserve">distribution </w:t>
      </w:r>
      <w:r w:rsidR="00A23FC3">
        <w:t>utility</w:t>
      </w:r>
      <w:r w:rsidR="004336E3">
        <w:t xml:space="preserve">, which includes direct access </w:t>
      </w:r>
      <w:r w:rsidR="00F8041D">
        <w:t xml:space="preserve">(DA) </w:t>
      </w:r>
      <w:r w:rsidR="004336E3">
        <w:t xml:space="preserve">and </w:t>
      </w:r>
      <w:r w:rsidR="00E70BFA">
        <w:t xml:space="preserve">community choice aggregation </w:t>
      </w:r>
      <w:r w:rsidR="00F8041D">
        <w:t xml:space="preserve">(CCA) </w:t>
      </w:r>
      <w:r w:rsidR="00E70BFA">
        <w:t xml:space="preserve">customers. </w:t>
      </w:r>
      <w:r w:rsidR="00F8041D">
        <w:t xml:space="preserve"> The investor owned utilities subject to the Commission’s jurisdiction must consign all of their </w:t>
      </w:r>
      <w:r w:rsidR="003A50AD">
        <w:t xml:space="preserve">directly allocated </w:t>
      </w:r>
      <w:r w:rsidR="00F8041D">
        <w:t>allowances to auction with the proceeds to be used for the benefit of all ratepayers, inc</w:t>
      </w:r>
      <w:r w:rsidR="00F121CC">
        <w:t>l</w:t>
      </w:r>
      <w:r w:rsidR="00F8041D">
        <w:t>uding</w:t>
      </w:r>
      <w:r w:rsidR="00F121CC">
        <w:t xml:space="preserve"> DA and CCA</w:t>
      </w:r>
      <w:r w:rsidR="00002C8B">
        <w:t xml:space="preserve"> customers.</w:t>
      </w:r>
      <w:r w:rsidR="003C16AC">
        <w:t xml:space="preserve">  The allocated allowances offset the cost of GHG compliance embedded in SCE customer rates.</w:t>
      </w:r>
    </w:p>
    <w:p w14:paraId="2FEA7D0F" w14:textId="240D0347" w:rsidR="000B5A61" w:rsidRDefault="00FC13EE" w:rsidP="00A364D5">
      <w:pPr>
        <w:pStyle w:val="standard"/>
      </w:pPr>
      <w:r>
        <w:t xml:space="preserve">The Commission may </w:t>
      </w:r>
      <w:r w:rsidR="0078360B">
        <w:t xml:space="preserve">allocate </w:t>
      </w:r>
      <w:r>
        <w:t>up to 15% of GHG allowance proceeds for EE and clean energy projects.</w:t>
      </w:r>
      <w:r w:rsidR="00B26972">
        <w:rPr>
          <w:rStyle w:val="FootnoteReference"/>
        </w:rPr>
        <w:footnoteReference w:id="43"/>
      </w:r>
      <w:r>
        <w:t xml:space="preserve">  Within this 15%</w:t>
      </w:r>
      <w:r w:rsidR="003E23E5">
        <w:t xml:space="preserve">, SCE must allocate a portion of </w:t>
      </w:r>
      <w:r w:rsidR="0078360B">
        <w:t>these proceeds</w:t>
      </w:r>
      <w:r w:rsidR="003E23E5">
        <w:t xml:space="preserve"> to the </w:t>
      </w:r>
      <w:r w:rsidR="00C32730">
        <w:t>Solar on Multi</w:t>
      </w:r>
      <w:r w:rsidR="00ED3E8A">
        <w:noBreakHyphen/>
      </w:r>
      <w:r w:rsidR="00C32730">
        <w:t>family Affordable Housing (</w:t>
      </w:r>
      <w:r w:rsidR="003E23E5">
        <w:t>SOMAH</w:t>
      </w:r>
      <w:r w:rsidR="00C32730">
        <w:t>)</w:t>
      </w:r>
      <w:r w:rsidR="003E23E5">
        <w:t xml:space="preserve"> program</w:t>
      </w:r>
      <w:r w:rsidR="005D5134">
        <w:t xml:space="preserve"> until</w:t>
      </w:r>
      <w:r w:rsidR="00002EDC">
        <w:t xml:space="preserve"> the end of</w:t>
      </w:r>
      <w:r w:rsidR="005D5134">
        <w:t xml:space="preserve"> </w:t>
      </w:r>
      <w:r w:rsidR="00AC35F3">
        <w:t>fiscal year (</w:t>
      </w:r>
      <w:r w:rsidR="00291481">
        <w:t>FY</w:t>
      </w:r>
      <w:r w:rsidR="00AC35F3">
        <w:t>)</w:t>
      </w:r>
      <w:r w:rsidR="00291481">
        <w:t xml:space="preserve"> </w:t>
      </w:r>
      <w:r w:rsidR="004D4780">
        <w:t>2019</w:t>
      </w:r>
      <w:r w:rsidR="00ED3E8A">
        <w:noBreakHyphen/>
      </w:r>
      <w:r w:rsidR="005D5134">
        <w:t>2020</w:t>
      </w:r>
      <w:r w:rsidR="00002EDC">
        <w:t>, with the Commission potentially extending the program to the end of FY 2025</w:t>
      </w:r>
      <w:r w:rsidR="00ED3E8A">
        <w:noBreakHyphen/>
      </w:r>
      <w:r w:rsidR="00002EDC">
        <w:t>2026 upon a finding that there is sufficient interest and participation in the program</w:t>
      </w:r>
      <w:r w:rsidR="003E23E5">
        <w:t>.</w:t>
      </w:r>
      <w:r w:rsidR="0049664C">
        <w:rPr>
          <w:rStyle w:val="FootnoteReference"/>
        </w:rPr>
        <w:footnoteReference w:id="44"/>
      </w:r>
      <w:r w:rsidR="00956A18">
        <w:t xml:space="preserve">  In addition, the Commission authorized </w:t>
      </w:r>
      <w:r w:rsidR="006C0899">
        <w:t xml:space="preserve">funding of three new programs </w:t>
      </w:r>
      <w:r w:rsidR="008B51B6">
        <w:t xml:space="preserve">using </w:t>
      </w:r>
      <w:r w:rsidR="009B7EBA">
        <w:t xml:space="preserve">the 15% </w:t>
      </w:r>
      <w:r w:rsidR="00D23672">
        <w:t xml:space="preserve">allowance </w:t>
      </w:r>
      <w:r w:rsidR="005E75F5">
        <w:t>for EE and clean energy pr</w:t>
      </w:r>
      <w:r w:rsidR="00B00F58">
        <w:t>o</w:t>
      </w:r>
      <w:r w:rsidR="005E75F5">
        <w:t>jects</w:t>
      </w:r>
      <w:r w:rsidR="008B51B6">
        <w:t xml:space="preserve"> </w:t>
      </w:r>
      <w:r w:rsidR="00572E8A">
        <w:t>to incentivize</w:t>
      </w:r>
      <w:r w:rsidR="006C0899">
        <w:t xml:space="preserve"> solar in disadvantaged communities</w:t>
      </w:r>
      <w:r w:rsidR="002E5729">
        <w:t xml:space="preserve"> through</w:t>
      </w:r>
      <w:r w:rsidR="005422CA">
        <w:t xml:space="preserve"> 2030</w:t>
      </w:r>
      <w:r w:rsidR="002E5729">
        <w:t>, which are the</w:t>
      </w:r>
      <w:r w:rsidR="006C0899">
        <w:t xml:space="preserve"> </w:t>
      </w:r>
      <w:r w:rsidR="00A22A6D">
        <w:t>D</w:t>
      </w:r>
      <w:r w:rsidR="00A9625C">
        <w:t xml:space="preserve">isadvantaged </w:t>
      </w:r>
      <w:r w:rsidR="00A22A6D">
        <w:t>C</w:t>
      </w:r>
      <w:r w:rsidR="00A9625C">
        <w:t xml:space="preserve">ommunities </w:t>
      </w:r>
      <w:r w:rsidR="00A07D95">
        <w:t>S</w:t>
      </w:r>
      <w:r w:rsidR="002C077C">
        <w:t>ingle</w:t>
      </w:r>
      <w:r w:rsidR="00ED3E8A">
        <w:noBreakHyphen/>
      </w:r>
      <w:r w:rsidR="00A364D5">
        <w:t>f</w:t>
      </w:r>
      <w:r w:rsidR="002C077C">
        <w:t>amily S</w:t>
      </w:r>
      <w:r w:rsidR="00C93F7C">
        <w:t xml:space="preserve">olar </w:t>
      </w:r>
      <w:r w:rsidR="002C077C">
        <w:t>H</w:t>
      </w:r>
      <w:r w:rsidR="00C93F7C">
        <w:t>omes</w:t>
      </w:r>
      <w:r w:rsidR="00A9625C">
        <w:t xml:space="preserve"> (</w:t>
      </w:r>
      <w:r w:rsidR="006C0899">
        <w:t>DAC</w:t>
      </w:r>
      <w:r w:rsidR="00ED3E8A">
        <w:noBreakHyphen/>
      </w:r>
      <w:r w:rsidR="006C0899">
        <w:t>SASH</w:t>
      </w:r>
      <w:r w:rsidR="00A9625C">
        <w:t>)</w:t>
      </w:r>
      <w:r w:rsidR="006C0899">
        <w:t xml:space="preserve">, </w:t>
      </w:r>
      <w:r w:rsidR="00503E70">
        <w:t>Disadvantaged Communities Green T</w:t>
      </w:r>
      <w:r w:rsidR="00A9625C">
        <w:t>ariff (</w:t>
      </w:r>
      <w:r w:rsidR="006C0899">
        <w:t>DAC</w:t>
      </w:r>
      <w:r w:rsidR="00ED3E8A">
        <w:noBreakHyphen/>
      </w:r>
      <w:r w:rsidR="006C0899">
        <w:t>GT</w:t>
      </w:r>
      <w:r w:rsidR="00A9625C">
        <w:t>)</w:t>
      </w:r>
      <w:r w:rsidR="006C0899">
        <w:t xml:space="preserve"> and </w:t>
      </w:r>
      <w:r w:rsidR="00C3452C">
        <w:t>Community Solar Green T</w:t>
      </w:r>
      <w:r w:rsidR="00A9625C">
        <w:t>ariff (</w:t>
      </w:r>
      <w:r w:rsidR="006C0899">
        <w:t>CSGT</w:t>
      </w:r>
      <w:r w:rsidR="00A9625C">
        <w:t>) programs</w:t>
      </w:r>
      <w:r w:rsidR="009C4B9A">
        <w:t>.</w:t>
      </w:r>
      <w:r w:rsidR="00AB5160">
        <w:rPr>
          <w:rStyle w:val="FootnoteReference"/>
        </w:rPr>
        <w:footnoteReference w:id="45"/>
      </w:r>
    </w:p>
    <w:p w14:paraId="6ECDAA4F" w14:textId="2084D7F8" w:rsidR="00564C38" w:rsidRDefault="009C4B9A" w:rsidP="00564C38">
      <w:pPr>
        <w:pStyle w:val="standard"/>
      </w:pPr>
      <w:r>
        <w:t>Accounting for an</w:t>
      </w:r>
      <w:r w:rsidR="0031090F">
        <w:t>y</w:t>
      </w:r>
      <w:r>
        <w:t xml:space="preserve"> true</w:t>
      </w:r>
      <w:r w:rsidR="00ED3E8A">
        <w:noBreakHyphen/>
      </w:r>
      <w:r>
        <w:t>ups from the prior</w:t>
      </w:r>
      <w:r w:rsidR="00273F26">
        <w:t xml:space="preserve"> year</w:t>
      </w:r>
      <w:r w:rsidR="00621D00">
        <w:t xml:space="preserve"> and the </w:t>
      </w:r>
      <w:r w:rsidR="00D51D1A">
        <w:t xml:space="preserve">annual </w:t>
      </w:r>
      <w:r w:rsidR="002F2362">
        <w:t>cost</w:t>
      </w:r>
      <w:r w:rsidR="00621D00">
        <w:t xml:space="preserve"> of customer outreach and administrative expenses</w:t>
      </w:r>
      <w:r w:rsidR="00273F26">
        <w:t xml:space="preserve">, the </w:t>
      </w:r>
      <w:r w:rsidR="00621D00">
        <w:t xml:space="preserve">remaining GHG allowance </w:t>
      </w:r>
      <w:r w:rsidR="006246C1">
        <w:t xml:space="preserve">proceeds are returned to SCE’s ratepayers in the form of </w:t>
      </w:r>
      <w:r w:rsidR="0078360B">
        <w:t>1</w:t>
      </w:r>
      <w:r w:rsidR="00B71F13">
        <w:t xml:space="preserve">) </w:t>
      </w:r>
      <w:r w:rsidR="0078360B">
        <w:t>an annual CA Industry Assistance Credit for Emissions</w:t>
      </w:r>
      <w:r w:rsidR="00ED3E8A">
        <w:noBreakHyphen/>
      </w:r>
      <w:r w:rsidR="0015795B">
        <w:t>I</w:t>
      </w:r>
      <w:r w:rsidR="00E758EE">
        <w:t xml:space="preserve">ntensive </w:t>
      </w:r>
      <w:r w:rsidR="0015795B">
        <w:t>T</w:t>
      </w:r>
      <w:r w:rsidR="00E758EE">
        <w:t>rade</w:t>
      </w:r>
      <w:r w:rsidR="00ED3E8A">
        <w:noBreakHyphen/>
      </w:r>
      <w:r w:rsidR="0015795B">
        <w:t>E</w:t>
      </w:r>
      <w:r w:rsidR="00E758EE">
        <w:t xml:space="preserve">xposed (EITE) </w:t>
      </w:r>
      <w:r w:rsidR="00310DBE">
        <w:t>C</w:t>
      </w:r>
      <w:r w:rsidR="009119D9">
        <w:t>ustomers</w:t>
      </w:r>
      <w:r w:rsidR="007F0FB6">
        <w:t xml:space="preserve">, </w:t>
      </w:r>
      <w:r w:rsidR="0078360B">
        <w:t>2</w:t>
      </w:r>
      <w:r w:rsidR="00B71F13">
        <w:t xml:space="preserve">) </w:t>
      </w:r>
      <w:r w:rsidR="0015795B">
        <w:t>S</w:t>
      </w:r>
      <w:r w:rsidR="007F0FB6">
        <w:t xml:space="preserve">mall </w:t>
      </w:r>
      <w:r w:rsidR="0015795B">
        <w:t>B</w:t>
      </w:r>
      <w:r w:rsidR="007F0FB6">
        <w:t xml:space="preserve">usiness </w:t>
      </w:r>
      <w:r w:rsidR="00B26972">
        <w:t>Climate Credit</w:t>
      </w:r>
      <w:r w:rsidR="0078360B">
        <w:t>, and 3) a biennial Climate Credit for residential households.</w:t>
      </w:r>
      <w:r w:rsidR="00F1369D">
        <w:t xml:space="preserve">  </w:t>
      </w:r>
      <w:r w:rsidR="008303E9">
        <w:t>As a condition of approving a new project funded by the 15% allowance for EE and clean energy projects, t</w:t>
      </w:r>
      <w:r w:rsidR="00564C38">
        <w:t xml:space="preserve">he Commission requires utilities to forecast the amount of funds other programs may appropriate for </w:t>
      </w:r>
      <w:r w:rsidR="00335E12">
        <w:t>c</w:t>
      </w:r>
      <w:r w:rsidR="00564C38">
        <w:t xml:space="preserve">lean </w:t>
      </w:r>
      <w:r w:rsidR="00335E12">
        <w:t>e</w:t>
      </w:r>
      <w:r w:rsidR="00564C38">
        <w:t xml:space="preserve">nergy and </w:t>
      </w:r>
      <w:r w:rsidR="002E7C13">
        <w:t>EE</w:t>
      </w:r>
      <w:r w:rsidR="00564C38">
        <w:t xml:space="preserve"> programs (Forecast Clean Energy Amount) to demonstrate that sufficient Cap</w:t>
      </w:r>
      <w:r w:rsidR="00ED3E8A">
        <w:noBreakHyphen/>
      </w:r>
      <w:r w:rsidR="00564C38">
        <w:t>and</w:t>
      </w:r>
      <w:r w:rsidR="00ED3E8A">
        <w:noBreakHyphen/>
      </w:r>
      <w:r w:rsidR="00564C38">
        <w:t>Trade funds are available for Commission approval of any proposed clean energy and energy efficiency project.</w:t>
      </w:r>
      <w:r w:rsidR="00564C38">
        <w:rPr>
          <w:rStyle w:val="FootnoteReference"/>
        </w:rPr>
        <w:footnoteReference w:id="46"/>
      </w:r>
      <w:r w:rsidR="00564C38">
        <w:t xml:space="preserve">  SCE projected its available Cap</w:t>
      </w:r>
      <w:r w:rsidR="00ED3E8A">
        <w:noBreakHyphen/>
      </w:r>
      <w:r w:rsidR="00564C38">
        <w:t>and</w:t>
      </w:r>
      <w:r w:rsidR="00ED3E8A">
        <w:noBreakHyphen/>
      </w:r>
      <w:r w:rsidR="00564C38">
        <w:t xml:space="preserve">Trade </w:t>
      </w:r>
      <w:r w:rsidR="00B26972">
        <w:t xml:space="preserve">proceeds </w:t>
      </w:r>
      <w:r w:rsidR="00564C38">
        <w:t>would adequately fund the CEOP over the project’s four</w:t>
      </w:r>
      <w:r w:rsidR="00ED3E8A">
        <w:noBreakHyphen/>
      </w:r>
      <w:r w:rsidR="00564C38">
        <w:t>year span, as detailed in the table below.</w:t>
      </w:r>
      <w:r w:rsidR="00564C38">
        <w:rPr>
          <w:rStyle w:val="FootnoteReference"/>
        </w:rPr>
        <w:footnoteReference w:id="47"/>
      </w:r>
    </w:p>
    <w:tbl>
      <w:tblPr>
        <w:tblStyle w:val="TableGrid"/>
        <w:tblW w:w="0" w:type="auto"/>
        <w:tblLayout w:type="fixed"/>
        <w:tblLook w:val="04A0" w:firstRow="1" w:lastRow="0" w:firstColumn="1" w:lastColumn="0" w:noHBand="0" w:noVBand="1"/>
      </w:tblPr>
      <w:tblGrid>
        <w:gridCol w:w="2155"/>
        <w:gridCol w:w="1890"/>
        <w:gridCol w:w="1710"/>
        <w:gridCol w:w="1710"/>
        <w:gridCol w:w="1710"/>
      </w:tblGrid>
      <w:tr w:rsidR="00772F70" w14:paraId="0634220B" w14:textId="77777777" w:rsidTr="00772F70">
        <w:tc>
          <w:tcPr>
            <w:tcW w:w="2155" w:type="dxa"/>
          </w:tcPr>
          <w:p w14:paraId="630B7F6D" w14:textId="77777777" w:rsidR="00564C38" w:rsidRDefault="00564C38" w:rsidP="002B4A62">
            <w:pPr>
              <w:pStyle w:val="standard"/>
              <w:spacing w:line="240" w:lineRule="auto"/>
              <w:ind w:firstLine="0"/>
              <w:jc w:val="center"/>
            </w:pPr>
          </w:p>
        </w:tc>
        <w:tc>
          <w:tcPr>
            <w:tcW w:w="1890" w:type="dxa"/>
          </w:tcPr>
          <w:p w14:paraId="4B2453A3" w14:textId="4AC1757E" w:rsidR="00564C38" w:rsidRDefault="00564C38" w:rsidP="002B4A62">
            <w:pPr>
              <w:pStyle w:val="standard"/>
              <w:spacing w:line="240" w:lineRule="auto"/>
              <w:ind w:firstLine="0"/>
              <w:jc w:val="center"/>
            </w:pPr>
            <w:r>
              <w:t>2019</w:t>
            </w:r>
            <w:r w:rsidR="00E02E33">
              <w:t>*</w:t>
            </w:r>
          </w:p>
        </w:tc>
        <w:tc>
          <w:tcPr>
            <w:tcW w:w="1710" w:type="dxa"/>
          </w:tcPr>
          <w:p w14:paraId="4BA9624A" w14:textId="77777777" w:rsidR="00564C38" w:rsidRDefault="00564C38" w:rsidP="002B4A62">
            <w:pPr>
              <w:pStyle w:val="standard"/>
              <w:spacing w:line="240" w:lineRule="auto"/>
              <w:ind w:firstLine="0"/>
              <w:jc w:val="center"/>
            </w:pPr>
            <w:r>
              <w:t>2020</w:t>
            </w:r>
          </w:p>
        </w:tc>
        <w:tc>
          <w:tcPr>
            <w:tcW w:w="1710" w:type="dxa"/>
          </w:tcPr>
          <w:p w14:paraId="3C2C9510" w14:textId="77777777" w:rsidR="00564C38" w:rsidRDefault="00564C38" w:rsidP="002B4A62">
            <w:pPr>
              <w:pStyle w:val="standard"/>
              <w:spacing w:line="240" w:lineRule="auto"/>
              <w:ind w:firstLine="0"/>
              <w:jc w:val="center"/>
            </w:pPr>
            <w:r>
              <w:t>2021</w:t>
            </w:r>
          </w:p>
        </w:tc>
        <w:tc>
          <w:tcPr>
            <w:tcW w:w="1710" w:type="dxa"/>
          </w:tcPr>
          <w:p w14:paraId="155F5B09" w14:textId="77777777" w:rsidR="00564C38" w:rsidRDefault="00564C38" w:rsidP="002B4A62">
            <w:pPr>
              <w:pStyle w:val="standard"/>
              <w:spacing w:line="240" w:lineRule="auto"/>
              <w:ind w:firstLine="0"/>
              <w:jc w:val="center"/>
            </w:pPr>
            <w:r>
              <w:t>2022</w:t>
            </w:r>
          </w:p>
        </w:tc>
      </w:tr>
      <w:tr w:rsidR="00772F70" w14:paraId="1E7EFAE0" w14:textId="77777777" w:rsidTr="00772F70">
        <w:tc>
          <w:tcPr>
            <w:tcW w:w="2155" w:type="dxa"/>
          </w:tcPr>
          <w:p w14:paraId="190AB533" w14:textId="69ED09FD" w:rsidR="00564C38" w:rsidRDefault="00564C38" w:rsidP="00EA24B0">
            <w:pPr>
              <w:pStyle w:val="standard"/>
              <w:spacing w:line="240" w:lineRule="auto"/>
              <w:ind w:firstLine="0"/>
            </w:pPr>
            <w:r>
              <w:t xml:space="preserve">Estimated GHG Allowance </w:t>
            </w:r>
            <w:r w:rsidR="00B26972">
              <w:t xml:space="preserve">Proceeds </w:t>
            </w:r>
            <w:r>
              <w:t>(100%)</w:t>
            </w:r>
          </w:p>
        </w:tc>
        <w:tc>
          <w:tcPr>
            <w:tcW w:w="1890" w:type="dxa"/>
          </w:tcPr>
          <w:p w14:paraId="4AD617A7" w14:textId="11DE1E13" w:rsidR="00564C38" w:rsidRDefault="00564C38" w:rsidP="00EA24B0">
            <w:pPr>
              <w:pStyle w:val="standard"/>
              <w:spacing w:line="240" w:lineRule="auto"/>
              <w:ind w:firstLine="0"/>
            </w:pPr>
            <w:r>
              <w:t>$</w:t>
            </w:r>
            <w:r w:rsidR="00F173AA">
              <w:t>408</w:t>
            </w:r>
            <w:r w:rsidR="00254F1E">
              <w:t>,</w:t>
            </w:r>
            <w:r w:rsidR="00BC6D47">
              <w:t>536</w:t>
            </w:r>
            <w:r w:rsidR="007E7C03">
              <w:t>,000</w:t>
            </w:r>
          </w:p>
        </w:tc>
        <w:tc>
          <w:tcPr>
            <w:tcW w:w="1710" w:type="dxa"/>
          </w:tcPr>
          <w:p w14:paraId="12564F5E" w14:textId="221AD4A2" w:rsidR="00564C38" w:rsidRDefault="00564C38" w:rsidP="00EA24B0">
            <w:pPr>
              <w:pStyle w:val="standard"/>
              <w:spacing w:line="240" w:lineRule="auto"/>
              <w:ind w:firstLine="0"/>
            </w:pPr>
            <w:r>
              <w:t>$467,054</w:t>
            </w:r>
            <w:r w:rsidR="007E7C03">
              <w:t>,000</w:t>
            </w:r>
          </w:p>
        </w:tc>
        <w:tc>
          <w:tcPr>
            <w:tcW w:w="1710" w:type="dxa"/>
          </w:tcPr>
          <w:p w14:paraId="142F79A1" w14:textId="7CE4F98D" w:rsidR="00564C38" w:rsidRDefault="00564C38" w:rsidP="00EA24B0">
            <w:pPr>
              <w:pStyle w:val="standard"/>
              <w:spacing w:line="240" w:lineRule="auto"/>
              <w:ind w:firstLine="0"/>
            </w:pPr>
            <w:r>
              <w:t>$543,462</w:t>
            </w:r>
            <w:r w:rsidR="007E7C03">
              <w:t>,000</w:t>
            </w:r>
          </w:p>
        </w:tc>
        <w:tc>
          <w:tcPr>
            <w:tcW w:w="1710" w:type="dxa"/>
          </w:tcPr>
          <w:p w14:paraId="7C59DCF7" w14:textId="7B8C74C2" w:rsidR="00564C38" w:rsidRDefault="00564C38" w:rsidP="00EA24B0">
            <w:pPr>
              <w:pStyle w:val="standard"/>
              <w:spacing w:line="240" w:lineRule="auto"/>
              <w:ind w:firstLine="0"/>
            </w:pPr>
            <w:r>
              <w:t>$615,785</w:t>
            </w:r>
            <w:r w:rsidR="007E7C03">
              <w:t>,000</w:t>
            </w:r>
          </w:p>
        </w:tc>
      </w:tr>
      <w:tr w:rsidR="00772F70" w14:paraId="5E91800B" w14:textId="77777777" w:rsidTr="00772F70">
        <w:tc>
          <w:tcPr>
            <w:tcW w:w="2155" w:type="dxa"/>
          </w:tcPr>
          <w:p w14:paraId="086B22B1" w14:textId="77777777" w:rsidR="00564C38" w:rsidRDefault="00564C38" w:rsidP="00EA24B0">
            <w:pPr>
              <w:pStyle w:val="standard"/>
              <w:spacing w:line="240" w:lineRule="auto"/>
              <w:ind w:firstLine="0"/>
            </w:pPr>
            <w:r>
              <w:t>15% maximum set aside</w:t>
            </w:r>
          </w:p>
        </w:tc>
        <w:tc>
          <w:tcPr>
            <w:tcW w:w="1890" w:type="dxa"/>
          </w:tcPr>
          <w:p w14:paraId="111EA670" w14:textId="45A527D8" w:rsidR="00564C38" w:rsidRDefault="00AA1D48" w:rsidP="00EA24B0">
            <w:pPr>
              <w:pStyle w:val="standard"/>
              <w:spacing w:line="240" w:lineRule="auto"/>
              <w:ind w:firstLine="0"/>
            </w:pPr>
            <w:r>
              <w:t>$6</w:t>
            </w:r>
            <w:r w:rsidR="00BA45E9">
              <w:t>1</w:t>
            </w:r>
            <w:r>
              <w:t>,</w:t>
            </w:r>
            <w:r w:rsidR="00CF3C0A">
              <w:t>280</w:t>
            </w:r>
            <w:r w:rsidR="007E7C03">
              <w:t>,000</w:t>
            </w:r>
          </w:p>
        </w:tc>
        <w:tc>
          <w:tcPr>
            <w:tcW w:w="1710" w:type="dxa"/>
          </w:tcPr>
          <w:p w14:paraId="5FE3CAC3" w14:textId="77B0116C" w:rsidR="00564C38" w:rsidRDefault="00564C38" w:rsidP="00EA24B0">
            <w:pPr>
              <w:pStyle w:val="standard"/>
              <w:spacing w:line="240" w:lineRule="auto"/>
              <w:ind w:firstLine="0"/>
            </w:pPr>
            <w:r>
              <w:t>$70,058</w:t>
            </w:r>
            <w:r w:rsidR="007E7C03">
              <w:t>,000</w:t>
            </w:r>
          </w:p>
        </w:tc>
        <w:tc>
          <w:tcPr>
            <w:tcW w:w="1710" w:type="dxa"/>
          </w:tcPr>
          <w:p w14:paraId="40E67DE5" w14:textId="52557C9A" w:rsidR="00564C38" w:rsidRDefault="00564C38" w:rsidP="00EA24B0">
            <w:pPr>
              <w:pStyle w:val="standard"/>
              <w:spacing w:line="240" w:lineRule="auto"/>
              <w:ind w:firstLine="0"/>
            </w:pPr>
            <w:r>
              <w:t>$81,519</w:t>
            </w:r>
            <w:r w:rsidR="007E7C03">
              <w:t>,000</w:t>
            </w:r>
          </w:p>
        </w:tc>
        <w:tc>
          <w:tcPr>
            <w:tcW w:w="1710" w:type="dxa"/>
          </w:tcPr>
          <w:p w14:paraId="657898F9" w14:textId="5486068F" w:rsidR="00564C38" w:rsidRDefault="00564C38" w:rsidP="00EA24B0">
            <w:pPr>
              <w:pStyle w:val="standard"/>
              <w:spacing w:line="240" w:lineRule="auto"/>
              <w:ind w:firstLine="0"/>
            </w:pPr>
            <w:r>
              <w:t>$92,368</w:t>
            </w:r>
            <w:r w:rsidR="007E7C03">
              <w:t>,000</w:t>
            </w:r>
          </w:p>
        </w:tc>
      </w:tr>
      <w:tr w:rsidR="00772F70" w14:paraId="088D5EFE" w14:textId="77777777" w:rsidTr="00772F70">
        <w:tc>
          <w:tcPr>
            <w:tcW w:w="2155" w:type="dxa"/>
          </w:tcPr>
          <w:p w14:paraId="0EE9FBF1" w14:textId="4C96783E" w:rsidR="00564C38" w:rsidRDefault="00564C38" w:rsidP="00EA24B0">
            <w:pPr>
              <w:pStyle w:val="standard"/>
              <w:spacing w:line="240" w:lineRule="auto"/>
              <w:ind w:firstLine="0"/>
            </w:pPr>
            <w:r>
              <w:t xml:space="preserve">SOMAH </w:t>
            </w:r>
            <w:r w:rsidR="00EF407B">
              <w:t>**</w:t>
            </w:r>
          </w:p>
        </w:tc>
        <w:tc>
          <w:tcPr>
            <w:tcW w:w="1890" w:type="dxa"/>
          </w:tcPr>
          <w:p w14:paraId="41730D24" w14:textId="12DF6B23" w:rsidR="00564C38" w:rsidRDefault="00564C38" w:rsidP="00EA24B0">
            <w:pPr>
              <w:pStyle w:val="standard"/>
              <w:spacing w:line="240" w:lineRule="auto"/>
              <w:ind w:firstLine="0"/>
            </w:pPr>
            <w:r>
              <w:t>$</w:t>
            </w:r>
            <w:r w:rsidR="00771220">
              <w:t>40</w:t>
            </w:r>
            <w:r w:rsidR="00254F1E">
              <w:t>,</w:t>
            </w:r>
            <w:r w:rsidR="00771220">
              <w:t>854</w:t>
            </w:r>
            <w:r w:rsidR="00445049">
              <w:t>,000</w:t>
            </w:r>
            <w:r w:rsidR="00771220">
              <w:t>***</w:t>
            </w:r>
          </w:p>
        </w:tc>
        <w:tc>
          <w:tcPr>
            <w:tcW w:w="1710" w:type="dxa"/>
          </w:tcPr>
          <w:p w14:paraId="75CBE794" w14:textId="6375A57B" w:rsidR="00564C38" w:rsidRDefault="00564C38" w:rsidP="00EA24B0">
            <w:pPr>
              <w:pStyle w:val="standard"/>
              <w:spacing w:line="240" w:lineRule="auto"/>
              <w:ind w:firstLine="0"/>
            </w:pPr>
            <w:r>
              <w:t>$46,</w:t>
            </w:r>
            <w:r w:rsidR="005351C6">
              <w:t>7</w:t>
            </w:r>
            <w:r>
              <w:t>0</w:t>
            </w:r>
            <w:r w:rsidR="005351C6">
              <w:t>5</w:t>
            </w:r>
            <w:r w:rsidR="007E7C03">
              <w:t>,</w:t>
            </w:r>
            <w:r w:rsidR="005351C6">
              <w:t>4</w:t>
            </w:r>
            <w:r w:rsidR="007E7C03">
              <w:t>00</w:t>
            </w:r>
          </w:p>
        </w:tc>
        <w:tc>
          <w:tcPr>
            <w:tcW w:w="1710" w:type="dxa"/>
          </w:tcPr>
          <w:p w14:paraId="2A80203D" w14:textId="61EA54AE" w:rsidR="00564C38" w:rsidRDefault="00564C38" w:rsidP="00EA24B0">
            <w:pPr>
              <w:pStyle w:val="standard"/>
              <w:spacing w:line="240" w:lineRule="auto"/>
              <w:ind w:firstLine="0"/>
            </w:pPr>
            <w:r>
              <w:t>$</w:t>
            </w:r>
            <w:r w:rsidR="005351C6">
              <w:t>54</w:t>
            </w:r>
            <w:r>
              <w:t>,</w:t>
            </w:r>
            <w:r w:rsidR="005351C6">
              <w:t>346</w:t>
            </w:r>
            <w:r w:rsidR="007E7C03">
              <w:t>,</w:t>
            </w:r>
            <w:r w:rsidR="005351C6">
              <w:t>2</w:t>
            </w:r>
            <w:r w:rsidR="007E7C03">
              <w:t>00</w:t>
            </w:r>
          </w:p>
        </w:tc>
        <w:tc>
          <w:tcPr>
            <w:tcW w:w="1710" w:type="dxa"/>
          </w:tcPr>
          <w:p w14:paraId="10618739" w14:textId="295C19EE" w:rsidR="00564C38" w:rsidRDefault="00564C38" w:rsidP="00EA24B0">
            <w:pPr>
              <w:pStyle w:val="standard"/>
              <w:spacing w:line="240" w:lineRule="auto"/>
              <w:ind w:firstLine="0"/>
            </w:pPr>
            <w:r>
              <w:t>$</w:t>
            </w:r>
            <w:r w:rsidR="005351C6">
              <w:t>61</w:t>
            </w:r>
            <w:r>
              <w:t>,</w:t>
            </w:r>
            <w:r w:rsidR="005351C6">
              <w:t>578</w:t>
            </w:r>
            <w:r w:rsidR="007E7C03">
              <w:t>,</w:t>
            </w:r>
            <w:r w:rsidR="005351C6">
              <w:t>5</w:t>
            </w:r>
            <w:r w:rsidR="007E7C03">
              <w:t>00</w:t>
            </w:r>
          </w:p>
        </w:tc>
      </w:tr>
      <w:tr w:rsidR="00772F70" w14:paraId="6C1AC41E" w14:textId="77777777" w:rsidTr="00772F70">
        <w:tc>
          <w:tcPr>
            <w:tcW w:w="2155" w:type="dxa"/>
          </w:tcPr>
          <w:p w14:paraId="2D38F1B8" w14:textId="4C51A4F3" w:rsidR="005B652A" w:rsidRDefault="009E2C25" w:rsidP="005B652A">
            <w:pPr>
              <w:pStyle w:val="standard"/>
              <w:spacing w:line="240" w:lineRule="auto"/>
              <w:ind w:firstLine="0"/>
            </w:pPr>
            <w:r>
              <w:t>DAC</w:t>
            </w:r>
            <w:r w:rsidR="00ED3E8A">
              <w:noBreakHyphen/>
            </w:r>
            <w:r>
              <w:t>SASH</w:t>
            </w:r>
          </w:p>
        </w:tc>
        <w:tc>
          <w:tcPr>
            <w:tcW w:w="1890" w:type="dxa"/>
          </w:tcPr>
          <w:p w14:paraId="7C9DEFDD" w14:textId="1EA7714A" w:rsidR="005B652A" w:rsidRDefault="005B652A" w:rsidP="005B652A">
            <w:pPr>
              <w:pStyle w:val="standard"/>
              <w:spacing w:line="240" w:lineRule="auto"/>
              <w:ind w:firstLine="0"/>
            </w:pPr>
            <w:r>
              <w:t>$4</w:t>
            </w:r>
            <w:r w:rsidR="00254F1E">
              <w:t>,</w:t>
            </w:r>
            <w:r>
              <w:t>6</w:t>
            </w:r>
            <w:r w:rsidR="00254F1E">
              <w:t>00</w:t>
            </w:r>
            <w:r w:rsidR="007E7C03">
              <w:t>,000</w:t>
            </w:r>
          </w:p>
        </w:tc>
        <w:tc>
          <w:tcPr>
            <w:tcW w:w="1710" w:type="dxa"/>
          </w:tcPr>
          <w:p w14:paraId="5207F130" w14:textId="7331D27E" w:rsidR="005B652A" w:rsidRDefault="003516DB" w:rsidP="005B652A">
            <w:pPr>
              <w:pStyle w:val="standard"/>
              <w:spacing w:line="240" w:lineRule="auto"/>
              <w:ind w:firstLine="0"/>
            </w:pPr>
            <w:r>
              <w:t>$4,600</w:t>
            </w:r>
            <w:r w:rsidR="007E7C03">
              <w:t>,000</w:t>
            </w:r>
          </w:p>
        </w:tc>
        <w:tc>
          <w:tcPr>
            <w:tcW w:w="1710" w:type="dxa"/>
          </w:tcPr>
          <w:p w14:paraId="15BC9AAD" w14:textId="59653245" w:rsidR="005B652A" w:rsidRDefault="003516DB" w:rsidP="005B652A">
            <w:pPr>
              <w:pStyle w:val="standard"/>
              <w:spacing w:line="240" w:lineRule="auto"/>
              <w:ind w:firstLine="0"/>
            </w:pPr>
            <w:r>
              <w:t>$4,600</w:t>
            </w:r>
            <w:r w:rsidR="007E7C03">
              <w:t>,000</w:t>
            </w:r>
          </w:p>
        </w:tc>
        <w:tc>
          <w:tcPr>
            <w:tcW w:w="1710" w:type="dxa"/>
          </w:tcPr>
          <w:p w14:paraId="7F86A953" w14:textId="1A465CB5" w:rsidR="005B652A" w:rsidRDefault="003516DB" w:rsidP="005B652A">
            <w:pPr>
              <w:pStyle w:val="standard"/>
              <w:spacing w:line="240" w:lineRule="auto"/>
              <w:ind w:firstLine="0"/>
            </w:pPr>
            <w:r>
              <w:t>$4,600</w:t>
            </w:r>
            <w:r w:rsidR="007E7C03">
              <w:t>,000</w:t>
            </w:r>
          </w:p>
        </w:tc>
      </w:tr>
      <w:tr w:rsidR="00772F70" w14:paraId="190AD71D" w14:textId="77777777" w:rsidTr="00772F70">
        <w:tc>
          <w:tcPr>
            <w:tcW w:w="2155" w:type="dxa"/>
          </w:tcPr>
          <w:p w14:paraId="18C901BB" w14:textId="0B0B4C7C" w:rsidR="005B652A" w:rsidRDefault="009E2C25" w:rsidP="005B652A">
            <w:pPr>
              <w:pStyle w:val="standard"/>
              <w:spacing w:line="240" w:lineRule="auto"/>
              <w:ind w:firstLine="0"/>
            </w:pPr>
            <w:r>
              <w:t>DAC</w:t>
            </w:r>
            <w:r w:rsidR="00ED3E8A">
              <w:noBreakHyphen/>
            </w:r>
            <w:r>
              <w:t>GT and CSGT</w:t>
            </w:r>
          </w:p>
        </w:tc>
        <w:tc>
          <w:tcPr>
            <w:tcW w:w="1890" w:type="dxa"/>
          </w:tcPr>
          <w:p w14:paraId="72543367" w14:textId="70CF4F88" w:rsidR="005B652A" w:rsidRDefault="005B652A" w:rsidP="005B652A">
            <w:pPr>
              <w:pStyle w:val="standard"/>
              <w:spacing w:line="240" w:lineRule="auto"/>
              <w:ind w:firstLine="0"/>
            </w:pPr>
            <w:r>
              <w:t>$2</w:t>
            </w:r>
            <w:r w:rsidR="00254F1E">
              <w:t>,000</w:t>
            </w:r>
            <w:r w:rsidR="007E7C03">
              <w:t>,000</w:t>
            </w:r>
          </w:p>
        </w:tc>
        <w:tc>
          <w:tcPr>
            <w:tcW w:w="1710" w:type="dxa"/>
          </w:tcPr>
          <w:p w14:paraId="2344F9C5" w14:textId="2AC3BCC1" w:rsidR="005B652A" w:rsidRDefault="007A74FC" w:rsidP="005B652A">
            <w:pPr>
              <w:pStyle w:val="standard"/>
              <w:spacing w:line="240" w:lineRule="auto"/>
              <w:ind w:firstLine="0"/>
            </w:pPr>
            <w:r>
              <w:t>To Be Determined (</w:t>
            </w:r>
            <w:r w:rsidR="005B652A">
              <w:t>TBD</w:t>
            </w:r>
            <w:r>
              <w:t>)</w:t>
            </w:r>
          </w:p>
        </w:tc>
        <w:tc>
          <w:tcPr>
            <w:tcW w:w="1710" w:type="dxa"/>
          </w:tcPr>
          <w:p w14:paraId="282EBE14" w14:textId="57E81239" w:rsidR="005B652A" w:rsidRDefault="005B652A" w:rsidP="005B652A">
            <w:pPr>
              <w:pStyle w:val="standard"/>
              <w:spacing w:line="240" w:lineRule="auto"/>
              <w:ind w:firstLine="0"/>
            </w:pPr>
            <w:r>
              <w:t>TBD</w:t>
            </w:r>
          </w:p>
        </w:tc>
        <w:tc>
          <w:tcPr>
            <w:tcW w:w="1710" w:type="dxa"/>
          </w:tcPr>
          <w:p w14:paraId="243ED1FF" w14:textId="3F3A1446" w:rsidR="005B652A" w:rsidRDefault="005B652A" w:rsidP="005B652A">
            <w:pPr>
              <w:pStyle w:val="standard"/>
              <w:spacing w:line="240" w:lineRule="auto"/>
              <w:ind w:firstLine="0"/>
            </w:pPr>
            <w:r>
              <w:t>TBD</w:t>
            </w:r>
          </w:p>
        </w:tc>
      </w:tr>
      <w:tr w:rsidR="00772F70" w14:paraId="2F16CAC9" w14:textId="77777777" w:rsidTr="00772F70">
        <w:tc>
          <w:tcPr>
            <w:tcW w:w="2155" w:type="dxa"/>
          </w:tcPr>
          <w:p w14:paraId="3281DC1D" w14:textId="69A67ABC" w:rsidR="005B652A" w:rsidRDefault="00F14EF7" w:rsidP="005B652A">
            <w:pPr>
              <w:pStyle w:val="standard"/>
              <w:spacing w:line="240" w:lineRule="auto"/>
              <w:ind w:firstLine="0"/>
            </w:pPr>
            <w:r>
              <w:t xml:space="preserve">Funding </w:t>
            </w:r>
            <w:r w:rsidR="005B652A">
              <w:t>Available for other Qualifying Pro</w:t>
            </w:r>
            <w:r>
              <w:t>jects</w:t>
            </w:r>
            <w:r w:rsidR="007E7C03">
              <w:t>***</w:t>
            </w:r>
            <w:r w:rsidR="00445049">
              <w:t>*</w:t>
            </w:r>
          </w:p>
        </w:tc>
        <w:tc>
          <w:tcPr>
            <w:tcW w:w="1890" w:type="dxa"/>
          </w:tcPr>
          <w:p w14:paraId="3AE613F6" w14:textId="73E10EA6" w:rsidR="005B652A" w:rsidRDefault="005B652A" w:rsidP="005B652A">
            <w:pPr>
              <w:pStyle w:val="standard"/>
              <w:spacing w:line="240" w:lineRule="auto"/>
              <w:ind w:firstLine="0"/>
            </w:pPr>
            <w:r>
              <w:t>$</w:t>
            </w:r>
            <w:r w:rsidR="000A0143">
              <w:t>13</w:t>
            </w:r>
            <w:r w:rsidR="00254F1E">
              <w:t>,</w:t>
            </w:r>
            <w:r w:rsidR="000A0143">
              <w:t>826</w:t>
            </w:r>
            <w:r w:rsidR="007E7C03">
              <w:t>,000</w:t>
            </w:r>
          </w:p>
        </w:tc>
        <w:tc>
          <w:tcPr>
            <w:tcW w:w="1710" w:type="dxa"/>
          </w:tcPr>
          <w:p w14:paraId="27988C86" w14:textId="6F8243C9" w:rsidR="005B652A" w:rsidRDefault="005B652A" w:rsidP="005B652A">
            <w:pPr>
              <w:pStyle w:val="standard"/>
              <w:spacing w:line="240" w:lineRule="auto"/>
              <w:ind w:firstLine="0"/>
            </w:pPr>
            <w:r>
              <w:t>$</w:t>
            </w:r>
            <w:r w:rsidR="002D0B4F">
              <w:t>1</w:t>
            </w:r>
            <w:r w:rsidR="00B832D0">
              <w:t>8</w:t>
            </w:r>
            <w:r w:rsidR="002D0B4F">
              <w:t>,</w:t>
            </w:r>
            <w:r w:rsidR="00B832D0">
              <w:t>752</w:t>
            </w:r>
            <w:r w:rsidR="007E7C03">
              <w:t>,</w:t>
            </w:r>
            <w:r w:rsidR="00B832D0">
              <w:t>6</w:t>
            </w:r>
            <w:r w:rsidR="007E7C03">
              <w:t>00</w:t>
            </w:r>
          </w:p>
        </w:tc>
        <w:tc>
          <w:tcPr>
            <w:tcW w:w="1710" w:type="dxa"/>
          </w:tcPr>
          <w:p w14:paraId="2253C773" w14:textId="2080F83F" w:rsidR="005B652A" w:rsidRDefault="005B652A" w:rsidP="005B652A">
            <w:pPr>
              <w:pStyle w:val="standard"/>
              <w:spacing w:line="240" w:lineRule="auto"/>
              <w:ind w:firstLine="0"/>
            </w:pPr>
            <w:r>
              <w:t>$</w:t>
            </w:r>
            <w:r w:rsidR="00FD0C03">
              <w:t>22</w:t>
            </w:r>
            <w:r w:rsidR="002D0B4F">
              <w:t>,</w:t>
            </w:r>
            <w:r w:rsidR="00FD0C03">
              <w:t>572</w:t>
            </w:r>
            <w:r w:rsidR="007E7C03">
              <w:t>,</w:t>
            </w:r>
            <w:r w:rsidR="00FD0C03">
              <w:t>8</w:t>
            </w:r>
            <w:r w:rsidR="007E7C03">
              <w:t>00</w:t>
            </w:r>
          </w:p>
        </w:tc>
        <w:tc>
          <w:tcPr>
            <w:tcW w:w="1710" w:type="dxa"/>
          </w:tcPr>
          <w:p w14:paraId="0317474B" w14:textId="34483A34" w:rsidR="005B652A" w:rsidRDefault="005B652A" w:rsidP="005B652A">
            <w:pPr>
              <w:pStyle w:val="standard"/>
              <w:spacing w:line="240" w:lineRule="auto"/>
              <w:ind w:firstLine="0"/>
            </w:pPr>
            <w:r>
              <w:t>$</w:t>
            </w:r>
            <w:r w:rsidR="00FD0C03">
              <w:t>26</w:t>
            </w:r>
            <w:r w:rsidR="002D0B4F">
              <w:t>,</w:t>
            </w:r>
            <w:r w:rsidR="00FD0C03">
              <w:t>189</w:t>
            </w:r>
            <w:r w:rsidR="007E7C03">
              <w:t>,</w:t>
            </w:r>
            <w:r w:rsidR="00FD0C03">
              <w:t>5</w:t>
            </w:r>
            <w:r w:rsidR="007E7C03">
              <w:t>00</w:t>
            </w:r>
          </w:p>
        </w:tc>
      </w:tr>
    </w:tbl>
    <w:p w14:paraId="5C6380F7" w14:textId="36B2AD2B" w:rsidR="00EF407B" w:rsidRPr="007C1522" w:rsidRDefault="00F173AA" w:rsidP="00356BD1">
      <w:pPr>
        <w:pStyle w:val="standard"/>
        <w:spacing w:after="120" w:line="240" w:lineRule="auto"/>
        <w:ind w:right="720" w:firstLine="0"/>
        <w:rPr>
          <w:sz w:val="22"/>
          <w:szCs w:val="24"/>
        </w:rPr>
      </w:pPr>
      <w:r w:rsidRPr="007C1522">
        <w:rPr>
          <w:sz w:val="22"/>
          <w:szCs w:val="24"/>
        </w:rPr>
        <w:t>* 2019 budget</w:t>
      </w:r>
      <w:r w:rsidR="00772F70" w:rsidRPr="007C1522">
        <w:rPr>
          <w:sz w:val="22"/>
          <w:szCs w:val="24"/>
        </w:rPr>
        <w:t xml:space="preserve"> numbers</w:t>
      </w:r>
      <w:r w:rsidRPr="007C1522">
        <w:rPr>
          <w:sz w:val="22"/>
          <w:szCs w:val="24"/>
        </w:rPr>
        <w:t xml:space="preserve"> reflect set</w:t>
      </w:r>
      <w:r w:rsidR="00ED3E8A" w:rsidRPr="007C1522">
        <w:rPr>
          <w:sz w:val="22"/>
          <w:szCs w:val="24"/>
        </w:rPr>
        <w:noBreakHyphen/>
      </w:r>
      <w:r w:rsidRPr="007C1522">
        <w:rPr>
          <w:sz w:val="22"/>
          <w:szCs w:val="24"/>
        </w:rPr>
        <w:t xml:space="preserve">asides approved in </w:t>
      </w:r>
      <w:r w:rsidR="00B464BE" w:rsidRPr="007C1522">
        <w:rPr>
          <w:sz w:val="22"/>
          <w:szCs w:val="24"/>
        </w:rPr>
        <w:t xml:space="preserve">SCE’s </w:t>
      </w:r>
      <w:r w:rsidRPr="007C1522">
        <w:rPr>
          <w:sz w:val="22"/>
          <w:szCs w:val="24"/>
        </w:rPr>
        <w:t xml:space="preserve">2019 ERRA </w:t>
      </w:r>
      <w:r w:rsidR="00EF3A23" w:rsidRPr="007C1522">
        <w:rPr>
          <w:sz w:val="22"/>
          <w:szCs w:val="24"/>
        </w:rPr>
        <w:t>Forecast A</w:t>
      </w:r>
      <w:r w:rsidRPr="007C1522">
        <w:rPr>
          <w:sz w:val="22"/>
          <w:szCs w:val="24"/>
        </w:rPr>
        <w:t>pplication</w:t>
      </w:r>
      <w:r w:rsidR="00EF3A23" w:rsidRPr="007C1522">
        <w:rPr>
          <w:sz w:val="22"/>
          <w:szCs w:val="24"/>
        </w:rPr>
        <w:t xml:space="preserve"> 18</w:t>
      </w:r>
      <w:r w:rsidR="00ED3E8A" w:rsidRPr="007C1522">
        <w:rPr>
          <w:sz w:val="22"/>
          <w:szCs w:val="24"/>
        </w:rPr>
        <w:noBreakHyphen/>
      </w:r>
      <w:r w:rsidR="00EF3A23" w:rsidRPr="007C1522">
        <w:rPr>
          <w:sz w:val="22"/>
          <w:szCs w:val="24"/>
        </w:rPr>
        <w:t>05</w:t>
      </w:r>
      <w:r w:rsidR="00ED3E8A" w:rsidRPr="007C1522">
        <w:rPr>
          <w:sz w:val="22"/>
          <w:szCs w:val="24"/>
        </w:rPr>
        <w:noBreakHyphen/>
      </w:r>
      <w:r w:rsidR="00EF3A23" w:rsidRPr="007C1522">
        <w:rPr>
          <w:sz w:val="22"/>
          <w:szCs w:val="24"/>
        </w:rPr>
        <w:t>003</w:t>
      </w:r>
      <w:r w:rsidRPr="007C1522">
        <w:rPr>
          <w:sz w:val="22"/>
          <w:szCs w:val="24"/>
        </w:rPr>
        <w:t>. (D.19</w:t>
      </w:r>
      <w:r w:rsidR="00ED3E8A" w:rsidRPr="007C1522">
        <w:rPr>
          <w:sz w:val="22"/>
          <w:szCs w:val="24"/>
        </w:rPr>
        <w:noBreakHyphen/>
      </w:r>
      <w:r w:rsidRPr="007C1522">
        <w:rPr>
          <w:sz w:val="22"/>
          <w:szCs w:val="24"/>
        </w:rPr>
        <w:t>02</w:t>
      </w:r>
      <w:r w:rsidR="00ED3E8A" w:rsidRPr="007C1522">
        <w:rPr>
          <w:sz w:val="22"/>
          <w:szCs w:val="24"/>
        </w:rPr>
        <w:noBreakHyphen/>
      </w:r>
      <w:r w:rsidRPr="007C1522">
        <w:rPr>
          <w:sz w:val="22"/>
          <w:szCs w:val="24"/>
        </w:rPr>
        <w:t>024 at 16.)</w:t>
      </w:r>
    </w:p>
    <w:p w14:paraId="6030E475" w14:textId="0B7F7C6A" w:rsidR="00EF407B" w:rsidRPr="007C1522" w:rsidRDefault="007E7C03" w:rsidP="007C1522">
      <w:pPr>
        <w:pStyle w:val="standard"/>
        <w:spacing w:after="120" w:line="240" w:lineRule="auto"/>
        <w:ind w:right="720" w:firstLine="0"/>
        <w:rPr>
          <w:sz w:val="22"/>
          <w:szCs w:val="24"/>
        </w:rPr>
      </w:pPr>
      <w:r w:rsidRPr="007C1522">
        <w:rPr>
          <w:sz w:val="22"/>
          <w:szCs w:val="24"/>
        </w:rPr>
        <w:t>**</w:t>
      </w:r>
      <w:r w:rsidR="00EF407B" w:rsidRPr="007C1522">
        <w:rPr>
          <w:sz w:val="22"/>
          <w:szCs w:val="24"/>
        </w:rPr>
        <w:t xml:space="preserve"> </w:t>
      </w:r>
      <w:r w:rsidR="005351C6" w:rsidRPr="007C1522">
        <w:rPr>
          <w:sz w:val="22"/>
          <w:szCs w:val="24"/>
        </w:rPr>
        <w:t>Projected SOMAH budgets for 2020</w:t>
      </w:r>
      <w:r w:rsidR="00ED3E8A" w:rsidRPr="007C1522">
        <w:rPr>
          <w:sz w:val="22"/>
          <w:szCs w:val="24"/>
        </w:rPr>
        <w:noBreakHyphen/>
      </w:r>
      <w:r w:rsidR="005351C6" w:rsidRPr="007C1522">
        <w:rPr>
          <w:sz w:val="22"/>
          <w:szCs w:val="24"/>
        </w:rPr>
        <w:t>2022 reflect 10% of the</w:t>
      </w:r>
      <w:r w:rsidR="00561D3C" w:rsidRPr="007C1522">
        <w:rPr>
          <w:sz w:val="22"/>
          <w:szCs w:val="24"/>
        </w:rPr>
        <w:t xml:space="preserve"> projected</w:t>
      </w:r>
      <w:r w:rsidR="005351C6" w:rsidRPr="007C1522">
        <w:rPr>
          <w:sz w:val="22"/>
          <w:szCs w:val="24"/>
        </w:rPr>
        <w:t xml:space="preserve"> proceeds from the sale of GHG allowances per D.17</w:t>
      </w:r>
      <w:r w:rsidR="00ED3E8A" w:rsidRPr="007C1522">
        <w:rPr>
          <w:sz w:val="22"/>
          <w:szCs w:val="24"/>
        </w:rPr>
        <w:noBreakHyphen/>
      </w:r>
      <w:r w:rsidR="005351C6" w:rsidRPr="007C1522">
        <w:rPr>
          <w:sz w:val="22"/>
          <w:szCs w:val="24"/>
        </w:rPr>
        <w:t>12</w:t>
      </w:r>
      <w:r w:rsidR="00ED3E8A" w:rsidRPr="007C1522">
        <w:rPr>
          <w:sz w:val="22"/>
          <w:szCs w:val="24"/>
        </w:rPr>
        <w:noBreakHyphen/>
      </w:r>
      <w:r w:rsidR="005351C6" w:rsidRPr="007C1522">
        <w:rPr>
          <w:sz w:val="22"/>
          <w:szCs w:val="24"/>
        </w:rPr>
        <w:t>022 Ordering Paragraph</w:t>
      </w:r>
      <w:r w:rsidR="00EE1183" w:rsidRPr="007C1522">
        <w:rPr>
          <w:sz w:val="22"/>
          <w:szCs w:val="24"/>
        </w:rPr>
        <w:t xml:space="preserve"> (OP)</w:t>
      </w:r>
      <w:r w:rsidR="005351C6" w:rsidRPr="007C1522">
        <w:rPr>
          <w:sz w:val="22"/>
          <w:szCs w:val="24"/>
        </w:rPr>
        <w:t xml:space="preserve"> 4. </w:t>
      </w:r>
      <w:r w:rsidR="00C85674" w:rsidRPr="007C1522">
        <w:rPr>
          <w:sz w:val="22"/>
          <w:szCs w:val="24"/>
        </w:rPr>
        <w:t xml:space="preserve"> Where the 10% set aside for the SOMAH budget collectively exceeds $100 million for PG&amp;E, SCE and SDG&amp;E, the SOMAH budget will be adjusted to within the $100 million budget</w:t>
      </w:r>
      <w:r w:rsidR="00E21A92" w:rsidRPr="007C1522">
        <w:rPr>
          <w:sz w:val="22"/>
          <w:szCs w:val="24"/>
        </w:rPr>
        <w:t xml:space="preserve"> cap</w:t>
      </w:r>
      <w:r w:rsidR="00C85674" w:rsidRPr="007C1522">
        <w:rPr>
          <w:sz w:val="22"/>
          <w:szCs w:val="24"/>
        </w:rPr>
        <w:t xml:space="preserve">. </w:t>
      </w:r>
      <w:r w:rsidR="007C1522">
        <w:rPr>
          <w:sz w:val="22"/>
          <w:szCs w:val="24"/>
        </w:rPr>
        <w:t xml:space="preserve"> </w:t>
      </w:r>
      <w:r w:rsidR="00C85674" w:rsidRPr="007C1522">
        <w:rPr>
          <w:sz w:val="22"/>
          <w:szCs w:val="24"/>
        </w:rPr>
        <w:t>(</w:t>
      </w:r>
      <w:r w:rsidR="00EE1183" w:rsidRPr="007C1522">
        <w:rPr>
          <w:sz w:val="22"/>
          <w:szCs w:val="24"/>
        </w:rPr>
        <w:t>D.17</w:t>
      </w:r>
      <w:r w:rsidR="00ED3E8A" w:rsidRPr="007C1522">
        <w:rPr>
          <w:sz w:val="22"/>
          <w:szCs w:val="24"/>
        </w:rPr>
        <w:noBreakHyphen/>
      </w:r>
      <w:r w:rsidR="00EE1183" w:rsidRPr="007C1522">
        <w:rPr>
          <w:sz w:val="22"/>
          <w:szCs w:val="24"/>
        </w:rPr>
        <w:t>12</w:t>
      </w:r>
      <w:r w:rsidR="00ED3E8A" w:rsidRPr="007C1522">
        <w:rPr>
          <w:sz w:val="22"/>
          <w:szCs w:val="24"/>
        </w:rPr>
        <w:noBreakHyphen/>
      </w:r>
      <w:r w:rsidR="00EE1183" w:rsidRPr="007C1522">
        <w:rPr>
          <w:sz w:val="22"/>
          <w:szCs w:val="24"/>
        </w:rPr>
        <w:t>022 at 69</w:t>
      </w:r>
      <w:r w:rsidR="00ED3E8A" w:rsidRPr="007C1522">
        <w:rPr>
          <w:sz w:val="22"/>
          <w:szCs w:val="24"/>
        </w:rPr>
        <w:noBreakHyphen/>
      </w:r>
      <w:r w:rsidR="00EE1183" w:rsidRPr="007C1522">
        <w:rPr>
          <w:sz w:val="22"/>
          <w:szCs w:val="24"/>
        </w:rPr>
        <w:t xml:space="preserve">70 (OP 7); </w:t>
      </w:r>
      <w:r w:rsidR="00C85674" w:rsidRPr="007C1522">
        <w:rPr>
          <w:sz w:val="22"/>
          <w:szCs w:val="24"/>
        </w:rPr>
        <w:t>D.19</w:t>
      </w:r>
      <w:r w:rsidR="00ED3E8A" w:rsidRPr="007C1522">
        <w:rPr>
          <w:sz w:val="22"/>
          <w:szCs w:val="24"/>
        </w:rPr>
        <w:noBreakHyphen/>
      </w:r>
      <w:r w:rsidR="00C85674" w:rsidRPr="007C1522">
        <w:rPr>
          <w:sz w:val="22"/>
          <w:szCs w:val="24"/>
        </w:rPr>
        <w:t>03</w:t>
      </w:r>
      <w:r w:rsidR="00ED3E8A" w:rsidRPr="007C1522">
        <w:rPr>
          <w:sz w:val="22"/>
          <w:szCs w:val="24"/>
        </w:rPr>
        <w:noBreakHyphen/>
      </w:r>
      <w:r w:rsidR="00C85674" w:rsidRPr="007C1522">
        <w:rPr>
          <w:sz w:val="22"/>
          <w:szCs w:val="24"/>
        </w:rPr>
        <w:t>015</w:t>
      </w:r>
      <w:r w:rsidR="000E30F0" w:rsidRPr="007C1522">
        <w:rPr>
          <w:sz w:val="22"/>
          <w:szCs w:val="24"/>
        </w:rPr>
        <w:t xml:space="preserve"> at 2</w:t>
      </w:r>
      <w:r w:rsidR="008D35B6" w:rsidRPr="007C1522">
        <w:rPr>
          <w:sz w:val="22"/>
          <w:szCs w:val="24"/>
        </w:rPr>
        <w:t>.</w:t>
      </w:r>
      <w:r w:rsidR="00C85674" w:rsidRPr="007C1522">
        <w:rPr>
          <w:sz w:val="22"/>
          <w:szCs w:val="24"/>
        </w:rPr>
        <w:t xml:space="preserve">)  The </w:t>
      </w:r>
      <w:r w:rsidR="00E157CA" w:rsidRPr="007C1522">
        <w:rPr>
          <w:sz w:val="22"/>
          <w:szCs w:val="24"/>
        </w:rPr>
        <w:t>p</w:t>
      </w:r>
      <w:r w:rsidR="00EF407B" w:rsidRPr="007C1522">
        <w:rPr>
          <w:sz w:val="22"/>
          <w:szCs w:val="24"/>
        </w:rPr>
        <w:t xml:space="preserve">rojected SOMAH budgets beyond </w:t>
      </w:r>
      <w:r w:rsidR="004D0FB3" w:rsidRPr="007C1522">
        <w:rPr>
          <w:sz w:val="22"/>
          <w:szCs w:val="24"/>
        </w:rPr>
        <w:t>fiscal year (</w:t>
      </w:r>
      <w:r w:rsidR="00BF2106" w:rsidRPr="007C1522">
        <w:rPr>
          <w:sz w:val="22"/>
          <w:szCs w:val="24"/>
        </w:rPr>
        <w:t>FY</w:t>
      </w:r>
      <w:r w:rsidR="004D0FB3" w:rsidRPr="007C1522">
        <w:rPr>
          <w:sz w:val="22"/>
          <w:szCs w:val="24"/>
        </w:rPr>
        <w:t>)</w:t>
      </w:r>
      <w:r w:rsidR="00BF2106" w:rsidRPr="007C1522">
        <w:rPr>
          <w:sz w:val="22"/>
          <w:szCs w:val="24"/>
        </w:rPr>
        <w:t xml:space="preserve"> 2019</w:t>
      </w:r>
      <w:r w:rsidR="00ED3E8A" w:rsidRPr="007C1522">
        <w:rPr>
          <w:sz w:val="22"/>
          <w:szCs w:val="24"/>
        </w:rPr>
        <w:noBreakHyphen/>
      </w:r>
      <w:r w:rsidR="00EF407B" w:rsidRPr="007C1522">
        <w:rPr>
          <w:sz w:val="22"/>
          <w:szCs w:val="24"/>
        </w:rPr>
        <w:t xml:space="preserve">2020 assume the Commission continues to </w:t>
      </w:r>
      <w:r w:rsidR="004D0FB3" w:rsidRPr="007C1522">
        <w:rPr>
          <w:sz w:val="22"/>
          <w:szCs w:val="24"/>
        </w:rPr>
        <w:t>authorize SOMAH</w:t>
      </w:r>
      <w:r w:rsidR="00EF407B" w:rsidRPr="007C1522">
        <w:rPr>
          <w:sz w:val="22"/>
          <w:szCs w:val="24"/>
        </w:rPr>
        <w:t xml:space="preserve"> through</w:t>
      </w:r>
      <w:r w:rsidR="0049664C" w:rsidRPr="007C1522">
        <w:rPr>
          <w:sz w:val="22"/>
          <w:szCs w:val="24"/>
        </w:rPr>
        <w:t xml:space="preserve"> FY 2025</w:t>
      </w:r>
      <w:r w:rsidR="00ED3E8A" w:rsidRPr="007C1522">
        <w:rPr>
          <w:sz w:val="22"/>
          <w:szCs w:val="24"/>
        </w:rPr>
        <w:noBreakHyphen/>
      </w:r>
      <w:r w:rsidR="0049664C" w:rsidRPr="007C1522">
        <w:rPr>
          <w:sz w:val="22"/>
          <w:szCs w:val="24"/>
        </w:rPr>
        <w:t>2026</w:t>
      </w:r>
      <w:r w:rsidR="002770C7" w:rsidRPr="007C1522">
        <w:rPr>
          <w:sz w:val="22"/>
          <w:szCs w:val="24"/>
        </w:rPr>
        <w:t>.</w:t>
      </w:r>
      <w:r w:rsidR="00D0319F" w:rsidRPr="007C1522">
        <w:rPr>
          <w:sz w:val="22"/>
          <w:szCs w:val="24"/>
        </w:rPr>
        <w:t xml:space="preserve">  </w:t>
      </w:r>
    </w:p>
    <w:p w14:paraId="3944CFD2" w14:textId="46FD84A7" w:rsidR="00445049" w:rsidRPr="007C1522" w:rsidRDefault="00794DF2" w:rsidP="007C1522">
      <w:pPr>
        <w:pStyle w:val="standard"/>
        <w:spacing w:after="120" w:line="240" w:lineRule="auto"/>
        <w:ind w:right="720" w:firstLine="0"/>
        <w:rPr>
          <w:sz w:val="22"/>
          <w:szCs w:val="24"/>
        </w:rPr>
      </w:pPr>
      <w:r w:rsidRPr="007C1522">
        <w:rPr>
          <w:sz w:val="22"/>
          <w:szCs w:val="24"/>
        </w:rPr>
        <w:t xml:space="preserve">*** The </w:t>
      </w:r>
      <w:r w:rsidR="005351C6" w:rsidRPr="007C1522">
        <w:rPr>
          <w:sz w:val="22"/>
          <w:szCs w:val="24"/>
        </w:rPr>
        <w:t xml:space="preserve">2019 </w:t>
      </w:r>
      <w:r w:rsidRPr="007C1522">
        <w:rPr>
          <w:sz w:val="22"/>
          <w:szCs w:val="24"/>
        </w:rPr>
        <w:t>SOMAH budget reflects $40.854 million set</w:t>
      </w:r>
      <w:r w:rsidR="00ED3E8A" w:rsidRPr="007C1522">
        <w:rPr>
          <w:sz w:val="22"/>
          <w:szCs w:val="24"/>
        </w:rPr>
        <w:noBreakHyphen/>
      </w:r>
      <w:r w:rsidRPr="007C1522">
        <w:rPr>
          <w:sz w:val="22"/>
          <w:szCs w:val="24"/>
        </w:rPr>
        <w:t xml:space="preserve">aside for SOMAH </w:t>
      </w:r>
      <w:r w:rsidR="008E0890" w:rsidRPr="007C1522">
        <w:rPr>
          <w:sz w:val="22"/>
          <w:szCs w:val="24"/>
        </w:rPr>
        <w:t xml:space="preserve">in </w:t>
      </w:r>
      <w:r w:rsidR="00BD1489" w:rsidRPr="007C1522">
        <w:rPr>
          <w:sz w:val="22"/>
          <w:szCs w:val="24"/>
        </w:rPr>
        <w:t xml:space="preserve">SCE’s </w:t>
      </w:r>
      <w:r w:rsidR="008E0890" w:rsidRPr="007C1522">
        <w:rPr>
          <w:sz w:val="22"/>
          <w:szCs w:val="24"/>
        </w:rPr>
        <w:t>2019</w:t>
      </w:r>
      <w:r w:rsidR="00BD1489" w:rsidRPr="007C1522">
        <w:rPr>
          <w:sz w:val="22"/>
          <w:szCs w:val="24"/>
        </w:rPr>
        <w:t xml:space="preserve"> ERRA Forecast</w:t>
      </w:r>
      <w:r w:rsidRPr="007C1522">
        <w:rPr>
          <w:sz w:val="22"/>
          <w:szCs w:val="24"/>
        </w:rPr>
        <w:t>. (</w:t>
      </w:r>
      <w:r w:rsidR="002F4D0A" w:rsidRPr="007C1522">
        <w:rPr>
          <w:sz w:val="22"/>
          <w:szCs w:val="24"/>
        </w:rPr>
        <w:t>D.19</w:t>
      </w:r>
      <w:r w:rsidR="00ED3E8A" w:rsidRPr="007C1522">
        <w:rPr>
          <w:sz w:val="22"/>
          <w:szCs w:val="24"/>
        </w:rPr>
        <w:noBreakHyphen/>
      </w:r>
      <w:r w:rsidR="002F4D0A" w:rsidRPr="007C1522">
        <w:rPr>
          <w:sz w:val="22"/>
          <w:szCs w:val="24"/>
        </w:rPr>
        <w:t>02</w:t>
      </w:r>
      <w:r w:rsidR="00ED3E8A" w:rsidRPr="007C1522">
        <w:rPr>
          <w:sz w:val="22"/>
          <w:szCs w:val="24"/>
        </w:rPr>
        <w:noBreakHyphen/>
      </w:r>
      <w:r w:rsidR="002F4D0A" w:rsidRPr="007C1522">
        <w:rPr>
          <w:sz w:val="22"/>
          <w:szCs w:val="24"/>
        </w:rPr>
        <w:t>024 at 19</w:t>
      </w:r>
      <w:r w:rsidR="00596E05" w:rsidRPr="007C1522">
        <w:rPr>
          <w:sz w:val="22"/>
          <w:szCs w:val="24"/>
        </w:rPr>
        <w:t>.</w:t>
      </w:r>
      <w:r w:rsidR="002F4D0A" w:rsidRPr="007C1522">
        <w:rPr>
          <w:sz w:val="22"/>
          <w:szCs w:val="24"/>
        </w:rPr>
        <w:t>)</w:t>
      </w:r>
    </w:p>
    <w:p w14:paraId="1F32CB6F" w14:textId="643998BF" w:rsidR="00E92A0C" w:rsidRPr="007C1522" w:rsidRDefault="00445049" w:rsidP="007C1522">
      <w:pPr>
        <w:pStyle w:val="standard"/>
        <w:spacing w:after="120" w:line="240" w:lineRule="auto"/>
        <w:ind w:right="720" w:firstLine="0"/>
        <w:rPr>
          <w:sz w:val="22"/>
          <w:szCs w:val="24"/>
        </w:rPr>
      </w:pPr>
      <w:r w:rsidRPr="007C1522">
        <w:rPr>
          <w:sz w:val="22"/>
          <w:szCs w:val="24"/>
        </w:rPr>
        <w:t>****</w:t>
      </w:r>
      <w:r w:rsidR="00E92A0C" w:rsidRPr="007C1522">
        <w:rPr>
          <w:sz w:val="22"/>
          <w:szCs w:val="24"/>
        </w:rPr>
        <w:t xml:space="preserve">Available funding </w:t>
      </w:r>
      <w:r w:rsidR="00FA5ED9" w:rsidRPr="007C1522">
        <w:rPr>
          <w:sz w:val="22"/>
          <w:szCs w:val="24"/>
        </w:rPr>
        <w:t>for other qualified projects is based on available budgets for approved programs, and may be reduced by the amount of budget set</w:t>
      </w:r>
      <w:r w:rsidR="00ED3E8A" w:rsidRPr="007C1522">
        <w:rPr>
          <w:sz w:val="22"/>
          <w:szCs w:val="24"/>
        </w:rPr>
        <w:noBreakHyphen/>
      </w:r>
      <w:r w:rsidR="00FA5ED9" w:rsidRPr="007C1522">
        <w:rPr>
          <w:sz w:val="22"/>
          <w:szCs w:val="24"/>
        </w:rPr>
        <w:t>aside for the DAC</w:t>
      </w:r>
      <w:r w:rsidR="00ED3E8A" w:rsidRPr="007C1522">
        <w:rPr>
          <w:sz w:val="22"/>
          <w:szCs w:val="24"/>
        </w:rPr>
        <w:noBreakHyphen/>
      </w:r>
      <w:r w:rsidR="00FA5ED9" w:rsidRPr="007C1522">
        <w:rPr>
          <w:sz w:val="22"/>
          <w:szCs w:val="24"/>
        </w:rPr>
        <w:t>GT and CSGT program</w:t>
      </w:r>
      <w:r w:rsidR="00BF61DF" w:rsidRPr="007C1522">
        <w:rPr>
          <w:sz w:val="22"/>
          <w:szCs w:val="24"/>
        </w:rPr>
        <w:t xml:space="preserve"> from</w:t>
      </w:r>
      <w:r w:rsidR="00FA5ED9" w:rsidRPr="007C1522">
        <w:rPr>
          <w:sz w:val="22"/>
          <w:szCs w:val="24"/>
        </w:rPr>
        <w:t xml:space="preserve"> 2020</w:t>
      </w:r>
      <w:r w:rsidR="00ED3E8A" w:rsidRPr="007C1522">
        <w:rPr>
          <w:sz w:val="22"/>
          <w:szCs w:val="24"/>
        </w:rPr>
        <w:noBreakHyphen/>
      </w:r>
      <w:r w:rsidR="00FA5ED9" w:rsidRPr="007C1522">
        <w:rPr>
          <w:sz w:val="22"/>
          <w:szCs w:val="24"/>
        </w:rPr>
        <w:t xml:space="preserve">2022. </w:t>
      </w:r>
    </w:p>
    <w:p w14:paraId="5895C127" w14:textId="6BFBEB55" w:rsidR="00564C38" w:rsidRDefault="00564C38" w:rsidP="00564C38">
      <w:pPr>
        <w:pStyle w:val="standard"/>
      </w:pPr>
      <w:r>
        <w:t>The DAC</w:t>
      </w:r>
      <w:r w:rsidR="00ED3E8A">
        <w:noBreakHyphen/>
      </w:r>
      <w:r>
        <w:t>SASH program has an annual budget of $10 million, to be apportioned between Pacific Gas and Electric Company (PG&amp;E), SCE and San Diego Gas and Electric Company.</w:t>
      </w:r>
      <w:r w:rsidR="000056FC">
        <w:rPr>
          <w:rStyle w:val="FootnoteReference"/>
        </w:rPr>
        <w:footnoteReference w:id="48"/>
      </w:r>
      <w:r>
        <w:t xml:space="preserve">  </w:t>
      </w:r>
      <w:r w:rsidR="003516DB">
        <w:t>SCE’s portion of the annual DAC</w:t>
      </w:r>
      <w:r w:rsidR="00ED3E8A">
        <w:noBreakHyphen/>
      </w:r>
      <w:r w:rsidR="003516DB">
        <w:t>SASH budget is $</w:t>
      </w:r>
      <w:r w:rsidR="007A74FC">
        <w:t>4.6</w:t>
      </w:r>
      <w:r w:rsidR="003516DB">
        <w:t xml:space="preserve"> million.</w:t>
      </w:r>
      <w:r w:rsidR="00FB1E76">
        <w:rPr>
          <w:rStyle w:val="FootnoteReference"/>
        </w:rPr>
        <w:footnoteReference w:id="49"/>
      </w:r>
      <w:r w:rsidR="003516DB">
        <w:t xml:space="preserve">  </w:t>
      </w:r>
      <w:r w:rsidR="0025626C">
        <w:t>Neither</w:t>
      </w:r>
      <w:r>
        <w:t xml:space="preserve"> the DAC</w:t>
      </w:r>
      <w:r w:rsidR="00ED3E8A">
        <w:noBreakHyphen/>
      </w:r>
      <w:r>
        <w:t xml:space="preserve">GT </w:t>
      </w:r>
      <w:r w:rsidR="0025626C">
        <w:t>nor the</w:t>
      </w:r>
      <w:r>
        <w:t xml:space="preserve"> CSGT</w:t>
      </w:r>
      <w:r w:rsidR="006B0127">
        <w:t xml:space="preserve"> program has</w:t>
      </w:r>
      <w:r w:rsidR="00B71B48">
        <w:t xml:space="preserve"> </w:t>
      </w:r>
      <w:r w:rsidR="006B0127">
        <w:t>a</w:t>
      </w:r>
      <w:r w:rsidR="00B71B48">
        <w:t xml:space="preserve"> set </w:t>
      </w:r>
      <w:r w:rsidR="00E02D85">
        <w:t xml:space="preserve">annual </w:t>
      </w:r>
      <w:r w:rsidR="00B71B48">
        <w:t>budget</w:t>
      </w:r>
      <w:r w:rsidR="002A0DE5">
        <w:t xml:space="preserve">, </w:t>
      </w:r>
      <w:r w:rsidR="003771D0">
        <w:t>and</w:t>
      </w:r>
      <w:r w:rsidR="00B71B48">
        <w:t xml:space="preserve"> </w:t>
      </w:r>
      <w:r w:rsidR="002A0DE5">
        <w:t>both programs</w:t>
      </w:r>
      <w:r w:rsidR="00B71B48">
        <w:t xml:space="preserve"> </w:t>
      </w:r>
      <w:r>
        <w:t xml:space="preserve">are funded by “available funding” within the Pub. Util. Code </w:t>
      </w:r>
      <w:r>
        <w:rPr>
          <w:rFonts w:ascii="Book Antiqua" w:hAnsi="Book Antiqua"/>
        </w:rPr>
        <w:t>§</w:t>
      </w:r>
      <w:r>
        <w:t xml:space="preserve"> 74</w:t>
      </w:r>
      <w:r w:rsidR="00404CD7">
        <w:t>8.</w:t>
      </w:r>
      <w:r>
        <w:t>5(c) set</w:t>
      </w:r>
      <w:r w:rsidR="00ED3E8A">
        <w:noBreakHyphen/>
      </w:r>
      <w:r>
        <w:t>aside of Cap</w:t>
      </w:r>
      <w:r w:rsidR="00ED3E8A">
        <w:noBreakHyphen/>
      </w:r>
      <w:r>
        <w:t>and</w:t>
      </w:r>
      <w:r w:rsidR="00ED3E8A">
        <w:noBreakHyphen/>
      </w:r>
      <w:r>
        <w:t xml:space="preserve">Trade funding for </w:t>
      </w:r>
      <w:r w:rsidR="00335E12">
        <w:t>c</w:t>
      </w:r>
      <w:r>
        <w:t xml:space="preserve">lean </w:t>
      </w:r>
      <w:r w:rsidR="00335E12">
        <w:t>e</w:t>
      </w:r>
      <w:r>
        <w:t xml:space="preserve">nergy and </w:t>
      </w:r>
      <w:r w:rsidR="00335E12">
        <w:t>e</w:t>
      </w:r>
      <w:r>
        <w:t xml:space="preserve">nergy </w:t>
      </w:r>
      <w:r w:rsidR="00335E12">
        <w:t>e</w:t>
      </w:r>
      <w:r>
        <w:t>fficiency programs, with remaining program funding requirements for the DAC</w:t>
      </w:r>
      <w:r w:rsidR="00ED3E8A">
        <w:noBreakHyphen/>
      </w:r>
      <w:r>
        <w:t>GT and CSGT programs funded through the Public Purpose Programs.</w:t>
      </w:r>
    </w:p>
    <w:p w14:paraId="041FDF45" w14:textId="6A6F690B" w:rsidR="00564C38" w:rsidRDefault="00564C38" w:rsidP="00564C38">
      <w:pPr>
        <w:pStyle w:val="standard"/>
      </w:pPr>
      <w:r>
        <w:t>The assigned ALJ requested parties comment on the availability of funding for the CEOP in light of the new DAC</w:t>
      </w:r>
      <w:r w:rsidR="00ED3E8A">
        <w:noBreakHyphen/>
      </w:r>
      <w:r>
        <w:t>SASH, DAC</w:t>
      </w:r>
      <w:r w:rsidR="00ED3E8A">
        <w:noBreakHyphen/>
      </w:r>
      <w:r>
        <w:t>GT and CSGT programs approved in D.1</w:t>
      </w:r>
      <w:r w:rsidR="00AB5160">
        <w:t>8</w:t>
      </w:r>
      <w:r w:rsidR="00ED3E8A">
        <w:noBreakHyphen/>
      </w:r>
      <w:r w:rsidR="00AB5160">
        <w:t>06</w:t>
      </w:r>
      <w:r w:rsidR="00ED3E8A">
        <w:noBreakHyphen/>
      </w:r>
      <w:r>
        <w:t>0</w:t>
      </w:r>
      <w:r w:rsidR="00AB5160">
        <w:t>27</w:t>
      </w:r>
      <w:r>
        <w:t xml:space="preserve">, including the </w:t>
      </w:r>
      <w:r w:rsidR="00DF492D">
        <w:t>order</w:t>
      </w:r>
      <w:r>
        <w:t xml:space="preserve"> of funding for CEOP compared to DAC</w:t>
      </w:r>
      <w:r w:rsidR="00ED3E8A">
        <w:noBreakHyphen/>
      </w:r>
      <w:r>
        <w:t xml:space="preserve">GT and CSGT for “available funding.”  The Settling Parties could not come to agreement on this issue under the Settlement Agreement and request the Commission decide the </w:t>
      </w:r>
      <w:r w:rsidR="00DF492D">
        <w:t>order</w:t>
      </w:r>
      <w:r>
        <w:t xml:space="preserve"> of CEOP funding under the current record.  SCE requests the Commission direct a set</w:t>
      </w:r>
      <w:r w:rsidR="00ED3E8A">
        <w:noBreakHyphen/>
      </w:r>
      <w:r>
        <w:t>aside of $20.4 million</w:t>
      </w:r>
      <w:r>
        <w:rPr>
          <w:rStyle w:val="FootnoteReference"/>
        </w:rPr>
        <w:footnoteReference w:id="50"/>
      </w:r>
      <w:r>
        <w:t xml:space="preserve"> for CEOP funding or allow CEOP to follow the SOMAH program in </w:t>
      </w:r>
      <w:r w:rsidR="00D878AE">
        <w:t xml:space="preserve">funding </w:t>
      </w:r>
      <w:r w:rsidR="0037227A">
        <w:t>order</w:t>
      </w:r>
      <w:r>
        <w:t xml:space="preserve"> for allocation of funding to clean energy and energy efficiency programs.  NRDC supports SCE’s funding </w:t>
      </w:r>
      <w:r w:rsidR="004964AD">
        <w:t>order</w:t>
      </w:r>
      <w:r>
        <w:t xml:space="preserve"> proposal “so SCE can make clear and dependable incentive offers to attract participants.”</w:t>
      </w:r>
      <w:r>
        <w:rPr>
          <w:rStyle w:val="FootnoteReference"/>
        </w:rPr>
        <w:footnoteReference w:id="51"/>
      </w:r>
      <w:r>
        <w:t xml:space="preserve">  The Public Advocates Office contends that programs authorized by statute, which include the DAC</w:t>
      </w:r>
      <w:r w:rsidR="00ED3E8A">
        <w:noBreakHyphen/>
      </w:r>
      <w:r>
        <w:t xml:space="preserve">GT and CSGT, should be fully funded and therefore </w:t>
      </w:r>
      <w:r w:rsidR="00267D25">
        <w:t xml:space="preserve">be funded </w:t>
      </w:r>
      <w:r w:rsidR="00631216">
        <w:t>before</w:t>
      </w:r>
      <w:r w:rsidR="00267D25">
        <w:t xml:space="preserve"> </w:t>
      </w:r>
      <w:r>
        <w:t>the CEOP.</w:t>
      </w:r>
    </w:p>
    <w:p w14:paraId="55C51555" w14:textId="433E4177" w:rsidR="00564C38" w:rsidRDefault="00564C38" w:rsidP="00564C38">
      <w:pPr>
        <w:pStyle w:val="standard"/>
      </w:pPr>
      <w:r>
        <w:t xml:space="preserve">Upon consideration, this decision finds that </w:t>
      </w:r>
      <w:r w:rsidR="0048237E">
        <w:t xml:space="preserve">SCE’s portion of </w:t>
      </w:r>
      <w:r>
        <w:t>the DAC</w:t>
      </w:r>
      <w:r w:rsidR="00ED3E8A">
        <w:noBreakHyphen/>
      </w:r>
      <w:r>
        <w:t>SASH program budget is set at $</w:t>
      </w:r>
      <w:r w:rsidR="0048237E">
        <w:t>4.6</w:t>
      </w:r>
      <w:r>
        <w:t xml:space="preserve"> million and this </w:t>
      </w:r>
      <w:r w:rsidR="0048237E">
        <w:t>amount</w:t>
      </w:r>
      <w:r>
        <w:t xml:space="preserve"> is no longer “available” as a source of unused funds.  The Commission grants the CEOP funding </w:t>
      </w:r>
      <w:r w:rsidR="008F43BF">
        <w:t>prior to</w:t>
      </w:r>
      <w:r>
        <w:t xml:space="preserve"> </w:t>
      </w:r>
      <w:r w:rsidR="00307645">
        <w:t xml:space="preserve">funding for </w:t>
      </w:r>
      <w:r>
        <w:t>the DAC</w:t>
      </w:r>
      <w:r w:rsidR="00ED3E8A">
        <w:noBreakHyphen/>
      </w:r>
      <w:r>
        <w:t xml:space="preserve">GT and CSGT programs.  </w:t>
      </w:r>
    </w:p>
    <w:p w14:paraId="7B514A50" w14:textId="7D0DAA41" w:rsidR="001C5110" w:rsidRDefault="00564C38" w:rsidP="00564C38">
      <w:pPr>
        <w:pStyle w:val="standard"/>
      </w:pPr>
      <w:r>
        <w:t>The Commission agrees with SCE and NDRC’s argument that approval of the CEOP should be commensurate with an adequate and predictable funding source, which Public Advocates Office’s proposal does not secure.  Given the relatively short length of the CEOP compared the Commission’s ongoing funding commitment under the DAC</w:t>
      </w:r>
      <w:r w:rsidR="00ED3E8A">
        <w:noBreakHyphen/>
      </w:r>
      <w:r>
        <w:t xml:space="preserve">GT and CSGT programs, </w:t>
      </w:r>
      <w:r w:rsidR="00AB5160">
        <w:t xml:space="preserve">fully </w:t>
      </w:r>
      <w:r>
        <w:t xml:space="preserve"> </w:t>
      </w:r>
      <w:r w:rsidR="00D76F48">
        <w:t>fund</w:t>
      </w:r>
      <w:r>
        <w:t xml:space="preserve"> the CEOP for its four</w:t>
      </w:r>
      <w:r w:rsidR="00ED3E8A">
        <w:noBreakHyphen/>
      </w:r>
      <w:r>
        <w:t xml:space="preserve">year duration </w:t>
      </w:r>
      <w:r w:rsidR="00FA6CD5">
        <w:t>prior to</w:t>
      </w:r>
      <w:r w:rsidR="002B2735">
        <w:t xml:space="preserve"> funding</w:t>
      </w:r>
      <w:r w:rsidR="00FA6CD5">
        <w:t xml:space="preserve"> the DAC</w:t>
      </w:r>
      <w:r w:rsidR="00ED3E8A">
        <w:noBreakHyphen/>
      </w:r>
      <w:r w:rsidR="00FA6CD5">
        <w:t xml:space="preserve">GT and CSGT programs </w:t>
      </w:r>
      <w:r>
        <w:t>will not undermine the legislative intent of AB 327 to increase renewable generation in disadvantaged communities.  The DAC</w:t>
      </w:r>
      <w:r w:rsidR="00ED3E8A">
        <w:noBreakHyphen/>
      </w:r>
      <w:r>
        <w:t xml:space="preserve">GT and CSGT programs’ alternative funding sources further incline the Commission to support funding for the CEOP </w:t>
      </w:r>
      <w:r w:rsidR="00C56E86">
        <w:t>prior to funding</w:t>
      </w:r>
      <w:r>
        <w:t xml:space="preserve"> DAC</w:t>
      </w:r>
      <w:r w:rsidR="00ED3E8A">
        <w:noBreakHyphen/>
      </w:r>
      <w:r>
        <w:t>GT and CSGT.</w:t>
      </w:r>
    </w:p>
    <w:p w14:paraId="68F48E30" w14:textId="6A6AE783" w:rsidR="001F2C9E" w:rsidRDefault="001F2C9E" w:rsidP="001F2C9E">
      <w:pPr>
        <w:pStyle w:val="standard"/>
      </w:pPr>
      <w:r w:rsidRPr="002F0925">
        <w:t>To the extent Cap</w:t>
      </w:r>
      <w:r w:rsidR="00ED3E8A">
        <w:noBreakHyphen/>
      </w:r>
      <w:r w:rsidRPr="002F0925">
        <w:t>and</w:t>
      </w:r>
      <w:r w:rsidR="00ED3E8A">
        <w:noBreakHyphen/>
      </w:r>
      <w:r w:rsidRPr="002F0925">
        <w:t>Trade funding is no longer available for implementation and operation of the DAC</w:t>
      </w:r>
      <w:r w:rsidR="00ED3E8A">
        <w:noBreakHyphen/>
      </w:r>
      <w:r w:rsidRPr="002F0925">
        <w:t>GT or CSGT programs, funding for any remaining portion of these programs will automatically be transitioned to public purpose program surcharge funding as authorized in D.18</w:t>
      </w:r>
      <w:r w:rsidR="00ED3E8A">
        <w:noBreakHyphen/>
      </w:r>
      <w:r w:rsidRPr="002F0925">
        <w:t>06</w:t>
      </w:r>
      <w:r w:rsidR="00ED3E8A">
        <w:noBreakHyphen/>
      </w:r>
      <w:r w:rsidRPr="002F0925">
        <w:t>027.</w:t>
      </w:r>
      <w:r w:rsidR="003105C6" w:rsidRPr="003105C6">
        <w:rPr>
          <w:vertAlign w:val="superscript"/>
        </w:rPr>
        <w:t xml:space="preserve"> </w:t>
      </w:r>
      <w:r w:rsidR="003105C6" w:rsidRPr="006B475E">
        <w:rPr>
          <w:vertAlign w:val="superscript"/>
        </w:rPr>
        <w:footnoteReference w:id="52"/>
      </w:r>
      <w:r w:rsidRPr="002F0925">
        <w:t xml:space="preserve">  All costs will be tracked in the respect company’s appropriate balancing accounts and reviewed in future ERRA proceedings.</w:t>
      </w:r>
      <w:r w:rsidR="00A76BDB">
        <w:rPr>
          <w:rStyle w:val="FootnoteReference"/>
        </w:rPr>
        <w:footnoteReference w:id="53"/>
      </w:r>
    </w:p>
    <w:p w14:paraId="04D051B9" w14:textId="45001086" w:rsidR="00564C38" w:rsidRDefault="008D3614" w:rsidP="00564C38">
      <w:pPr>
        <w:pStyle w:val="standard"/>
      </w:pPr>
      <w:r>
        <w:t>F</w:t>
      </w:r>
      <w:r w:rsidR="00E50A76">
        <w:t>inally,</w:t>
      </w:r>
      <w:r>
        <w:t xml:space="preserve"> </w:t>
      </w:r>
      <w:r w:rsidR="00F35E89">
        <w:t xml:space="preserve">this decision rejects the Public Advocates Office’s </w:t>
      </w:r>
      <w:r w:rsidR="00822879">
        <w:t>proposal to</w:t>
      </w:r>
      <w:r w:rsidR="00AF2FF8">
        <w:t xml:space="preserve"> </w:t>
      </w:r>
      <w:r w:rsidR="00B33A59">
        <w:t>put</w:t>
      </w:r>
      <w:r w:rsidR="00AF2FF8">
        <w:t xml:space="preserve"> </w:t>
      </w:r>
      <w:r w:rsidR="00822879">
        <w:t xml:space="preserve">the </w:t>
      </w:r>
      <w:r w:rsidR="00AF2FF8">
        <w:t>funding order</w:t>
      </w:r>
      <w:r w:rsidR="00004811">
        <w:t xml:space="preserve"> </w:t>
      </w:r>
      <w:r w:rsidR="0090600B">
        <w:t>of projects adopted by statute</w:t>
      </w:r>
      <w:r w:rsidR="00004811">
        <w:t xml:space="preserve"> </w:t>
      </w:r>
      <w:r w:rsidR="00B33A59">
        <w:t xml:space="preserve">before the CEOP </w:t>
      </w:r>
      <w:r w:rsidR="00004811">
        <w:t xml:space="preserve">as </w:t>
      </w:r>
      <w:r w:rsidR="00A03FE7">
        <w:t xml:space="preserve">inconsistent with </w:t>
      </w:r>
      <w:r w:rsidR="00004811">
        <w:t>the Commission</w:t>
      </w:r>
      <w:r w:rsidR="00A03FE7">
        <w:t>’s</w:t>
      </w:r>
      <w:r w:rsidR="00F35E89">
        <w:t xml:space="preserve"> interpretation of</w:t>
      </w:r>
      <w:r>
        <w:t xml:space="preserve"> the </w:t>
      </w:r>
      <w:r w:rsidR="00364F60">
        <w:t>term “authorized by statute”</w:t>
      </w:r>
      <w:r w:rsidR="00004811">
        <w:t xml:space="preserve"> </w:t>
      </w:r>
      <w:r w:rsidR="005D4327">
        <w:t xml:space="preserve">in Pub. Util. Code </w:t>
      </w:r>
      <w:r w:rsidR="005D4327">
        <w:rPr>
          <w:rFonts w:ascii="Book Antiqua" w:hAnsi="Book Antiqua"/>
        </w:rPr>
        <w:t>§</w:t>
      </w:r>
      <w:r w:rsidR="005D4327">
        <w:t xml:space="preserve"> 74</w:t>
      </w:r>
      <w:r w:rsidR="00404CD7">
        <w:t>8.</w:t>
      </w:r>
      <w:r w:rsidR="005D4327">
        <w:t xml:space="preserve">5(c) </w:t>
      </w:r>
      <w:r w:rsidR="00004811">
        <w:t>to</w:t>
      </w:r>
      <w:r w:rsidR="00364F60">
        <w:t xml:space="preserve"> include EE and clean energy programs which may be authorized by the Commission’s broad parameters in statute, </w:t>
      </w:r>
      <w:r w:rsidR="00FF40A0">
        <w:t>since the Commission found</w:t>
      </w:r>
      <w:r w:rsidR="00364F60">
        <w:t xml:space="preserve"> that a restrictive reading of Pub. Util. Code </w:t>
      </w:r>
      <w:r w:rsidR="00364F60">
        <w:rPr>
          <w:rFonts w:ascii="Book Antiqua" w:hAnsi="Book Antiqua"/>
        </w:rPr>
        <w:t>§</w:t>
      </w:r>
      <w:r w:rsidR="00364F60">
        <w:t xml:space="preserve"> 74</w:t>
      </w:r>
      <w:r w:rsidR="00404CD7">
        <w:t>8.</w:t>
      </w:r>
      <w:r w:rsidR="00364F60">
        <w:t>5(c)</w:t>
      </w:r>
      <w:r w:rsidR="00983317">
        <w:t xml:space="preserve"> </w:t>
      </w:r>
      <w:r w:rsidR="00F94C9E">
        <w:t xml:space="preserve">to </w:t>
      </w:r>
      <w:r w:rsidR="00E440BC">
        <w:t xml:space="preserve"> </w:t>
      </w:r>
      <w:r w:rsidR="00F94C9E">
        <w:t>require</w:t>
      </w:r>
      <w:r w:rsidR="008F0692">
        <w:t xml:space="preserve"> every</w:t>
      </w:r>
      <w:r w:rsidR="00364F60">
        <w:t xml:space="preserve"> project funded by the</w:t>
      </w:r>
      <w:r w:rsidR="00E42EEB">
        <w:t xml:space="preserve"> GHG allowance for </w:t>
      </w:r>
      <w:r w:rsidR="00364F60">
        <w:t xml:space="preserve"> EE and clean energy </w:t>
      </w:r>
      <w:r w:rsidR="00E42EEB">
        <w:t>projects</w:t>
      </w:r>
      <w:r w:rsidR="00364F60">
        <w:t xml:space="preserve"> to be </w:t>
      </w:r>
      <w:r w:rsidR="008C55D9">
        <w:t xml:space="preserve">specifically </w:t>
      </w:r>
      <w:r w:rsidR="00364F60">
        <w:t xml:space="preserve">authorized </w:t>
      </w:r>
      <w:r w:rsidR="00CF729C">
        <w:t xml:space="preserve">by </w:t>
      </w:r>
      <w:r w:rsidR="006D4277">
        <w:t>statute</w:t>
      </w:r>
      <w:r w:rsidR="00364F60">
        <w:t xml:space="preserve"> rendered the provision effectively meaningless.</w:t>
      </w:r>
      <w:r w:rsidR="00364F60">
        <w:rPr>
          <w:rStyle w:val="FootnoteReference"/>
        </w:rPr>
        <w:footnoteReference w:id="54"/>
      </w:r>
      <w:r w:rsidR="0088563F">
        <w:t xml:space="preserve">  The Commission recommended </w:t>
      </w:r>
      <w:r w:rsidR="00154F76">
        <w:t xml:space="preserve">projects </w:t>
      </w:r>
      <w:r w:rsidR="0088563F">
        <w:t>funded with GHG allowance revenue have GHG reductions as their primary goal, finding it appropriate to require GHG reductions as a stated and measurable goal of the project.</w:t>
      </w:r>
      <w:r w:rsidR="0088563F">
        <w:rPr>
          <w:rStyle w:val="FootnoteReference"/>
        </w:rPr>
        <w:footnoteReference w:id="55"/>
      </w:r>
      <w:r w:rsidR="0088563F">
        <w:t xml:space="preserve"> </w:t>
      </w:r>
      <w:r w:rsidR="00764952">
        <w:t xml:space="preserve"> The CEOP meets the Commission’s requirements to require GHG reductions as a stated and measurable goal</w:t>
      </w:r>
      <w:r w:rsidR="00C640CC">
        <w:t xml:space="preserve"> and is on equal footing with</w:t>
      </w:r>
      <w:r w:rsidR="007E4111">
        <w:t xml:space="preserve"> projects approved by statute</w:t>
      </w:r>
      <w:r w:rsidR="00510AFF">
        <w:t xml:space="preserve"> which compete for available funding</w:t>
      </w:r>
      <w:r w:rsidR="00764952">
        <w:t>.</w:t>
      </w:r>
    </w:p>
    <w:p w14:paraId="46DBD2A4" w14:textId="16521195" w:rsidR="00564C38" w:rsidRPr="00564C38" w:rsidRDefault="00564C38" w:rsidP="00564C38">
      <w:pPr>
        <w:pStyle w:val="standard"/>
      </w:pPr>
      <w:r>
        <w:t>Accordingly, SCE may set aside up to $10 million annually over the CEOP’s four</w:t>
      </w:r>
      <w:r w:rsidR="00ED3E8A">
        <w:noBreakHyphen/>
      </w:r>
      <w:r>
        <w:t>year duration from available Cap</w:t>
      </w:r>
      <w:r w:rsidR="00ED3E8A">
        <w:noBreakHyphen/>
      </w:r>
      <w:r>
        <w:t>and</w:t>
      </w:r>
      <w:r w:rsidR="00ED3E8A">
        <w:noBreakHyphen/>
      </w:r>
      <w:r>
        <w:t>Trade allowance funds to fully fund the CEOP, with a maximum total set</w:t>
      </w:r>
      <w:r w:rsidR="00ED3E8A">
        <w:noBreakHyphen/>
      </w:r>
      <w:r>
        <w:t>aside of $20.4 million over the program’s duration.  A $10 million annual set</w:t>
      </w:r>
      <w:r w:rsidR="00ED3E8A">
        <w:noBreakHyphen/>
      </w:r>
      <w:r>
        <w:t>aside ceiling will also limit the impact of the CEOP on funding for the DAC</w:t>
      </w:r>
      <w:r w:rsidR="00ED3E8A">
        <w:noBreakHyphen/>
      </w:r>
      <w:r>
        <w:t>GT and CSGT programs.</w:t>
      </w:r>
    </w:p>
    <w:p w14:paraId="7A2CAC66" w14:textId="77777777" w:rsidR="00564C38" w:rsidRDefault="00564C38" w:rsidP="00564C38">
      <w:pPr>
        <w:pStyle w:val="Heading1"/>
      </w:pPr>
      <w:bookmarkStart w:id="12" w:name="_Toc6843661"/>
      <w:r>
        <w:t>CEOP Balancing Account and Budget</w:t>
      </w:r>
      <w:bookmarkEnd w:id="12"/>
    </w:p>
    <w:p w14:paraId="1EDEC88E" w14:textId="6C550224" w:rsidR="00564C38" w:rsidRDefault="00564C38" w:rsidP="00564C38">
      <w:pPr>
        <w:pStyle w:val="standard"/>
      </w:pPr>
      <w:r>
        <w:t>D.14</w:t>
      </w:r>
      <w:r w:rsidR="00ED3E8A">
        <w:noBreakHyphen/>
      </w:r>
      <w:r>
        <w:t>10</w:t>
      </w:r>
      <w:r w:rsidR="00ED3E8A">
        <w:noBreakHyphen/>
      </w:r>
      <w:r>
        <w:t>033 requires utilities seeking approval to use Cap</w:t>
      </w:r>
      <w:r w:rsidR="00ED3E8A">
        <w:noBreakHyphen/>
      </w:r>
      <w:r>
        <w:t>and</w:t>
      </w:r>
      <w:r w:rsidR="00ED3E8A">
        <w:noBreakHyphen/>
      </w:r>
      <w:r>
        <w:t>Trade allowance revenue for clean energy and energy efficiency projects to track recorded expenses in an appropriate balancing account, and requires those expenses to be reflected in the utility’s next ERRA forecast application and reconciled against the recorded Cap</w:t>
      </w:r>
      <w:r w:rsidR="00ED3E8A">
        <w:noBreakHyphen/>
      </w:r>
      <w:r>
        <w:t>and</w:t>
      </w:r>
      <w:r w:rsidR="00ED3E8A">
        <w:noBreakHyphen/>
      </w:r>
      <w:r>
        <w:t>Trade allowance revenues.</w:t>
      </w:r>
      <w:r>
        <w:rPr>
          <w:rStyle w:val="FootnoteReference"/>
        </w:rPr>
        <w:footnoteReference w:id="56"/>
      </w:r>
      <w:r>
        <w:t xml:space="preserve"> </w:t>
      </w:r>
    </w:p>
    <w:p w14:paraId="63C0C108" w14:textId="77777777" w:rsidR="00564C38" w:rsidRDefault="00564C38" w:rsidP="00564C38">
      <w:pPr>
        <w:pStyle w:val="standard"/>
      </w:pPr>
      <w:r>
        <w:t>SCE requests authorization to establish a CEOP balancing account “to record the (1) annual transfer of GHG revenue funds from the GHG Revenue Balancing Account to the CEOP balancing account; (2) actual annual CEOP performance payments; and (3) incremental CEOP program administrative expenses.”</w:t>
      </w:r>
      <w:r>
        <w:rPr>
          <w:rStyle w:val="FootnoteReference"/>
        </w:rPr>
        <w:footnoteReference w:id="57"/>
      </w:r>
      <w:r>
        <w:t xml:space="preserve">  SCE proposes the total program amount not exceed the total authorized amount.</w:t>
      </w:r>
      <w:r>
        <w:rPr>
          <w:rStyle w:val="FootnoteReference"/>
        </w:rPr>
        <w:footnoteReference w:id="58"/>
      </w:r>
      <w:r>
        <w:t xml:space="preserve">  SCE further proposes to return any unspent funds to the GHG Revenue Balancing Account.</w:t>
      </w:r>
      <w:r>
        <w:rPr>
          <w:rStyle w:val="FootnoteReference"/>
        </w:rPr>
        <w:footnoteReference w:id="59"/>
      </w:r>
    </w:p>
    <w:p w14:paraId="74BA3AC0" w14:textId="6C9CE4E0" w:rsidR="00564C38" w:rsidRPr="00564C38" w:rsidRDefault="00564C38" w:rsidP="00564C38">
      <w:pPr>
        <w:pStyle w:val="standard"/>
      </w:pPr>
      <w:r>
        <w:t>SCE’s request to establish the CEOP balancing account to track CEOP project costs to record the balance of funds transferred from the GHG revenue Balancing Account, and to record CEOP performance payments and administrative costs complies with the requirement in D.14</w:t>
      </w:r>
      <w:r w:rsidR="00ED3E8A">
        <w:noBreakHyphen/>
      </w:r>
      <w:r>
        <w:t>10</w:t>
      </w:r>
      <w:r w:rsidR="00ED3E8A">
        <w:noBreakHyphen/>
      </w:r>
      <w:r>
        <w:t>033 to track clean energy and energy efficiency program expenses in an appropriate balancing account; and should be granted.  SCE’s CEOP Balancing Account should be included in SCE’s ERRA proceedings.  The</w:t>
      </w:r>
      <w:r w:rsidR="002B4A62">
        <w:t xml:space="preserve"> CEOP budget is capped at $20.4 </w:t>
      </w:r>
      <w:r>
        <w:t>million.  SCE shall return any unspent CEOP funds to the GHG Revenue Balancing Account.</w:t>
      </w:r>
    </w:p>
    <w:p w14:paraId="276CD8B4" w14:textId="77777777" w:rsidR="00564C38" w:rsidRDefault="00564C38" w:rsidP="00564C38">
      <w:pPr>
        <w:pStyle w:val="Heading1"/>
      </w:pPr>
      <w:bookmarkStart w:id="13" w:name="_Toc6843662"/>
      <w:r>
        <w:t>Disadvantaged Communities</w:t>
      </w:r>
      <w:bookmarkEnd w:id="13"/>
    </w:p>
    <w:p w14:paraId="15C23C19" w14:textId="1718AB7B" w:rsidR="00564C38" w:rsidRDefault="00E657D7" w:rsidP="00564C38">
      <w:pPr>
        <w:pStyle w:val="standard"/>
      </w:pPr>
      <w:r>
        <w:t>T</w:t>
      </w:r>
      <w:r w:rsidR="00564C38">
        <w:t xml:space="preserve">his proceeding considers the </w:t>
      </w:r>
      <w:r>
        <w:t xml:space="preserve">potential </w:t>
      </w:r>
      <w:r w:rsidR="00564C38">
        <w:t>impact of the CEOP on disadvantaged communities</w:t>
      </w:r>
      <w:r w:rsidR="002E41FA">
        <w:t xml:space="preserve"> even though it is not a requirement f</w:t>
      </w:r>
      <w:r w:rsidR="00983317">
        <w:t>or</w:t>
      </w:r>
      <w:r w:rsidR="002E41FA">
        <w:t xml:space="preserve"> approval </w:t>
      </w:r>
      <w:r w:rsidR="00C22E10">
        <w:t>of</w:t>
      </w:r>
      <w:r w:rsidR="001911D1">
        <w:t xml:space="preserve"> </w:t>
      </w:r>
      <w:r w:rsidR="009D6A3A">
        <w:t xml:space="preserve">EE and </w:t>
      </w:r>
      <w:r w:rsidR="001911D1">
        <w:t>clean energy project</w:t>
      </w:r>
      <w:r w:rsidR="00C6046D">
        <w:t>s</w:t>
      </w:r>
      <w:r w:rsidR="001911D1">
        <w:t xml:space="preserve"> </w:t>
      </w:r>
      <w:r w:rsidR="002E41FA">
        <w:t>under D.14</w:t>
      </w:r>
      <w:r w:rsidR="00ED3E8A">
        <w:noBreakHyphen/>
      </w:r>
      <w:r w:rsidR="002E41FA">
        <w:t>10</w:t>
      </w:r>
      <w:r w:rsidR="00ED3E8A">
        <w:noBreakHyphen/>
      </w:r>
      <w:r w:rsidR="002E41FA">
        <w:t>033</w:t>
      </w:r>
      <w:r w:rsidR="00564C38">
        <w:t>.</w:t>
      </w:r>
    </w:p>
    <w:p w14:paraId="57DD8CF1" w14:textId="5ABD29ED" w:rsidR="006078B6" w:rsidRDefault="00BA6106" w:rsidP="00564C38">
      <w:pPr>
        <w:pStyle w:val="standard"/>
      </w:pPr>
      <w:r>
        <w:t xml:space="preserve">Three of the seven campuses </w:t>
      </w:r>
      <w:r w:rsidR="000E603C">
        <w:t>who chose to participate</w:t>
      </w:r>
      <w:r>
        <w:t xml:space="preserve"> </w:t>
      </w:r>
      <w:r w:rsidR="000E603C">
        <w:t>in</w:t>
      </w:r>
      <w:r>
        <w:t xml:space="preserve"> the CEOP are located in disadvantaged communities, including the UC Davis Veterinary School, Cal Poly Pomona and CSU Dominguez Hills.</w:t>
      </w:r>
      <w:r>
        <w:rPr>
          <w:rStyle w:val="FootnoteReference"/>
        </w:rPr>
        <w:footnoteReference w:id="60"/>
      </w:r>
      <w:r>
        <w:t xml:space="preserve">  </w:t>
      </w:r>
      <w:r w:rsidR="00564C38">
        <w:t>SCE explains that “[t]he Pilot Participants [] have widespread locations representing multiple demographics and climate zones, including disadvantaged communities that can be utilized to scale energy saving solutions across multiple locations</w:t>
      </w:r>
      <w:r w:rsidR="00DA2093">
        <w:t>.</w:t>
      </w:r>
    </w:p>
    <w:p w14:paraId="21619F49" w14:textId="77777777" w:rsidR="00564C38" w:rsidRDefault="00564C38" w:rsidP="00564C38">
      <w:pPr>
        <w:pStyle w:val="Heading1"/>
      </w:pPr>
      <w:bookmarkStart w:id="14" w:name="_Toc6843663"/>
      <w:r>
        <w:t>Safety Considerations</w:t>
      </w:r>
      <w:bookmarkEnd w:id="14"/>
    </w:p>
    <w:p w14:paraId="392882CB" w14:textId="55D3D900" w:rsidR="00564C38" w:rsidRPr="00D16D98" w:rsidRDefault="00564C38" w:rsidP="00564C38">
      <w:pPr>
        <w:pStyle w:val="standard"/>
      </w:pPr>
      <w:r w:rsidRPr="00D16D98">
        <w:t>The health and safety impacts of GHGs are among the reasons that the Legislature enacted AB 32.  Specifically, the Legislat</w:t>
      </w:r>
      <w:r>
        <w:t>ur</w:t>
      </w:r>
      <w:r w:rsidRPr="00D16D98">
        <w:t>e found and declared that global warming caused by GHGs “poses a serious threat to the economic well</w:t>
      </w:r>
      <w:r w:rsidR="00ED3E8A">
        <w:noBreakHyphen/>
      </w:r>
      <w:r w:rsidRPr="00D16D98">
        <w:t>being, public health, natural resources, and the environment of California.”  Potential adverse impacts include “the exacerbation of air quality problems, a reduction in the quality and supply of water to the state from the Sierra snowpack, a rise in sea levels resulting in the displacement of thousands of coastal businesses and residences, damage to marine ecosystems and the natural environment, and an increase in the incidences of infectious disease, asthma, and other human health</w:t>
      </w:r>
      <w:r w:rsidR="00ED3E8A">
        <w:noBreakHyphen/>
      </w:r>
      <w:r w:rsidRPr="00D16D98">
        <w:t>related problems.”</w:t>
      </w:r>
      <w:r w:rsidRPr="00D16D98">
        <w:rPr>
          <w:rStyle w:val="FootnoteReference"/>
        </w:rPr>
        <w:footnoteReference w:id="61"/>
      </w:r>
    </w:p>
    <w:p w14:paraId="622E8654" w14:textId="25FE4B1B" w:rsidR="00564C38" w:rsidRDefault="00564C38" w:rsidP="00564C38">
      <w:pPr>
        <w:pStyle w:val="standard"/>
      </w:pPr>
      <w:r w:rsidRPr="00F0659A">
        <w:t>This decision approves a pilot aimed at accelerating the reduction of GHG emissions through</w:t>
      </w:r>
      <w:r w:rsidRPr="00D16D98">
        <w:t xml:space="preserve"> behind</w:t>
      </w:r>
      <w:r w:rsidR="00ED3E8A">
        <w:noBreakHyphen/>
      </w:r>
      <w:r w:rsidRPr="00D16D98">
        <w:t>the</w:t>
      </w:r>
      <w:r w:rsidR="00ED3E8A">
        <w:noBreakHyphen/>
      </w:r>
      <w:r w:rsidRPr="00D16D98">
        <w:t>meter performance incentives, which may be more widely adopted if successful.  Reducing GHG for customers in SCE’s service area through clean energy and energy efficiency programs is a key aspect of the GHG reduction program envisioned by AB 32 and Pub. Util. Code §</w:t>
      </w:r>
      <w:r w:rsidR="00ED3E8A">
        <w:t> </w:t>
      </w:r>
      <w:r w:rsidRPr="00D16D98">
        <w:t>748.5</w:t>
      </w:r>
      <w:r w:rsidR="00404CD7">
        <w:t>(c)</w:t>
      </w:r>
      <w:r w:rsidRPr="00D16D98">
        <w:t xml:space="preserve"> and, as a result, will improve the health and safety of California residents.</w:t>
      </w:r>
    </w:p>
    <w:p w14:paraId="2DE42387" w14:textId="77777777" w:rsidR="00564C38" w:rsidRDefault="00564C38" w:rsidP="00564C38">
      <w:pPr>
        <w:pStyle w:val="Heading1"/>
      </w:pPr>
      <w:bookmarkStart w:id="15" w:name="_Toc6843664"/>
      <w:r>
        <w:t>The Settlement</w:t>
      </w:r>
      <w:bookmarkEnd w:id="15"/>
    </w:p>
    <w:p w14:paraId="2433B1CF" w14:textId="76ED6164" w:rsidR="00564C38" w:rsidRDefault="00564C38" w:rsidP="00564C38">
      <w:pPr>
        <w:pStyle w:val="standard"/>
      </w:pPr>
      <w:r>
        <w:t>The Settlement Agreement</w:t>
      </w:r>
      <w:r w:rsidR="00966BA9">
        <w:t xml:space="preserve">, included as Attachment </w:t>
      </w:r>
      <w:r w:rsidR="00267684">
        <w:t>A</w:t>
      </w:r>
      <w:r w:rsidR="00966BA9">
        <w:t xml:space="preserve"> of this decision,</w:t>
      </w:r>
      <w:r>
        <w:t xml:space="preserve"> resolves all disputes between the Settling Parties with the exception of assigning priority of CEOP funding relative to programs approved in D.18</w:t>
      </w:r>
      <w:r w:rsidR="00ED3E8A">
        <w:noBreakHyphen/>
      </w:r>
      <w:r>
        <w:t>06</w:t>
      </w:r>
      <w:r w:rsidR="00ED3E8A">
        <w:noBreakHyphen/>
      </w:r>
      <w:r>
        <w:t xml:space="preserve">027, as discussed in </w:t>
      </w:r>
      <w:r w:rsidR="00983317">
        <w:t>S</w:t>
      </w:r>
      <w:r>
        <w:t xml:space="preserve">ection </w:t>
      </w:r>
      <w:r w:rsidR="000B1D66">
        <w:t>4</w:t>
      </w:r>
      <w:r>
        <w:t>.</w:t>
      </w:r>
      <w:r>
        <w:rPr>
          <w:rStyle w:val="FootnoteReference"/>
        </w:rPr>
        <w:footnoteReference w:id="62"/>
      </w:r>
      <w:r>
        <w:t xml:space="preserve"> </w:t>
      </w:r>
    </w:p>
    <w:p w14:paraId="6E391BC7" w14:textId="1A5337EF" w:rsidR="00564C38" w:rsidRDefault="00564C38" w:rsidP="00564C38">
      <w:pPr>
        <w:pStyle w:val="standard"/>
      </w:pPr>
      <w:r>
        <w:t xml:space="preserve">The motion for settlement includes a summary of agreed upon proposals, as discussed in </w:t>
      </w:r>
      <w:r w:rsidR="00983317">
        <w:t>S</w:t>
      </w:r>
      <w:r>
        <w:t xml:space="preserve">ection </w:t>
      </w:r>
      <w:r w:rsidR="006B02F2">
        <w:t>8</w:t>
      </w:r>
      <w:r>
        <w:t>.1, and resolution of the following issues through settlement:</w:t>
      </w:r>
    </w:p>
    <w:p w14:paraId="1FEB895F" w14:textId="059589DE" w:rsidR="00564C38" w:rsidRDefault="00564C38" w:rsidP="002B4A62">
      <w:pPr>
        <w:pStyle w:val="standard"/>
        <w:numPr>
          <w:ilvl w:val="0"/>
          <w:numId w:val="40"/>
        </w:numPr>
        <w:spacing w:after="160" w:line="240" w:lineRule="auto"/>
        <w:ind w:left="1080" w:right="720"/>
      </w:pPr>
      <w:r>
        <w:t>Demand Response Program Partici</w:t>
      </w:r>
      <w:r w:rsidR="002B4A62">
        <w:t>pation and Eligibility (</w:t>
      </w:r>
      <w:r w:rsidR="003D4D44">
        <w:t>S</w:t>
      </w:r>
      <w:r w:rsidR="002B4A62">
        <w:t>ection </w:t>
      </w:r>
      <w:r w:rsidR="006B02F2">
        <w:t>8</w:t>
      </w:r>
      <w:r>
        <w:t xml:space="preserve">.2); </w:t>
      </w:r>
    </w:p>
    <w:p w14:paraId="2A01C087" w14:textId="54D6CC69" w:rsidR="00564C38" w:rsidRDefault="00564C38" w:rsidP="002B4A62">
      <w:pPr>
        <w:pStyle w:val="standard"/>
        <w:numPr>
          <w:ilvl w:val="0"/>
          <w:numId w:val="40"/>
        </w:numPr>
        <w:spacing w:after="160" w:line="240" w:lineRule="auto"/>
        <w:ind w:left="1080" w:right="720"/>
      </w:pPr>
      <w:r>
        <w:t>Electric vehicle charging program participation and ramp</w:t>
      </w:r>
      <w:r w:rsidR="00ED3E8A">
        <w:noBreakHyphen/>
      </w:r>
      <w:r>
        <w:t>up period (</w:t>
      </w:r>
      <w:r w:rsidR="003D4D44">
        <w:t>S</w:t>
      </w:r>
      <w:r>
        <w:t xml:space="preserve">ection </w:t>
      </w:r>
      <w:r w:rsidR="006B02F2">
        <w:t>8</w:t>
      </w:r>
      <w:r>
        <w:t>.3).</w:t>
      </w:r>
    </w:p>
    <w:p w14:paraId="2043CBAB" w14:textId="4F6CABEA" w:rsidR="00564C38" w:rsidRDefault="00564C38" w:rsidP="002B4A62">
      <w:pPr>
        <w:pStyle w:val="standard"/>
        <w:numPr>
          <w:ilvl w:val="0"/>
          <w:numId w:val="40"/>
        </w:numPr>
        <w:spacing w:after="160" w:line="240" w:lineRule="auto"/>
        <w:ind w:left="1080" w:right="720"/>
      </w:pPr>
      <w:r>
        <w:t>Emissions Intensity Factor (</w:t>
      </w:r>
      <w:r w:rsidR="003D4D44">
        <w:t>S</w:t>
      </w:r>
      <w:r>
        <w:t xml:space="preserve">ection </w:t>
      </w:r>
      <w:r w:rsidR="006B02F2">
        <w:t>8</w:t>
      </w:r>
      <w:r>
        <w:t>.4)</w:t>
      </w:r>
    </w:p>
    <w:p w14:paraId="63E923AE" w14:textId="170C0CB2" w:rsidR="00564C38" w:rsidRDefault="00564C38" w:rsidP="002B4A62">
      <w:pPr>
        <w:pStyle w:val="standard"/>
        <w:numPr>
          <w:ilvl w:val="0"/>
          <w:numId w:val="40"/>
        </w:numPr>
        <w:spacing w:after="160" w:line="240" w:lineRule="auto"/>
        <w:ind w:left="1080" w:right="720"/>
      </w:pPr>
      <w:r>
        <w:t>Asset Life Assumptions (</w:t>
      </w:r>
      <w:r w:rsidR="003D4D44">
        <w:t>S</w:t>
      </w:r>
      <w:r>
        <w:t xml:space="preserve">ection </w:t>
      </w:r>
      <w:r w:rsidR="006B02F2">
        <w:t>8</w:t>
      </w:r>
      <w:r>
        <w:t>.5);</w:t>
      </w:r>
    </w:p>
    <w:p w14:paraId="020AABC6" w14:textId="444FD697" w:rsidR="00564C38" w:rsidRDefault="00564C38" w:rsidP="002B4A62">
      <w:pPr>
        <w:pStyle w:val="standard"/>
        <w:numPr>
          <w:ilvl w:val="0"/>
          <w:numId w:val="40"/>
        </w:numPr>
        <w:spacing w:after="160" w:line="240" w:lineRule="auto"/>
        <w:ind w:left="1080" w:right="720"/>
      </w:pPr>
      <w:r>
        <w:t>Including methane in calculation of Carbon Intensity of Natural Gas (</w:t>
      </w:r>
      <w:r w:rsidR="003D4D44">
        <w:t>S</w:t>
      </w:r>
      <w:r>
        <w:t xml:space="preserve">ection </w:t>
      </w:r>
      <w:r w:rsidR="006B02F2">
        <w:t>8</w:t>
      </w:r>
      <w:r>
        <w:t>.6);</w:t>
      </w:r>
    </w:p>
    <w:p w14:paraId="6E6C6B12" w14:textId="45E83519" w:rsidR="00564C38" w:rsidRDefault="00564C38" w:rsidP="002B4A62">
      <w:pPr>
        <w:pStyle w:val="standard"/>
        <w:numPr>
          <w:ilvl w:val="0"/>
          <w:numId w:val="40"/>
        </w:numPr>
        <w:spacing w:after="160" w:line="240" w:lineRule="auto"/>
        <w:ind w:left="1080" w:right="720"/>
      </w:pPr>
      <w:r>
        <w:t>The method for calculating the energy intensity of buildings (</w:t>
      </w:r>
      <w:r w:rsidR="003D4D44">
        <w:t>S</w:t>
      </w:r>
      <w:r>
        <w:t xml:space="preserve">ection </w:t>
      </w:r>
      <w:r w:rsidR="006B02F2">
        <w:t>8</w:t>
      </w:r>
      <w:r>
        <w:t>.7); and</w:t>
      </w:r>
    </w:p>
    <w:p w14:paraId="50548ED2" w14:textId="7849DC8A" w:rsidR="00564C38" w:rsidRDefault="00564C38" w:rsidP="002B4A62">
      <w:pPr>
        <w:pStyle w:val="standard"/>
        <w:numPr>
          <w:ilvl w:val="0"/>
          <w:numId w:val="40"/>
        </w:numPr>
        <w:spacing w:after="160" w:line="240" w:lineRule="auto"/>
        <w:ind w:left="1080" w:right="720"/>
      </w:pPr>
      <w:r>
        <w:t xml:space="preserve">The Performance Payment Budget (Section </w:t>
      </w:r>
      <w:r w:rsidR="006B02F2">
        <w:t>8</w:t>
      </w:r>
      <w:r>
        <w:t>.8).</w:t>
      </w:r>
    </w:p>
    <w:p w14:paraId="56F7F3D1" w14:textId="7EF9569F" w:rsidR="00564C38" w:rsidRDefault="00564C38" w:rsidP="007C1522">
      <w:pPr>
        <w:pStyle w:val="Heading2"/>
      </w:pPr>
      <w:bookmarkStart w:id="16" w:name="_Toc6843665"/>
      <w:r>
        <w:t>Agreed</w:t>
      </w:r>
      <w:r w:rsidR="00ED3E8A">
        <w:noBreakHyphen/>
      </w:r>
      <w:r>
        <w:t>Upon Proposals</w:t>
      </w:r>
      <w:bookmarkEnd w:id="16"/>
    </w:p>
    <w:p w14:paraId="0151777D" w14:textId="3511082D" w:rsidR="00564C38" w:rsidRDefault="00564C38" w:rsidP="00564C38">
      <w:pPr>
        <w:pStyle w:val="sub1"/>
      </w:pPr>
      <w:r>
        <w:t>The Settling Parties expressed little or no concern about the CEOP’s qualification as a clean energy and energy effi</w:t>
      </w:r>
      <w:r w:rsidR="003D4D44">
        <w:t>ciency project pursuant to Pub. </w:t>
      </w:r>
      <w:r>
        <w:t xml:space="preserve">Util. Code </w:t>
      </w:r>
      <w:r>
        <w:rPr>
          <w:rFonts w:ascii="Book Antiqua" w:hAnsi="Book Antiqua"/>
        </w:rPr>
        <w:t>§</w:t>
      </w:r>
      <w:r>
        <w:t xml:space="preserve"> 74</w:t>
      </w:r>
      <w:r w:rsidR="00404CD7">
        <w:t>8.</w:t>
      </w:r>
      <w:r>
        <w:t>5(c) (</w:t>
      </w:r>
      <w:r w:rsidR="003D4D44">
        <w:t>S</w:t>
      </w:r>
      <w:r>
        <w:t xml:space="preserve">ection </w:t>
      </w:r>
      <w:r w:rsidR="00C81F30">
        <w:t>8</w:t>
      </w:r>
      <w:r>
        <w:t>.1.1) and the suitability of the Cap</w:t>
      </w:r>
      <w:r w:rsidR="00ED3E8A">
        <w:noBreakHyphen/>
      </w:r>
      <w:r>
        <w:t>and</w:t>
      </w:r>
      <w:r w:rsidR="00ED3E8A">
        <w:noBreakHyphen/>
      </w:r>
      <w:r>
        <w:t>Trade allowance for funding the CEOP (</w:t>
      </w:r>
      <w:r w:rsidR="003D4D44">
        <w:t>S</w:t>
      </w:r>
      <w:r>
        <w:t xml:space="preserve">ection </w:t>
      </w:r>
      <w:r w:rsidR="00C81F30">
        <w:t>8</w:t>
      </w:r>
      <w:r>
        <w:t>.1.2).  Some parties initially expressed concerns regarding the CEOP’s 1) reflection of the electrical grid’s gradual decarbonization in the performance baseline, 2) the method for accounting for weather variability and 3) aggregating emissions factors by the time</w:t>
      </w:r>
      <w:r w:rsidR="00ED3E8A">
        <w:noBreakHyphen/>
      </w:r>
      <w:r>
        <w:t>of</w:t>
      </w:r>
      <w:r w:rsidR="00ED3E8A">
        <w:noBreakHyphen/>
      </w:r>
      <w:r>
        <w:t xml:space="preserve">use periods.  Through additional discussion at the workshop and through settlement discussions, the parties came to agreement on these issues, as discussed in detail in </w:t>
      </w:r>
      <w:r w:rsidR="003D4D44">
        <w:t>S</w:t>
      </w:r>
      <w:r>
        <w:t xml:space="preserve">ections </w:t>
      </w:r>
      <w:r w:rsidR="00B932E5">
        <w:t>8</w:t>
      </w:r>
      <w:r>
        <w:t xml:space="preserve">.1.3 to </w:t>
      </w:r>
      <w:r w:rsidR="00B932E5">
        <w:t>8</w:t>
      </w:r>
      <w:r>
        <w:t>.1.5.</w:t>
      </w:r>
    </w:p>
    <w:p w14:paraId="2D61B2BB" w14:textId="77777777" w:rsidR="00564C38" w:rsidRDefault="00564C38" w:rsidP="00564C38">
      <w:pPr>
        <w:pStyle w:val="Heading3"/>
        <w:tabs>
          <w:tab w:val="clear" w:pos="2160"/>
        </w:tabs>
        <w:ind w:left="1627" w:right="2160" w:hanging="907"/>
      </w:pPr>
      <w:bookmarkStart w:id="17" w:name="_Toc6843666"/>
      <w:r>
        <w:t>CEOP as a Qualifying Clean Energy and Energy Efficiency Project</w:t>
      </w:r>
      <w:bookmarkEnd w:id="17"/>
    </w:p>
    <w:p w14:paraId="18126BE1" w14:textId="56FDFAD4" w:rsidR="00564C38" w:rsidRDefault="00564C38" w:rsidP="00564C38">
      <w:pPr>
        <w:pStyle w:val="standard"/>
      </w:pPr>
      <w:r>
        <w:t xml:space="preserve">Pub. Util. Code </w:t>
      </w:r>
      <w:r>
        <w:rPr>
          <w:rFonts w:ascii="Book Antiqua" w:hAnsi="Book Antiqua"/>
        </w:rPr>
        <w:t>§</w:t>
      </w:r>
      <w:r>
        <w:t xml:space="preserve"> 74</w:t>
      </w:r>
      <w:r w:rsidR="00404CD7">
        <w:t>8.</w:t>
      </w:r>
      <w:r>
        <w:t xml:space="preserve">5(c), which enacted </w:t>
      </w:r>
      <w:r w:rsidR="003A1BD4">
        <w:t>Senate Bill (</w:t>
      </w:r>
      <w:r>
        <w:t>S</w:t>
      </w:r>
      <w:r w:rsidR="003D4D44">
        <w:t>B</w:t>
      </w:r>
      <w:r w:rsidR="003A1BD4">
        <w:t>)</w:t>
      </w:r>
      <w:r>
        <w:t xml:space="preserve"> 1018, mandates the Commission may allocate up to 15% of Cap</w:t>
      </w:r>
      <w:r w:rsidR="00ED3E8A">
        <w:noBreakHyphen/>
      </w:r>
      <w:r>
        <w:t>and</w:t>
      </w:r>
      <w:r w:rsidR="00ED3E8A">
        <w:noBreakHyphen/>
      </w:r>
      <w:r>
        <w:t>Trade allowance revenue for clean energy and energy efficiency projects administered by an electrical corporation or a qualified third</w:t>
      </w:r>
      <w:r w:rsidR="00ED3E8A">
        <w:noBreakHyphen/>
      </w:r>
      <w:r>
        <w:t>party administrator approved by the Commission.  To be eligible, the program must be 1) established pursuant to statute, 2)</w:t>
      </w:r>
      <w:r w:rsidR="003D4D44">
        <w:t> </w:t>
      </w:r>
      <w:r>
        <w:t>administered by an electrical corporation or a qualified third</w:t>
      </w:r>
      <w:r w:rsidR="00ED3E8A">
        <w:noBreakHyphen/>
      </w:r>
      <w:r>
        <w:t>party administrator approved by the Commission</w:t>
      </w:r>
      <w:r w:rsidR="003D4D44">
        <w:t>,</w:t>
      </w:r>
      <w:r>
        <w:t xml:space="preserve"> and 3) not be otherwise funded.</w:t>
      </w:r>
      <w:r>
        <w:rPr>
          <w:rStyle w:val="FootnoteReference"/>
        </w:rPr>
        <w:footnoteReference w:id="63"/>
      </w:r>
    </w:p>
    <w:p w14:paraId="15C161B5" w14:textId="164AA61C" w:rsidR="00564C38" w:rsidRDefault="00564C38" w:rsidP="00564C38">
      <w:pPr>
        <w:pStyle w:val="standard"/>
      </w:pPr>
      <w:r>
        <w:t>SCE states that the CEOP is established pursuant the California Global Warming Solu</w:t>
      </w:r>
      <w:r w:rsidR="003D4D44">
        <w:t>tions Act of 2006 (</w:t>
      </w:r>
      <w:r>
        <w:t xml:space="preserve">SB 535) and California Health and Safety Code </w:t>
      </w:r>
      <w:r>
        <w:rPr>
          <w:rFonts w:ascii="Book Antiqua" w:hAnsi="Book Antiqua"/>
        </w:rPr>
        <w:t>§</w:t>
      </w:r>
      <w:r w:rsidR="003D4D44">
        <w:t> </w:t>
      </w:r>
      <w:r>
        <w:t>38501(a)</w:t>
      </w:r>
      <w:r w:rsidR="00ED3E8A">
        <w:noBreakHyphen/>
      </w:r>
      <w:r>
        <w:t xml:space="preserve">(g), which authorizes </w:t>
      </w:r>
      <w:r w:rsidR="003D4D44">
        <w:t xml:space="preserve">the California Air Resources Board </w:t>
      </w:r>
      <w:r>
        <w:t xml:space="preserve">to coordinate with state agencies and stakeholders (utilities) in developing GHG emissions reductions measures.  The CEOP qualifies as </w:t>
      </w:r>
      <w:r w:rsidR="007B2A50">
        <w:t xml:space="preserve">A </w:t>
      </w:r>
      <w:r>
        <w:t xml:space="preserve">program established pursuant to H&amp;S Code </w:t>
      </w:r>
      <w:r>
        <w:rPr>
          <w:rFonts w:ascii="Book Antiqua" w:hAnsi="Book Antiqua"/>
        </w:rPr>
        <w:t>§</w:t>
      </w:r>
      <w:r w:rsidR="00ED3E8A">
        <w:rPr>
          <w:rFonts w:ascii="Book Antiqua" w:hAnsi="Book Antiqua"/>
        </w:rPr>
        <w:t> </w:t>
      </w:r>
      <w:r>
        <w:t xml:space="preserve">38501 and Pub. Util. Code </w:t>
      </w:r>
      <w:r>
        <w:rPr>
          <w:rFonts w:ascii="Book Antiqua" w:hAnsi="Book Antiqua"/>
        </w:rPr>
        <w:t>§</w:t>
      </w:r>
      <w:r>
        <w:t xml:space="preserve"> 74</w:t>
      </w:r>
      <w:r w:rsidR="00404CD7">
        <w:t>8.</w:t>
      </w:r>
      <w:r>
        <w:t>5(a) because it develops an emissions reduction methodology through behind</w:t>
      </w:r>
      <w:r w:rsidR="00ED3E8A">
        <w:noBreakHyphen/>
      </w:r>
      <w:r w:rsidR="003D4D44">
        <w:t>the</w:t>
      </w:r>
      <w:r w:rsidR="00ED3E8A">
        <w:noBreakHyphen/>
      </w:r>
      <w:r>
        <w:t>meter performance incentives which, if successful, may be more widely adopted by SCE or the Commission.</w:t>
      </w:r>
      <w:r>
        <w:rPr>
          <w:rStyle w:val="FootnoteReference"/>
        </w:rPr>
        <w:footnoteReference w:id="64"/>
      </w:r>
      <w:r>
        <w:t xml:space="preserve">  SCE states that the CEOP meets Pub. Util. Code </w:t>
      </w:r>
      <w:r>
        <w:rPr>
          <w:rFonts w:ascii="Book Antiqua" w:hAnsi="Book Antiqua"/>
        </w:rPr>
        <w:t>§</w:t>
      </w:r>
      <w:r>
        <w:t xml:space="preserve"> 74</w:t>
      </w:r>
      <w:r w:rsidR="00404CD7">
        <w:t>8.</w:t>
      </w:r>
      <w:r>
        <w:t>5(c)’s remaining requirements because it is administered by SCE, an electrical corporation, and is not otherwise funded.</w:t>
      </w:r>
    </w:p>
    <w:p w14:paraId="36CE191C" w14:textId="111B28A1" w:rsidR="00564C38" w:rsidRPr="00564C38" w:rsidRDefault="00564C38" w:rsidP="00564C38">
      <w:pPr>
        <w:pStyle w:val="sub2"/>
      </w:pPr>
      <w:r>
        <w:t>The Settling Parties agree that the CEOP is a qualifying clean energy and energy efficiency</w:t>
      </w:r>
      <w:r w:rsidR="00AA1D48">
        <w:t xml:space="preserve"> project</w:t>
      </w:r>
      <w:r>
        <w:t xml:space="preserve"> pursuant to Pub. Util. Code </w:t>
      </w:r>
      <w:r>
        <w:rPr>
          <w:rFonts w:ascii="Book Antiqua" w:hAnsi="Book Antiqua"/>
        </w:rPr>
        <w:t>§</w:t>
      </w:r>
      <w:r>
        <w:t xml:space="preserve"> 74</w:t>
      </w:r>
      <w:r w:rsidR="00404CD7">
        <w:t>8.</w:t>
      </w:r>
      <w:r>
        <w:t>5(c) and no party objected to the CEOP qualifications.</w:t>
      </w:r>
      <w:r>
        <w:rPr>
          <w:rStyle w:val="FootnoteReference"/>
        </w:rPr>
        <w:footnoteReference w:id="65"/>
      </w:r>
    </w:p>
    <w:p w14:paraId="1BA619C8" w14:textId="5FF5A61A" w:rsidR="00564C38" w:rsidRDefault="00564C38" w:rsidP="00564C38">
      <w:pPr>
        <w:pStyle w:val="Heading3"/>
        <w:tabs>
          <w:tab w:val="clear" w:pos="2160"/>
        </w:tabs>
        <w:ind w:left="1627" w:right="2160" w:hanging="907"/>
      </w:pPr>
      <w:bookmarkStart w:id="18" w:name="_Toc6843667"/>
      <w:r>
        <w:t>Suitability for Funding through Cap</w:t>
      </w:r>
      <w:r w:rsidR="00ED3E8A">
        <w:noBreakHyphen/>
      </w:r>
      <w:r>
        <w:t>and</w:t>
      </w:r>
      <w:r w:rsidR="00ED3E8A">
        <w:noBreakHyphen/>
      </w:r>
      <w:r>
        <w:t>Trade Allowance Rather than Through Rates</w:t>
      </w:r>
      <w:bookmarkEnd w:id="18"/>
    </w:p>
    <w:p w14:paraId="4E37DE47" w14:textId="0E2C4413" w:rsidR="00564C38" w:rsidRPr="00564C38" w:rsidRDefault="00564C38" w:rsidP="00564C38">
      <w:pPr>
        <w:pStyle w:val="sub2"/>
      </w:pPr>
      <w:r>
        <w:t xml:space="preserve">The Commission requires electrical utilities requesting authority to implement a new </w:t>
      </w:r>
      <w:r w:rsidR="00335E12">
        <w:t>c</w:t>
      </w:r>
      <w:r w:rsidR="007B2A50">
        <w:t xml:space="preserve">lean </w:t>
      </w:r>
      <w:r w:rsidR="00335E12">
        <w:t>e</w:t>
      </w:r>
      <w:r>
        <w:t>nergy and energy efficiency program to explain why the project was best funded through GHG allowance revenues rather than through rates.</w:t>
      </w:r>
      <w:r>
        <w:rPr>
          <w:rStyle w:val="FootnoteReference"/>
        </w:rPr>
        <w:footnoteReference w:id="66"/>
      </w:r>
      <w:r>
        <w:t xml:space="preserve">  SCE states that the CEOP is currently a pilot, and funding through Cap</w:t>
      </w:r>
      <w:r w:rsidR="00ED3E8A">
        <w:noBreakHyphen/>
      </w:r>
      <w:r>
        <w:t>and</w:t>
      </w:r>
      <w:r w:rsidR="00ED3E8A">
        <w:noBreakHyphen/>
      </w:r>
      <w:r>
        <w:t xml:space="preserve">Trade allowance </w:t>
      </w:r>
      <w:r w:rsidR="00EE385D">
        <w:t xml:space="preserve">proceeds </w:t>
      </w:r>
      <w:r>
        <w:t>rather than through rates ensures that the pilot does not increase rates for SCE’s customers.</w:t>
      </w:r>
      <w:r>
        <w:rPr>
          <w:rStyle w:val="FootnoteReference"/>
        </w:rPr>
        <w:footnoteReference w:id="67"/>
      </w:r>
      <w:r>
        <w:t xml:space="preserve">  If the pilot is effective, SCE argues the learnings from the pilot can be applied on a programmatic level to a broader base of customers, which would be better suited to funding through rates.</w:t>
      </w:r>
      <w:r>
        <w:rPr>
          <w:rStyle w:val="FootnoteReference"/>
        </w:rPr>
        <w:footnoteReference w:id="68"/>
      </w:r>
      <w:r>
        <w:t xml:space="preserve">  The Settling Parties agree that the CEOP is suitably funded by Cap</w:t>
      </w:r>
      <w:r w:rsidR="00ED3E8A">
        <w:noBreakHyphen/>
      </w:r>
      <w:r>
        <w:t>and</w:t>
      </w:r>
      <w:r w:rsidR="00ED3E8A">
        <w:noBreakHyphen/>
      </w:r>
      <w:r>
        <w:t>Trade allowance</w:t>
      </w:r>
      <w:r w:rsidR="00EE385D">
        <w:t xml:space="preserve"> proceeds</w:t>
      </w:r>
      <w:r>
        <w:t>.</w:t>
      </w:r>
      <w:r>
        <w:rPr>
          <w:rStyle w:val="FootnoteReference"/>
        </w:rPr>
        <w:footnoteReference w:id="69"/>
      </w:r>
    </w:p>
    <w:p w14:paraId="505734B7" w14:textId="77777777" w:rsidR="00564C38" w:rsidRDefault="00564C38" w:rsidP="00564C38">
      <w:pPr>
        <w:pStyle w:val="Heading3"/>
        <w:tabs>
          <w:tab w:val="clear" w:pos="2160"/>
        </w:tabs>
        <w:ind w:left="1627" w:right="2160" w:hanging="907"/>
      </w:pPr>
      <w:bookmarkStart w:id="19" w:name="_Toc6843668"/>
      <w:r>
        <w:t>Whether the Performance Baseli</w:t>
      </w:r>
      <w:r w:rsidR="00F0659A">
        <w:t>n</w:t>
      </w:r>
      <w:r>
        <w:t>e will Reflect the Gradual Decarbonization of the Energy Grid</w:t>
      </w:r>
      <w:bookmarkEnd w:id="19"/>
    </w:p>
    <w:p w14:paraId="3C8E320A" w14:textId="1484BAE9" w:rsidR="00564C38" w:rsidRPr="00564C38" w:rsidRDefault="00564C38" w:rsidP="00564C38">
      <w:pPr>
        <w:pStyle w:val="sub2"/>
      </w:pPr>
      <w:r>
        <w:t>SCE’s application has a performance baseline based on aggregated master</w:t>
      </w:r>
      <w:r w:rsidR="00ED3E8A">
        <w:noBreakHyphen/>
      </w:r>
      <w:r>
        <w:t>metered energy usage data and corresponding emissions intensities, controlling for campus gross square footage and weather.</w:t>
      </w:r>
      <w:r>
        <w:rPr>
          <w:rStyle w:val="FootnoteReference"/>
        </w:rPr>
        <w:footnoteReference w:id="70"/>
      </w:r>
      <w:r>
        <w:t xml:space="preserve">  Though initially indicating additional investigation was warranted, the Pubic Advocates Office determined that SCE’s performance baseline adequately accounted for the projected decarbonization of the electrical grid after discussion in the workshop and review of discovery requests.</w:t>
      </w:r>
      <w:r>
        <w:rPr>
          <w:rStyle w:val="FootnoteReference"/>
        </w:rPr>
        <w:footnoteReference w:id="71"/>
      </w:r>
    </w:p>
    <w:p w14:paraId="36227024" w14:textId="77777777" w:rsidR="00564C38" w:rsidRDefault="00564C38" w:rsidP="00564C38">
      <w:pPr>
        <w:pStyle w:val="Heading3"/>
        <w:tabs>
          <w:tab w:val="clear" w:pos="2160"/>
        </w:tabs>
        <w:ind w:left="1627" w:right="2160" w:hanging="907"/>
      </w:pPr>
      <w:bookmarkStart w:id="20" w:name="_Toc6843669"/>
      <w:r>
        <w:t>Method of Accounting for Weather Variability</w:t>
      </w:r>
      <w:bookmarkEnd w:id="20"/>
    </w:p>
    <w:p w14:paraId="6234EBFE" w14:textId="423D082D" w:rsidR="00564C38" w:rsidRPr="00564C38" w:rsidRDefault="00564C38" w:rsidP="00564C38">
      <w:pPr>
        <w:pStyle w:val="sub2"/>
      </w:pPr>
      <w:r>
        <w:t xml:space="preserve">SCE’s application accounted for the weather variability using annual weather adjustment factors for electricity, natural </w:t>
      </w:r>
      <w:r w:rsidR="00AA1D48">
        <w:t xml:space="preserve">gas for end use consumption and </w:t>
      </w:r>
      <w:r>
        <w:t>cogen</w:t>
      </w:r>
      <w:r w:rsidR="00AA1D48">
        <w:t>eration</w:t>
      </w:r>
      <w:r>
        <w:t xml:space="preserve"> plant consumption; which is calculated “based on the ratio of expected annual energy consumption from actual weather data verse[sic] the typical meteorological year.”</w:t>
      </w:r>
      <w:r>
        <w:rPr>
          <w:rStyle w:val="FootnoteReference"/>
        </w:rPr>
        <w:footnoteReference w:id="72"/>
      </w:r>
      <w:r>
        <w:t xml:space="preserve">  In its protest to the Application, the Public Advocates Office expressed concern regarding SCE’s method of accounting for weather variability in the GHG reductions calculations.</w:t>
      </w:r>
      <w:r>
        <w:rPr>
          <w:rStyle w:val="FootnoteReference"/>
        </w:rPr>
        <w:footnoteReference w:id="73"/>
      </w:r>
      <w:r>
        <w:t xml:space="preserve">  After discussion through the workshop and review of additional discovery, the Public Advocates Office agreed that SCE’s method of accounting for weather variability was reasonable.</w:t>
      </w:r>
      <w:r>
        <w:rPr>
          <w:rStyle w:val="FootnoteReference"/>
        </w:rPr>
        <w:footnoteReference w:id="74"/>
      </w:r>
    </w:p>
    <w:p w14:paraId="234E6417" w14:textId="2FE4D331" w:rsidR="00564C38" w:rsidRDefault="00564C38" w:rsidP="00564C38">
      <w:pPr>
        <w:pStyle w:val="Heading3"/>
        <w:tabs>
          <w:tab w:val="clear" w:pos="2160"/>
        </w:tabs>
        <w:ind w:left="1627" w:right="2160" w:hanging="907"/>
      </w:pPr>
      <w:bookmarkStart w:id="21" w:name="_Toc6843670"/>
      <w:r>
        <w:t>Aggregating Emissions Factors by Time</w:t>
      </w:r>
      <w:r w:rsidR="00ED3E8A">
        <w:noBreakHyphen/>
      </w:r>
      <w:r>
        <w:t>of</w:t>
      </w:r>
      <w:r w:rsidR="00ED3E8A">
        <w:noBreakHyphen/>
      </w:r>
      <w:r>
        <w:t>Use Periods</w:t>
      </w:r>
      <w:bookmarkEnd w:id="21"/>
    </w:p>
    <w:p w14:paraId="116280A7" w14:textId="00219128" w:rsidR="00564C38" w:rsidRPr="00564C38" w:rsidRDefault="00564C38" w:rsidP="00564C38">
      <w:pPr>
        <w:pStyle w:val="sub2"/>
      </w:pPr>
      <w:r>
        <w:t>SCE proposes to aggregate emissions factors by Time</w:t>
      </w:r>
      <w:r w:rsidR="00ED3E8A">
        <w:noBreakHyphen/>
      </w:r>
      <w:r>
        <w:t>of</w:t>
      </w:r>
      <w:r w:rsidR="00ED3E8A">
        <w:noBreakHyphen/>
      </w:r>
      <w:r>
        <w:t>Use periods using a straight average.</w:t>
      </w:r>
      <w:r>
        <w:rPr>
          <w:rStyle w:val="FootnoteReference"/>
        </w:rPr>
        <w:footnoteReference w:id="75"/>
      </w:r>
      <w:r>
        <w:t xml:space="preserve">  After discussion with NRDC and the Public Advocates Office regarding the application of hourly emissions factors, NRDC and the Public Advocates Office agreed that calculating the emissions factors by Time</w:t>
      </w:r>
      <w:r w:rsidR="00ED3E8A">
        <w:noBreakHyphen/>
      </w:r>
      <w:r>
        <w:t>of</w:t>
      </w:r>
      <w:r w:rsidR="00ED3E8A">
        <w:noBreakHyphen/>
      </w:r>
      <w:r>
        <w:t>Use period was reasonable for implementing the CEOP.</w:t>
      </w:r>
      <w:r>
        <w:rPr>
          <w:rStyle w:val="FootnoteReference"/>
        </w:rPr>
        <w:footnoteReference w:id="76"/>
      </w:r>
    </w:p>
    <w:p w14:paraId="0AEE4649" w14:textId="77777777" w:rsidR="00564C38" w:rsidRPr="007C1522" w:rsidRDefault="00564C38" w:rsidP="007C1522">
      <w:pPr>
        <w:pStyle w:val="Heading2"/>
      </w:pPr>
      <w:bookmarkStart w:id="22" w:name="_Toc6843671"/>
      <w:r w:rsidRPr="007C1522">
        <w:t>Demand Response Program Participation and Eligibility</w:t>
      </w:r>
      <w:bookmarkEnd w:id="22"/>
    </w:p>
    <w:p w14:paraId="720B1A29" w14:textId="5CD4D162" w:rsidR="00564C38" w:rsidRDefault="00564C38" w:rsidP="00564C38">
      <w:pPr>
        <w:pStyle w:val="standard"/>
      </w:pPr>
      <w:r>
        <w:t xml:space="preserve">SCE’s pilot proposal did not account for Pilot </w:t>
      </w:r>
      <w:r w:rsidR="00AA1D48">
        <w:t>participant</w:t>
      </w:r>
      <w:r>
        <w:t>s</w:t>
      </w:r>
      <w:r w:rsidR="00AA1D48">
        <w:t>’</w:t>
      </w:r>
      <w:r>
        <w:t xml:space="preserve"> payments from participation in existing demand response programs.</w:t>
      </w:r>
      <w:r>
        <w:rPr>
          <w:rStyle w:val="FootnoteReference"/>
        </w:rPr>
        <w:footnoteReference w:id="77"/>
      </w:r>
      <w:r>
        <w:t xml:space="preserve">  The Public Advocates Office argued that Pilot Participants</w:t>
      </w:r>
      <w:r w:rsidR="00AA1D48">
        <w:t>’</w:t>
      </w:r>
      <w:r>
        <w:t xml:space="preserve"> participation in demand response programs constituted double payment and should be accounted for.</w:t>
      </w:r>
      <w:r>
        <w:rPr>
          <w:rStyle w:val="FootnoteReference"/>
        </w:rPr>
        <w:footnoteReference w:id="78"/>
      </w:r>
      <w:r>
        <w:t xml:space="preserve">  SCE contended that </w:t>
      </w:r>
      <w:r w:rsidR="00F337D7">
        <w:t>the</w:t>
      </w:r>
      <w:r>
        <w:t xml:space="preserve"> current demand response program budgets did not account for </w:t>
      </w:r>
      <w:r w:rsidR="00757413">
        <w:t xml:space="preserve">the avoided costs of </w:t>
      </w:r>
      <w:r>
        <w:t xml:space="preserve">GHG emissions reductions </w:t>
      </w:r>
      <w:r w:rsidR="00202DDB">
        <w:t xml:space="preserve">to determine </w:t>
      </w:r>
      <w:r w:rsidR="0069281E">
        <w:t>the incentives or administrative budgets of those programs</w:t>
      </w:r>
      <w:r>
        <w:t>.</w:t>
      </w:r>
      <w:r>
        <w:rPr>
          <w:rStyle w:val="FootnoteReference"/>
        </w:rPr>
        <w:footnoteReference w:id="79"/>
      </w:r>
    </w:p>
    <w:p w14:paraId="2EF78737" w14:textId="68AA6845" w:rsidR="00564C38" w:rsidRPr="00564C38" w:rsidRDefault="00564C38" w:rsidP="00564C38">
      <w:pPr>
        <w:pStyle w:val="sub1"/>
      </w:pPr>
      <w:r>
        <w:t xml:space="preserve">In the Settlement Agreement, the Settling Parties acknowledge the potential for double payment of GHG emissions reductions is real, but Settling Parties agree that the effects of double counting in this pilot are </w:t>
      </w:r>
      <w:r w:rsidRPr="004727C1">
        <w:rPr>
          <w:i/>
        </w:rPr>
        <w:t>de minimis</w:t>
      </w:r>
      <w:r>
        <w:t>.</w:t>
      </w:r>
      <w:r>
        <w:rPr>
          <w:rStyle w:val="FootnoteReference"/>
        </w:rPr>
        <w:footnoteReference w:id="80"/>
      </w:r>
      <w:r>
        <w:t xml:space="preserve">  Therefore, Settlement Agreement proposes the CEOP should proceed without accounting for GHG emissions reductions already incentivized through the Pilot Participants</w:t>
      </w:r>
      <w:r w:rsidR="00AA1D48">
        <w:t>’</w:t>
      </w:r>
      <w:r>
        <w:t xml:space="preserve"> participation in existing demand response programs.</w:t>
      </w:r>
      <w:r>
        <w:rPr>
          <w:rStyle w:val="FootnoteReference"/>
        </w:rPr>
        <w:footnoteReference w:id="81"/>
      </w:r>
    </w:p>
    <w:p w14:paraId="690B073E" w14:textId="49A1195C" w:rsidR="00564C38" w:rsidRDefault="00564C38" w:rsidP="007C1522">
      <w:pPr>
        <w:pStyle w:val="Heading2"/>
      </w:pPr>
      <w:bookmarkStart w:id="23" w:name="_Toc6843672"/>
      <w:r>
        <w:t>EV Charging Program Participation and Ramp</w:t>
      </w:r>
      <w:r w:rsidR="00ED3E8A">
        <w:noBreakHyphen/>
      </w:r>
      <w:r>
        <w:t>Up Period</w:t>
      </w:r>
      <w:bookmarkEnd w:id="23"/>
    </w:p>
    <w:p w14:paraId="6721D38D" w14:textId="058DE644" w:rsidR="00564C38" w:rsidRDefault="00AA1D48" w:rsidP="00564C38">
      <w:pPr>
        <w:pStyle w:val="standard"/>
      </w:pPr>
      <w:r>
        <w:t xml:space="preserve">SCE </w:t>
      </w:r>
      <w:r w:rsidR="00564C38">
        <w:t>proposes to pay incentives for GHG reductions as a result of charging in the Pilot Participants</w:t>
      </w:r>
      <w:r w:rsidR="00781D0F">
        <w:t>’</w:t>
      </w:r>
      <w:r w:rsidR="00564C38">
        <w:t xml:space="preserve"> existing EV charging stations, including EV charging stations funded </w:t>
      </w:r>
      <w:r w:rsidR="00781D0F">
        <w:t>by</w:t>
      </w:r>
      <w:r w:rsidR="00564C38">
        <w:t xml:space="preserve"> SCE’s Charge Ready program, commensurate with the start of the CEOP.</w:t>
      </w:r>
      <w:r w:rsidR="00564C38">
        <w:rPr>
          <w:rStyle w:val="FootnoteReference"/>
        </w:rPr>
        <w:footnoteReference w:id="82"/>
      </w:r>
      <w:r w:rsidR="00564C38">
        <w:t xml:space="preserve">  The Public Advocates Office argued that the Program Participants should not receive up</w:t>
      </w:r>
      <w:r w:rsidR="00ED3E8A">
        <w:noBreakHyphen/>
      </w:r>
      <w:r w:rsidR="00564C38">
        <w:t>front payments reflecting anticipated GHG reductions for the entire asset life of the measure; rather the pilot design should account for a ramp</w:t>
      </w:r>
      <w:r w:rsidR="00ED3E8A">
        <w:noBreakHyphen/>
      </w:r>
      <w:r w:rsidR="00564C38">
        <w:t>up peri</w:t>
      </w:r>
      <w:r w:rsidR="00564C38" w:rsidRPr="006705C3">
        <w:t xml:space="preserve">od </w:t>
      </w:r>
      <w:r w:rsidR="00564C38">
        <w:t>to measure the baseline prior to starting incentives or provide payment after measurement of asset performance.</w:t>
      </w:r>
      <w:r w:rsidR="00564C38">
        <w:rPr>
          <w:rStyle w:val="FootnoteReference"/>
        </w:rPr>
        <w:footnoteReference w:id="83"/>
      </w:r>
      <w:r w:rsidR="00564C38">
        <w:t xml:space="preserve"> </w:t>
      </w:r>
      <w:r w:rsidR="00564C38" w:rsidRPr="006705C3">
        <w:t xml:space="preserve"> </w:t>
      </w:r>
      <w:r w:rsidR="00564C38">
        <w:t>The Public Advocates Office also expressed concern that the Pilot Participants may receive duplicative incentives for participation in the CEOP and other EV incentives, such as SCE’s Charge Ready program.</w:t>
      </w:r>
      <w:r w:rsidR="00564C38">
        <w:rPr>
          <w:rStyle w:val="FootnoteReference"/>
        </w:rPr>
        <w:footnoteReference w:id="84"/>
      </w:r>
      <w:r w:rsidR="00564C38">
        <w:t xml:space="preserve">  CSU and </w:t>
      </w:r>
      <w:r w:rsidR="00564C38" w:rsidRPr="006705C3">
        <w:t xml:space="preserve">UC object to Public Advocates </w:t>
      </w:r>
      <w:r w:rsidR="00564C38">
        <w:t>Office’s p</w:t>
      </w:r>
      <w:r w:rsidR="00564C38" w:rsidRPr="006705C3">
        <w:t xml:space="preserve">roposal as </w:t>
      </w:r>
      <w:r w:rsidR="00564C38">
        <w:t>detrimental to program participation.</w:t>
      </w:r>
      <w:r w:rsidR="00564C38">
        <w:rPr>
          <w:rStyle w:val="FootnoteReference"/>
        </w:rPr>
        <w:footnoteReference w:id="85"/>
      </w:r>
    </w:p>
    <w:p w14:paraId="17BDB5FF" w14:textId="0EBC7FAF" w:rsidR="00564C38" w:rsidRPr="00564C38" w:rsidRDefault="00564C38" w:rsidP="00564C38">
      <w:pPr>
        <w:pStyle w:val="sub1"/>
      </w:pPr>
      <w:r>
        <w:t>The Settling P</w:t>
      </w:r>
      <w:r w:rsidRPr="00A65AC8">
        <w:t>arties agree that 1) all existing and new, public and fleet charging stations will be eligible for performance payments without a ramp</w:t>
      </w:r>
      <w:r w:rsidR="00ED3E8A">
        <w:noBreakHyphen/>
      </w:r>
      <w:r w:rsidRPr="00A65AC8">
        <w:t>up period</w:t>
      </w:r>
      <w:r w:rsidR="003D4D44">
        <w:t>,</w:t>
      </w:r>
      <w:r w:rsidRPr="00A65AC8">
        <w:t xml:space="preserve"> and 2) CEOP participants will be eligible for some but not all rebates and incentives, as outlined </w:t>
      </w:r>
      <w:r>
        <w:t>in the Settlement A</w:t>
      </w:r>
      <w:r w:rsidRPr="00A65AC8">
        <w:t>greement.</w:t>
      </w:r>
      <w:r w:rsidRPr="00A65AC8">
        <w:rPr>
          <w:rStyle w:val="FootnoteReference"/>
        </w:rPr>
        <w:footnoteReference w:id="86"/>
      </w:r>
    </w:p>
    <w:p w14:paraId="63FBAF15" w14:textId="77777777" w:rsidR="00564C38" w:rsidRDefault="00564C38" w:rsidP="007C1522">
      <w:pPr>
        <w:pStyle w:val="Heading2"/>
      </w:pPr>
      <w:bookmarkStart w:id="24" w:name="_Toc6843673"/>
      <w:r>
        <w:t>Emissions Intensity Factor</w:t>
      </w:r>
      <w:bookmarkEnd w:id="24"/>
    </w:p>
    <w:p w14:paraId="4978A25A" w14:textId="6973323B" w:rsidR="00564C38" w:rsidRPr="00564C38" w:rsidRDefault="00564C38" w:rsidP="00564C38">
      <w:pPr>
        <w:pStyle w:val="sub1"/>
      </w:pPr>
      <w:r>
        <w:t xml:space="preserve">SCE proposes to evaluate GHG reductions in the CEOP using </w:t>
      </w:r>
      <w:r w:rsidR="00F0659A">
        <w:t xml:space="preserve">Clean Net </w:t>
      </w:r>
      <w:r w:rsidR="00F0659A" w:rsidRPr="00F0659A">
        <w:t>Short (</w:t>
      </w:r>
      <w:r w:rsidRPr="00F0659A">
        <w:t>CN</w:t>
      </w:r>
      <w:r w:rsidR="000940C9" w:rsidRPr="00F0659A">
        <w:t>S</w:t>
      </w:r>
      <w:r w:rsidR="00F0659A" w:rsidRPr="00F0659A">
        <w:t>)</w:t>
      </w:r>
      <w:r>
        <w:t xml:space="preserve"> methodology and average hourly emission factors aggregated to their time</w:t>
      </w:r>
      <w:r w:rsidR="00ED3E8A">
        <w:noBreakHyphen/>
      </w:r>
      <w:r>
        <w:t>of</w:t>
      </w:r>
      <w:r w:rsidR="00ED3E8A">
        <w:noBreakHyphen/>
      </w:r>
      <w:r>
        <w:t>use periods to evaluate GHG emissions.</w:t>
      </w:r>
      <w:r>
        <w:rPr>
          <w:rStyle w:val="FootnoteReference"/>
        </w:rPr>
        <w:footnoteReference w:id="87"/>
      </w:r>
      <w:r>
        <w:t xml:space="preserve">  NRDC questioned why SCE used CNS factors instead of the long run marginal emission factors developed through the 2018 avoided cost calculator.</w:t>
      </w:r>
      <w:r>
        <w:rPr>
          <w:rStyle w:val="FootnoteReference"/>
        </w:rPr>
        <w:footnoteReference w:id="88"/>
      </w:r>
      <w:r>
        <w:t xml:space="preserve">  The Public Advocates Office suggested SCE use hourly emissions factors.</w:t>
      </w:r>
      <w:r>
        <w:rPr>
          <w:rStyle w:val="FootnoteReference"/>
        </w:rPr>
        <w:footnoteReference w:id="89"/>
      </w:r>
      <w:r>
        <w:t xml:space="preserve">  After discussion, t</w:t>
      </w:r>
      <w:r w:rsidRPr="00EA5D21">
        <w:t>he Settling Parties agreed that SCE’s propo</w:t>
      </w:r>
      <w:r>
        <w:t>sal to use CNS</w:t>
      </w:r>
      <w:r w:rsidRPr="00EA5D21">
        <w:t xml:space="preserve"> emi</w:t>
      </w:r>
      <w:r>
        <w:t>ssion factors was reasonable.</w:t>
      </w:r>
      <w:r>
        <w:rPr>
          <w:rStyle w:val="FootnoteReference"/>
        </w:rPr>
        <w:footnoteReference w:id="90"/>
      </w:r>
    </w:p>
    <w:p w14:paraId="33F93BD9" w14:textId="77777777" w:rsidR="00564C38" w:rsidRDefault="00564C38" w:rsidP="007C1522">
      <w:pPr>
        <w:pStyle w:val="Heading2"/>
      </w:pPr>
      <w:bookmarkStart w:id="25" w:name="_Toc6843674"/>
      <w:r>
        <w:t>Asset Life Assumptions</w:t>
      </w:r>
      <w:bookmarkEnd w:id="25"/>
    </w:p>
    <w:p w14:paraId="7B79D5E9" w14:textId="51B745CA" w:rsidR="00564C38" w:rsidRDefault="00564C38" w:rsidP="00564C38">
      <w:pPr>
        <w:pStyle w:val="standard"/>
      </w:pPr>
      <w:r>
        <w:t xml:space="preserve">SCE proposed an incentive payment structure </w:t>
      </w:r>
      <w:r w:rsidR="005704FC">
        <w:t xml:space="preserve">that </w:t>
      </w:r>
      <w:r>
        <w:t>rewarded Pilot Participants for actual GHG emissions savings as well as eight years of anticipated future emissions reductions using a determined average asset life of eight years for all interventions.</w:t>
      </w:r>
      <w:r>
        <w:rPr>
          <w:rStyle w:val="FootnoteReference"/>
        </w:rPr>
        <w:footnoteReference w:id="91"/>
      </w:r>
      <w:r>
        <w:t xml:space="preserve">  The Public Advocates Office opposed the CEOP’s upfront payment structure and suggested that SCE provide incentives at the end of the pilot, or after the initial measurement and evaluation.</w:t>
      </w:r>
      <w:r>
        <w:rPr>
          <w:rStyle w:val="FootnoteReference"/>
        </w:rPr>
        <w:footnoteReference w:id="92"/>
      </w:r>
      <w:r>
        <w:t xml:space="preserve">  The Pilot Participants argued that upfront incentives were required to make the capital investments and they assumed too much risk if no upfront payments were provided.</w:t>
      </w:r>
      <w:r>
        <w:rPr>
          <w:rStyle w:val="FootnoteReference"/>
        </w:rPr>
        <w:footnoteReference w:id="93"/>
      </w:r>
      <w:r>
        <w:t xml:space="preserve">   CSU also proposed an 11</w:t>
      </w:r>
      <w:r w:rsidR="00ED3E8A">
        <w:noBreakHyphen/>
      </w:r>
      <w:r>
        <w:t>year asset life as reasonable.</w:t>
      </w:r>
      <w:r>
        <w:rPr>
          <w:rStyle w:val="FootnoteReference"/>
        </w:rPr>
        <w:footnoteReference w:id="94"/>
      </w:r>
    </w:p>
    <w:p w14:paraId="0C1042EF" w14:textId="2C2D7F39" w:rsidR="00564C38" w:rsidRPr="00564C38" w:rsidRDefault="00564C38" w:rsidP="00564C38">
      <w:pPr>
        <w:pStyle w:val="sub1"/>
      </w:pPr>
      <w:r>
        <w:t>In the settlement agreement, the Settling Parties agreed SCE will use a seven</w:t>
      </w:r>
      <w:r w:rsidR="00ED3E8A">
        <w:noBreakHyphen/>
      </w:r>
      <w:r>
        <w:t>year performance payment calculation rather than an eight</w:t>
      </w:r>
      <w:r w:rsidR="00ED3E8A">
        <w:noBreakHyphen/>
      </w:r>
      <w:r>
        <w:t>year calculation.</w:t>
      </w:r>
      <w:r>
        <w:rPr>
          <w:rStyle w:val="FootnoteReference"/>
        </w:rPr>
        <w:footnoteReference w:id="95"/>
      </w:r>
    </w:p>
    <w:p w14:paraId="66E484E4" w14:textId="77777777" w:rsidR="00564C38" w:rsidRDefault="00564C38" w:rsidP="007C1522">
      <w:pPr>
        <w:pStyle w:val="Heading2"/>
      </w:pPr>
      <w:bookmarkStart w:id="26" w:name="_Toc6843675"/>
      <w:r>
        <w:t>Including Methane in Calculation of Carbon Intensity of Natural Gas</w:t>
      </w:r>
      <w:bookmarkEnd w:id="26"/>
    </w:p>
    <w:p w14:paraId="67CB1643" w14:textId="0F991F3C" w:rsidR="00564C38" w:rsidRDefault="00564C38" w:rsidP="00564C38">
      <w:pPr>
        <w:pStyle w:val="standard"/>
      </w:pPr>
      <w:r>
        <w:t>SCE’s pilot proposal did not include a method for evaluating GHG reductions from the abatement of methane leaks.  The Public Advocates Office argued that SCE’s pilot proposal should incorporate a method for calculating the reduction of methane leaks in order to create a more robust method of accounting for GHG reductions.</w:t>
      </w:r>
      <w:r>
        <w:rPr>
          <w:rStyle w:val="FootnoteReference"/>
        </w:rPr>
        <w:footnoteReference w:id="96"/>
      </w:r>
      <w:r>
        <w:t xml:space="preserve">  SCE initially objected to incorporating the methane accounting methodology, stating that this is currently under consideration in the Commission’s metha</w:t>
      </w:r>
      <w:r w:rsidR="001B2E92">
        <w:t xml:space="preserve">ne leak abatement proceeding (Rulemaking </w:t>
      </w:r>
      <w:r>
        <w:t>15</w:t>
      </w:r>
      <w:r w:rsidR="00ED3E8A">
        <w:noBreakHyphen/>
      </w:r>
      <w:r>
        <w:t>01</w:t>
      </w:r>
      <w:r w:rsidR="00ED3E8A">
        <w:noBreakHyphen/>
      </w:r>
      <w:r>
        <w:t>008).</w:t>
      </w:r>
      <w:r>
        <w:rPr>
          <w:rStyle w:val="FootnoteReference"/>
        </w:rPr>
        <w:footnoteReference w:id="97"/>
      </w:r>
      <w:r>
        <w:t xml:space="preserve">  UC did not oppose accounting for methane leakage</w:t>
      </w:r>
      <w:r>
        <w:rPr>
          <w:rStyle w:val="FootnoteReference"/>
        </w:rPr>
        <w:footnoteReference w:id="98"/>
      </w:r>
      <w:r>
        <w:t xml:space="preserve"> and CSU agreed to account for methane leakage in its pilot.</w:t>
      </w:r>
      <w:r>
        <w:rPr>
          <w:rStyle w:val="FootnoteReference"/>
        </w:rPr>
        <w:footnoteReference w:id="99"/>
      </w:r>
    </w:p>
    <w:p w14:paraId="7521F6B5" w14:textId="331F89C5" w:rsidR="00564C38" w:rsidRPr="00564C38" w:rsidRDefault="00564C38" w:rsidP="00564C38">
      <w:pPr>
        <w:pStyle w:val="sub1"/>
      </w:pPr>
      <w:r>
        <w:t>Under the Settlement Agreement, the Settling Parties agreed to account for methane leakage by adding a natural gas leakage rate Southern California Gas Company’s Compression and Loss and Unaccounted for rates (as published in the Commission’s Avoided Cost Calculator)</w:t>
      </w:r>
      <w:r w:rsidR="00781D0F">
        <w:t xml:space="preserve"> </w:t>
      </w:r>
      <w:r>
        <w:t xml:space="preserve">into the CEOP carbon intensity factor to calculate </w:t>
      </w:r>
      <w:r w:rsidRPr="004E06FC">
        <w:t>performance payments</w:t>
      </w:r>
      <w:r>
        <w:t>.</w:t>
      </w:r>
      <w:r>
        <w:rPr>
          <w:rStyle w:val="FootnoteReference"/>
        </w:rPr>
        <w:footnoteReference w:id="100"/>
      </w:r>
    </w:p>
    <w:p w14:paraId="33026CF3" w14:textId="77777777" w:rsidR="00564C38" w:rsidRDefault="00564C38" w:rsidP="007C1522">
      <w:pPr>
        <w:pStyle w:val="Heading2"/>
      </w:pPr>
      <w:bookmarkStart w:id="27" w:name="_Toc6843676"/>
      <w:r>
        <w:t>Meth</w:t>
      </w:r>
      <w:r w:rsidR="001B2E92">
        <w:t>o</w:t>
      </w:r>
      <w:r>
        <w:t>d for Calculating Energy Intensity of Buildings</w:t>
      </w:r>
      <w:bookmarkEnd w:id="27"/>
    </w:p>
    <w:p w14:paraId="7F1A6F07" w14:textId="77777777" w:rsidR="00564C38" w:rsidRDefault="00564C38" w:rsidP="00564C38">
      <w:pPr>
        <w:pStyle w:val="standard"/>
      </w:pPr>
      <w:r>
        <w:t>SCE’s pilot proposal included a single variable to account for the relative change in energy usage between indoor and outdoor covered spaces.</w:t>
      </w:r>
      <w:r>
        <w:rPr>
          <w:rStyle w:val="FootnoteReference"/>
        </w:rPr>
        <w:footnoteReference w:id="101"/>
      </w:r>
      <w:r>
        <w:t xml:space="preserve">  The Public Advocates Office argued SCE should develop a separate methodology to account for GHG in indoor and outdoor covered spaces.</w:t>
      </w:r>
      <w:r>
        <w:rPr>
          <w:rStyle w:val="FootnoteReference"/>
        </w:rPr>
        <w:footnoteReference w:id="102"/>
      </w:r>
    </w:p>
    <w:p w14:paraId="34226E0F" w14:textId="49013E89" w:rsidR="00564C38" w:rsidRPr="00564C38" w:rsidRDefault="00564C38" w:rsidP="00564C38">
      <w:pPr>
        <w:pStyle w:val="sub1"/>
      </w:pPr>
      <w:r>
        <w:t>Under the Settlement Agreement, SCE will “remove all unconditioned space from the control factor for calculating performance payments.”</w:t>
      </w:r>
      <w:r>
        <w:rPr>
          <w:rStyle w:val="FootnoteReference"/>
        </w:rPr>
        <w:footnoteReference w:id="103"/>
      </w:r>
      <w:r>
        <w:t xml:space="preserve">  SCE will calculat</w:t>
      </w:r>
      <w:r w:rsidR="00EA24B0">
        <w:t xml:space="preserve">e the </w:t>
      </w:r>
      <w:r>
        <w:t>performance payments instead us</w:t>
      </w:r>
      <w:r w:rsidR="00781D0F">
        <w:t>ing</w:t>
      </w:r>
      <w:r>
        <w:t xml:space="preserve"> the Basic Gross Square Footage</w:t>
      </w:r>
      <w:r>
        <w:rPr>
          <w:rStyle w:val="FootnoteReference"/>
        </w:rPr>
        <w:footnoteReference w:id="104"/>
      </w:r>
      <w:r>
        <w:t xml:space="preserve"> in the CEOP square footage control factor.</w:t>
      </w:r>
      <w:r>
        <w:rPr>
          <w:rStyle w:val="FootnoteReference"/>
        </w:rPr>
        <w:footnoteReference w:id="105"/>
      </w:r>
    </w:p>
    <w:p w14:paraId="27E4FB82" w14:textId="77777777" w:rsidR="00564C38" w:rsidRDefault="00564C38" w:rsidP="007C1522">
      <w:pPr>
        <w:pStyle w:val="Heading2"/>
      </w:pPr>
      <w:bookmarkStart w:id="28" w:name="_Toc6843677"/>
      <w:r>
        <w:t>CEOP Performance Budget</w:t>
      </w:r>
      <w:bookmarkEnd w:id="28"/>
    </w:p>
    <w:p w14:paraId="16917DB3" w14:textId="4C2D07ED" w:rsidR="00564C38" w:rsidRPr="00564C38" w:rsidRDefault="00564C38" w:rsidP="00564C38">
      <w:pPr>
        <w:pStyle w:val="sub1"/>
      </w:pPr>
      <w:r>
        <w:t>The Settling Parties agreed to reduce the CEOP performance payment budget by $1 million, from $19.1 million to $18.1 million, to reflect 1) the reduction in asset life from eight to seven years (</w:t>
      </w:r>
      <w:r w:rsidRPr="00781D0F">
        <w:rPr>
          <w:i/>
        </w:rPr>
        <w:t>see</w:t>
      </w:r>
      <w:r>
        <w:t xml:space="preserve"> </w:t>
      </w:r>
      <w:r w:rsidR="001B2E92">
        <w:t>S</w:t>
      </w:r>
      <w:r>
        <w:t xml:space="preserve">ection </w:t>
      </w:r>
      <w:r w:rsidR="0055722C">
        <w:t>8</w:t>
      </w:r>
      <w:r>
        <w:t>.5)</w:t>
      </w:r>
      <w:r w:rsidR="001B2E92">
        <w:t>,</w:t>
      </w:r>
      <w:r>
        <w:t xml:space="preserve"> and 2) the inclusion of methane reduction in the CEOP carbon intensity factor, which is used to calculate performance payments (</w:t>
      </w:r>
      <w:r w:rsidRPr="00781D0F">
        <w:rPr>
          <w:i/>
        </w:rPr>
        <w:t>see</w:t>
      </w:r>
      <w:r>
        <w:t xml:space="preserve"> </w:t>
      </w:r>
      <w:r w:rsidR="001B2E92">
        <w:t>S</w:t>
      </w:r>
      <w:r>
        <w:t xml:space="preserve">ection </w:t>
      </w:r>
      <w:r w:rsidR="0055722C">
        <w:t>8</w:t>
      </w:r>
      <w:r>
        <w:t>.6).</w:t>
      </w:r>
      <w:r>
        <w:rPr>
          <w:rStyle w:val="FootnoteReference"/>
        </w:rPr>
        <w:footnoteReference w:id="106"/>
      </w:r>
    </w:p>
    <w:p w14:paraId="668FFCD7" w14:textId="77777777" w:rsidR="00564C38" w:rsidRDefault="00564C38" w:rsidP="00564C38">
      <w:pPr>
        <w:pStyle w:val="Heading1"/>
      </w:pPr>
      <w:bookmarkStart w:id="29" w:name="_Toc6843678"/>
      <w:r>
        <w:t>Settlement Standard of Review</w:t>
      </w:r>
      <w:bookmarkEnd w:id="29"/>
    </w:p>
    <w:p w14:paraId="3CE3A284" w14:textId="77777777" w:rsidR="00564C38" w:rsidRPr="00564C38" w:rsidRDefault="00564C38" w:rsidP="00564C38">
      <w:pPr>
        <w:pStyle w:val="standard"/>
      </w:pPr>
      <w:r>
        <w:t>In order for the Commission to consider a proposed settlement in this proceeding as being in the public interest, the Commission must be convinced that the Settling Parties have a sound and thorough understanding of the application and all of the underlying assumptions and data included in the record.  This level of understanding of the application and development of an adequate record is necessary to meet our requirements for considering any settlement.  These requirements are set forth in Commission Rules of Practice and Procedure (Rules) Rule 12.1(a).  The Commission will not approve settlements, whether contested or uncontested, unless the settlement is reasonable in light of the whole record, consistent with the law, and in the public interest.  Rule 12.5 limits the future applicability of a settlement.</w:t>
      </w:r>
      <w:r>
        <w:rPr>
          <w:rStyle w:val="FootnoteReference"/>
        </w:rPr>
        <w:footnoteReference w:id="107"/>
      </w:r>
      <w:r>
        <w:t xml:space="preserve">  As discussed below, the Settlement Agreement meets the Commission’s requirements for settlement.</w:t>
      </w:r>
    </w:p>
    <w:p w14:paraId="03DE76B3" w14:textId="77777777" w:rsidR="00564C38" w:rsidRDefault="00564C38" w:rsidP="00564C38">
      <w:pPr>
        <w:pStyle w:val="Heading1"/>
      </w:pPr>
      <w:bookmarkStart w:id="30" w:name="_Toc6843679"/>
      <w:r>
        <w:t>The Settlement Meets Our Standard of Review for Settlement</w:t>
      </w:r>
      <w:bookmarkEnd w:id="30"/>
    </w:p>
    <w:p w14:paraId="087C7537" w14:textId="77777777" w:rsidR="00564C38" w:rsidRDefault="00564C38" w:rsidP="00564C38">
      <w:pPr>
        <w:pStyle w:val="standard"/>
      </w:pPr>
      <w:r>
        <w:t xml:space="preserve">The settlement overall is reasonable in light of the record.  The record consists of the filed application; party comments and reply comments on the application and the August 16, 2018 workshop; SCE’s testimony, and the Motion for the Settlement Agreement (which includes the Settlement Agreement).  The settlement resolves the concerns raised by parties in their protests or responses, addresses many issues within the scoping memo and provides sufficient information to permit the Commission to discharge its regulatory obligations. </w:t>
      </w:r>
      <w:r w:rsidR="00EA24B0">
        <w:t xml:space="preserve"> </w:t>
      </w:r>
      <w:r>
        <w:t xml:space="preserve">It represents a reasonable compromise of the Settling Parties positions.  The settlement is also unopposed. </w:t>
      </w:r>
      <w:r w:rsidR="001C66BB">
        <w:t xml:space="preserve"> Furthermore, the Commission has repeatedly conveyed a policy preference of favoring settlements.</w:t>
      </w:r>
      <w:r w:rsidR="001C66BB">
        <w:rPr>
          <w:rStyle w:val="FootnoteReference"/>
        </w:rPr>
        <w:footnoteReference w:id="108"/>
      </w:r>
    </w:p>
    <w:p w14:paraId="29A97DB2" w14:textId="19910E1E" w:rsidR="00564C38" w:rsidRDefault="00564C38" w:rsidP="00564C38">
      <w:pPr>
        <w:pStyle w:val="standard"/>
      </w:pPr>
      <w:r>
        <w:t xml:space="preserve">The terms of the settlement do not contravene statute or Commission decisions.  </w:t>
      </w:r>
      <w:r w:rsidR="00781D0F">
        <w:t>The settlement</w:t>
      </w:r>
      <w:r>
        <w:t xml:space="preserve"> also resolves parties’ disputes related to the measurement and evaluation of the CEOP in a manner consistent with the Commission’s objective of reducing GHGs in an efficient and cost</w:t>
      </w:r>
      <w:r w:rsidR="00ED3E8A">
        <w:noBreakHyphen/>
      </w:r>
      <w:r>
        <w:t>effective manner, with the exception of assigning priority of funding for the CEOP.</w:t>
      </w:r>
      <w:r w:rsidR="00B972A7">
        <w:t xml:space="preserve">  In addition, the Settling Parties complied with the Commission’s Rules of Practice and Procedure, Rule 12.</w:t>
      </w:r>
    </w:p>
    <w:p w14:paraId="6647F0C6" w14:textId="1B875954" w:rsidR="00564C38" w:rsidRPr="00564C38" w:rsidRDefault="00564C38" w:rsidP="00564C38">
      <w:pPr>
        <w:pStyle w:val="standard"/>
      </w:pPr>
      <w:r>
        <w:t>The settlement can be said to serve the public interest because resolving the protest is the result of negotiation by parties who have a thorough understanding of the issues and can make informed decisions in the settlement process.  By reaching agreement, the parties also avoid the costs of further litigation</w:t>
      </w:r>
      <w:r w:rsidR="001B73AC">
        <w:t xml:space="preserve"> such as preparing for and participating in evidentiary hearing and preparing post</w:t>
      </w:r>
      <w:r w:rsidR="00ED3E8A">
        <w:noBreakHyphen/>
      </w:r>
      <w:r w:rsidR="001B73AC">
        <w:t>hearing briefs presenting arguments on disputed issues</w:t>
      </w:r>
      <w:r>
        <w:t>.</w:t>
      </w:r>
      <w:r w:rsidR="001B73AC">
        <w:t xml:space="preserve">  The time and resources saved are beneficial to ratepayers, not only in terms of dollars saved, but the time resources of the Settling Parties and the Commission can be reallocated to other matters.</w:t>
      </w:r>
    </w:p>
    <w:p w14:paraId="70ECD755" w14:textId="77777777" w:rsidR="00564C38" w:rsidRDefault="00564C38" w:rsidP="00564C38">
      <w:pPr>
        <w:pStyle w:val="Heading1"/>
      </w:pPr>
      <w:bookmarkStart w:id="31" w:name="_Toc6843680"/>
      <w:r>
        <w:t>Future Effects of Settlement</w:t>
      </w:r>
      <w:bookmarkEnd w:id="31"/>
    </w:p>
    <w:p w14:paraId="490DDE4D" w14:textId="77777777" w:rsidR="00564C38" w:rsidRDefault="00564C38" w:rsidP="00564C38">
      <w:pPr>
        <w:pStyle w:val="standard"/>
      </w:pPr>
      <w:r>
        <w:t xml:space="preserve">Rule 12.5 limits the applicability of a settlement.  Under Rule 12.5, adoption of a settlement does not constitute precedent or have binding effect regarding any principle or issue in any future proceeding, unless the Commission expressly provides otherwise. </w:t>
      </w:r>
    </w:p>
    <w:p w14:paraId="341604B8" w14:textId="77777777" w:rsidR="00564C38" w:rsidRPr="00564C38" w:rsidRDefault="00564C38" w:rsidP="00564C38">
      <w:pPr>
        <w:pStyle w:val="standard"/>
      </w:pPr>
      <w:r>
        <w:t>In the Settlement Agreement, parties did not request to resolve any principle or issue in future proceedings.  In fact, the Settling Parties expressly indicated an intent to limit the terms regarding the method of calculating GHG reductions at EV charging stations to the CEOP pilot.</w:t>
      </w:r>
      <w:r>
        <w:rPr>
          <w:rStyle w:val="FootnoteReference"/>
        </w:rPr>
        <w:footnoteReference w:id="109"/>
      </w:r>
      <w:r>
        <w:t xml:space="preserve">  The Commission finds no compelling reason to impose a binding effect on any principle or issue of this Settlement Agreement outside of the CEOP approved in this decision, and declines to impose any.</w:t>
      </w:r>
    </w:p>
    <w:p w14:paraId="4BBFCB07" w14:textId="77777777" w:rsidR="00564C38" w:rsidRDefault="00564C38" w:rsidP="00564C38">
      <w:pPr>
        <w:pStyle w:val="Heading1"/>
      </w:pPr>
      <w:bookmarkStart w:id="32" w:name="_Toc6843681"/>
      <w:r>
        <w:t>Reporting Requirements of the Pilot to the Commission</w:t>
      </w:r>
      <w:bookmarkEnd w:id="32"/>
    </w:p>
    <w:p w14:paraId="17DCB0A0" w14:textId="27D2E9AF" w:rsidR="00564C38" w:rsidRDefault="00564C38" w:rsidP="00564C38">
      <w:pPr>
        <w:pStyle w:val="standard"/>
      </w:pPr>
      <w:r>
        <w:t>SCE plans to prepare a</w:t>
      </w:r>
      <w:r w:rsidR="00193AE5">
        <w:t>nnual, mid</w:t>
      </w:r>
      <w:r w:rsidR="00ED3E8A">
        <w:noBreakHyphen/>
      </w:r>
      <w:r w:rsidR="00193AE5">
        <w:t>term and</w:t>
      </w:r>
      <w:r>
        <w:t xml:space="preserve"> </w:t>
      </w:r>
      <w:r w:rsidR="00193AE5">
        <w:t xml:space="preserve">a </w:t>
      </w:r>
      <w:r>
        <w:t xml:space="preserve">final CEOP evaluation report </w:t>
      </w:r>
      <w:r w:rsidR="00112F5D">
        <w:t>to stakeholders</w:t>
      </w:r>
    </w:p>
    <w:p w14:paraId="08709EE1" w14:textId="16ED3704" w:rsidR="00564C38" w:rsidRDefault="00564C38" w:rsidP="00564C38">
      <w:pPr>
        <w:pStyle w:val="standard"/>
        <w:spacing w:after="120" w:line="240" w:lineRule="auto"/>
        <w:ind w:left="720" w:right="720" w:firstLine="0"/>
      </w:pPr>
      <w:r>
        <w:t>that will inform whether a pay</w:t>
      </w:r>
      <w:r w:rsidR="00ED3E8A">
        <w:noBreakHyphen/>
      </w:r>
      <w:r>
        <w:t>for</w:t>
      </w:r>
      <w:r w:rsidR="00ED3E8A">
        <w:noBreakHyphen/>
      </w:r>
      <w:r>
        <w:t>performance incentive framework was effective in accelerating GHG emission reductions through on</w:t>
      </w:r>
      <w:r w:rsidR="00ED3E8A">
        <w:noBreakHyphen/>
      </w:r>
      <w:r>
        <w:t>site (behind</w:t>
      </w:r>
      <w:r w:rsidR="00ED3E8A">
        <w:noBreakHyphen/>
      </w:r>
      <w:r>
        <w:t>the</w:t>
      </w:r>
      <w:r w:rsidR="00ED3E8A">
        <w:noBreakHyphen/>
      </w:r>
      <w:r>
        <w:t>meter) measures, whether the streamlined and simplified pay</w:t>
      </w:r>
      <w:r w:rsidR="00ED3E8A">
        <w:noBreakHyphen/>
      </w:r>
      <w:r>
        <w:t>for</w:t>
      </w:r>
      <w:r w:rsidR="00ED3E8A">
        <w:noBreakHyphen/>
      </w:r>
      <w:r>
        <w:t>performance structure resulted in increased consumer satisfaction with the program, and whether the method of using meter</w:t>
      </w:r>
      <w:r w:rsidR="00ED3E8A">
        <w:noBreakHyphen/>
      </w:r>
      <w:r>
        <w:t>based data to measure GHG emissions reductions warrants the Commission considering a customer</w:t>
      </w:r>
      <w:r w:rsidR="00ED3E8A">
        <w:noBreakHyphen/>
      </w:r>
      <w:r>
        <w:t>funded program that can be scaled up to include other customers and industry categories.</w:t>
      </w:r>
      <w:r>
        <w:rPr>
          <w:rStyle w:val="FootnoteReference"/>
        </w:rPr>
        <w:footnoteReference w:id="110"/>
      </w:r>
      <w:r>
        <w:t xml:space="preserve"> </w:t>
      </w:r>
    </w:p>
    <w:p w14:paraId="638BCC6B" w14:textId="03DA0952" w:rsidR="00564C38" w:rsidRPr="00106109" w:rsidRDefault="00564C38" w:rsidP="00564C38">
      <w:pPr>
        <w:pStyle w:val="standard"/>
      </w:pPr>
      <w:r w:rsidRPr="00106109">
        <w:t xml:space="preserve">The Commission recognizes that the calculation methods to count baseline and incentive payments were designed to limit the uncertainty, complexity and risk for the capital planning of the Pilot Participants.  While incentive payments </w:t>
      </w:r>
      <w:r>
        <w:t xml:space="preserve">for the pilot </w:t>
      </w:r>
      <w:r w:rsidRPr="00106109">
        <w:t xml:space="preserve">will be </w:t>
      </w:r>
      <w:r>
        <w:t>based on the counting methods established</w:t>
      </w:r>
      <w:r w:rsidRPr="00106109">
        <w:t xml:space="preserve"> the settlement</w:t>
      </w:r>
      <w:r>
        <w:t>, the Commission also</w:t>
      </w:r>
      <w:r w:rsidRPr="00106109">
        <w:t xml:space="preserve"> require</w:t>
      </w:r>
      <w:r>
        <w:t xml:space="preserve">s </w:t>
      </w:r>
      <w:r w:rsidRPr="00106109">
        <w:t>the program evaluation</w:t>
      </w:r>
      <w:r>
        <w:t xml:space="preserve"> report</w:t>
      </w:r>
      <w:r w:rsidRPr="00106109">
        <w:t xml:space="preserve"> </w:t>
      </w:r>
      <w:r>
        <w:t xml:space="preserve">to </w:t>
      </w:r>
      <w:r w:rsidRPr="00106109">
        <w:t xml:space="preserve">include a detailed analysis of the EV charging baseline, carbon emission factors and asset life assumptions </w:t>
      </w:r>
      <w:r>
        <w:t>as follows</w:t>
      </w:r>
      <w:r w:rsidRPr="00106109">
        <w:t>:</w:t>
      </w:r>
    </w:p>
    <w:p w14:paraId="052E04EF" w14:textId="595914E5" w:rsidR="00564C38" w:rsidRPr="00106109" w:rsidRDefault="00564C38" w:rsidP="00725F6A">
      <w:pPr>
        <w:pStyle w:val="standard"/>
        <w:numPr>
          <w:ilvl w:val="0"/>
          <w:numId w:val="44"/>
        </w:numPr>
        <w:spacing w:after="160" w:line="240" w:lineRule="auto"/>
        <w:ind w:left="1080" w:right="720"/>
      </w:pPr>
      <w:r>
        <w:t>Calculation of t</w:t>
      </w:r>
      <w:r w:rsidRPr="00106109">
        <w:t xml:space="preserve">otal program savings based on </w:t>
      </w:r>
      <w:r w:rsidR="009F308C">
        <w:t>the estimated</w:t>
      </w:r>
      <w:r w:rsidRPr="00106109">
        <w:t xml:space="preserve"> savings from an individual investment’s asset life;</w:t>
      </w:r>
    </w:p>
    <w:p w14:paraId="517FF30E" w14:textId="14367AFB" w:rsidR="00564C38" w:rsidRDefault="00564C38" w:rsidP="00725F6A">
      <w:pPr>
        <w:pStyle w:val="standard"/>
        <w:numPr>
          <w:ilvl w:val="0"/>
          <w:numId w:val="44"/>
        </w:numPr>
        <w:spacing w:after="160" w:line="240" w:lineRule="auto"/>
        <w:ind w:left="1080" w:right="720"/>
      </w:pPr>
      <w:r>
        <w:t>Calculation of GHG emissions reductions using a</w:t>
      </w:r>
      <w:r w:rsidRPr="00106109">
        <w:t>n emissions factor that calculates marginal emission intensities of all generation, both emitting and GHG</w:t>
      </w:r>
      <w:r w:rsidR="00ED3E8A">
        <w:noBreakHyphen/>
      </w:r>
      <w:r w:rsidRPr="00106109">
        <w:t>free resource</w:t>
      </w:r>
      <w:r w:rsidR="00CE04EA">
        <w:t>,</w:t>
      </w:r>
      <w:r w:rsidR="00CB7B08">
        <w:t xml:space="preserve"> applying a</w:t>
      </w:r>
      <w:r w:rsidR="009C5BE9">
        <w:t xml:space="preserve">n hourly </w:t>
      </w:r>
      <w:r w:rsidR="00CE04EA">
        <w:t>load shape to the emissions factors</w:t>
      </w:r>
      <w:r w:rsidRPr="00106109">
        <w:t>;</w:t>
      </w:r>
      <w:r>
        <w:rPr>
          <w:rStyle w:val="FootnoteReference"/>
        </w:rPr>
        <w:footnoteReference w:id="111"/>
      </w:r>
      <w:r w:rsidRPr="00106109">
        <w:t xml:space="preserve"> and</w:t>
      </w:r>
    </w:p>
    <w:p w14:paraId="54EFECA8" w14:textId="4983873B" w:rsidR="00C70640" w:rsidRDefault="00564C38" w:rsidP="00725F6A">
      <w:pPr>
        <w:pStyle w:val="standard"/>
        <w:numPr>
          <w:ilvl w:val="0"/>
          <w:numId w:val="44"/>
        </w:numPr>
        <w:spacing w:after="160" w:line="240" w:lineRule="auto"/>
        <w:ind w:left="1080" w:right="720"/>
      </w:pPr>
      <w:r>
        <w:t xml:space="preserve">Calculation of </w:t>
      </w:r>
      <w:r w:rsidRPr="00106109">
        <w:t xml:space="preserve">EV charging emissions </w:t>
      </w:r>
      <w:r>
        <w:t>reductions by</w:t>
      </w:r>
      <w:r w:rsidRPr="00106109">
        <w:t xml:space="preserve"> account</w:t>
      </w:r>
      <w:r>
        <w:t>ing</w:t>
      </w:r>
      <w:r w:rsidRPr="00106109">
        <w:t xml:space="preserve"> for existing EV ownership and the impact EV charging station</w:t>
      </w:r>
      <w:r>
        <w:t>s</w:t>
      </w:r>
      <w:r w:rsidRPr="00106109">
        <w:t xml:space="preserve"> have on encouraging new EV ownership.</w:t>
      </w:r>
    </w:p>
    <w:p w14:paraId="265B7D63" w14:textId="10840650" w:rsidR="009C5BE9" w:rsidRPr="00564C38" w:rsidRDefault="009C5BE9" w:rsidP="009E7D1A">
      <w:pPr>
        <w:pStyle w:val="standard"/>
        <w:numPr>
          <w:ilvl w:val="0"/>
          <w:numId w:val="44"/>
        </w:numPr>
        <w:spacing w:after="160" w:line="240" w:lineRule="auto"/>
        <w:ind w:left="1080" w:right="720"/>
      </w:pPr>
      <w:r w:rsidRPr="009C5BE9">
        <w:t>SCE should maintain regularly scheduled program progress reporting with the Energy Division.</w:t>
      </w:r>
      <w:r w:rsidR="00010D71">
        <w:t xml:space="preserve">  The progress reporting sh</w:t>
      </w:r>
      <w:r w:rsidR="00871040">
        <w:t>all include submission of the annual and mid</w:t>
      </w:r>
      <w:r w:rsidR="00ED3E8A">
        <w:noBreakHyphen/>
      </w:r>
      <w:r w:rsidR="00871040">
        <w:t>term</w:t>
      </w:r>
      <w:r w:rsidR="00010D71">
        <w:t xml:space="preserve"> written progress reports </w:t>
      </w:r>
      <w:r w:rsidR="005168DA">
        <w:t>to</w:t>
      </w:r>
      <w:r w:rsidR="00010D71">
        <w:t xml:space="preserve"> the </w:t>
      </w:r>
      <w:r w:rsidR="001C2132">
        <w:t xml:space="preserve">Commission’s </w:t>
      </w:r>
      <w:r w:rsidR="00010D71">
        <w:t>Energy Division</w:t>
      </w:r>
      <w:r w:rsidR="005168DA">
        <w:t xml:space="preserve"> as a Tier 1 Advice Letter and submission of the final report as a Tier 2 Advice Letter</w:t>
      </w:r>
      <w:r w:rsidR="00010D71">
        <w:t>.</w:t>
      </w:r>
    </w:p>
    <w:p w14:paraId="68D165FB" w14:textId="77777777" w:rsidR="00564C38" w:rsidRDefault="00564C38" w:rsidP="00564C38">
      <w:pPr>
        <w:pStyle w:val="Heading1"/>
      </w:pPr>
      <w:bookmarkStart w:id="33" w:name="_Toc6843682"/>
      <w:r>
        <w:t>Change in Determination of Need for Hearing</w:t>
      </w:r>
      <w:bookmarkEnd w:id="33"/>
    </w:p>
    <w:p w14:paraId="44424EE9" w14:textId="0755E58D" w:rsidR="00564C38" w:rsidRPr="00564C38" w:rsidRDefault="00564C38" w:rsidP="00564C38">
      <w:pPr>
        <w:pStyle w:val="standard"/>
      </w:pPr>
      <w:r w:rsidRPr="00AF72AB">
        <w:t>In Resolution ALJ 176</w:t>
      </w:r>
      <w:r w:rsidR="00ED3E8A">
        <w:noBreakHyphen/>
      </w:r>
      <w:r w:rsidRPr="00AF72AB">
        <w:t>341</w:t>
      </w:r>
      <w:r>
        <w:t>7,</w:t>
      </w:r>
      <w:r w:rsidRPr="00AF72AB">
        <w:t xml:space="preserve"> dated May </w:t>
      </w:r>
      <w:r>
        <w:t>3</w:t>
      </w:r>
      <w:r w:rsidRPr="00AF72AB">
        <w:t>1, 2018, the Commission preliminarily categorized this application as rat</w:t>
      </w:r>
      <w:r>
        <w:t xml:space="preserve">esetting as defined in </w:t>
      </w:r>
      <w:r w:rsidRPr="00BE757F">
        <w:t>Rule 1.3</w:t>
      </w:r>
      <w:r w:rsidRPr="00AF72AB">
        <w:t xml:space="preserve"> and anticipated that this proceeding would reasonably require hearings.  A PHC was held on July </w:t>
      </w:r>
      <w:r>
        <w:t>6</w:t>
      </w:r>
      <w:r w:rsidRPr="00AF72AB">
        <w:t xml:space="preserve">, 2018, and a scoping memo and ruling indicating that hearings were necessary was issued.  However, the parties thereafter agreed that evidentiary hearings were not necessary.  </w:t>
      </w:r>
      <w:r>
        <w:t>Given that no hearings were held in the current proceeding, we change our preliminary and scoping memo determination regarding hearings to no hearings necessary.</w:t>
      </w:r>
    </w:p>
    <w:p w14:paraId="3EDA1CBB" w14:textId="77777777" w:rsidR="00564C38" w:rsidRDefault="00564C38" w:rsidP="00564C38">
      <w:pPr>
        <w:pStyle w:val="Heading1"/>
      </w:pPr>
      <w:bookmarkStart w:id="34" w:name="_Toc6843683"/>
      <w:r>
        <w:t>Admittance of Testimony and Exhibits into the Record</w:t>
      </w:r>
      <w:bookmarkEnd w:id="34"/>
    </w:p>
    <w:p w14:paraId="508D14D7" w14:textId="72CF7442" w:rsidR="00564C38" w:rsidRPr="00564C38" w:rsidRDefault="00564C38" w:rsidP="00564C38">
      <w:pPr>
        <w:pStyle w:val="standard"/>
      </w:pPr>
      <w:r>
        <w:t>Since evidentiary hearings were not held in A.18</w:t>
      </w:r>
      <w:r w:rsidR="00ED3E8A">
        <w:noBreakHyphen/>
      </w:r>
      <w:r>
        <w:t>05</w:t>
      </w:r>
      <w:r w:rsidR="00ED3E8A">
        <w:noBreakHyphen/>
      </w:r>
      <w:r>
        <w:t xml:space="preserve">015, there was no opportunity to enter prepared testimony and exhibits into the record.  In order to fairly assess the record, it is necessary to include all testimony and exhibits served by SCE.  In its motion of </w:t>
      </w:r>
      <w:r w:rsidRPr="00A06742">
        <w:t>November 15, 2018, SCE</w:t>
      </w:r>
      <w:r>
        <w:t xml:space="preserve"> requested, pursuant to Rule 13.8 of the Commission’s Rules of Practice and Procedure,</w:t>
      </w:r>
      <w:r>
        <w:rPr>
          <w:rStyle w:val="FootnoteReference"/>
        </w:rPr>
        <w:footnoteReference w:id="112"/>
      </w:r>
      <w:r>
        <w:t xml:space="preserve"> that the Commission receive its Exhibits into the record of A.18</w:t>
      </w:r>
      <w:r w:rsidR="00ED3E8A">
        <w:noBreakHyphen/>
      </w:r>
      <w:r>
        <w:t>05</w:t>
      </w:r>
      <w:r w:rsidR="00ED3E8A">
        <w:noBreakHyphen/>
      </w:r>
      <w:r>
        <w:t>015.  Therefore, we identify SCE’s supporting testimony and workpapers as Exhibits SCE</w:t>
      </w:r>
      <w:r w:rsidR="00ED3E8A">
        <w:noBreakHyphen/>
      </w:r>
      <w:r>
        <w:t>01, SCE</w:t>
      </w:r>
      <w:r w:rsidR="00ED3E8A">
        <w:noBreakHyphen/>
      </w:r>
      <w:r>
        <w:t>02, SCE</w:t>
      </w:r>
      <w:r w:rsidR="00ED3E8A">
        <w:noBreakHyphen/>
      </w:r>
      <w:r>
        <w:t>03, SCE</w:t>
      </w:r>
      <w:r w:rsidR="00ED3E8A">
        <w:noBreakHyphen/>
      </w:r>
      <w:r>
        <w:t>04, SCE</w:t>
      </w:r>
      <w:r w:rsidR="00ED3E8A">
        <w:noBreakHyphen/>
      </w:r>
      <w:r>
        <w:t>05 and SCE</w:t>
      </w:r>
      <w:r w:rsidR="00ED3E8A">
        <w:noBreakHyphen/>
      </w:r>
      <w:r>
        <w:t>06.</w:t>
      </w:r>
      <w:r>
        <w:rPr>
          <w:rStyle w:val="FootnoteReference"/>
        </w:rPr>
        <w:footnoteReference w:id="113"/>
      </w:r>
      <w:r>
        <w:t xml:space="preserve">  Given the necessity of SCE’s testimony to our assessment of the CEOP, the Commission admits SCE’s six exhibits into evidence.</w:t>
      </w:r>
    </w:p>
    <w:p w14:paraId="4F654CF4" w14:textId="77777777" w:rsidR="00564C38" w:rsidRDefault="00564C38" w:rsidP="00564C38">
      <w:pPr>
        <w:pStyle w:val="Heading1"/>
      </w:pPr>
      <w:bookmarkStart w:id="35" w:name="_Toc6843684"/>
      <w:r>
        <w:t>Compliance with the Authority Granted Herein</w:t>
      </w:r>
      <w:bookmarkEnd w:id="35"/>
    </w:p>
    <w:p w14:paraId="7C46061A" w14:textId="77777777" w:rsidR="00564C38" w:rsidRPr="00564C38" w:rsidRDefault="00761C0B" w:rsidP="00564C38">
      <w:pPr>
        <w:pStyle w:val="standard"/>
      </w:pPr>
      <w:r>
        <w:t>SCE shall submit a Tier 1 advice letter to the Commission’s Energy Division to establish the CEOP balancing account within 30 days of the effective date of this decision.</w:t>
      </w:r>
    </w:p>
    <w:p w14:paraId="25650F01" w14:textId="77777777" w:rsidR="00617664" w:rsidRDefault="00617664" w:rsidP="00564C38">
      <w:pPr>
        <w:pStyle w:val="Heading1"/>
      </w:pPr>
      <w:bookmarkStart w:id="36" w:name="_Toc6843685"/>
      <w:bookmarkEnd w:id="5"/>
      <w:r>
        <w:t>Comments on Proposed Decision</w:t>
      </w:r>
      <w:bookmarkEnd w:id="36"/>
    </w:p>
    <w:p w14:paraId="73D291D2" w14:textId="05CFE453" w:rsidR="00001529" w:rsidRPr="00AA3E56" w:rsidRDefault="00001529" w:rsidP="00001529">
      <w:pPr>
        <w:pStyle w:val="standard"/>
      </w:pPr>
      <w:r w:rsidRPr="00AA3E56">
        <w:t xml:space="preserve">The proposed decision of ALJ </w:t>
      </w:r>
      <w:r>
        <w:t>Kline</w:t>
      </w:r>
      <w:r w:rsidRPr="00AA3E56">
        <w:t xml:space="preserve"> in this matter was mailed to the parties in accordance with Section 311 of the Public Utilities Code and comments were allowed under Rule 14.3 of the Commission’s Rules of Practice and Procedure.  </w:t>
      </w:r>
      <w:r w:rsidR="000263F5">
        <w:t>The Settling Parties</w:t>
      </w:r>
      <w:r w:rsidR="000263F5" w:rsidRPr="00AA3E56">
        <w:t xml:space="preserve"> </w:t>
      </w:r>
      <w:r w:rsidR="000263F5">
        <w:t>jointly filed c</w:t>
      </w:r>
      <w:r w:rsidRPr="00AA3E56">
        <w:t xml:space="preserve">omments on </w:t>
      </w:r>
      <w:r w:rsidR="00FB0CF4">
        <w:t>March 4, 2019</w:t>
      </w:r>
      <w:r w:rsidR="000263F5">
        <w:t>,</w:t>
      </w:r>
      <w:r w:rsidR="00FB0CF4">
        <w:t xml:space="preserve"> </w:t>
      </w:r>
      <w:r w:rsidR="000263F5">
        <w:t xml:space="preserve">supporting the proposed decision and urging </w:t>
      </w:r>
      <w:r w:rsidR="000854CF">
        <w:t xml:space="preserve">the </w:t>
      </w:r>
      <w:r w:rsidR="000263F5">
        <w:t xml:space="preserve">Commission </w:t>
      </w:r>
      <w:r w:rsidR="000854CF">
        <w:t xml:space="preserve">to </w:t>
      </w:r>
      <w:r w:rsidR="000263F5">
        <w:t>adopt the proposed decision without revision</w:t>
      </w:r>
      <w:r w:rsidR="00FB0CF4">
        <w:t xml:space="preserve">. </w:t>
      </w:r>
      <w:r w:rsidRPr="00AA3E56">
        <w:t xml:space="preserve"> </w:t>
      </w:r>
      <w:r w:rsidR="00FB0CF4">
        <w:t xml:space="preserve">No parties filed </w:t>
      </w:r>
      <w:r w:rsidRPr="00AA3E56">
        <w:t>reply comments</w:t>
      </w:r>
      <w:r w:rsidR="00FB0CF4">
        <w:t>.</w:t>
      </w:r>
    </w:p>
    <w:p w14:paraId="0381C2DD" w14:textId="77777777" w:rsidR="00617664" w:rsidRDefault="00617664" w:rsidP="00564C38">
      <w:pPr>
        <w:pStyle w:val="Heading1"/>
      </w:pPr>
      <w:bookmarkStart w:id="37" w:name="_Toc6843686"/>
      <w:r>
        <w:t>Assignment of Proceeding</w:t>
      </w:r>
      <w:bookmarkEnd w:id="37"/>
    </w:p>
    <w:p w14:paraId="241D4B2A" w14:textId="77777777" w:rsidR="00617664" w:rsidRDefault="00761C0B" w:rsidP="00761C0B">
      <w:pPr>
        <w:pStyle w:val="standard"/>
      </w:pPr>
      <w:r>
        <w:t xml:space="preserve">Michael Picker </w:t>
      </w:r>
      <w:r w:rsidR="00617664">
        <w:t xml:space="preserve">is the assigned Commissioner and </w:t>
      </w:r>
      <w:r>
        <w:t xml:space="preserve">Zita Kline </w:t>
      </w:r>
      <w:r w:rsidR="00617664">
        <w:t>is the assigned A</w:t>
      </w:r>
      <w:r w:rsidR="00725F6A">
        <w:t>LJ</w:t>
      </w:r>
      <w:r w:rsidR="00617664">
        <w:t xml:space="preserve"> in this proceeding.</w:t>
      </w:r>
    </w:p>
    <w:p w14:paraId="12D94A8D" w14:textId="77777777" w:rsidR="00617664" w:rsidRDefault="00617664" w:rsidP="00564C38">
      <w:pPr>
        <w:pStyle w:val="dummy"/>
      </w:pPr>
      <w:bookmarkStart w:id="38" w:name="_Toc450990219"/>
      <w:bookmarkStart w:id="39" w:name="_Toc451151266"/>
      <w:bookmarkStart w:id="40" w:name="_Toc6843687"/>
      <w:r>
        <w:t>Findings of Fact</w:t>
      </w:r>
      <w:bookmarkEnd w:id="38"/>
      <w:bookmarkEnd w:id="39"/>
      <w:bookmarkEnd w:id="40"/>
    </w:p>
    <w:p w14:paraId="350DB0DB" w14:textId="30534816" w:rsidR="00761C0B" w:rsidRDefault="00761C0B" w:rsidP="00761C0B">
      <w:pPr>
        <w:pStyle w:val="standard"/>
        <w:numPr>
          <w:ilvl w:val="0"/>
          <w:numId w:val="2"/>
        </w:numPr>
        <w:ind w:firstLine="360"/>
      </w:pPr>
      <w:r>
        <w:t>On May 15, 2018, SCE filed A</w:t>
      </w:r>
      <w:r w:rsidR="00725F6A">
        <w:t>.</w:t>
      </w:r>
      <w:r>
        <w:t>18</w:t>
      </w:r>
      <w:r w:rsidR="00ED3E8A">
        <w:noBreakHyphen/>
      </w:r>
      <w:r>
        <w:t>05</w:t>
      </w:r>
      <w:r w:rsidR="00ED3E8A">
        <w:noBreakHyphen/>
      </w:r>
      <w:r>
        <w:t>015 for approval of its CEOP and to establish a CEOP balancing account to track project costs.</w:t>
      </w:r>
    </w:p>
    <w:p w14:paraId="69468CC9" w14:textId="7995673F" w:rsidR="00761C0B" w:rsidRDefault="00761C0B" w:rsidP="00761C0B">
      <w:pPr>
        <w:pStyle w:val="num1"/>
        <w:numPr>
          <w:ilvl w:val="0"/>
          <w:numId w:val="2"/>
        </w:numPr>
        <w:rPr>
          <w:szCs w:val="26"/>
        </w:rPr>
      </w:pPr>
      <w:r w:rsidRPr="00B07CA7">
        <w:rPr>
          <w:szCs w:val="26"/>
        </w:rPr>
        <w:t>In Resolution ALJ 176</w:t>
      </w:r>
      <w:r w:rsidR="00ED3E8A">
        <w:rPr>
          <w:szCs w:val="26"/>
        </w:rPr>
        <w:noBreakHyphen/>
      </w:r>
      <w:r w:rsidRPr="00B07CA7">
        <w:rPr>
          <w:szCs w:val="26"/>
        </w:rPr>
        <w:t>341</w:t>
      </w:r>
      <w:r>
        <w:rPr>
          <w:szCs w:val="26"/>
        </w:rPr>
        <w:t>7</w:t>
      </w:r>
      <w:r w:rsidRPr="00B07CA7">
        <w:rPr>
          <w:szCs w:val="26"/>
        </w:rPr>
        <w:t xml:space="preserve">, dated May </w:t>
      </w:r>
      <w:r>
        <w:rPr>
          <w:szCs w:val="26"/>
        </w:rPr>
        <w:t>3</w:t>
      </w:r>
      <w:r w:rsidRPr="00B07CA7">
        <w:rPr>
          <w:szCs w:val="26"/>
        </w:rPr>
        <w:t>1, 2018, the Commission preliminarily categorized this proceeding as ratesetting, and preliminarily determined that hearings were necessary.  In the scoping memo,</w:t>
      </w:r>
      <w:r>
        <w:rPr>
          <w:szCs w:val="26"/>
        </w:rPr>
        <w:t xml:space="preserve"> the</w:t>
      </w:r>
      <w:r w:rsidRPr="00B07CA7">
        <w:rPr>
          <w:szCs w:val="26"/>
        </w:rPr>
        <w:t xml:space="preserve"> assigned Commissioner stated that evidentiary hearings would be held if necessary.  No hearings were held.</w:t>
      </w:r>
    </w:p>
    <w:p w14:paraId="5293E2F2" w14:textId="64EB7DCA" w:rsidR="00761C0B" w:rsidRDefault="00761C0B" w:rsidP="00761C0B">
      <w:pPr>
        <w:pStyle w:val="num1"/>
        <w:numPr>
          <w:ilvl w:val="0"/>
          <w:numId w:val="2"/>
        </w:numPr>
        <w:rPr>
          <w:szCs w:val="26"/>
        </w:rPr>
      </w:pPr>
      <w:r>
        <w:rPr>
          <w:szCs w:val="26"/>
        </w:rPr>
        <w:t>The DAC</w:t>
      </w:r>
      <w:r w:rsidR="00ED3E8A">
        <w:rPr>
          <w:szCs w:val="26"/>
        </w:rPr>
        <w:noBreakHyphen/>
      </w:r>
      <w:r>
        <w:rPr>
          <w:szCs w:val="26"/>
        </w:rPr>
        <w:t xml:space="preserve">SASH program budget is not a source of available funds for new </w:t>
      </w:r>
      <w:r w:rsidR="00335E12">
        <w:rPr>
          <w:szCs w:val="26"/>
        </w:rPr>
        <w:t>c</w:t>
      </w:r>
      <w:r>
        <w:rPr>
          <w:szCs w:val="26"/>
        </w:rPr>
        <w:t xml:space="preserve">lean </w:t>
      </w:r>
      <w:r w:rsidR="00335E12">
        <w:rPr>
          <w:szCs w:val="26"/>
        </w:rPr>
        <w:t>e</w:t>
      </w:r>
      <w:r>
        <w:rPr>
          <w:szCs w:val="26"/>
        </w:rPr>
        <w:t xml:space="preserve">nergy and </w:t>
      </w:r>
      <w:r w:rsidR="00335E12">
        <w:rPr>
          <w:szCs w:val="26"/>
        </w:rPr>
        <w:t>e</w:t>
      </w:r>
      <w:r>
        <w:rPr>
          <w:szCs w:val="26"/>
        </w:rPr>
        <w:t xml:space="preserve">nergy </w:t>
      </w:r>
      <w:r w:rsidR="00335E12">
        <w:rPr>
          <w:szCs w:val="26"/>
        </w:rPr>
        <w:t>e</w:t>
      </w:r>
      <w:r>
        <w:rPr>
          <w:szCs w:val="26"/>
        </w:rPr>
        <w:t>fficiency programs.</w:t>
      </w:r>
    </w:p>
    <w:p w14:paraId="0E763549" w14:textId="2F13D55C" w:rsidR="00761C0B" w:rsidRDefault="00761C0B" w:rsidP="00761C0B">
      <w:pPr>
        <w:pStyle w:val="num1"/>
        <w:numPr>
          <w:ilvl w:val="0"/>
          <w:numId w:val="2"/>
        </w:numPr>
        <w:rPr>
          <w:szCs w:val="26"/>
        </w:rPr>
      </w:pPr>
      <w:r>
        <w:rPr>
          <w:szCs w:val="26"/>
        </w:rPr>
        <w:t>The DAC</w:t>
      </w:r>
      <w:r w:rsidR="00ED3E8A">
        <w:rPr>
          <w:szCs w:val="26"/>
        </w:rPr>
        <w:noBreakHyphen/>
      </w:r>
      <w:r>
        <w:rPr>
          <w:szCs w:val="26"/>
        </w:rPr>
        <w:t>GT and CSGT programs compete with the CEOP for available Cap</w:t>
      </w:r>
      <w:r w:rsidR="00ED3E8A">
        <w:rPr>
          <w:szCs w:val="26"/>
        </w:rPr>
        <w:noBreakHyphen/>
      </w:r>
      <w:r>
        <w:rPr>
          <w:szCs w:val="26"/>
        </w:rPr>
        <w:t>and</w:t>
      </w:r>
      <w:r w:rsidR="00ED3E8A">
        <w:rPr>
          <w:szCs w:val="26"/>
        </w:rPr>
        <w:noBreakHyphen/>
      </w:r>
      <w:r>
        <w:rPr>
          <w:szCs w:val="26"/>
        </w:rPr>
        <w:t>Trade allowance funding.</w:t>
      </w:r>
    </w:p>
    <w:p w14:paraId="67E6DD0D" w14:textId="3AA767A6" w:rsidR="00761C0B" w:rsidRDefault="00761C0B" w:rsidP="00761C0B">
      <w:pPr>
        <w:pStyle w:val="num1"/>
        <w:numPr>
          <w:ilvl w:val="0"/>
          <w:numId w:val="2"/>
        </w:numPr>
        <w:rPr>
          <w:szCs w:val="26"/>
        </w:rPr>
      </w:pPr>
      <w:r>
        <w:rPr>
          <w:szCs w:val="26"/>
        </w:rPr>
        <w:t>The DAC</w:t>
      </w:r>
      <w:r w:rsidR="00ED3E8A">
        <w:rPr>
          <w:szCs w:val="26"/>
        </w:rPr>
        <w:noBreakHyphen/>
      </w:r>
      <w:r>
        <w:rPr>
          <w:szCs w:val="26"/>
        </w:rPr>
        <w:t>GT and CSGT programs may use available Cap</w:t>
      </w:r>
      <w:r w:rsidR="00ED3E8A">
        <w:rPr>
          <w:szCs w:val="26"/>
        </w:rPr>
        <w:noBreakHyphen/>
      </w:r>
      <w:r>
        <w:rPr>
          <w:szCs w:val="26"/>
        </w:rPr>
        <w:t>and</w:t>
      </w:r>
      <w:r w:rsidR="00ED3E8A">
        <w:rPr>
          <w:szCs w:val="26"/>
        </w:rPr>
        <w:noBreakHyphen/>
      </w:r>
      <w:r>
        <w:rPr>
          <w:szCs w:val="26"/>
        </w:rPr>
        <w:t>Trade funds, with any additional revenue requirement for the programs funded through SCE’s Public Purpose Programs.</w:t>
      </w:r>
    </w:p>
    <w:p w14:paraId="1EBB2A05" w14:textId="0F8A465B" w:rsidR="00761C0B" w:rsidRDefault="00761C0B" w:rsidP="00761C0B">
      <w:pPr>
        <w:pStyle w:val="num1"/>
        <w:numPr>
          <w:ilvl w:val="0"/>
          <w:numId w:val="2"/>
        </w:numPr>
        <w:rPr>
          <w:szCs w:val="26"/>
        </w:rPr>
      </w:pPr>
      <w:r>
        <w:rPr>
          <w:szCs w:val="26"/>
        </w:rPr>
        <w:t>Granting priority to the CEOP over the DAC</w:t>
      </w:r>
      <w:r w:rsidR="00ED3E8A">
        <w:rPr>
          <w:szCs w:val="26"/>
        </w:rPr>
        <w:noBreakHyphen/>
      </w:r>
      <w:r>
        <w:rPr>
          <w:szCs w:val="26"/>
        </w:rPr>
        <w:t xml:space="preserve">GT and CSGT will not undermine AB 327’s legislative intent to </w:t>
      </w:r>
      <w:r>
        <w:t xml:space="preserve">increase renewable generation </w:t>
      </w:r>
      <w:r>
        <w:rPr>
          <w:szCs w:val="26"/>
        </w:rPr>
        <w:t>in disadvantaged communities.</w:t>
      </w:r>
    </w:p>
    <w:p w14:paraId="0D47C3AF" w14:textId="62D4A97D" w:rsidR="00761C0B" w:rsidRDefault="00761C0B" w:rsidP="00761C0B">
      <w:pPr>
        <w:pStyle w:val="num1"/>
        <w:numPr>
          <w:ilvl w:val="0"/>
          <w:numId w:val="2"/>
        </w:numPr>
        <w:rPr>
          <w:szCs w:val="26"/>
        </w:rPr>
      </w:pPr>
      <w:r>
        <w:rPr>
          <w:szCs w:val="26"/>
        </w:rPr>
        <w:t xml:space="preserve">Setting the annual set aside from the GHG Revenue Balancing Account for the CEOP </w:t>
      </w:r>
      <w:r w:rsidR="00781D0F">
        <w:rPr>
          <w:szCs w:val="26"/>
        </w:rPr>
        <w:t>at up to $10 million</w:t>
      </w:r>
      <w:r>
        <w:t xml:space="preserve"> </w:t>
      </w:r>
      <w:r>
        <w:rPr>
          <w:szCs w:val="26"/>
        </w:rPr>
        <w:t>over the four years of the program’s duration will minimize the impact of the CEOP on DAC</w:t>
      </w:r>
      <w:r w:rsidR="00ED3E8A">
        <w:rPr>
          <w:szCs w:val="26"/>
        </w:rPr>
        <w:noBreakHyphen/>
      </w:r>
      <w:r>
        <w:rPr>
          <w:szCs w:val="26"/>
        </w:rPr>
        <w:t>GT and CSGT funding availability.</w:t>
      </w:r>
    </w:p>
    <w:p w14:paraId="22BEAEC5" w14:textId="777B67F2" w:rsidR="00761C0B" w:rsidRPr="007B2A50" w:rsidRDefault="00761C0B" w:rsidP="007B2A50">
      <w:pPr>
        <w:pStyle w:val="num1"/>
        <w:numPr>
          <w:ilvl w:val="0"/>
          <w:numId w:val="2"/>
        </w:numPr>
        <w:rPr>
          <w:szCs w:val="26"/>
        </w:rPr>
      </w:pPr>
      <w:r>
        <w:rPr>
          <w:szCs w:val="26"/>
        </w:rPr>
        <w:t>The Settlement Agreement reduces the p</w:t>
      </w:r>
      <w:r w:rsidR="00725F6A">
        <w:rPr>
          <w:szCs w:val="26"/>
        </w:rPr>
        <w:t>erformance payment budget by $1 </w:t>
      </w:r>
      <w:r>
        <w:rPr>
          <w:szCs w:val="26"/>
        </w:rPr>
        <w:t>million, which reduces the total CEOP bud</w:t>
      </w:r>
      <w:r w:rsidR="00725F6A">
        <w:rPr>
          <w:szCs w:val="26"/>
        </w:rPr>
        <w:t>get from $21.4 million to $20.4 </w:t>
      </w:r>
      <w:r>
        <w:rPr>
          <w:szCs w:val="26"/>
        </w:rPr>
        <w:t xml:space="preserve">million. </w:t>
      </w:r>
    </w:p>
    <w:p w14:paraId="08438500" w14:textId="77777777" w:rsidR="00761C0B" w:rsidRDefault="00761C0B" w:rsidP="00725F6A">
      <w:pPr>
        <w:pStyle w:val="num1"/>
        <w:numPr>
          <w:ilvl w:val="0"/>
          <w:numId w:val="2"/>
        </w:numPr>
        <w:ind w:firstLine="230"/>
        <w:rPr>
          <w:szCs w:val="26"/>
        </w:rPr>
      </w:pPr>
      <w:r>
        <w:rPr>
          <w:szCs w:val="26"/>
        </w:rPr>
        <w:t xml:space="preserve">SCE will use the CEOP balancing account to track funding transfers from the GHG allowance revenue funds, CEOP incentive payments and administrative costs.  </w:t>
      </w:r>
    </w:p>
    <w:p w14:paraId="215204C7" w14:textId="1C8055CC" w:rsidR="00761C0B" w:rsidRDefault="00761C0B" w:rsidP="00725F6A">
      <w:pPr>
        <w:pStyle w:val="num1"/>
        <w:numPr>
          <w:ilvl w:val="0"/>
          <w:numId w:val="2"/>
        </w:numPr>
        <w:ind w:firstLine="230"/>
        <w:rPr>
          <w:szCs w:val="26"/>
        </w:rPr>
      </w:pPr>
      <w:r>
        <w:rPr>
          <w:szCs w:val="26"/>
        </w:rPr>
        <w:t xml:space="preserve">The CEOP </w:t>
      </w:r>
      <w:r w:rsidR="008B02C8">
        <w:rPr>
          <w:szCs w:val="26"/>
        </w:rPr>
        <w:t xml:space="preserve">will </w:t>
      </w:r>
      <w:r>
        <w:rPr>
          <w:szCs w:val="26"/>
        </w:rPr>
        <w:t>be implemented in two CSU campuses (Cal Poly Pomona and CSU Dominguez Hills) and five UC campuses (UC Davi</w:t>
      </w:r>
      <w:r w:rsidR="00781D0F">
        <w:rPr>
          <w:szCs w:val="26"/>
        </w:rPr>
        <w:t>s</w:t>
      </w:r>
      <w:r>
        <w:rPr>
          <w:szCs w:val="26"/>
        </w:rPr>
        <w:t xml:space="preserve"> Veterinary Lab, UC Irvine Medical Center, UC Irvine, UCLA Santa Monica Medical Center and UC Santa Barbara) located in SCE’s service territory.</w:t>
      </w:r>
    </w:p>
    <w:p w14:paraId="628E0D79" w14:textId="7695FD50" w:rsidR="00761C0B" w:rsidRDefault="00761C0B" w:rsidP="00725F6A">
      <w:pPr>
        <w:pStyle w:val="num1"/>
        <w:numPr>
          <w:ilvl w:val="0"/>
          <w:numId w:val="2"/>
        </w:numPr>
        <w:ind w:firstLine="230"/>
        <w:rPr>
          <w:szCs w:val="26"/>
        </w:rPr>
      </w:pPr>
      <w:r>
        <w:rPr>
          <w:szCs w:val="26"/>
        </w:rPr>
        <w:t>Cal Poly Pomona, CSU Dominguez</w:t>
      </w:r>
      <w:r w:rsidR="00781D0F">
        <w:rPr>
          <w:szCs w:val="26"/>
        </w:rPr>
        <w:t xml:space="preserve"> Hills</w:t>
      </w:r>
      <w:r>
        <w:rPr>
          <w:szCs w:val="26"/>
        </w:rPr>
        <w:t>, and UC Davi</w:t>
      </w:r>
      <w:r w:rsidR="00781D0F">
        <w:rPr>
          <w:szCs w:val="26"/>
        </w:rPr>
        <w:t>s</w:t>
      </w:r>
      <w:r>
        <w:rPr>
          <w:szCs w:val="26"/>
        </w:rPr>
        <w:t xml:space="preserve"> Veterinary Lab are located </w:t>
      </w:r>
      <w:r w:rsidR="00DE51DC">
        <w:rPr>
          <w:szCs w:val="26"/>
        </w:rPr>
        <w:t xml:space="preserve">in </w:t>
      </w:r>
      <w:r w:rsidR="001F2C9E">
        <w:rPr>
          <w:szCs w:val="26"/>
        </w:rPr>
        <w:t>areas that have</w:t>
      </w:r>
      <w:r>
        <w:rPr>
          <w:szCs w:val="26"/>
        </w:rPr>
        <w:t xml:space="preserve"> disadvantaged communities.</w:t>
      </w:r>
    </w:p>
    <w:p w14:paraId="7EA7CA39" w14:textId="33595C45" w:rsidR="00761C0B" w:rsidRDefault="00761C0B" w:rsidP="00725F6A">
      <w:pPr>
        <w:pStyle w:val="num1"/>
        <w:numPr>
          <w:ilvl w:val="0"/>
          <w:numId w:val="2"/>
        </w:numPr>
        <w:ind w:firstLine="230"/>
        <w:rPr>
          <w:szCs w:val="26"/>
        </w:rPr>
      </w:pPr>
      <w:r>
        <w:rPr>
          <w:szCs w:val="26"/>
        </w:rPr>
        <w:t>SCE, NRDC, Public Advocates Office, UC and CSU entered into a voluntary settlement agreement to resolve all pending disputed issues, with the exception of the priority of CEOP funding relative to funding for the DAC</w:t>
      </w:r>
      <w:r w:rsidR="00ED3E8A">
        <w:rPr>
          <w:szCs w:val="26"/>
        </w:rPr>
        <w:noBreakHyphen/>
      </w:r>
      <w:r>
        <w:rPr>
          <w:szCs w:val="26"/>
        </w:rPr>
        <w:t>GT and CSGT programs in the annual funding available through the 15% set aside in the Cap</w:t>
      </w:r>
      <w:r w:rsidR="00ED3E8A">
        <w:rPr>
          <w:szCs w:val="26"/>
        </w:rPr>
        <w:noBreakHyphen/>
      </w:r>
      <w:r>
        <w:rPr>
          <w:szCs w:val="26"/>
        </w:rPr>
        <w:t>and</w:t>
      </w:r>
      <w:r w:rsidR="00ED3E8A">
        <w:rPr>
          <w:szCs w:val="26"/>
        </w:rPr>
        <w:noBreakHyphen/>
      </w:r>
      <w:r>
        <w:rPr>
          <w:szCs w:val="26"/>
        </w:rPr>
        <w:t xml:space="preserve">Trade revenue allowance for </w:t>
      </w:r>
      <w:r w:rsidR="00335E12">
        <w:rPr>
          <w:szCs w:val="26"/>
        </w:rPr>
        <w:t>c</w:t>
      </w:r>
      <w:r>
        <w:rPr>
          <w:szCs w:val="26"/>
        </w:rPr>
        <w:t xml:space="preserve">lean </w:t>
      </w:r>
      <w:r w:rsidR="00335E12">
        <w:rPr>
          <w:szCs w:val="26"/>
        </w:rPr>
        <w:t>e</w:t>
      </w:r>
      <w:r>
        <w:rPr>
          <w:szCs w:val="26"/>
        </w:rPr>
        <w:t xml:space="preserve">nergy and </w:t>
      </w:r>
      <w:r w:rsidR="00725F6A">
        <w:rPr>
          <w:szCs w:val="26"/>
        </w:rPr>
        <w:t>energy efficiency</w:t>
      </w:r>
      <w:r>
        <w:rPr>
          <w:szCs w:val="26"/>
        </w:rPr>
        <w:t xml:space="preserve"> programs.</w:t>
      </w:r>
    </w:p>
    <w:p w14:paraId="0605E2CC" w14:textId="77777777" w:rsidR="00761C0B" w:rsidRDefault="00761C0B" w:rsidP="00725F6A">
      <w:pPr>
        <w:pStyle w:val="num1"/>
        <w:numPr>
          <w:ilvl w:val="0"/>
          <w:numId w:val="2"/>
        </w:numPr>
        <w:ind w:firstLine="230"/>
        <w:rPr>
          <w:szCs w:val="26"/>
        </w:rPr>
      </w:pPr>
      <w:r>
        <w:rPr>
          <w:szCs w:val="26"/>
        </w:rPr>
        <w:t>The settlement agreement does not include t</w:t>
      </w:r>
      <w:r>
        <w:t>he Rural Hard to Reach Local Government Partnerships Working Group, which supported the CEOP in its response to the Application.</w:t>
      </w:r>
    </w:p>
    <w:p w14:paraId="2ADA69C7" w14:textId="77777777" w:rsidR="00761C0B" w:rsidRDefault="00761C0B" w:rsidP="00725F6A">
      <w:pPr>
        <w:pStyle w:val="num1"/>
        <w:numPr>
          <w:ilvl w:val="0"/>
          <w:numId w:val="2"/>
        </w:numPr>
        <w:ind w:firstLine="230"/>
        <w:rPr>
          <w:szCs w:val="26"/>
        </w:rPr>
      </w:pPr>
      <w:r>
        <w:rPr>
          <w:szCs w:val="26"/>
        </w:rPr>
        <w:t>The active parties fairly reflect the interests affected by this proceeding.</w:t>
      </w:r>
    </w:p>
    <w:p w14:paraId="1818BD94" w14:textId="77777777" w:rsidR="00626DD2" w:rsidRDefault="00626DD2" w:rsidP="00725F6A">
      <w:pPr>
        <w:pStyle w:val="num1"/>
        <w:numPr>
          <w:ilvl w:val="0"/>
          <w:numId w:val="2"/>
        </w:numPr>
        <w:ind w:firstLine="230"/>
        <w:rPr>
          <w:szCs w:val="26"/>
        </w:rPr>
      </w:pPr>
      <w:r>
        <w:rPr>
          <w:szCs w:val="26"/>
        </w:rPr>
        <w:t>The settlement agreement finds common ground, resolves many of the contest</w:t>
      </w:r>
      <w:r w:rsidR="008B02C8">
        <w:rPr>
          <w:szCs w:val="26"/>
        </w:rPr>
        <w:t>ed</w:t>
      </w:r>
      <w:r>
        <w:rPr>
          <w:szCs w:val="26"/>
        </w:rPr>
        <w:t xml:space="preserve"> issues in this proceeding, and is a reasonable compromise between the Settling Parties.</w:t>
      </w:r>
    </w:p>
    <w:p w14:paraId="082D98C8" w14:textId="77777777" w:rsidR="00626DD2" w:rsidRDefault="000341C0" w:rsidP="00725F6A">
      <w:pPr>
        <w:pStyle w:val="num1"/>
        <w:numPr>
          <w:ilvl w:val="0"/>
          <w:numId w:val="2"/>
        </w:numPr>
        <w:ind w:firstLine="230"/>
      </w:pPr>
      <w:r>
        <w:t>The Commission has repeatedly conveyed a policy preference of favoring settlements.</w:t>
      </w:r>
    </w:p>
    <w:p w14:paraId="584AE51B" w14:textId="42A4E826" w:rsidR="000341C0" w:rsidRDefault="000341C0" w:rsidP="00725F6A">
      <w:pPr>
        <w:pStyle w:val="num1"/>
        <w:numPr>
          <w:ilvl w:val="0"/>
          <w:numId w:val="2"/>
        </w:numPr>
        <w:ind w:firstLine="230"/>
      </w:pPr>
      <w:r>
        <w:t xml:space="preserve">We know of nothing in the Settlement </w:t>
      </w:r>
      <w:r w:rsidR="001A18DC">
        <w:t xml:space="preserve">Agreement </w:t>
      </w:r>
      <w:r>
        <w:t>that contravenes statute or prior Commission decisions.</w:t>
      </w:r>
    </w:p>
    <w:p w14:paraId="4C441C57" w14:textId="77777777" w:rsidR="000341C0" w:rsidRDefault="000341C0" w:rsidP="00725F6A">
      <w:pPr>
        <w:pStyle w:val="num1"/>
        <w:numPr>
          <w:ilvl w:val="0"/>
          <w:numId w:val="2"/>
        </w:numPr>
        <w:ind w:firstLine="230"/>
      </w:pPr>
      <w:r>
        <w:t xml:space="preserve">The Settlement </w:t>
      </w:r>
      <w:r w:rsidR="001A18DC">
        <w:t xml:space="preserve">Agreement </w:t>
      </w:r>
      <w:r>
        <w:t>complies with all applicable statutes of the Pub. Util. Code.</w:t>
      </w:r>
    </w:p>
    <w:p w14:paraId="6C002625" w14:textId="77777777" w:rsidR="000341C0" w:rsidRDefault="000341C0" w:rsidP="00725F6A">
      <w:pPr>
        <w:pStyle w:val="num1"/>
        <w:numPr>
          <w:ilvl w:val="0"/>
          <w:numId w:val="2"/>
        </w:numPr>
        <w:ind w:firstLine="230"/>
      </w:pPr>
      <w:r>
        <w:t>The Settling Parties complied with Commission Rules of Practice and Procedure, Rule 12.</w:t>
      </w:r>
    </w:p>
    <w:p w14:paraId="5CC452E6" w14:textId="4DD7AFBC" w:rsidR="000341C0" w:rsidRDefault="000341C0" w:rsidP="00725F6A">
      <w:pPr>
        <w:pStyle w:val="num1"/>
        <w:numPr>
          <w:ilvl w:val="0"/>
          <w:numId w:val="2"/>
        </w:numPr>
        <w:ind w:firstLine="230"/>
      </w:pPr>
      <w:r>
        <w:t>Without the Settlement</w:t>
      </w:r>
      <w:r w:rsidR="00E350A3">
        <w:t xml:space="preserve"> Agreement</w:t>
      </w:r>
      <w:r w:rsidR="00B30E96">
        <w:t>, t</w:t>
      </w:r>
      <w:r>
        <w:t xml:space="preserve">he Settling </w:t>
      </w:r>
      <w:r w:rsidR="00B30E96">
        <w:t>P</w:t>
      </w:r>
      <w:r>
        <w:t>arties would have spent additional time and resources preparing for and participating in an evidentiary hearing and preparing post</w:t>
      </w:r>
      <w:r w:rsidR="00ED3E8A">
        <w:noBreakHyphen/>
      </w:r>
      <w:r>
        <w:t>hearing briefs presenting arguments on the disputed issues.</w:t>
      </w:r>
    </w:p>
    <w:p w14:paraId="72AD2C53" w14:textId="77777777" w:rsidR="000341C0" w:rsidRDefault="000341C0" w:rsidP="00725F6A">
      <w:pPr>
        <w:pStyle w:val="num1"/>
        <w:numPr>
          <w:ilvl w:val="0"/>
          <w:numId w:val="2"/>
        </w:numPr>
        <w:ind w:firstLine="230"/>
      </w:pPr>
      <w:r>
        <w:t xml:space="preserve">The Settlement </w:t>
      </w:r>
      <w:r w:rsidR="00300312">
        <w:t xml:space="preserve">Agreement </w:t>
      </w:r>
      <w:r>
        <w:t>conserves party and Commission resources.</w:t>
      </w:r>
    </w:p>
    <w:p w14:paraId="788A6622" w14:textId="77777777" w:rsidR="000341C0" w:rsidRPr="00626DD2" w:rsidRDefault="000341C0" w:rsidP="00725F6A">
      <w:pPr>
        <w:pStyle w:val="num1"/>
        <w:numPr>
          <w:ilvl w:val="0"/>
          <w:numId w:val="2"/>
        </w:numPr>
        <w:ind w:firstLine="230"/>
      </w:pPr>
      <w:r>
        <w:t>Time and resources are beneficial to ratepayers.</w:t>
      </w:r>
    </w:p>
    <w:p w14:paraId="707D1B76" w14:textId="77777777" w:rsidR="00617664" w:rsidRDefault="00761C0B" w:rsidP="00725F6A">
      <w:pPr>
        <w:pStyle w:val="num1"/>
        <w:numPr>
          <w:ilvl w:val="0"/>
          <w:numId w:val="2"/>
        </w:numPr>
        <w:ind w:firstLine="230"/>
      </w:pPr>
      <w:r>
        <w:rPr>
          <w:szCs w:val="26"/>
        </w:rPr>
        <w:t>SCE requested to admit</w:t>
      </w:r>
      <w:r w:rsidRPr="00B07CA7">
        <w:rPr>
          <w:szCs w:val="26"/>
        </w:rPr>
        <w:t xml:space="preserve"> its exhibits into evidence pursuant to Rule 13.8.</w:t>
      </w:r>
    </w:p>
    <w:p w14:paraId="0A937A7A" w14:textId="77777777" w:rsidR="00617664" w:rsidRDefault="00617664" w:rsidP="00564C38">
      <w:pPr>
        <w:pStyle w:val="dummy"/>
      </w:pPr>
      <w:bookmarkStart w:id="41" w:name="_Toc370798914"/>
      <w:bookmarkStart w:id="42" w:name="_Toc450990220"/>
      <w:bookmarkStart w:id="43" w:name="_Toc451151267"/>
      <w:bookmarkStart w:id="44" w:name="_Toc6843688"/>
      <w:r>
        <w:t>Conclusions of Law</w:t>
      </w:r>
      <w:bookmarkEnd w:id="41"/>
      <w:bookmarkEnd w:id="42"/>
      <w:bookmarkEnd w:id="43"/>
      <w:bookmarkEnd w:id="44"/>
    </w:p>
    <w:p w14:paraId="56CE507E" w14:textId="48D34F72" w:rsidR="00761C0B" w:rsidRDefault="00761C0B" w:rsidP="00761C0B">
      <w:pPr>
        <w:pStyle w:val="num1"/>
        <w:numPr>
          <w:ilvl w:val="0"/>
          <w:numId w:val="3"/>
        </w:numPr>
      </w:pPr>
      <w:r>
        <w:t xml:space="preserve">CEOP qualifies as a </w:t>
      </w:r>
      <w:r w:rsidR="006963E3">
        <w:t>c</w:t>
      </w:r>
      <w:r>
        <w:t xml:space="preserve">lean </w:t>
      </w:r>
      <w:r w:rsidR="006963E3">
        <w:t>e</w:t>
      </w:r>
      <w:r>
        <w:t xml:space="preserve">nergy and </w:t>
      </w:r>
      <w:r w:rsidR="00725F6A">
        <w:t>energy efficiency</w:t>
      </w:r>
      <w:r>
        <w:t xml:space="preserve"> project within the meaning of Pub. Util. Code </w:t>
      </w:r>
      <w:r>
        <w:rPr>
          <w:rFonts w:ascii="Book Antiqua" w:hAnsi="Book Antiqua"/>
        </w:rPr>
        <w:t>§</w:t>
      </w:r>
      <w:r w:rsidR="00ED3E8A">
        <w:rPr>
          <w:rFonts w:ascii="Book Antiqua" w:hAnsi="Book Antiqua"/>
        </w:rPr>
        <w:t> </w:t>
      </w:r>
      <w:r>
        <w:t>74</w:t>
      </w:r>
      <w:r w:rsidR="00404CD7">
        <w:t>8.</w:t>
      </w:r>
      <w:r>
        <w:t>5(c).</w:t>
      </w:r>
    </w:p>
    <w:p w14:paraId="43F2D820" w14:textId="6C8012FA" w:rsidR="00761C0B" w:rsidRDefault="00761C0B" w:rsidP="00761C0B">
      <w:pPr>
        <w:pStyle w:val="num1"/>
        <w:numPr>
          <w:ilvl w:val="0"/>
          <w:numId w:val="3"/>
        </w:numPr>
      </w:pPr>
      <w:r>
        <w:t>It is suitable to fund the CEOP through Cap</w:t>
      </w:r>
      <w:r w:rsidR="00ED3E8A">
        <w:noBreakHyphen/>
      </w:r>
      <w:r>
        <w:t>and</w:t>
      </w:r>
      <w:r w:rsidR="00ED3E8A">
        <w:noBreakHyphen/>
      </w:r>
      <w:r>
        <w:t xml:space="preserve">Trade allowance funds rather than through rates. </w:t>
      </w:r>
    </w:p>
    <w:p w14:paraId="565A221C" w14:textId="01B08321" w:rsidR="00761C0B" w:rsidRDefault="00761C0B" w:rsidP="00761C0B">
      <w:pPr>
        <w:pStyle w:val="num1"/>
        <w:numPr>
          <w:ilvl w:val="0"/>
          <w:numId w:val="3"/>
        </w:numPr>
      </w:pPr>
      <w:r>
        <w:t>The CEOP balancing account complies with D.14</w:t>
      </w:r>
      <w:r w:rsidR="00ED3E8A">
        <w:noBreakHyphen/>
      </w:r>
      <w:r>
        <w:t>10</w:t>
      </w:r>
      <w:r w:rsidR="00ED3E8A">
        <w:noBreakHyphen/>
      </w:r>
      <w:r>
        <w:t xml:space="preserve">033’s requirement for tracking costs incurred through </w:t>
      </w:r>
      <w:r w:rsidR="006963E3">
        <w:t>c</w:t>
      </w:r>
      <w:r>
        <w:t xml:space="preserve">lean </w:t>
      </w:r>
      <w:r w:rsidR="006963E3">
        <w:t>e</w:t>
      </w:r>
      <w:r>
        <w:t xml:space="preserve">nergy and </w:t>
      </w:r>
      <w:r w:rsidR="00725F6A">
        <w:t>e</w:t>
      </w:r>
      <w:r w:rsidR="00725F6A">
        <w:rPr>
          <w:szCs w:val="26"/>
        </w:rPr>
        <w:t>nergy efficiency</w:t>
      </w:r>
      <w:r>
        <w:t xml:space="preserve"> projects and tracking them through ERRA. </w:t>
      </w:r>
    </w:p>
    <w:p w14:paraId="5ADB67E2" w14:textId="77777777" w:rsidR="000341C0" w:rsidRDefault="000341C0" w:rsidP="00761C0B">
      <w:pPr>
        <w:pStyle w:val="num1"/>
        <w:numPr>
          <w:ilvl w:val="0"/>
          <w:numId w:val="3"/>
        </w:numPr>
      </w:pPr>
      <w:r>
        <w:t>The Settlement Agreement is reasonable in light of the record.</w:t>
      </w:r>
    </w:p>
    <w:p w14:paraId="2E2D2F88" w14:textId="77777777" w:rsidR="000341C0" w:rsidRDefault="000341C0" w:rsidP="00761C0B">
      <w:pPr>
        <w:pStyle w:val="num1"/>
        <w:numPr>
          <w:ilvl w:val="0"/>
          <w:numId w:val="3"/>
        </w:numPr>
      </w:pPr>
      <w:r>
        <w:t>The Settlement Agreement is consistent with the law.</w:t>
      </w:r>
    </w:p>
    <w:p w14:paraId="16853380" w14:textId="77777777" w:rsidR="000341C0" w:rsidRDefault="000341C0" w:rsidP="00761C0B">
      <w:pPr>
        <w:pStyle w:val="num1"/>
        <w:numPr>
          <w:ilvl w:val="0"/>
          <w:numId w:val="3"/>
        </w:numPr>
      </w:pPr>
      <w:r>
        <w:t>The Settlement Agreement is in the public interest.</w:t>
      </w:r>
    </w:p>
    <w:p w14:paraId="0F1566BB" w14:textId="77777777" w:rsidR="00761C0B" w:rsidRDefault="00761C0B" w:rsidP="00761C0B">
      <w:pPr>
        <w:pStyle w:val="num1"/>
        <w:numPr>
          <w:ilvl w:val="0"/>
          <w:numId w:val="3"/>
        </w:numPr>
      </w:pPr>
      <w:r>
        <w:t xml:space="preserve">The Settlement Agreement resolves </w:t>
      </w:r>
      <w:r w:rsidR="000341C0">
        <w:t>many</w:t>
      </w:r>
      <w:r>
        <w:t xml:space="preserve"> disputes between the parties with respect to the Application.</w:t>
      </w:r>
    </w:p>
    <w:p w14:paraId="4312D45F" w14:textId="77777777" w:rsidR="000341C0" w:rsidRDefault="000341C0" w:rsidP="00761C0B">
      <w:pPr>
        <w:pStyle w:val="num1"/>
        <w:numPr>
          <w:ilvl w:val="0"/>
          <w:numId w:val="3"/>
        </w:numPr>
      </w:pPr>
      <w:r>
        <w:t>The Settlement Agreement proposed by the Settling Parties meets the requirements of Commission Rules of Practice and Procedure, Rule 12.</w:t>
      </w:r>
    </w:p>
    <w:p w14:paraId="446A2271" w14:textId="77777777" w:rsidR="00761C0B" w:rsidRDefault="00761C0B" w:rsidP="00761C0B">
      <w:pPr>
        <w:pStyle w:val="num1"/>
        <w:numPr>
          <w:ilvl w:val="0"/>
          <w:numId w:val="3"/>
        </w:numPr>
      </w:pPr>
      <w:r>
        <w:t xml:space="preserve">The December 4, 2018 motion filed by SCE to adopt a Settlement Agreement between and among the Settling Parties should be granted. </w:t>
      </w:r>
    </w:p>
    <w:p w14:paraId="36B83267" w14:textId="77777777" w:rsidR="00761C0B" w:rsidRDefault="00761C0B" w:rsidP="00ED3E8A">
      <w:pPr>
        <w:pStyle w:val="num1"/>
        <w:numPr>
          <w:ilvl w:val="0"/>
          <w:numId w:val="3"/>
        </w:numPr>
        <w:ind w:firstLine="230"/>
      </w:pPr>
      <w:r>
        <w:t xml:space="preserve">SCE should file a Tier 1 advice letter establishing its balancing account to track costs associated with the CEOP. </w:t>
      </w:r>
    </w:p>
    <w:p w14:paraId="53725BBB" w14:textId="77777777" w:rsidR="00761C0B" w:rsidRDefault="00761C0B" w:rsidP="00ED3E8A">
      <w:pPr>
        <w:pStyle w:val="num1"/>
        <w:numPr>
          <w:ilvl w:val="0"/>
          <w:numId w:val="3"/>
        </w:numPr>
        <w:ind w:firstLine="230"/>
        <w:rPr>
          <w:szCs w:val="26"/>
        </w:rPr>
      </w:pPr>
      <w:r w:rsidRPr="00B07CA7">
        <w:rPr>
          <w:szCs w:val="26"/>
        </w:rPr>
        <w:t>SCE’s request</w:t>
      </w:r>
      <w:r>
        <w:rPr>
          <w:szCs w:val="26"/>
        </w:rPr>
        <w:t xml:space="preserve"> to admit </w:t>
      </w:r>
      <w:r w:rsidRPr="00B07CA7">
        <w:rPr>
          <w:szCs w:val="26"/>
        </w:rPr>
        <w:t xml:space="preserve">testimony and </w:t>
      </w:r>
      <w:r>
        <w:rPr>
          <w:szCs w:val="26"/>
        </w:rPr>
        <w:t>workpapers</w:t>
      </w:r>
      <w:r w:rsidRPr="00B07CA7">
        <w:rPr>
          <w:szCs w:val="26"/>
        </w:rPr>
        <w:t xml:space="preserve"> included with its application into evidence should be granted.</w:t>
      </w:r>
    </w:p>
    <w:p w14:paraId="6535E541" w14:textId="77777777" w:rsidR="00761C0B" w:rsidRPr="00B07CA7" w:rsidRDefault="00761C0B" w:rsidP="00ED3E8A">
      <w:pPr>
        <w:pStyle w:val="num1"/>
        <w:numPr>
          <w:ilvl w:val="0"/>
          <w:numId w:val="3"/>
        </w:numPr>
        <w:ind w:firstLine="230"/>
        <w:rPr>
          <w:szCs w:val="26"/>
        </w:rPr>
      </w:pPr>
      <w:r>
        <w:rPr>
          <w:szCs w:val="26"/>
        </w:rPr>
        <w:t>The categorization of this proceeding should be changed to no hearings necessary.</w:t>
      </w:r>
    </w:p>
    <w:p w14:paraId="5FA8E406" w14:textId="77777777" w:rsidR="00617664" w:rsidRDefault="00761C0B" w:rsidP="00ED3E8A">
      <w:pPr>
        <w:pStyle w:val="num1"/>
        <w:numPr>
          <w:ilvl w:val="0"/>
          <w:numId w:val="3"/>
        </w:numPr>
        <w:ind w:firstLine="230"/>
      </w:pPr>
      <w:r>
        <w:t>The Commission should close this proceeding.</w:t>
      </w:r>
    </w:p>
    <w:p w14:paraId="6D40AC38" w14:textId="77777777" w:rsidR="00617664" w:rsidRDefault="00617664" w:rsidP="00ED3E8A">
      <w:pPr>
        <w:spacing w:line="360" w:lineRule="auto"/>
        <w:ind w:firstLine="230"/>
      </w:pPr>
    </w:p>
    <w:p w14:paraId="651BCBB7" w14:textId="77777777" w:rsidR="00617664" w:rsidRDefault="00617664" w:rsidP="005D315C">
      <w:pPr>
        <w:pStyle w:val="mainex"/>
        <w:keepNext/>
        <w:keepLines/>
      </w:pPr>
      <w:bookmarkStart w:id="45" w:name="_Toc370798915"/>
      <w:bookmarkStart w:id="46" w:name="_Toc450990221"/>
      <w:bookmarkStart w:id="47" w:name="_Toc451151268"/>
      <w:bookmarkStart w:id="48" w:name="_Toc6843689"/>
      <w:bookmarkStart w:id="49" w:name="OLE_LINK1"/>
      <w:bookmarkStart w:id="50" w:name="OLE_LINK2"/>
      <w:r>
        <w:t>ORDER</w:t>
      </w:r>
      <w:bookmarkEnd w:id="45"/>
      <w:bookmarkEnd w:id="46"/>
      <w:bookmarkEnd w:id="47"/>
      <w:bookmarkEnd w:id="48"/>
    </w:p>
    <w:bookmarkEnd w:id="49"/>
    <w:bookmarkEnd w:id="50"/>
    <w:p w14:paraId="7663108E" w14:textId="77777777" w:rsidR="00617664" w:rsidRDefault="00617664" w:rsidP="005D315C">
      <w:pPr>
        <w:pStyle w:val="Quote1"/>
        <w:keepNext/>
        <w:keepLines/>
      </w:pPr>
    </w:p>
    <w:p w14:paraId="517F1910" w14:textId="77777777" w:rsidR="00617664" w:rsidRDefault="00617664">
      <w:pPr>
        <w:pStyle w:val="standard"/>
        <w:keepNext/>
      </w:pPr>
      <w:r>
        <w:rPr>
          <w:b/>
        </w:rPr>
        <w:t>IT IS ORDERED</w:t>
      </w:r>
      <w:r>
        <w:t xml:space="preserve"> that:</w:t>
      </w:r>
    </w:p>
    <w:p w14:paraId="567D558E" w14:textId="447748AF" w:rsidR="00183DB5" w:rsidRDefault="00183DB5" w:rsidP="00183DB5">
      <w:pPr>
        <w:pStyle w:val="num1"/>
        <w:numPr>
          <w:ilvl w:val="0"/>
          <w:numId w:val="4"/>
        </w:numPr>
      </w:pPr>
      <w:r>
        <w:t>The Clean Energy Optimization Pilot is approved</w:t>
      </w:r>
      <w:r w:rsidR="001531B1">
        <w:t>, as</w:t>
      </w:r>
      <w:r>
        <w:t xml:space="preserve"> modified by the Settlement Agreement</w:t>
      </w:r>
      <w:r w:rsidR="001531B1">
        <w:t xml:space="preserve"> and this</w:t>
      </w:r>
      <w:r>
        <w:t xml:space="preserve"> decision.</w:t>
      </w:r>
      <w:r w:rsidR="004313C2">
        <w:t xml:space="preserve">  </w:t>
      </w:r>
    </w:p>
    <w:p w14:paraId="13F14FDC" w14:textId="7323EDAE" w:rsidR="00761C0B" w:rsidRDefault="00761C0B" w:rsidP="00761C0B">
      <w:pPr>
        <w:pStyle w:val="num1"/>
        <w:numPr>
          <w:ilvl w:val="0"/>
          <w:numId w:val="4"/>
        </w:numPr>
      </w:pPr>
      <w:r>
        <w:t xml:space="preserve">The Settlement Agreement filed on December 4, 2018 between and among Southern California Edison Company, The Public Advocates Office of the Public Utilities Commission, Natural Resources Defense Council, The Regents of the University of California, and the California State University is approved.  The Settlement Agreement </w:t>
      </w:r>
      <w:r w:rsidR="00D57D00">
        <w:t>included in</w:t>
      </w:r>
      <w:r>
        <w:t xml:space="preserve"> this decision as Attachment A. </w:t>
      </w:r>
    </w:p>
    <w:p w14:paraId="2B91649E" w14:textId="6F1D00DF" w:rsidR="00761C0B" w:rsidRDefault="00761C0B" w:rsidP="00761C0B">
      <w:pPr>
        <w:pStyle w:val="num1"/>
        <w:numPr>
          <w:ilvl w:val="0"/>
          <w:numId w:val="4"/>
        </w:numPr>
      </w:pPr>
      <w:r>
        <w:t>The budget for the Clean Energy Optimi</w:t>
      </w:r>
      <w:r w:rsidR="0078623F">
        <w:t>zation Pilot is capped at $20.4 </w:t>
      </w:r>
      <w:r>
        <w:t>million, with an annual budget of up to $10 million each year for the pilot’s four</w:t>
      </w:r>
      <w:r w:rsidR="00ED3E8A">
        <w:noBreakHyphen/>
      </w:r>
      <w:r>
        <w:t>year duration.</w:t>
      </w:r>
    </w:p>
    <w:p w14:paraId="03CDD5FF" w14:textId="081E6138" w:rsidR="00761C0B" w:rsidRDefault="00761C0B" w:rsidP="00761C0B">
      <w:pPr>
        <w:pStyle w:val="num1"/>
        <w:numPr>
          <w:ilvl w:val="0"/>
          <w:numId w:val="4"/>
        </w:numPr>
      </w:pPr>
      <w:r>
        <w:t>The Clean Energy Optimization Pilot budget shall have priority over available funding under Southern California Edison Company’s Cap</w:t>
      </w:r>
      <w:r w:rsidR="00ED3E8A">
        <w:noBreakHyphen/>
      </w:r>
      <w:r>
        <w:t>and</w:t>
      </w:r>
      <w:r w:rsidR="00ED3E8A">
        <w:noBreakHyphen/>
      </w:r>
      <w:r>
        <w:t xml:space="preserve">Trade allowance funding for the Disadvantaged Communities Green Tariff and the Community Solar Green Tariff programs. </w:t>
      </w:r>
    </w:p>
    <w:p w14:paraId="0A974DE3" w14:textId="77777777" w:rsidR="00761C0B" w:rsidRDefault="00761C0B" w:rsidP="00761C0B">
      <w:pPr>
        <w:pStyle w:val="num1"/>
        <w:numPr>
          <w:ilvl w:val="0"/>
          <w:numId w:val="4"/>
        </w:numPr>
      </w:pPr>
      <w:r>
        <w:t>Southern California Edison Company shall file a Tier 1 advice letter setting up the Clean Energy Optimization Pilot (CEOP) balancing account to track CEOP costs within 30 days of the date of this decision.</w:t>
      </w:r>
    </w:p>
    <w:p w14:paraId="544F94AA" w14:textId="0C07313A" w:rsidR="007B2A50" w:rsidRDefault="007B2A50" w:rsidP="00761C0B">
      <w:pPr>
        <w:pStyle w:val="num1"/>
        <w:numPr>
          <w:ilvl w:val="0"/>
          <w:numId w:val="4"/>
        </w:numPr>
      </w:pPr>
      <w:r>
        <w:t>SCE shall return any unspent CEOP funds to the GHG Revenue Balancing Account.</w:t>
      </w:r>
    </w:p>
    <w:p w14:paraId="699C875A" w14:textId="4075F55C" w:rsidR="003A03D3" w:rsidRDefault="003A03D3" w:rsidP="00761C0B">
      <w:pPr>
        <w:pStyle w:val="num1"/>
        <w:numPr>
          <w:ilvl w:val="0"/>
          <w:numId w:val="4"/>
        </w:numPr>
      </w:pPr>
      <w:r>
        <w:t>SCE shall</w:t>
      </w:r>
      <w:r w:rsidR="0055461E">
        <w:t xml:space="preserve"> submit its annual and </w:t>
      </w:r>
      <w:r w:rsidR="00AE4FAC">
        <w:t>mid</w:t>
      </w:r>
      <w:r w:rsidR="00ED3E8A">
        <w:noBreakHyphen/>
      </w:r>
      <w:r w:rsidR="00AE4FAC">
        <w:t>term</w:t>
      </w:r>
      <w:r w:rsidR="0055461E">
        <w:t xml:space="preserve"> </w:t>
      </w:r>
      <w:r>
        <w:t>written progress reports to the Energy Division</w:t>
      </w:r>
      <w:r w:rsidR="003D22D8">
        <w:t xml:space="preserve"> as a </w:t>
      </w:r>
      <w:r w:rsidR="009601E1">
        <w:t>T</w:t>
      </w:r>
      <w:r w:rsidR="003D22D8">
        <w:t xml:space="preserve">ier 1 </w:t>
      </w:r>
      <w:r w:rsidR="00F16E31">
        <w:t>A</w:t>
      </w:r>
      <w:r w:rsidR="003D22D8">
        <w:t xml:space="preserve">dvice </w:t>
      </w:r>
      <w:r w:rsidR="00FF43AA">
        <w:t>L</w:t>
      </w:r>
      <w:r w:rsidR="003D22D8">
        <w:t>etter</w:t>
      </w:r>
      <w:r>
        <w:t xml:space="preserve">. </w:t>
      </w:r>
    </w:p>
    <w:p w14:paraId="6993C46B" w14:textId="0666EB8D" w:rsidR="00761C0B" w:rsidRDefault="00D94D70" w:rsidP="00761C0B">
      <w:pPr>
        <w:pStyle w:val="num1"/>
        <w:numPr>
          <w:ilvl w:val="0"/>
          <w:numId w:val="4"/>
        </w:numPr>
      </w:pPr>
      <w:r>
        <w:t>Southern California Edison Company (</w:t>
      </w:r>
      <w:r w:rsidR="00F16E31">
        <w:t>SCE</w:t>
      </w:r>
      <w:r>
        <w:t>)</w:t>
      </w:r>
      <w:r w:rsidR="00F16E31">
        <w:t xml:space="preserve"> shall submit its final </w:t>
      </w:r>
      <w:r w:rsidR="00997BE1">
        <w:t xml:space="preserve">Clean Energy Optimization </w:t>
      </w:r>
      <w:r w:rsidR="00F16E31">
        <w:t>Pilot Evaluation Report</w:t>
      </w:r>
      <w:r w:rsidR="00997BE1">
        <w:t xml:space="preserve"> (final report)</w:t>
      </w:r>
      <w:r w:rsidR="00F16E31">
        <w:t xml:space="preserve"> as a Tier 2 Advice Letter.  </w:t>
      </w:r>
      <w:r w:rsidR="00761C0B">
        <w:t xml:space="preserve">In addition to the subjects proposed </w:t>
      </w:r>
      <w:r w:rsidR="00781D0F">
        <w:t>for inclusion in</w:t>
      </w:r>
      <w:r>
        <w:t xml:space="preserve"> </w:t>
      </w:r>
      <w:r w:rsidR="00761C0B">
        <w:t>SCE</w:t>
      </w:r>
      <w:r>
        <w:t xml:space="preserve">’s </w:t>
      </w:r>
      <w:r w:rsidR="000730A3">
        <w:t>final report</w:t>
      </w:r>
      <w:r w:rsidR="00761C0B">
        <w:t>, SCE shall include the following:</w:t>
      </w:r>
    </w:p>
    <w:p w14:paraId="64E33D99" w14:textId="77777777" w:rsidR="00761C0B" w:rsidRPr="00106109" w:rsidRDefault="00761C0B" w:rsidP="00725F6A">
      <w:pPr>
        <w:pStyle w:val="standard"/>
        <w:numPr>
          <w:ilvl w:val="0"/>
          <w:numId w:val="47"/>
        </w:numPr>
        <w:spacing w:after="160" w:line="240" w:lineRule="auto"/>
        <w:ind w:left="1080" w:right="720"/>
      </w:pPr>
      <w:r>
        <w:t>Calculation of t</w:t>
      </w:r>
      <w:r w:rsidRPr="00106109">
        <w:t>otal program savings based on estimating the savings from an individual investment’s asset life;</w:t>
      </w:r>
    </w:p>
    <w:p w14:paraId="7CBEF2AA" w14:textId="676FC939" w:rsidR="00761C0B" w:rsidRPr="00106109" w:rsidRDefault="00761C0B" w:rsidP="00725F6A">
      <w:pPr>
        <w:pStyle w:val="standard"/>
        <w:numPr>
          <w:ilvl w:val="0"/>
          <w:numId w:val="47"/>
        </w:numPr>
        <w:spacing w:after="160" w:line="240" w:lineRule="auto"/>
        <w:ind w:left="1080" w:right="720"/>
      </w:pPr>
      <w:r>
        <w:t>Calculation of greenhouse gas (GHG) emissions reductions using a</w:t>
      </w:r>
      <w:r w:rsidRPr="00106109">
        <w:t>n emissions factor that calculates marginal emission intensities of all generation, both emitting and GHG</w:t>
      </w:r>
      <w:r w:rsidR="00ED3E8A">
        <w:noBreakHyphen/>
      </w:r>
      <w:r w:rsidRPr="00106109">
        <w:t>free resource;</w:t>
      </w:r>
      <w:r>
        <w:rPr>
          <w:rStyle w:val="FootnoteReference"/>
        </w:rPr>
        <w:footnoteReference w:id="114"/>
      </w:r>
      <w:r w:rsidRPr="00106109">
        <w:t xml:space="preserve"> and</w:t>
      </w:r>
    </w:p>
    <w:p w14:paraId="44706D07" w14:textId="77777777" w:rsidR="00761C0B" w:rsidRDefault="00761C0B" w:rsidP="00725F6A">
      <w:pPr>
        <w:pStyle w:val="standard"/>
        <w:numPr>
          <w:ilvl w:val="0"/>
          <w:numId w:val="47"/>
        </w:numPr>
        <w:spacing w:after="160" w:line="240" w:lineRule="auto"/>
        <w:ind w:left="1080" w:right="720"/>
      </w:pPr>
      <w:r>
        <w:t>Calculation of electric vehicle (</w:t>
      </w:r>
      <w:r w:rsidRPr="00106109">
        <w:t>EV</w:t>
      </w:r>
      <w:r>
        <w:t>)</w:t>
      </w:r>
      <w:r w:rsidRPr="00106109">
        <w:t xml:space="preserve"> charging emissions </w:t>
      </w:r>
      <w:r>
        <w:t>reductions by</w:t>
      </w:r>
      <w:r w:rsidRPr="00106109">
        <w:t xml:space="preserve"> account</w:t>
      </w:r>
      <w:r>
        <w:t>ing</w:t>
      </w:r>
      <w:r w:rsidRPr="00106109">
        <w:t xml:space="preserve"> for existing EV ownership and the impact EV charging station</w:t>
      </w:r>
      <w:r>
        <w:t>s</w:t>
      </w:r>
      <w:r w:rsidRPr="00106109">
        <w:t xml:space="preserve"> have on encouraging new EV ownership.</w:t>
      </w:r>
    </w:p>
    <w:p w14:paraId="28137664" w14:textId="48F66799" w:rsidR="00761C0B" w:rsidRDefault="00EF3932" w:rsidP="003F25F8">
      <w:pPr>
        <w:pStyle w:val="num1"/>
        <w:numPr>
          <w:ilvl w:val="0"/>
          <w:numId w:val="4"/>
        </w:numPr>
      </w:pPr>
      <w:r>
        <w:t xml:space="preserve">This decision changes the determination to </w:t>
      </w:r>
      <w:r w:rsidR="00761C0B">
        <w:t>no hearings necessary.</w:t>
      </w:r>
    </w:p>
    <w:p w14:paraId="0DB1B3CC" w14:textId="58DAC7B4" w:rsidR="00761C0B" w:rsidRDefault="00761C0B" w:rsidP="00ED3E8A">
      <w:pPr>
        <w:pStyle w:val="num1"/>
        <w:keepNext/>
        <w:keepLines/>
        <w:numPr>
          <w:ilvl w:val="0"/>
          <w:numId w:val="4"/>
        </w:numPr>
        <w:ind w:firstLine="230"/>
      </w:pPr>
      <w:r>
        <w:t>Application 18</w:t>
      </w:r>
      <w:r w:rsidR="00ED3E8A">
        <w:noBreakHyphen/>
      </w:r>
      <w:r>
        <w:t>05</w:t>
      </w:r>
      <w:r w:rsidR="00ED3E8A">
        <w:noBreakHyphen/>
      </w:r>
      <w:r>
        <w:t>015 is closed.</w:t>
      </w:r>
    </w:p>
    <w:p w14:paraId="754B47F0" w14:textId="77777777" w:rsidR="00617664" w:rsidRDefault="00617664" w:rsidP="00677562">
      <w:pPr>
        <w:pStyle w:val="standard"/>
        <w:keepNext/>
        <w:keepLines/>
      </w:pPr>
      <w:r>
        <w:t>This order is effective today.</w:t>
      </w:r>
    </w:p>
    <w:p w14:paraId="6413B02E" w14:textId="60B4BE9C" w:rsidR="00617664" w:rsidRDefault="00D512C8" w:rsidP="007B2A50">
      <w:pPr>
        <w:pStyle w:val="standard"/>
        <w:keepNext/>
        <w:keepLines/>
      </w:pPr>
      <w:r>
        <w:t>Dated April 25, 2019</w:t>
      </w:r>
      <w:r w:rsidR="00617664">
        <w:t xml:space="preserve">, at </w:t>
      </w:r>
      <w:r w:rsidR="00280AB4">
        <w:t>San Francisco</w:t>
      </w:r>
      <w:r w:rsidR="00617664">
        <w:t xml:space="preserve">, California. </w:t>
      </w:r>
    </w:p>
    <w:p w14:paraId="625AC76D" w14:textId="77777777" w:rsidR="00617664" w:rsidRDefault="00617664" w:rsidP="007B2A50">
      <w:pPr>
        <w:pStyle w:val="main"/>
        <w:keepNext/>
        <w:keepLines/>
      </w:pPr>
    </w:p>
    <w:p w14:paraId="4FA17DF5" w14:textId="77777777" w:rsidR="00617664" w:rsidRDefault="00617664" w:rsidP="007B2A50">
      <w:pPr>
        <w:pStyle w:val="main"/>
        <w:keepNext/>
        <w:keepLines/>
      </w:pPr>
    </w:p>
    <w:tbl>
      <w:tblPr>
        <w:tblW w:w="0" w:type="auto"/>
        <w:tblLook w:val="04A0" w:firstRow="1" w:lastRow="0" w:firstColumn="1" w:lastColumn="0" w:noHBand="0" w:noVBand="1"/>
      </w:tblPr>
      <w:tblGrid>
        <w:gridCol w:w="4428"/>
        <w:gridCol w:w="990"/>
        <w:gridCol w:w="4158"/>
      </w:tblGrid>
      <w:tr w:rsidR="003F25F8" w:rsidRPr="00273436" w14:paraId="26C8916D" w14:textId="77777777" w:rsidTr="00057936">
        <w:tc>
          <w:tcPr>
            <w:tcW w:w="4428" w:type="dxa"/>
            <w:shd w:val="clear" w:color="auto" w:fill="auto"/>
          </w:tcPr>
          <w:p w14:paraId="11569A48" w14:textId="77777777" w:rsidR="003F25F8" w:rsidRPr="00273436" w:rsidRDefault="003F25F8" w:rsidP="00057936">
            <w:pPr>
              <w:keepNext/>
              <w:keepLines/>
              <w:autoSpaceDE w:val="0"/>
              <w:autoSpaceDN w:val="0"/>
              <w:adjustRightInd w:val="0"/>
              <w:jc w:val="both"/>
              <w:rPr>
                <w:rFonts w:cs="Palatino"/>
                <w:szCs w:val="26"/>
              </w:rPr>
            </w:pPr>
          </w:p>
        </w:tc>
        <w:tc>
          <w:tcPr>
            <w:tcW w:w="990" w:type="dxa"/>
            <w:shd w:val="clear" w:color="auto" w:fill="auto"/>
          </w:tcPr>
          <w:p w14:paraId="426982F7" w14:textId="77777777" w:rsidR="003F25F8" w:rsidRPr="00273436" w:rsidRDefault="003F25F8" w:rsidP="003F25F8">
            <w:pPr>
              <w:keepNext/>
              <w:keepLines/>
              <w:rPr>
                <w:rFonts w:cs="Palatino"/>
                <w:szCs w:val="26"/>
              </w:rPr>
            </w:pPr>
          </w:p>
        </w:tc>
        <w:tc>
          <w:tcPr>
            <w:tcW w:w="4158" w:type="dxa"/>
            <w:shd w:val="clear" w:color="auto" w:fill="auto"/>
          </w:tcPr>
          <w:p w14:paraId="64D20A28" w14:textId="77777777" w:rsidR="003F25F8" w:rsidRPr="00273436" w:rsidRDefault="003F25F8" w:rsidP="003F25F8">
            <w:pPr>
              <w:keepNext/>
              <w:keepLines/>
              <w:ind w:left="72"/>
              <w:rPr>
                <w:rFonts w:cs="Palatino"/>
                <w:szCs w:val="26"/>
              </w:rPr>
            </w:pPr>
            <w:r w:rsidRPr="00273436">
              <w:rPr>
                <w:rFonts w:cs="Palatino"/>
                <w:szCs w:val="26"/>
              </w:rPr>
              <w:t>MICHAEL PICKER</w:t>
            </w:r>
          </w:p>
          <w:p w14:paraId="68DC84DC" w14:textId="77777777" w:rsidR="003F25F8" w:rsidRPr="00273436" w:rsidRDefault="003F25F8" w:rsidP="003F25F8">
            <w:pPr>
              <w:keepNext/>
              <w:keepLines/>
              <w:ind w:left="72"/>
              <w:rPr>
                <w:rFonts w:cs="Palatino"/>
                <w:szCs w:val="26"/>
              </w:rPr>
            </w:pPr>
            <w:r w:rsidRPr="00273436">
              <w:rPr>
                <w:rFonts w:cs="Palatino"/>
                <w:szCs w:val="26"/>
              </w:rPr>
              <w:t xml:space="preserve">      </w:t>
            </w:r>
            <w:r w:rsidRPr="00273436">
              <w:rPr>
                <w:rFonts w:cs="Palatino"/>
                <w:sz w:val="20"/>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President</w:t>
            </w:r>
          </w:p>
          <w:p w14:paraId="6EE1CE13" w14:textId="77777777" w:rsidR="003F25F8" w:rsidRPr="00273436" w:rsidRDefault="003F25F8" w:rsidP="003F25F8">
            <w:pPr>
              <w:keepNext/>
              <w:keepLines/>
              <w:ind w:left="72"/>
              <w:rPr>
                <w:rFonts w:cs="Courier New"/>
                <w:szCs w:val="26"/>
              </w:rPr>
            </w:pPr>
            <w:r w:rsidRPr="00273436">
              <w:rPr>
                <w:rFonts w:cs="Courier New"/>
                <w:szCs w:val="26"/>
              </w:rPr>
              <w:t>LIANE M. RANDOLPH</w:t>
            </w:r>
          </w:p>
          <w:p w14:paraId="401EB3EB" w14:textId="77777777" w:rsidR="003F25F8" w:rsidRPr="00273436" w:rsidRDefault="003F25F8" w:rsidP="003F25F8">
            <w:pPr>
              <w:keepNext/>
              <w:keepLines/>
              <w:ind w:left="72"/>
              <w:rPr>
                <w:rFonts w:cs="Courier New"/>
                <w:szCs w:val="26"/>
              </w:rPr>
            </w:pPr>
            <w:r w:rsidRPr="00273436">
              <w:rPr>
                <w:rFonts w:cs="Courier New"/>
                <w:szCs w:val="26"/>
              </w:rPr>
              <w:t>CLIFFORD RECHTSCHAFFEN</w:t>
            </w:r>
          </w:p>
          <w:p w14:paraId="74E916C9" w14:textId="77777777" w:rsidR="003F25F8" w:rsidRPr="00273436" w:rsidRDefault="003F25F8" w:rsidP="003F25F8">
            <w:pPr>
              <w:keepNext/>
              <w:keepLines/>
              <w:ind w:left="72"/>
              <w:rPr>
                <w:rFonts w:cs="Courier New"/>
                <w:szCs w:val="26"/>
              </w:rPr>
            </w:pPr>
            <w:r w:rsidRPr="00273436">
              <w:rPr>
                <w:rFonts w:cs="Courier New"/>
                <w:szCs w:val="26"/>
              </w:rPr>
              <w:t>GENEVIEVE SHIROMA</w:t>
            </w:r>
          </w:p>
          <w:p w14:paraId="2D1C03BF" w14:textId="77777777" w:rsidR="003F25F8" w:rsidRPr="00273436" w:rsidRDefault="003F25F8" w:rsidP="003F25F8">
            <w:pPr>
              <w:keepNext/>
              <w:keepLines/>
              <w:ind w:left="72"/>
            </w:pPr>
            <w:r w:rsidRPr="00273436">
              <w:t xml:space="preserve">            </w:t>
            </w:r>
            <w:r w:rsidRPr="00273436">
              <w:rPr>
                <w:sz w:val="22"/>
              </w:rPr>
              <w:t xml:space="preserve"> </w:t>
            </w:r>
            <w:r w:rsidRPr="00273436">
              <w:t xml:space="preserve">              </w:t>
            </w:r>
            <w:r w:rsidRPr="00273436">
              <w:rPr>
                <w:sz w:val="32"/>
              </w:rPr>
              <w:t xml:space="preserve"> </w:t>
            </w:r>
            <w:r w:rsidRPr="00273436">
              <w:rPr>
                <w:sz w:val="24"/>
              </w:rPr>
              <w:t xml:space="preserve"> </w:t>
            </w:r>
            <w:r w:rsidRPr="00273436">
              <w:t>Commissioners</w:t>
            </w:r>
          </w:p>
        </w:tc>
      </w:tr>
      <w:tr w:rsidR="003F25F8" w:rsidRPr="00273436" w14:paraId="7A69B9E5" w14:textId="77777777" w:rsidTr="00057936">
        <w:tc>
          <w:tcPr>
            <w:tcW w:w="4428" w:type="dxa"/>
            <w:shd w:val="clear" w:color="auto" w:fill="auto"/>
          </w:tcPr>
          <w:p w14:paraId="777FD0AB" w14:textId="77777777" w:rsidR="003F25F8" w:rsidRPr="00273436" w:rsidRDefault="003F25F8" w:rsidP="003F25F8">
            <w:pPr>
              <w:keepNext/>
              <w:keepLines/>
              <w:rPr>
                <w:rFonts w:cs="Palatino"/>
                <w:szCs w:val="26"/>
              </w:rPr>
            </w:pPr>
          </w:p>
        </w:tc>
        <w:tc>
          <w:tcPr>
            <w:tcW w:w="990" w:type="dxa"/>
            <w:shd w:val="clear" w:color="auto" w:fill="auto"/>
          </w:tcPr>
          <w:p w14:paraId="7D753AA9" w14:textId="77777777" w:rsidR="003F25F8" w:rsidRPr="00273436" w:rsidRDefault="003F25F8" w:rsidP="003F25F8">
            <w:pPr>
              <w:keepNext/>
              <w:keepLines/>
              <w:rPr>
                <w:rFonts w:cs="Palatino"/>
                <w:szCs w:val="26"/>
              </w:rPr>
            </w:pPr>
          </w:p>
        </w:tc>
        <w:tc>
          <w:tcPr>
            <w:tcW w:w="4158" w:type="dxa"/>
            <w:shd w:val="clear" w:color="auto" w:fill="auto"/>
          </w:tcPr>
          <w:p w14:paraId="1558600E" w14:textId="77777777" w:rsidR="003F25F8" w:rsidRPr="00273436" w:rsidRDefault="003F25F8" w:rsidP="003F25F8">
            <w:pPr>
              <w:keepNext/>
              <w:keepLines/>
              <w:ind w:left="72"/>
              <w:rPr>
                <w:rFonts w:cs="Palatino"/>
                <w:szCs w:val="26"/>
              </w:rPr>
            </w:pPr>
          </w:p>
        </w:tc>
      </w:tr>
      <w:tr w:rsidR="003F25F8" w:rsidRPr="00273436" w14:paraId="0ADDDFF2" w14:textId="77777777" w:rsidTr="00057936">
        <w:tc>
          <w:tcPr>
            <w:tcW w:w="4428" w:type="dxa"/>
            <w:shd w:val="clear" w:color="auto" w:fill="auto"/>
          </w:tcPr>
          <w:p w14:paraId="450D8AF7" w14:textId="2018425D" w:rsidR="003F25F8" w:rsidRPr="00273436" w:rsidRDefault="003F25F8" w:rsidP="003F25F8">
            <w:pPr>
              <w:keepNext/>
              <w:keepLines/>
              <w:rPr>
                <w:rFonts w:cs="Palatino"/>
                <w:szCs w:val="26"/>
              </w:rPr>
            </w:pPr>
            <w:r>
              <w:rPr>
                <w:rFonts w:cs="Palatino"/>
                <w:szCs w:val="26"/>
              </w:rPr>
              <w:t>I dissent.</w:t>
            </w:r>
          </w:p>
        </w:tc>
        <w:tc>
          <w:tcPr>
            <w:tcW w:w="990" w:type="dxa"/>
            <w:shd w:val="clear" w:color="auto" w:fill="auto"/>
          </w:tcPr>
          <w:p w14:paraId="3398FA7A" w14:textId="77777777" w:rsidR="003F25F8" w:rsidRPr="00273436" w:rsidRDefault="003F25F8" w:rsidP="003F25F8">
            <w:pPr>
              <w:keepNext/>
              <w:keepLines/>
              <w:rPr>
                <w:rFonts w:cs="Palatino"/>
                <w:szCs w:val="26"/>
              </w:rPr>
            </w:pPr>
          </w:p>
        </w:tc>
        <w:tc>
          <w:tcPr>
            <w:tcW w:w="4158" w:type="dxa"/>
            <w:shd w:val="clear" w:color="auto" w:fill="auto"/>
          </w:tcPr>
          <w:p w14:paraId="0ECDDE82" w14:textId="77777777" w:rsidR="003F25F8" w:rsidRPr="00273436" w:rsidRDefault="003F25F8" w:rsidP="003F25F8">
            <w:pPr>
              <w:keepNext/>
              <w:keepLines/>
              <w:ind w:left="72"/>
              <w:rPr>
                <w:rFonts w:cs="Palatino"/>
                <w:szCs w:val="26"/>
              </w:rPr>
            </w:pPr>
          </w:p>
        </w:tc>
      </w:tr>
      <w:tr w:rsidR="003F25F8" w:rsidRPr="00273436" w14:paraId="72C472F1" w14:textId="77777777" w:rsidTr="00057936">
        <w:tc>
          <w:tcPr>
            <w:tcW w:w="4428" w:type="dxa"/>
            <w:shd w:val="clear" w:color="auto" w:fill="auto"/>
          </w:tcPr>
          <w:p w14:paraId="7CE4FBA9" w14:textId="77777777" w:rsidR="003F25F8" w:rsidRPr="00273436" w:rsidRDefault="003F25F8" w:rsidP="003F25F8">
            <w:pPr>
              <w:keepNext/>
              <w:keepLines/>
              <w:rPr>
                <w:rFonts w:cs="Palatino"/>
                <w:szCs w:val="26"/>
              </w:rPr>
            </w:pPr>
          </w:p>
        </w:tc>
        <w:tc>
          <w:tcPr>
            <w:tcW w:w="990" w:type="dxa"/>
            <w:shd w:val="clear" w:color="auto" w:fill="auto"/>
          </w:tcPr>
          <w:p w14:paraId="77977DCC" w14:textId="77777777" w:rsidR="003F25F8" w:rsidRPr="00273436" w:rsidRDefault="003F25F8" w:rsidP="003F25F8">
            <w:pPr>
              <w:keepNext/>
              <w:keepLines/>
              <w:rPr>
                <w:rFonts w:cs="Palatino"/>
                <w:szCs w:val="26"/>
              </w:rPr>
            </w:pPr>
          </w:p>
        </w:tc>
        <w:tc>
          <w:tcPr>
            <w:tcW w:w="4158" w:type="dxa"/>
            <w:shd w:val="clear" w:color="auto" w:fill="auto"/>
          </w:tcPr>
          <w:p w14:paraId="09C2019C" w14:textId="77777777" w:rsidR="003F25F8" w:rsidRPr="00273436" w:rsidRDefault="003F25F8" w:rsidP="003F25F8">
            <w:pPr>
              <w:keepNext/>
              <w:keepLines/>
              <w:ind w:left="72"/>
              <w:rPr>
                <w:rFonts w:cs="Palatino"/>
                <w:szCs w:val="26"/>
              </w:rPr>
            </w:pPr>
          </w:p>
        </w:tc>
      </w:tr>
      <w:tr w:rsidR="003F25F8" w:rsidRPr="00273436" w14:paraId="43120986" w14:textId="77777777" w:rsidTr="00057936">
        <w:tc>
          <w:tcPr>
            <w:tcW w:w="4428" w:type="dxa"/>
            <w:shd w:val="clear" w:color="auto" w:fill="auto"/>
          </w:tcPr>
          <w:p w14:paraId="757A8D5F" w14:textId="7DF19912" w:rsidR="003F25F8" w:rsidRPr="00273436" w:rsidRDefault="00057936" w:rsidP="003F25F8">
            <w:pPr>
              <w:keepNext/>
              <w:keepLines/>
              <w:rPr>
                <w:rFonts w:cs="Palatino"/>
                <w:szCs w:val="26"/>
              </w:rPr>
            </w:pPr>
            <w:r>
              <w:rPr>
                <w:rFonts w:cs="Palatino"/>
                <w:szCs w:val="26"/>
              </w:rPr>
              <w:t xml:space="preserve">/s/  MARTHA GUZMAN ACEVES </w:t>
            </w:r>
          </w:p>
        </w:tc>
        <w:tc>
          <w:tcPr>
            <w:tcW w:w="990" w:type="dxa"/>
            <w:shd w:val="clear" w:color="auto" w:fill="auto"/>
          </w:tcPr>
          <w:p w14:paraId="798E5F15" w14:textId="77777777" w:rsidR="003F25F8" w:rsidRPr="00273436" w:rsidRDefault="003F25F8" w:rsidP="003F25F8">
            <w:pPr>
              <w:keepNext/>
              <w:keepLines/>
              <w:rPr>
                <w:rFonts w:cs="Palatino"/>
                <w:szCs w:val="26"/>
              </w:rPr>
            </w:pPr>
          </w:p>
        </w:tc>
        <w:tc>
          <w:tcPr>
            <w:tcW w:w="4158" w:type="dxa"/>
            <w:shd w:val="clear" w:color="auto" w:fill="auto"/>
          </w:tcPr>
          <w:p w14:paraId="65E2A648" w14:textId="77777777" w:rsidR="003F25F8" w:rsidRPr="00273436" w:rsidRDefault="003F25F8" w:rsidP="003F25F8">
            <w:pPr>
              <w:keepNext/>
              <w:keepLines/>
              <w:ind w:left="72"/>
              <w:rPr>
                <w:rFonts w:cs="Palatino"/>
                <w:szCs w:val="26"/>
              </w:rPr>
            </w:pPr>
          </w:p>
        </w:tc>
      </w:tr>
      <w:tr w:rsidR="003F25F8" w:rsidRPr="00273436" w14:paraId="6300A2BF" w14:textId="77777777" w:rsidTr="00057936">
        <w:tc>
          <w:tcPr>
            <w:tcW w:w="4428" w:type="dxa"/>
            <w:shd w:val="clear" w:color="auto" w:fill="auto"/>
          </w:tcPr>
          <w:p w14:paraId="26042CB4" w14:textId="388A40EC" w:rsidR="003F25F8" w:rsidRPr="00273436" w:rsidRDefault="00057936" w:rsidP="00057936">
            <w:pPr>
              <w:keepNext/>
              <w:keepLines/>
              <w:jc w:val="center"/>
              <w:rPr>
                <w:rFonts w:cs="Palatino"/>
                <w:szCs w:val="26"/>
              </w:rPr>
            </w:pPr>
            <w:r>
              <w:rPr>
                <w:rFonts w:cs="Palatino"/>
                <w:szCs w:val="26"/>
              </w:rPr>
              <w:t>Commissioner</w:t>
            </w:r>
          </w:p>
        </w:tc>
        <w:tc>
          <w:tcPr>
            <w:tcW w:w="990" w:type="dxa"/>
            <w:shd w:val="clear" w:color="auto" w:fill="auto"/>
          </w:tcPr>
          <w:p w14:paraId="0933B2C3" w14:textId="77777777" w:rsidR="003F25F8" w:rsidRPr="00273436" w:rsidRDefault="003F25F8" w:rsidP="003F25F8">
            <w:pPr>
              <w:keepNext/>
              <w:keepLines/>
              <w:rPr>
                <w:rFonts w:cs="Palatino"/>
                <w:szCs w:val="26"/>
              </w:rPr>
            </w:pPr>
          </w:p>
        </w:tc>
        <w:tc>
          <w:tcPr>
            <w:tcW w:w="4158" w:type="dxa"/>
            <w:shd w:val="clear" w:color="auto" w:fill="auto"/>
          </w:tcPr>
          <w:p w14:paraId="1F5D8D40" w14:textId="77777777" w:rsidR="003F25F8" w:rsidRPr="00273436" w:rsidRDefault="003F25F8" w:rsidP="003F25F8">
            <w:pPr>
              <w:keepNext/>
              <w:keepLines/>
              <w:ind w:left="72"/>
              <w:rPr>
                <w:rFonts w:cs="Palatino"/>
                <w:szCs w:val="26"/>
              </w:rPr>
            </w:pPr>
          </w:p>
        </w:tc>
      </w:tr>
      <w:tr w:rsidR="003F25F8" w:rsidRPr="00273436" w14:paraId="251BFA51" w14:textId="77777777" w:rsidTr="00057936">
        <w:tc>
          <w:tcPr>
            <w:tcW w:w="4428" w:type="dxa"/>
            <w:shd w:val="clear" w:color="auto" w:fill="auto"/>
          </w:tcPr>
          <w:p w14:paraId="2A7052B4" w14:textId="77777777" w:rsidR="003F25F8" w:rsidRPr="00273436" w:rsidRDefault="003F25F8" w:rsidP="003F25F8">
            <w:pPr>
              <w:keepNext/>
              <w:keepLines/>
              <w:rPr>
                <w:rFonts w:cs="Palatino"/>
                <w:szCs w:val="26"/>
              </w:rPr>
            </w:pPr>
          </w:p>
        </w:tc>
        <w:tc>
          <w:tcPr>
            <w:tcW w:w="990" w:type="dxa"/>
            <w:shd w:val="clear" w:color="auto" w:fill="auto"/>
          </w:tcPr>
          <w:p w14:paraId="32218AA6" w14:textId="77777777" w:rsidR="003F25F8" w:rsidRPr="00273436" w:rsidRDefault="003F25F8" w:rsidP="003F25F8">
            <w:pPr>
              <w:keepNext/>
              <w:keepLines/>
              <w:rPr>
                <w:rFonts w:cs="Palatino"/>
                <w:szCs w:val="26"/>
              </w:rPr>
            </w:pPr>
          </w:p>
        </w:tc>
        <w:tc>
          <w:tcPr>
            <w:tcW w:w="4158" w:type="dxa"/>
            <w:shd w:val="clear" w:color="auto" w:fill="auto"/>
          </w:tcPr>
          <w:p w14:paraId="4BD0D22E" w14:textId="77777777" w:rsidR="003F25F8" w:rsidRPr="00273436" w:rsidRDefault="003F25F8" w:rsidP="003F25F8">
            <w:pPr>
              <w:keepNext/>
              <w:keepLines/>
              <w:ind w:left="72"/>
              <w:rPr>
                <w:rFonts w:cs="Palatino"/>
                <w:szCs w:val="26"/>
              </w:rPr>
            </w:pPr>
          </w:p>
        </w:tc>
      </w:tr>
      <w:tr w:rsidR="003F25F8" w:rsidRPr="00273436" w14:paraId="58682CB3" w14:textId="77777777" w:rsidTr="00057936">
        <w:tc>
          <w:tcPr>
            <w:tcW w:w="4428" w:type="dxa"/>
            <w:shd w:val="clear" w:color="auto" w:fill="auto"/>
          </w:tcPr>
          <w:p w14:paraId="3D5EB378" w14:textId="77777777" w:rsidR="003F25F8" w:rsidRPr="00273436" w:rsidRDefault="003F25F8" w:rsidP="003F25F8">
            <w:pPr>
              <w:keepNext/>
              <w:keepLines/>
              <w:rPr>
                <w:rFonts w:cs="Palatino"/>
                <w:szCs w:val="26"/>
              </w:rPr>
            </w:pPr>
          </w:p>
        </w:tc>
        <w:tc>
          <w:tcPr>
            <w:tcW w:w="990" w:type="dxa"/>
            <w:shd w:val="clear" w:color="auto" w:fill="auto"/>
          </w:tcPr>
          <w:p w14:paraId="7517C55A" w14:textId="77777777" w:rsidR="003F25F8" w:rsidRPr="00273436" w:rsidRDefault="003F25F8" w:rsidP="003F25F8">
            <w:pPr>
              <w:keepNext/>
              <w:keepLines/>
              <w:rPr>
                <w:rFonts w:cs="Palatino"/>
                <w:szCs w:val="26"/>
              </w:rPr>
            </w:pPr>
          </w:p>
        </w:tc>
        <w:tc>
          <w:tcPr>
            <w:tcW w:w="4158" w:type="dxa"/>
            <w:shd w:val="clear" w:color="auto" w:fill="auto"/>
          </w:tcPr>
          <w:p w14:paraId="2BFB07D4" w14:textId="77777777" w:rsidR="003F25F8" w:rsidRPr="00273436" w:rsidRDefault="003F25F8" w:rsidP="003F25F8">
            <w:pPr>
              <w:keepNext/>
              <w:keepLines/>
              <w:ind w:left="72"/>
              <w:rPr>
                <w:rFonts w:cs="Palatino"/>
                <w:szCs w:val="26"/>
              </w:rPr>
            </w:pPr>
          </w:p>
        </w:tc>
      </w:tr>
    </w:tbl>
    <w:p w14:paraId="3E4988AE" w14:textId="77777777" w:rsidR="0017288A" w:rsidRDefault="0017288A" w:rsidP="003F25F8">
      <w:pPr>
        <w:pStyle w:val="standard"/>
        <w:rPr>
          <w:sz w:val="10"/>
          <w:szCs w:val="26"/>
        </w:rPr>
      </w:pPr>
      <w:r>
        <w:rPr>
          <w:sz w:val="10"/>
          <w:szCs w:val="26"/>
        </w:rPr>
        <w:t xml:space="preserve">Attachment 1: </w:t>
      </w:r>
    </w:p>
    <w:p w14:paraId="09A07BA1" w14:textId="652626FB" w:rsidR="0017288A" w:rsidRDefault="0017288A" w:rsidP="0017288A">
      <w:pPr>
        <w:pStyle w:val="standard"/>
        <w:spacing w:after="480"/>
        <w:rPr>
          <w:sz w:val="10"/>
          <w:szCs w:val="26"/>
        </w:rPr>
      </w:pPr>
      <w:hyperlink r:id="rId22" w:history="1">
        <w:r w:rsidRPr="0017288A">
          <w:rPr>
            <w:rStyle w:val="Hyperlink"/>
          </w:rPr>
          <w:t>D1904010 Attachment A.pdf</w:t>
        </w:r>
      </w:hyperlink>
    </w:p>
    <w:p w14:paraId="03B24E8B" w14:textId="77777777" w:rsidR="0017288A" w:rsidRPr="0017288A" w:rsidRDefault="0017288A" w:rsidP="0017288A">
      <w:pPr>
        <w:pStyle w:val="standard"/>
        <w:spacing w:after="480"/>
        <w:rPr>
          <w:sz w:val="10"/>
          <w:szCs w:val="26"/>
        </w:rPr>
      </w:pPr>
    </w:p>
    <w:sectPr w:rsidR="0017288A" w:rsidRPr="0017288A" w:rsidSect="00B657DA">
      <w:headerReference w:type="default" r:id="rId23"/>
      <w:footerReference w:type="first" r:id="rId24"/>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399B" w14:textId="77777777" w:rsidR="00893149" w:rsidRDefault="00893149">
      <w:r>
        <w:separator/>
      </w:r>
    </w:p>
  </w:endnote>
  <w:endnote w:type="continuationSeparator" w:id="0">
    <w:p w14:paraId="5F4BDA35" w14:textId="77777777" w:rsidR="00893149" w:rsidRDefault="0089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F262" w14:textId="77777777" w:rsidR="002B2DD8" w:rsidRDefault="002B2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17B1" w14:textId="79218C27" w:rsidR="003F25F8" w:rsidRDefault="003F25F8">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17652A">
      <w:rPr>
        <w:rStyle w:val="PageNumber"/>
        <w:noProof/>
      </w:rPr>
      <w:t>42</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781A" w14:textId="5F9F955F" w:rsidR="003F25F8" w:rsidRPr="00337807" w:rsidRDefault="003F25F8" w:rsidP="00ED3E8A">
    <w:pPr>
      <w:pStyle w:val="Footer"/>
      <w:tabs>
        <w:tab w:val="clear" w:pos="4320"/>
        <w:tab w:val="center" w:pos="4500"/>
      </w:tabs>
      <w:jc w:val="left"/>
      <w:rPr>
        <w:sz w:val="2"/>
      </w:rPr>
    </w:pPr>
    <w:r>
      <w:rPr>
        <w:rFonts w:ascii="Tahoma" w:hAnsi="Tahoma" w:cs="Tahoma"/>
        <w:sz w:val="17"/>
        <w:szCs w:val="17"/>
      </w:rPr>
      <w:t>287454189</w:t>
    </w:r>
    <w:r>
      <w:tab/>
    </w:r>
    <w:r>
      <w:noBreakHyphen/>
      <w:t xml:space="preserve">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0C87" w14:textId="35442AED" w:rsidR="003F25F8" w:rsidRDefault="003F25F8">
    <w:pPr>
      <w:pStyle w:val="Footer"/>
    </w:pPr>
    <w:r>
      <w:noBreakHyphen/>
      <w:t xml:space="preserve"> </w:t>
    </w:r>
    <w:r>
      <w:fldChar w:fldCharType="begin"/>
    </w:r>
    <w:r>
      <w:instrText xml:space="preserve"> PAGE   \* MERGEFORMAT </w:instrText>
    </w:r>
    <w:r>
      <w:fldChar w:fldCharType="separate"/>
    </w:r>
    <w:r w:rsidR="0017288A">
      <w:rPr>
        <w:noProof/>
      </w:rPr>
      <w:t>i</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A3DF" w14:textId="6E0A7EDE" w:rsidR="003F25F8" w:rsidRDefault="003F25F8">
    <w:pPr>
      <w:pStyle w:val="Footer"/>
    </w:pPr>
    <w:r>
      <w:noBreakHyphen/>
      <w:t xml:space="preserve"> </w:t>
    </w:r>
    <w:r>
      <w:fldChar w:fldCharType="begin"/>
    </w:r>
    <w:r>
      <w:instrText xml:space="preserve"> PAGE   \* MERGEFORMAT </w:instrText>
    </w:r>
    <w:r>
      <w:fldChar w:fldCharType="separate"/>
    </w:r>
    <w:r w:rsidR="0017652A">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30738" w14:textId="77777777" w:rsidR="00893149" w:rsidRDefault="00893149">
      <w:r>
        <w:separator/>
      </w:r>
    </w:p>
  </w:footnote>
  <w:footnote w:type="continuationSeparator" w:id="0">
    <w:p w14:paraId="19FDAAFD" w14:textId="77777777" w:rsidR="00893149" w:rsidRDefault="00893149">
      <w:r>
        <w:continuationSeparator/>
      </w:r>
    </w:p>
  </w:footnote>
  <w:footnote w:type="continuationNotice" w:id="1">
    <w:p w14:paraId="08110142" w14:textId="77777777" w:rsidR="00893149" w:rsidRDefault="00893149">
      <w:pPr>
        <w:rPr>
          <w:sz w:val="22"/>
        </w:rPr>
      </w:pPr>
    </w:p>
    <w:p w14:paraId="0F69E59F" w14:textId="77777777" w:rsidR="00893149" w:rsidRDefault="00893149">
      <w:pPr>
        <w:jc w:val="right"/>
        <w:rPr>
          <w:sz w:val="22"/>
        </w:rPr>
      </w:pPr>
      <w:r>
        <w:rPr>
          <w:i/>
          <w:sz w:val="22"/>
        </w:rPr>
        <w:t>Footnote continued on next page</w:t>
      </w:r>
    </w:p>
  </w:footnote>
  <w:footnote w:id="2">
    <w:p w14:paraId="369325E6" w14:textId="094AAEAB" w:rsidR="003F25F8" w:rsidRDefault="003F25F8">
      <w:pPr>
        <w:pStyle w:val="FootnoteText"/>
      </w:pPr>
      <w:r>
        <w:rPr>
          <w:rStyle w:val="FootnoteReference"/>
        </w:rPr>
        <w:footnoteRef/>
      </w:r>
      <w:r>
        <w:t xml:space="preserve">  Exhibit SCE</w:t>
      </w:r>
      <w:r>
        <w:noBreakHyphen/>
        <w:t>04 at 1.</w:t>
      </w:r>
    </w:p>
  </w:footnote>
  <w:footnote w:id="3">
    <w:p w14:paraId="69B37FEA" w14:textId="50424495" w:rsidR="003F25F8" w:rsidRDefault="003F25F8" w:rsidP="002C05DA">
      <w:pPr>
        <w:pStyle w:val="FootnoteText"/>
      </w:pPr>
      <w:r>
        <w:rPr>
          <w:rStyle w:val="FootnoteReference"/>
        </w:rPr>
        <w:footnoteRef/>
      </w:r>
      <w:r>
        <w:t xml:space="preserve">  Scope 1 emissions are GHG emissions from sources owned or controlled by a regulated entity.  Scope 2 emissions are GHG emissions from a regulated entity’s purchased utilities.  </w:t>
      </w:r>
      <w:r w:rsidRPr="005646C1">
        <w:rPr>
          <w:i/>
        </w:rPr>
        <w:t>See</w:t>
      </w:r>
      <w:r>
        <w:t xml:space="preserve"> Exhibit SCE</w:t>
      </w:r>
      <w:r>
        <w:noBreakHyphen/>
        <w:t>04 at 4, fn. 2</w:t>
      </w:r>
      <w:r>
        <w:noBreakHyphen/>
        <w:t>3.</w:t>
      </w:r>
    </w:p>
  </w:footnote>
  <w:footnote w:id="4">
    <w:p w14:paraId="263F2D65" w14:textId="67A5CDD2" w:rsidR="003F25F8" w:rsidRDefault="003F25F8" w:rsidP="002C05DA">
      <w:pPr>
        <w:pStyle w:val="FootnoteText"/>
      </w:pPr>
      <w:r>
        <w:rPr>
          <w:rStyle w:val="FootnoteReference"/>
        </w:rPr>
        <w:footnoteRef/>
      </w:r>
      <w:r>
        <w:t xml:space="preserve">  Exhibit SCE</w:t>
      </w:r>
      <w:r>
        <w:noBreakHyphen/>
        <w:t>04 at 4</w:t>
      </w:r>
      <w:r>
        <w:noBreakHyphen/>
        <w:t>5.</w:t>
      </w:r>
    </w:p>
  </w:footnote>
  <w:footnote w:id="5">
    <w:p w14:paraId="499BAC78" w14:textId="5ED5EF18" w:rsidR="003F25F8" w:rsidRDefault="003F25F8">
      <w:pPr>
        <w:pStyle w:val="FootnoteText"/>
      </w:pPr>
      <w:r>
        <w:rPr>
          <w:rStyle w:val="FootnoteReference"/>
        </w:rPr>
        <w:footnoteRef/>
      </w:r>
      <w:r>
        <w:t xml:space="preserve">  Exhibit SCE</w:t>
      </w:r>
      <w:r>
        <w:noBreakHyphen/>
        <w:t>04 at 6.</w:t>
      </w:r>
    </w:p>
  </w:footnote>
  <w:footnote w:id="6">
    <w:p w14:paraId="3323D383" w14:textId="09EE3FD9" w:rsidR="003F25F8" w:rsidRDefault="003F25F8">
      <w:pPr>
        <w:pStyle w:val="FootnoteText"/>
      </w:pPr>
      <w:r>
        <w:rPr>
          <w:rStyle w:val="FootnoteReference"/>
        </w:rPr>
        <w:footnoteRef/>
      </w:r>
      <w:r>
        <w:t xml:space="preserve">  Exhibit SCE</w:t>
      </w:r>
      <w:r>
        <w:noBreakHyphen/>
        <w:t>04 at 7.</w:t>
      </w:r>
    </w:p>
  </w:footnote>
  <w:footnote w:id="7">
    <w:p w14:paraId="6D09BAEC" w14:textId="194DF24E" w:rsidR="003F25F8" w:rsidRDefault="003F25F8">
      <w:pPr>
        <w:pStyle w:val="FootnoteText"/>
      </w:pPr>
      <w:r>
        <w:rPr>
          <w:rStyle w:val="FootnoteReference"/>
        </w:rPr>
        <w:footnoteRef/>
      </w:r>
      <w:r>
        <w:t xml:space="preserve">  Exhibit SCE</w:t>
      </w:r>
      <w:r>
        <w:noBreakHyphen/>
        <w:t>04 at 7.</w:t>
      </w:r>
    </w:p>
  </w:footnote>
  <w:footnote w:id="8">
    <w:p w14:paraId="6508FF6C" w14:textId="5E555C92" w:rsidR="003F25F8" w:rsidRPr="00D56ADD" w:rsidRDefault="003F25F8">
      <w:pPr>
        <w:pStyle w:val="FootnoteText"/>
        <w:rPr>
          <w:szCs w:val="22"/>
        </w:rPr>
      </w:pPr>
      <w:r w:rsidRPr="00D56ADD">
        <w:rPr>
          <w:rStyle w:val="FootnoteReference"/>
          <w:sz w:val="22"/>
          <w:szCs w:val="22"/>
        </w:rPr>
        <w:footnoteRef/>
      </w:r>
      <w:r w:rsidRPr="00D56ADD">
        <w:rPr>
          <w:szCs w:val="22"/>
        </w:rPr>
        <w:t xml:space="preserve"> </w:t>
      </w:r>
      <w:r>
        <w:rPr>
          <w:szCs w:val="22"/>
        </w:rPr>
        <w:t xml:space="preserve"> </w:t>
      </w:r>
      <w:r w:rsidRPr="00D56ADD">
        <w:rPr>
          <w:szCs w:val="22"/>
        </w:rPr>
        <w:t>Exhibit SCE</w:t>
      </w:r>
      <w:r>
        <w:rPr>
          <w:szCs w:val="22"/>
        </w:rPr>
        <w:noBreakHyphen/>
      </w:r>
      <w:r w:rsidRPr="00D56ADD">
        <w:rPr>
          <w:szCs w:val="22"/>
        </w:rPr>
        <w:t>04 at 12.</w:t>
      </w:r>
    </w:p>
  </w:footnote>
  <w:footnote w:id="9">
    <w:p w14:paraId="5642C539" w14:textId="100618CF" w:rsidR="003F25F8" w:rsidRPr="00C734B4" w:rsidRDefault="003F25F8" w:rsidP="002C05DA">
      <w:pPr>
        <w:pStyle w:val="FootnoteText"/>
        <w:rPr>
          <w:szCs w:val="22"/>
        </w:rPr>
      </w:pPr>
      <w:r w:rsidRPr="00D56ADD">
        <w:rPr>
          <w:rStyle w:val="FootnoteReference"/>
          <w:sz w:val="22"/>
          <w:szCs w:val="22"/>
        </w:rPr>
        <w:footnoteRef/>
      </w:r>
      <w:r w:rsidRPr="00D56ADD">
        <w:rPr>
          <w:szCs w:val="22"/>
        </w:rPr>
        <w:t xml:space="preserve">  Exhibit SCE</w:t>
      </w:r>
      <w:r>
        <w:rPr>
          <w:szCs w:val="22"/>
        </w:rPr>
        <w:noBreakHyphen/>
      </w:r>
      <w:r w:rsidRPr="00D56ADD">
        <w:rPr>
          <w:szCs w:val="22"/>
        </w:rPr>
        <w:t>01</w:t>
      </w:r>
      <w:r w:rsidRPr="00C734B4">
        <w:rPr>
          <w:szCs w:val="22"/>
        </w:rPr>
        <w:t xml:space="preserve"> at 19</w:t>
      </w:r>
      <w:r>
        <w:rPr>
          <w:szCs w:val="22"/>
        </w:rPr>
        <w:noBreakHyphen/>
      </w:r>
      <w:r w:rsidRPr="00C734B4">
        <w:rPr>
          <w:szCs w:val="22"/>
        </w:rPr>
        <w:t>20.</w:t>
      </w:r>
    </w:p>
  </w:footnote>
  <w:footnote w:id="10">
    <w:p w14:paraId="4F2F0916" w14:textId="0BCD3CC3" w:rsidR="003F25F8" w:rsidRDefault="003F25F8">
      <w:pPr>
        <w:pStyle w:val="FootnoteText"/>
      </w:pPr>
      <w:r>
        <w:rPr>
          <w:rStyle w:val="FootnoteReference"/>
        </w:rPr>
        <w:footnoteRef/>
      </w:r>
      <w:r>
        <w:t xml:space="preserve">  The UC Santa Barbara and UC Irvine campuses participate in California’s Cap</w:t>
      </w:r>
      <w:r>
        <w:noBreakHyphen/>
        <w:t>and</w:t>
      </w:r>
      <w:r>
        <w:noBreakHyphen/>
        <w:t xml:space="preserve">Trade compliance program pursuant to Assembly Bill (AB) 32 and SB 32.  </w:t>
      </w:r>
    </w:p>
  </w:footnote>
  <w:footnote w:id="11">
    <w:p w14:paraId="4EB42ECF" w14:textId="5BA0B1A5" w:rsidR="003F25F8" w:rsidRDefault="003F25F8">
      <w:pPr>
        <w:pStyle w:val="FootnoteText"/>
      </w:pPr>
      <w:r>
        <w:rPr>
          <w:rStyle w:val="FootnoteReference"/>
        </w:rPr>
        <w:footnoteRef/>
      </w:r>
      <w:r>
        <w:t xml:space="preserve">  Exhibit SCE</w:t>
      </w:r>
      <w:r>
        <w:noBreakHyphen/>
        <w:t>04 at 13.</w:t>
      </w:r>
    </w:p>
  </w:footnote>
  <w:footnote w:id="12">
    <w:p w14:paraId="5DD68064" w14:textId="3ECBF89C" w:rsidR="003F25F8" w:rsidRDefault="003F25F8">
      <w:pPr>
        <w:pStyle w:val="FootnoteText"/>
      </w:pPr>
      <w:r>
        <w:rPr>
          <w:rStyle w:val="FootnoteReference"/>
        </w:rPr>
        <w:footnoteRef/>
      </w:r>
      <w:r>
        <w:t xml:space="preserve">  Exhibit SCE</w:t>
      </w:r>
      <w:r>
        <w:noBreakHyphen/>
        <w:t>05 at 1</w:t>
      </w:r>
      <w:r>
        <w:noBreakHyphen/>
        <w:t>2.</w:t>
      </w:r>
    </w:p>
  </w:footnote>
  <w:footnote w:id="13">
    <w:p w14:paraId="44AAEEA8" w14:textId="320D4134" w:rsidR="003F25F8" w:rsidRDefault="003F25F8">
      <w:pPr>
        <w:pStyle w:val="FootnoteText"/>
      </w:pPr>
      <w:r>
        <w:rPr>
          <w:rStyle w:val="FootnoteReference"/>
        </w:rPr>
        <w:footnoteRef/>
      </w:r>
      <w:r>
        <w:t xml:space="preserve">  Exhibit SCE</w:t>
      </w:r>
      <w:r>
        <w:noBreakHyphen/>
        <w:t xml:space="preserve">05 at 5. </w:t>
      </w:r>
    </w:p>
  </w:footnote>
  <w:footnote w:id="14">
    <w:p w14:paraId="0BF04A2B" w14:textId="418B3B23" w:rsidR="003F25F8" w:rsidRDefault="003F25F8">
      <w:pPr>
        <w:pStyle w:val="FootnoteText"/>
      </w:pPr>
      <w:r>
        <w:rPr>
          <w:rStyle w:val="FootnoteReference"/>
        </w:rPr>
        <w:footnoteRef/>
      </w:r>
      <w:r>
        <w:t xml:space="preserve">  Scope 3 emissions are from sources not owned or directly controlled by an entity but related to its activities, such as emissions from student and staff commuting.</w:t>
      </w:r>
    </w:p>
  </w:footnote>
  <w:footnote w:id="15">
    <w:p w14:paraId="45FD7C0A" w14:textId="15687FFD" w:rsidR="003F25F8" w:rsidRDefault="003F25F8">
      <w:pPr>
        <w:pStyle w:val="FootnoteText"/>
      </w:pPr>
      <w:r>
        <w:rPr>
          <w:rStyle w:val="FootnoteReference"/>
        </w:rPr>
        <w:footnoteRef/>
      </w:r>
      <w:r>
        <w:t xml:space="preserve">  Exhibit SCE</w:t>
      </w:r>
      <w:r>
        <w:noBreakHyphen/>
        <w:t>05 at 6.</w:t>
      </w:r>
    </w:p>
  </w:footnote>
  <w:footnote w:id="16">
    <w:p w14:paraId="0D2B3659" w14:textId="6502D151" w:rsidR="003F25F8" w:rsidRDefault="003F25F8">
      <w:pPr>
        <w:pStyle w:val="FootnoteText"/>
      </w:pPr>
      <w:r>
        <w:rPr>
          <w:rStyle w:val="FootnoteReference"/>
        </w:rPr>
        <w:footnoteRef/>
      </w:r>
      <w:r>
        <w:t xml:space="preserve">  MEAs are a set of contracts from a vendor pool.</w:t>
      </w:r>
    </w:p>
  </w:footnote>
  <w:footnote w:id="17">
    <w:p w14:paraId="36FBCC4C" w14:textId="38250A69" w:rsidR="003F25F8" w:rsidRDefault="003F25F8">
      <w:pPr>
        <w:pStyle w:val="FootnoteText"/>
      </w:pPr>
      <w:r>
        <w:rPr>
          <w:rStyle w:val="FootnoteReference"/>
        </w:rPr>
        <w:footnoteRef/>
      </w:r>
      <w:r>
        <w:t xml:space="preserve">  Exhibit SCE</w:t>
      </w:r>
      <w:r>
        <w:noBreakHyphen/>
        <w:t>05 at 9</w:t>
      </w:r>
      <w:r>
        <w:noBreakHyphen/>
        <w:t>10.</w:t>
      </w:r>
    </w:p>
  </w:footnote>
  <w:footnote w:id="18">
    <w:p w14:paraId="69EAC3A3" w14:textId="000D2CE6" w:rsidR="003F25F8" w:rsidRDefault="003F25F8">
      <w:pPr>
        <w:pStyle w:val="FootnoteText"/>
      </w:pPr>
      <w:r>
        <w:rPr>
          <w:rStyle w:val="FootnoteReference"/>
        </w:rPr>
        <w:footnoteRef/>
      </w:r>
      <w:r>
        <w:t xml:space="preserve">  Exhibit SCE</w:t>
      </w:r>
      <w:r>
        <w:noBreakHyphen/>
        <w:t>05 at 10.</w:t>
      </w:r>
    </w:p>
  </w:footnote>
  <w:footnote w:id="19">
    <w:p w14:paraId="19DF06CC" w14:textId="1480235D" w:rsidR="003F25F8" w:rsidRDefault="003F25F8">
      <w:pPr>
        <w:pStyle w:val="FootnoteText"/>
      </w:pPr>
      <w:r>
        <w:rPr>
          <w:rStyle w:val="FootnoteReference"/>
        </w:rPr>
        <w:footnoteRef/>
      </w:r>
      <w:r>
        <w:t xml:space="preserve">  Exhibit SCE</w:t>
      </w:r>
      <w:r>
        <w:noBreakHyphen/>
        <w:t>05 at 9.</w:t>
      </w:r>
    </w:p>
  </w:footnote>
  <w:footnote w:id="20">
    <w:p w14:paraId="52DE983C" w14:textId="12D955EB" w:rsidR="003F25F8" w:rsidRDefault="003F25F8">
      <w:pPr>
        <w:pStyle w:val="FootnoteText"/>
      </w:pPr>
      <w:r>
        <w:rPr>
          <w:rStyle w:val="FootnoteReference"/>
        </w:rPr>
        <w:footnoteRef/>
      </w:r>
      <w:r>
        <w:t xml:space="preserve">  50% of CSU’s buildings were constructed before 1978, when energy codes were first implemented. </w:t>
      </w:r>
    </w:p>
  </w:footnote>
  <w:footnote w:id="21">
    <w:p w14:paraId="6340F26A" w14:textId="2C78CD7B" w:rsidR="003F25F8" w:rsidRDefault="003F25F8">
      <w:pPr>
        <w:pStyle w:val="FootnoteText"/>
      </w:pPr>
      <w:r>
        <w:rPr>
          <w:rStyle w:val="FootnoteReference"/>
        </w:rPr>
        <w:footnoteRef/>
      </w:r>
      <w:r>
        <w:t xml:space="preserve">  CSU’s systems are approximately 30.6 years old while the average DEER EUL for mechanical and electrical systems is 15.6 years.  Exhibit SCE</w:t>
      </w:r>
      <w:r>
        <w:noBreakHyphen/>
        <w:t xml:space="preserve">05 at 8. </w:t>
      </w:r>
    </w:p>
  </w:footnote>
  <w:footnote w:id="22">
    <w:p w14:paraId="20031AD7" w14:textId="4734C540" w:rsidR="003F25F8" w:rsidRDefault="003F25F8">
      <w:pPr>
        <w:pStyle w:val="FootnoteText"/>
      </w:pPr>
      <w:r>
        <w:rPr>
          <w:rStyle w:val="FootnoteReference"/>
        </w:rPr>
        <w:footnoteRef/>
      </w:r>
      <w:r>
        <w:t xml:space="preserve">  Exhibit SCE</w:t>
      </w:r>
      <w:r>
        <w:noBreakHyphen/>
        <w:t>05 at 13.</w:t>
      </w:r>
    </w:p>
  </w:footnote>
  <w:footnote w:id="23">
    <w:p w14:paraId="3F7AB73A" w14:textId="4E800DB4" w:rsidR="003F25F8" w:rsidRDefault="003F25F8">
      <w:pPr>
        <w:pStyle w:val="FootnoteText"/>
      </w:pPr>
      <w:r>
        <w:rPr>
          <w:rStyle w:val="FootnoteReference"/>
        </w:rPr>
        <w:footnoteRef/>
      </w:r>
      <w:r>
        <w:t xml:space="preserve">  Exhibit SCE</w:t>
      </w:r>
      <w:r>
        <w:noBreakHyphen/>
        <w:t>05 at 5.</w:t>
      </w:r>
    </w:p>
  </w:footnote>
  <w:footnote w:id="24">
    <w:p w14:paraId="2406D0DE" w14:textId="219A89FC" w:rsidR="003F25F8" w:rsidRDefault="003F25F8">
      <w:pPr>
        <w:pStyle w:val="FootnoteText"/>
      </w:pPr>
      <w:r>
        <w:rPr>
          <w:rStyle w:val="FootnoteReference"/>
        </w:rPr>
        <w:footnoteRef/>
      </w:r>
      <w:r>
        <w:t xml:space="preserve">  Exhibit SCE</w:t>
      </w:r>
      <w:r>
        <w:noBreakHyphen/>
        <w:t>05 at 5, 16</w:t>
      </w:r>
      <w:r>
        <w:noBreakHyphen/>
        <w:t>17.</w:t>
      </w:r>
    </w:p>
  </w:footnote>
  <w:footnote w:id="25">
    <w:p w14:paraId="355084EB" w14:textId="40AC48FC" w:rsidR="003F25F8" w:rsidRDefault="003F25F8">
      <w:pPr>
        <w:pStyle w:val="FootnoteText"/>
      </w:pPr>
      <w:r>
        <w:rPr>
          <w:rStyle w:val="FootnoteReference"/>
        </w:rPr>
        <w:footnoteRef/>
      </w:r>
      <w:r>
        <w:t xml:space="preserve">  Exhibit SCE</w:t>
      </w:r>
      <w:r>
        <w:noBreakHyphen/>
        <w:t>05 at 11.</w:t>
      </w:r>
    </w:p>
  </w:footnote>
  <w:footnote w:id="26">
    <w:p w14:paraId="5A94EE34" w14:textId="7857A80F" w:rsidR="003F25F8" w:rsidRPr="00C734B4" w:rsidRDefault="003F25F8" w:rsidP="002C05DA">
      <w:pPr>
        <w:pStyle w:val="FootnoteText"/>
        <w:rPr>
          <w:szCs w:val="22"/>
        </w:rPr>
      </w:pPr>
      <w:r w:rsidRPr="00C734B4">
        <w:rPr>
          <w:rStyle w:val="FootnoteReference"/>
          <w:sz w:val="22"/>
          <w:szCs w:val="22"/>
        </w:rPr>
        <w:footnoteRef/>
      </w:r>
      <w:r w:rsidRPr="00C734B4">
        <w:rPr>
          <w:szCs w:val="22"/>
        </w:rPr>
        <w:t xml:space="preserve">  Exhibit SCE</w:t>
      </w:r>
      <w:r>
        <w:rPr>
          <w:szCs w:val="22"/>
        </w:rPr>
        <w:noBreakHyphen/>
      </w:r>
      <w:r w:rsidRPr="00C734B4">
        <w:rPr>
          <w:szCs w:val="22"/>
        </w:rPr>
        <w:t>01 at 19</w:t>
      </w:r>
      <w:r>
        <w:rPr>
          <w:szCs w:val="22"/>
        </w:rPr>
        <w:noBreakHyphen/>
      </w:r>
      <w:r w:rsidRPr="00C734B4">
        <w:rPr>
          <w:szCs w:val="22"/>
        </w:rPr>
        <w:t>20.</w:t>
      </w:r>
    </w:p>
  </w:footnote>
  <w:footnote w:id="27">
    <w:p w14:paraId="7E6E2B0C" w14:textId="3C04C486" w:rsidR="003F25F8" w:rsidRDefault="003F25F8">
      <w:pPr>
        <w:pStyle w:val="FootnoteText"/>
      </w:pPr>
      <w:r>
        <w:rPr>
          <w:rStyle w:val="FootnoteReference"/>
        </w:rPr>
        <w:footnoteRef/>
      </w:r>
      <w:r>
        <w:t xml:space="preserve">  Exhibit SCE</w:t>
      </w:r>
      <w:r>
        <w:noBreakHyphen/>
        <w:t>05 at 12.</w:t>
      </w:r>
    </w:p>
  </w:footnote>
  <w:footnote w:id="28">
    <w:p w14:paraId="3D809490" w14:textId="37F74FD8" w:rsidR="003F25F8" w:rsidRPr="00447C26" w:rsidRDefault="003F25F8">
      <w:pPr>
        <w:pStyle w:val="FootnoteText"/>
        <w:rPr>
          <w:szCs w:val="22"/>
        </w:rPr>
      </w:pPr>
      <w:r w:rsidRPr="009165FC">
        <w:rPr>
          <w:rStyle w:val="FootnoteReference"/>
          <w:sz w:val="22"/>
          <w:szCs w:val="22"/>
        </w:rPr>
        <w:footnoteRef/>
      </w:r>
      <w:r w:rsidRPr="00447C26">
        <w:rPr>
          <w:szCs w:val="22"/>
        </w:rPr>
        <w:t xml:space="preserve"> </w:t>
      </w:r>
      <w:r>
        <w:rPr>
          <w:szCs w:val="22"/>
        </w:rPr>
        <w:t xml:space="preserve"> </w:t>
      </w:r>
      <w:r w:rsidRPr="00447C26">
        <w:rPr>
          <w:szCs w:val="22"/>
        </w:rPr>
        <w:t>Exhibit SCE</w:t>
      </w:r>
      <w:r>
        <w:rPr>
          <w:szCs w:val="22"/>
        </w:rPr>
        <w:noBreakHyphen/>
        <w:t>0</w:t>
      </w:r>
      <w:r w:rsidRPr="00447C26">
        <w:rPr>
          <w:szCs w:val="22"/>
        </w:rPr>
        <w:t xml:space="preserve">1 at 39. </w:t>
      </w:r>
    </w:p>
  </w:footnote>
  <w:footnote w:id="29">
    <w:p w14:paraId="5D6B0993" w14:textId="2927DDEF" w:rsidR="003F25F8" w:rsidRDefault="003F25F8">
      <w:pPr>
        <w:pStyle w:val="FootnoteText"/>
      </w:pPr>
      <w:r w:rsidRPr="009165FC">
        <w:rPr>
          <w:rStyle w:val="FootnoteReference"/>
          <w:sz w:val="22"/>
          <w:szCs w:val="22"/>
        </w:rPr>
        <w:footnoteRef/>
      </w:r>
      <w:r w:rsidRPr="00447C26">
        <w:rPr>
          <w:szCs w:val="22"/>
        </w:rPr>
        <w:t xml:space="preserve"> </w:t>
      </w:r>
      <w:r>
        <w:rPr>
          <w:szCs w:val="22"/>
        </w:rPr>
        <w:t xml:space="preserve"> </w:t>
      </w:r>
      <w:r w:rsidRPr="00447C26">
        <w:rPr>
          <w:szCs w:val="22"/>
        </w:rPr>
        <w:t>Exhibit SCE</w:t>
      </w:r>
      <w:r>
        <w:rPr>
          <w:szCs w:val="22"/>
        </w:rPr>
        <w:noBreakHyphen/>
        <w:t>0</w:t>
      </w:r>
      <w:r w:rsidRPr="00447C26">
        <w:rPr>
          <w:szCs w:val="22"/>
        </w:rPr>
        <w:t>1 at 39</w:t>
      </w:r>
      <w:r>
        <w:t>.</w:t>
      </w:r>
    </w:p>
  </w:footnote>
  <w:footnote w:id="30">
    <w:p w14:paraId="41862203" w14:textId="23F34ACC" w:rsidR="003F25F8" w:rsidRDefault="003F25F8">
      <w:pPr>
        <w:pStyle w:val="FootnoteText"/>
      </w:pPr>
      <w:r>
        <w:rPr>
          <w:rStyle w:val="FootnoteReference"/>
        </w:rPr>
        <w:footnoteRef/>
      </w:r>
      <w:r>
        <w:t xml:space="preserve">  50% of the performance payment is based on the incremental reduction of GHG emissions from the prior year and 50% of the performance payment is based on persistence of the GHG emissions reductions achieved from the prior year.  Exhibit SCE</w:t>
      </w:r>
      <w:r>
        <w:noBreakHyphen/>
        <w:t>01 at 35</w:t>
      </w:r>
      <w:r>
        <w:noBreakHyphen/>
        <w:t xml:space="preserve">36. </w:t>
      </w:r>
    </w:p>
  </w:footnote>
  <w:footnote w:id="31">
    <w:p w14:paraId="67DAE35C" w14:textId="4789446F" w:rsidR="003F25F8" w:rsidRDefault="003F25F8">
      <w:pPr>
        <w:pStyle w:val="FootnoteText"/>
      </w:pPr>
      <w:r>
        <w:rPr>
          <w:rStyle w:val="FootnoteReference"/>
        </w:rPr>
        <w:footnoteRef/>
      </w:r>
      <w:r>
        <w:t xml:space="preserve">  Exhibit SCE</w:t>
      </w:r>
      <w:r>
        <w:noBreakHyphen/>
        <w:t>01 at 29.</w:t>
      </w:r>
    </w:p>
  </w:footnote>
  <w:footnote w:id="32">
    <w:p w14:paraId="3EB7D18A" w14:textId="7813255F" w:rsidR="003F25F8" w:rsidRDefault="003F25F8">
      <w:pPr>
        <w:pStyle w:val="FootnoteText"/>
      </w:pPr>
      <w:r>
        <w:rPr>
          <w:rStyle w:val="FootnoteReference"/>
        </w:rPr>
        <w:footnoteRef/>
      </w:r>
      <w:r>
        <w:t xml:space="preserve">  Exhibit SCE</w:t>
      </w:r>
      <w:r>
        <w:noBreakHyphen/>
        <w:t>01 at 30.</w:t>
      </w:r>
    </w:p>
  </w:footnote>
  <w:footnote w:id="33">
    <w:p w14:paraId="7155C3A2" w14:textId="118D9F8E" w:rsidR="003F25F8" w:rsidRDefault="003F25F8" w:rsidP="006E0144">
      <w:pPr>
        <w:pStyle w:val="FootnoteText"/>
      </w:pPr>
      <w:r>
        <w:rPr>
          <w:rStyle w:val="FootnoteReference"/>
        </w:rPr>
        <w:footnoteRef/>
      </w:r>
      <w:r>
        <w:t xml:space="preserve">  GHG reductions as a result of electrification are adjusted using the GHG emissions reduction standard outlined in the California Air Resources Board’s Low Carbon Fuel Standard methodology.</w:t>
      </w:r>
    </w:p>
  </w:footnote>
  <w:footnote w:id="34">
    <w:p w14:paraId="023F1930" w14:textId="012ECF99" w:rsidR="003F25F8" w:rsidRDefault="003F25F8" w:rsidP="006E0144">
      <w:pPr>
        <w:pStyle w:val="FootnoteText"/>
      </w:pPr>
      <w:r>
        <w:rPr>
          <w:rStyle w:val="FootnoteReference"/>
        </w:rPr>
        <w:footnoteRef/>
      </w:r>
      <w:r>
        <w:t xml:space="preserve">  Exhibit SCE</w:t>
      </w:r>
      <w:r>
        <w:noBreakHyphen/>
        <w:t>01 at 30.</w:t>
      </w:r>
    </w:p>
  </w:footnote>
  <w:footnote w:id="35">
    <w:p w14:paraId="20834E54" w14:textId="7BDEDF38" w:rsidR="003F25F8" w:rsidRDefault="003F25F8">
      <w:pPr>
        <w:pStyle w:val="FootnoteText"/>
      </w:pPr>
      <w:r>
        <w:rPr>
          <w:rStyle w:val="FootnoteReference"/>
        </w:rPr>
        <w:footnoteRef/>
      </w:r>
      <w:r>
        <w:t xml:space="preserve">  Exhibit SCE</w:t>
      </w:r>
      <w:r>
        <w:noBreakHyphen/>
        <w:t>01 at 32.</w:t>
      </w:r>
    </w:p>
  </w:footnote>
  <w:footnote w:id="36">
    <w:p w14:paraId="6275B745" w14:textId="7941E074" w:rsidR="003F25F8" w:rsidRDefault="003F25F8">
      <w:pPr>
        <w:pStyle w:val="FootnoteText"/>
      </w:pPr>
      <w:r>
        <w:rPr>
          <w:rStyle w:val="FootnoteReference"/>
        </w:rPr>
        <w:footnoteRef/>
      </w:r>
      <w:r>
        <w:t xml:space="preserve">  Exhibit SCE</w:t>
      </w:r>
      <w:r>
        <w:noBreakHyphen/>
        <w:t>01 at 23.</w:t>
      </w:r>
    </w:p>
  </w:footnote>
  <w:footnote w:id="37">
    <w:p w14:paraId="79980310" w14:textId="705529DE" w:rsidR="003F25F8" w:rsidRDefault="003F25F8">
      <w:pPr>
        <w:pStyle w:val="FootnoteText"/>
      </w:pPr>
      <w:r>
        <w:rPr>
          <w:rStyle w:val="FootnoteReference"/>
        </w:rPr>
        <w:footnoteRef/>
      </w:r>
      <w:r>
        <w:t xml:space="preserve">  Exhibit SCE</w:t>
      </w:r>
      <w:r>
        <w:noBreakHyphen/>
        <w:t>01 at 23.</w:t>
      </w:r>
    </w:p>
  </w:footnote>
  <w:footnote w:id="38">
    <w:p w14:paraId="6C1C188A" w14:textId="35482307" w:rsidR="003F25F8" w:rsidRDefault="003F25F8">
      <w:pPr>
        <w:pStyle w:val="FootnoteText"/>
      </w:pPr>
      <w:r>
        <w:rPr>
          <w:rStyle w:val="FootnoteReference"/>
        </w:rPr>
        <w:footnoteRef/>
      </w:r>
      <w:r>
        <w:t xml:space="preserve">  Exhibit SCE</w:t>
      </w:r>
      <w:r>
        <w:noBreakHyphen/>
        <w:t>01 at 48</w:t>
      </w:r>
      <w:r>
        <w:noBreakHyphen/>
        <w:t>49.</w:t>
      </w:r>
    </w:p>
  </w:footnote>
  <w:footnote w:id="39">
    <w:p w14:paraId="3ACB9F54" w14:textId="2FC45872" w:rsidR="003F25F8" w:rsidRDefault="003F25F8">
      <w:pPr>
        <w:pStyle w:val="FootnoteText"/>
      </w:pPr>
      <w:r>
        <w:rPr>
          <w:rStyle w:val="FootnoteReference"/>
        </w:rPr>
        <w:footnoteRef/>
      </w:r>
      <w:r>
        <w:t xml:space="preserve">  Exhibit SCE</w:t>
      </w:r>
      <w:r>
        <w:noBreakHyphen/>
        <w:t>01 at 33.</w:t>
      </w:r>
    </w:p>
  </w:footnote>
  <w:footnote w:id="40">
    <w:p w14:paraId="0F595B2E" w14:textId="1FE65323" w:rsidR="003F25F8" w:rsidRDefault="003F25F8">
      <w:pPr>
        <w:pStyle w:val="FootnoteText"/>
      </w:pPr>
      <w:r>
        <w:rPr>
          <w:rStyle w:val="FootnoteReference"/>
        </w:rPr>
        <w:footnoteRef/>
      </w:r>
      <w:r>
        <w:t xml:space="preserve">  Exhibit SCE</w:t>
      </w:r>
      <w:r>
        <w:noBreakHyphen/>
        <w:t>01 at 51</w:t>
      </w:r>
      <w:r>
        <w:noBreakHyphen/>
        <w:t>53.</w:t>
      </w:r>
    </w:p>
  </w:footnote>
  <w:footnote w:id="41">
    <w:p w14:paraId="530C5B65" w14:textId="77777777" w:rsidR="003F25F8" w:rsidRPr="00A16BF8" w:rsidRDefault="003F25F8" w:rsidP="00564C38">
      <w:pPr>
        <w:pStyle w:val="FootnoteText"/>
        <w:rPr>
          <w:szCs w:val="22"/>
        </w:rPr>
      </w:pPr>
      <w:r w:rsidRPr="00A16BF8">
        <w:rPr>
          <w:rStyle w:val="FootnoteReference"/>
          <w:sz w:val="22"/>
          <w:szCs w:val="22"/>
        </w:rPr>
        <w:footnoteRef/>
      </w:r>
      <w:r w:rsidRPr="00A16BF8">
        <w:rPr>
          <w:szCs w:val="22"/>
        </w:rPr>
        <w:t xml:space="preserve">  The Office of Ratepayer Advocates was renamed The Public Advocates Office of the Public Utilities Commission pursuant to Senate Bill 854, which the Governor approved on June 27, 2018.</w:t>
      </w:r>
    </w:p>
  </w:footnote>
  <w:footnote w:id="42">
    <w:p w14:paraId="1C1B20E3" w14:textId="77777777" w:rsidR="003F25F8" w:rsidRPr="00A16BF8" w:rsidRDefault="003F25F8" w:rsidP="00564C38">
      <w:pPr>
        <w:pStyle w:val="FootnoteText"/>
        <w:rPr>
          <w:szCs w:val="22"/>
        </w:rPr>
      </w:pPr>
      <w:r w:rsidRPr="00A16BF8">
        <w:rPr>
          <w:rStyle w:val="FootnoteReference"/>
          <w:sz w:val="22"/>
          <w:szCs w:val="22"/>
        </w:rPr>
        <w:footnoteRef/>
      </w:r>
      <w:r w:rsidRPr="00A16BF8">
        <w:rPr>
          <w:szCs w:val="22"/>
        </w:rPr>
        <w:t xml:space="preserve">  Motion for Approval of Settlement Agreement Between and Among SCE and the Public Advocates Office, NRDC, UC and CSU (Settlement Motion).</w:t>
      </w:r>
    </w:p>
  </w:footnote>
  <w:footnote w:id="43">
    <w:p w14:paraId="7679E72D" w14:textId="302661DB" w:rsidR="003F25F8" w:rsidRDefault="003F25F8">
      <w:pPr>
        <w:pStyle w:val="FootnoteText"/>
      </w:pPr>
      <w:r>
        <w:rPr>
          <w:rStyle w:val="FootnoteReference"/>
        </w:rPr>
        <w:footnoteRef/>
      </w:r>
      <w:r>
        <w:t xml:space="preserve">  Pub. Util.  Code </w:t>
      </w:r>
      <w:r>
        <w:rPr>
          <w:rFonts w:ascii="Book Antiqua" w:hAnsi="Book Antiqua"/>
        </w:rPr>
        <w:t>§</w:t>
      </w:r>
      <w:r>
        <w:t xml:space="preserve"> 748.5(c).</w:t>
      </w:r>
    </w:p>
  </w:footnote>
  <w:footnote w:id="44">
    <w:p w14:paraId="1795AC33" w14:textId="1D113113" w:rsidR="003F25F8" w:rsidRDefault="003F25F8" w:rsidP="0049664C">
      <w:pPr>
        <w:pStyle w:val="FootnoteText"/>
      </w:pPr>
      <w:r>
        <w:rPr>
          <w:rStyle w:val="FootnoteReference"/>
        </w:rPr>
        <w:footnoteRef/>
      </w:r>
      <w:r>
        <w:t xml:space="preserve">  SB 92 </w:t>
      </w:r>
      <w:r>
        <w:rPr>
          <w:rFonts w:ascii="Book Antiqua" w:hAnsi="Book Antiqua"/>
        </w:rPr>
        <w:t>§</w:t>
      </w:r>
      <w:r>
        <w:t xml:space="preserve"> 83(c).</w:t>
      </w:r>
    </w:p>
  </w:footnote>
  <w:footnote w:id="45">
    <w:p w14:paraId="66163B3B" w14:textId="4B84CCD3" w:rsidR="003F25F8" w:rsidRDefault="003F25F8">
      <w:pPr>
        <w:pStyle w:val="FootnoteText"/>
      </w:pPr>
      <w:r>
        <w:rPr>
          <w:rStyle w:val="FootnoteReference"/>
        </w:rPr>
        <w:footnoteRef/>
      </w:r>
      <w:r>
        <w:t xml:space="preserve">  D.18</w:t>
      </w:r>
      <w:r>
        <w:noBreakHyphen/>
        <w:t>06</w:t>
      </w:r>
      <w:r>
        <w:noBreakHyphen/>
        <w:t>027.</w:t>
      </w:r>
    </w:p>
  </w:footnote>
  <w:footnote w:id="46">
    <w:p w14:paraId="57C96D38" w14:textId="261D7E0A" w:rsidR="003F25F8" w:rsidRPr="00087847" w:rsidRDefault="003F25F8" w:rsidP="00564C38">
      <w:pPr>
        <w:pStyle w:val="FootnoteText"/>
        <w:rPr>
          <w:szCs w:val="22"/>
        </w:rPr>
      </w:pPr>
      <w:r w:rsidRPr="00087847">
        <w:rPr>
          <w:rStyle w:val="FootnoteReference"/>
          <w:sz w:val="22"/>
          <w:szCs w:val="22"/>
        </w:rPr>
        <w:footnoteRef/>
      </w:r>
      <w:r w:rsidRPr="00087847">
        <w:rPr>
          <w:szCs w:val="22"/>
        </w:rPr>
        <w:t xml:space="preserve">  D.14</w:t>
      </w:r>
      <w:r>
        <w:rPr>
          <w:szCs w:val="22"/>
        </w:rPr>
        <w:noBreakHyphen/>
      </w:r>
      <w:r w:rsidRPr="00087847">
        <w:rPr>
          <w:szCs w:val="22"/>
        </w:rPr>
        <w:t>10</w:t>
      </w:r>
      <w:r>
        <w:rPr>
          <w:szCs w:val="22"/>
        </w:rPr>
        <w:noBreakHyphen/>
      </w:r>
      <w:r w:rsidRPr="00087847">
        <w:rPr>
          <w:szCs w:val="22"/>
        </w:rPr>
        <w:t>033 at 27</w:t>
      </w:r>
      <w:r>
        <w:rPr>
          <w:szCs w:val="22"/>
        </w:rPr>
        <w:noBreakHyphen/>
      </w:r>
      <w:r w:rsidRPr="00087847">
        <w:rPr>
          <w:szCs w:val="22"/>
        </w:rPr>
        <w:t>28.</w:t>
      </w:r>
    </w:p>
  </w:footnote>
  <w:footnote w:id="47">
    <w:p w14:paraId="656FE57E" w14:textId="42F33693" w:rsidR="003F25F8" w:rsidRPr="00087847" w:rsidRDefault="003F25F8" w:rsidP="00564C38">
      <w:pPr>
        <w:pStyle w:val="FootnoteText"/>
        <w:rPr>
          <w:szCs w:val="22"/>
        </w:rPr>
      </w:pPr>
      <w:r w:rsidRPr="00087847">
        <w:rPr>
          <w:rStyle w:val="FootnoteReference"/>
          <w:sz w:val="22"/>
          <w:szCs w:val="22"/>
        </w:rPr>
        <w:footnoteRef/>
      </w:r>
      <w:r w:rsidRPr="00087847">
        <w:rPr>
          <w:szCs w:val="22"/>
        </w:rPr>
        <w:t xml:space="preserve">  Exhibit SCE</w:t>
      </w:r>
      <w:r>
        <w:rPr>
          <w:szCs w:val="22"/>
        </w:rPr>
        <w:noBreakHyphen/>
      </w:r>
      <w:r w:rsidRPr="00087847">
        <w:rPr>
          <w:szCs w:val="22"/>
        </w:rPr>
        <w:t>01 at 14.</w:t>
      </w:r>
    </w:p>
  </w:footnote>
  <w:footnote w:id="48">
    <w:p w14:paraId="35D23189" w14:textId="34D4B76A" w:rsidR="003F25F8" w:rsidRDefault="003F25F8">
      <w:pPr>
        <w:pStyle w:val="FootnoteText"/>
      </w:pPr>
      <w:r>
        <w:rPr>
          <w:rStyle w:val="FootnoteReference"/>
        </w:rPr>
        <w:footnoteRef/>
      </w:r>
      <w:r>
        <w:t xml:space="preserve">  D.18</w:t>
      </w:r>
      <w:r>
        <w:noBreakHyphen/>
        <w:t>06</w:t>
      </w:r>
      <w:r>
        <w:noBreakHyphen/>
        <w:t>027.</w:t>
      </w:r>
    </w:p>
  </w:footnote>
  <w:footnote w:id="49">
    <w:p w14:paraId="53C224D1" w14:textId="5F8D2D3B" w:rsidR="003F25F8" w:rsidRDefault="003F25F8">
      <w:pPr>
        <w:pStyle w:val="FootnoteText"/>
      </w:pPr>
      <w:r>
        <w:rPr>
          <w:rStyle w:val="FootnoteReference"/>
        </w:rPr>
        <w:footnoteRef/>
      </w:r>
      <w:r>
        <w:t xml:space="preserve">  </w:t>
      </w:r>
      <w:r w:rsidRPr="00356BD1">
        <w:rPr>
          <w:i/>
        </w:rPr>
        <w:t>Id</w:t>
      </w:r>
      <w:r>
        <w:t>. at A</w:t>
      </w:r>
      <w:r>
        <w:noBreakHyphen/>
        <w:t>5 to A</w:t>
      </w:r>
      <w:r>
        <w:noBreakHyphen/>
        <w:t>6.</w:t>
      </w:r>
    </w:p>
  </w:footnote>
  <w:footnote w:id="50">
    <w:p w14:paraId="4A1C34E4" w14:textId="77777777" w:rsidR="003F25F8" w:rsidRPr="00087847" w:rsidRDefault="003F25F8" w:rsidP="00564C38">
      <w:pPr>
        <w:pStyle w:val="FootnoteText"/>
        <w:rPr>
          <w:szCs w:val="22"/>
        </w:rPr>
      </w:pPr>
      <w:r w:rsidRPr="00087847">
        <w:rPr>
          <w:rStyle w:val="FootnoteReference"/>
          <w:sz w:val="22"/>
          <w:szCs w:val="22"/>
        </w:rPr>
        <w:footnoteRef/>
      </w:r>
      <w:r w:rsidRPr="00087847">
        <w:rPr>
          <w:szCs w:val="22"/>
        </w:rPr>
        <w:t xml:space="preserve">  Under the proposed settlement agreement, the total CEOP budget is reduced from $21.4 million to $20.4 million.</w:t>
      </w:r>
    </w:p>
  </w:footnote>
  <w:footnote w:id="51">
    <w:p w14:paraId="3725FE3F" w14:textId="77777777" w:rsidR="003F25F8" w:rsidRPr="00087847" w:rsidRDefault="003F25F8" w:rsidP="00564C38">
      <w:pPr>
        <w:pStyle w:val="FootnoteText"/>
        <w:rPr>
          <w:szCs w:val="22"/>
        </w:rPr>
      </w:pPr>
      <w:r w:rsidRPr="00087847">
        <w:rPr>
          <w:rStyle w:val="FootnoteReference"/>
          <w:sz w:val="22"/>
          <w:szCs w:val="22"/>
        </w:rPr>
        <w:footnoteRef/>
      </w:r>
      <w:r w:rsidRPr="00087847">
        <w:rPr>
          <w:szCs w:val="22"/>
        </w:rPr>
        <w:t xml:space="preserve">  Settlement Motion at 9.</w:t>
      </w:r>
    </w:p>
  </w:footnote>
  <w:footnote w:id="52">
    <w:p w14:paraId="7D5651BC" w14:textId="3F2BBDD7" w:rsidR="003F25F8" w:rsidRPr="00087847" w:rsidRDefault="003F25F8" w:rsidP="003105C6">
      <w:pPr>
        <w:pStyle w:val="FootnoteText"/>
        <w:rPr>
          <w:szCs w:val="22"/>
        </w:rPr>
      </w:pPr>
      <w:r w:rsidRPr="00087847">
        <w:rPr>
          <w:rStyle w:val="FootnoteReference"/>
          <w:sz w:val="22"/>
          <w:szCs w:val="22"/>
        </w:rPr>
        <w:footnoteRef/>
      </w:r>
      <w:r w:rsidRPr="00087847">
        <w:rPr>
          <w:szCs w:val="22"/>
        </w:rPr>
        <w:t xml:space="preserve">  D.18</w:t>
      </w:r>
      <w:r>
        <w:rPr>
          <w:szCs w:val="22"/>
        </w:rPr>
        <w:noBreakHyphen/>
      </w:r>
      <w:r w:rsidRPr="00087847">
        <w:rPr>
          <w:szCs w:val="22"/>
        </w:rPr>
        <w:t>06</w:t>
      </w:r>
      <w:r>
        <w:rPr>
          <w:szCs w:val="22"/>
        </w:rPr>
        <w:noBreakHyphen/>
      </w:r>
      <w:r w:rsidRPr="00087847">
        <w:rPr>
          <w:szCs w:val="22"/>
        </w:rPr>
        <w:t>027</w:t>
      </w:r>
      <w:r w:rsidRPr="00B30406">
        <w:rPr>
          <w:szCs w:val="22"/>
        </w:rPr>
        <w:t xml:space="preserve"> </w:t>
      </w:r>
      <w:r>
        <w:rPr>
          <w:szCs w:val="22"/>
        </w:rPr>
        <w:t>[</w:t>
      </w:r>
      <w:r w:rsidRPr="00B30406">
        <w:rPr>
          <w:szCs w:val="22"/>
        </w:rPr>
        <w:t>r</w:t>
      </w:r>
      <w:r>
        <w:rPr>
          <w:szCs w:val="22"/>
        </w:rPr>
        <w:t>]</w:t>
      </w:r>
      <w:r w:rsidRPr="00B30406">
        <w:rPr>
          <w:szCs w:val="22"/>
        </w:rPr>
        <w:t>equire</w:t>
      </w:r>
      <w:r>
        <w:rPr>
          <w:szCs w:val="22"/>
        </w:rPr>
        <w:t>[s] that the DAC</w:t>
      </w:r>
      <w:r>
        <w:rPr>
          <w:szCs w:val="22"/>
        </w:rPr>
        <w:noBreakHyphen/>
        <w:t xml:space="preserve">GT and CSGT </w:t>
      </w:r>
      <w:r w:rsidRPr="00B30406">
        <w:rPr>
          <w:szCs w:val="22"/>
        </w:rPr>
        <w:t>program</w:t>
      </w:r>
      <w:r>
        <w:rPr>
          <w:szCs w:val="22"/>
        </w:rPr>
        <w:t>s</w:t>
      </w:r>
      <w:r w:rsidRPr="00B30406">
        <w:rPr>
          <w:szCs w:val="22"/>
        </w:rPr>
        <w:t xml:space="preserve"> first to be funded through available GHG allowance proceeds.  If such funds ar</w:t>
      </w:r>
      <w:r>
        <w:rPr>
          <w:szCs w:val="22"/>
        </w:rPr>
        <w:t>e exhausted, the DAC</w:t>
      </w:r>
      <w:r>
        <w:rPr>
          <w:szCs w:val="22"/>
        </w:rPr>
        <w:noBreakHyphen/>
        <w:t>GT and CSGT</w:t>
      </w:r>
      <w:r w:rsidRPr="00B30406">
        <w:rPr>
          <w:szCs w:val="22"/>
        </w:rPr>
        <w:t xml:space="preserve"> program</w:t>
      </w:r>
      <w:r>
        <w:rPr>
          <w:szCs w:val="22"/>
        </w:rPr>
        <w:t>s</w:t>
      </w:r>
      <w:r w:rsidRPr="00B30406">
        <w:rPr>
          <w:szCs w:val="22"/>
        </w:rPr>
        <w:t xml:space="preserve"> should be funded throug</w:t>
      </w:r>
      <w:r>
        <w:rPr>
          <w:szCs w:val="22"/>
        </w:rPr>
        <w:t>h public purpose program funds.</w:t>
      </w:r>
      <w:r w:rsidRPr="00B30406">
        <w:rPr>
          <w:szCs w:val="22"/>
        </w:rPr>
        <w:t xml:space="preserve">  </w:t>
      </w:r>
      <w:r>
        <w:rPr>
          <w:szCs w:val="22"/>
        </w:rPr>
        <w:t>(D.18</w:t>
      </w:r>
      <w:r>
        <w:rPr>
          <w:szCs w:val="22"/>
        </w:rPr>
        <w:noBreakHyphen/>
        <w:t>06</w:t>
      </w:r>
      <w:r>
        <w:rPr>
          <w:szCs w:val="22"/>
        </w:rPr>
        <w:noBreakHyphen/>
        <w:t xml:space="preserve">027 at 54, 85.)  </w:t>
      </w:r>
    </w:p>
  </w:footnote>
  <w:footnote w:id="53">
    <w:p w14:paraId="100A943D" w14:textId="460D1476" w:rsidR="003F25F8" w:rsidRDefault="003F25F8" w:rsidP="00A76BDB">
      <w:pPr>
        <w:pStyle w:val="FootnoteText"/>
      </w:pPr>
      <w:r>
        <w:rPr>
          <w:rStyle w:val="FootnoteReference"/>
        </w:rPr>
        <w:footnoteRef/>
      </w:r>
      <w:r>
        <w:t xml:space="preserve">  D.18</w:t>
      </w:r>
      <w:r>
        <w:noBreakHyphen/>
        <w:t>06</w:t>
      </w:r>
      <w:r>
        <w:noBreakHyphen/>
        <w:t>027 requires, consistent with the DAC</w:t>
      </w:r>
      <w:r>
        <w:noBreakHyphen/>
        <w:t>GT and CSGT funding sources, SCE to file Tier 2 advice letters to create two</w:t>
      </w:r>
      <w:r>
        <w:noBreakHyphen/>
        <w:t>way DAC</w:t>
      </w:r>
      <w:r>
        <w:noBreakHyphen/>
        <w:t>GT and CSGT balancing accounts to track all costs related to implementation and operation of the DAC</w:t>
      </w:r>
      <w:r>
        <w:noBreakHyphen/>
        <w:t>GT and the CSGT programs.  The balancing accounts are reviewed in SCE’s annual ERRA proceedings.</w:t>
      </w:r>
    </w:p>
  </w:footnote>
  <w:footnote w:id="54">
    <w:p w14:paraId="04967B4C" w14:textId="7382A817" w:rsidR="003F25F8" w:rsidRDefault="003F25F8">
      <w:pPr>
        <w:pStyle w:val="FootnoteText"/>
      </w:pPr>
      <w:r>
        <w:rPr>
          <w:rStyle w:val="FootnoteReference"/>
        </w:rPr>
        <w:footnoteRef/>
      </w:r>
      <w:r>
        <w:t xml:space="preserve">  D.12</w:t>
      </w:r>
      <w:r>
        <w:noBreakHyphen/>
        <w:t>12</w:t>
      </w:r>
      <w:r>
        <w:noBreakHyphen/>
        <w:t>033 at 94</w:t>
      </w:r>
      <w:r>
        <w:noBreakHyphen/>
        <w:t>96.</w:t>
      </w:r>
    </w:p>
  </w:footnote>
  <w:footnote w:id="55">
    <w:p w14:paraId="421D10A5" w14:textId="3ECB23C7" w:rsidR="003F25F8" w:rsidRDefault="003F25F8">
      <w:pPr>
        <w:pStyle w:val="FootnoteText"/>
      </w:pPr>
      <w:r>
        <w:rPr>
          <w:rStyle w:val="FootnoteReference"/>
        </w:rPr>
        <w:footnoteRef/>
      </w:r>
      <w:r>
        <w:t xml:space="preserve">  D.12</w:t>
      </w:r>
      <w:r>
        <w:noBreakHyphen/>
        <w:t>12</w:t>
      </w:r>
      <w:r>
        <w:noBreakHyphen/>
        <w:t>033 at 135.</w:t>
      </w:r>
    </w:p>
  </w:footnote>
  <w:footnote w:id="56">
    <w:p w14:paraId="4797948C" w14:textId="7FEA0B05" w:rsidR="003F25F8" w:rsidRPr="00686D78" w:rsidRDefault="003F25F8" w:rsidP="00686D78">
      <w:pPr>
        <w:pStyle w:val="FootnoteText"/>
        <w:rPr>
          <w:szCs w:val="22"/>
        </w:rPr>
      </w:pPr>
      <w:r w:rsidRPr="00686D78">
        <w:rPr>
          <w:rStyle w:val="FootnoteReference"/>
          <w:sz w:val="22"/>
          <w:szCs w:val="22"/>
        </w:rPr>
        <w:footnoteRef/>
      </w:r>
      <w:r w:rsidRPr="00686D78">
        <w:rPr>
          <w:szCs w:val="22"/>
        </w:rPr>
        <w:t xml:space="preserve">  D.14</w:t>
      </w:r>
      <w:r>
        <w:rPr>
          <w:szCs w:val="22"/>
        </w:rPr>
        <w:noBreakHyphen/>
      </w:r>
      <w:r w:rsidRPr="00686D78">
        <w:rPr>
          <w:szCs w:val="22"/>
        </w:rPr>
        <w:t>10</w:t>
      </w:r>
      <w:r>
        <w:rPr>
          <w:szCs w:val="22"/>
        </w:rPr>
        <w:noBreakHyphen/>
      </w:r>
      <w:r w:rsidRPr="00686D78">
        <w:rPr>
          <w:szCs w:val="22"/>
        </w:rPr>
        <w:t>033 at 26</w:t>
      </w:r>
      <w:r>
        <w:rPr>
          <w:szCs w:val="22"/>
        </w:rPr>
        <w:noBreakHyphen/>
      </w:r>
      <w:r w:rsidRPr="00686D78">
        <w:rPr>
          <w:szCs w:val="22"/>
        </w:rPr>
        <w:t>28.</w:t>
      </w:r>
    </w:p>
  </w:footnote>
  <w:footnote w:id="57">
    <w:p w14:paraId="1D2A9AA6" w14:textId="77777777" w:rsidR="003F25F8" w:rsidRPr="00686D78" w:rsidRDefault="003F25F8" w:rsidP="007C1522">
      <w:pPr>
        <w:pStyle w:val="FootnoteText"/>
        <w:rPr>
          <w:szCs w:val="22"/>
        </w:rPr>
      </w:pPr>
      <w:r w:rsidRPr="00686D78">
        <w:rPr>
          <w:rStyle w:val="FootnoteReference"/>
          <w:sz w:val="22"/>
          <w:szCs w:val="22"/>
        </w:rPr>
        <w:footnoteRef/>
      </w:r>
      <w:r w:rsidRPr="00686D78">
        <w:rPr>
          <w:szCs w:val="22"/>
        </w:rPr>
        <w:t xml:space="preserve">  Application at 2.</w:t>
      </w:r>
    </w:p>
  </w:footnote>
  <w:footnote w:id="58">
    <w:p w14:paraId="067B9957" w14:textId="3D3A3A6A" w:rsidR="003F25F8" w:rsidRPr="00686D78" w:rsidRDefault="003F25F8" w:rsidP="007C1522">
      <w:pPr>
        <w:pStyle w:val="FootnoteText"/>
        <w:rPr>
          <w:szCs w:val="22"/>
        </w:rPr>
      </w:pPr>
      <w:r w:rsidRPr="00686D78">
        <w:rPr>
          <w:rStyle w:val="FootnoteReference"/>
          <w:sz w:val="22"/>
          <w:szCs w:val="22"/>
        </w:rPr>
        <w:footnoteRef/>
      </w:r>
      <w:r>
        <w:rPr>
          <w:szCs w:val="22"/>
        </w:rPr>
        <w:t xml:space="preserve">  Application at 9. </w:t>
      </w:r>
      <w:r w:rsidRPr="00686D78">
        <w:rPr>
          <w:szCs w:val="22"/>
        </w:rPr>
        <w:t xml:space="preserve"> (“Any under</w:t>
      </w:r>
      <w:r>
        <w:rPr>
          <w:szCs w:val="22"/>
        </w:rPr>
        <w:noBreakHyphen/>
      </w:r>
      <w:r w:rsidRPr="00686D78">
        <w:rPr>
          <w:szCs w:val="22"/>
        </w:rPr>
        <w:t>collection or over</w:t>
      </w:r>
      <w:r>
        <w:rPr>
          <w:szCs w:val="22"/>
        </w:rPr>
        <w:noBreakHyphen/>
      </w:r>
      <w:r w:rsidRPr="00686D78">
        <w:rPr>
          <w:szCs w:val="22"/>
        </w:rPr>
        <w:t xml:space="preserve">collection recorded in any month should be carried over the duration of the CEOP program with the total spend not to exceed </w:t>
      </w:r>
      <w:r>
        <w:rPr>
          <w:szCs w:val="22"/>
        </w:rPr>
        <w:t>21.4 </w:t>
      </w:r>
      <w:r w:rsidRPr="00686D78">
        <w:rPr>
          <w:szCs w:val="22"/>
        </w:rPr>
        <w:t>million.”)</w:t>
      </w:r>
    </w:p>
  </w:footnote>
  <w:footnote w:id="59">
    <w:p w14:paraId="4EB65993" w14:textId="77777777" w:rsidR="003F25F8" w:rsidRPr="00686D78" w:rsidRDefault="003F25F8" w:rsidP="007C1522">
      <w:pPr>
        <w:pStyle w:val="FootnoteText"/>
        <w:rPr>
          <w:szCs w:val="22"/>
        </w:rPr>
      </w:pPr>
      <w:r w:rsidRPr="00686D78">
        <w:rPr>
          <w:rStyle w:val="FootnoteReference"/>
          <w:sz w:val="22"/>
          <w:szCs w:val="22"/>
        </w:rPr>
        <w:footnoteRef/>
      </w:r>
      <w:r w:rsidRPr="00686D78">
        <w:rPr>
          <w:szCs w:val="22"/>
        </w:rPr>
        <w:t xml:space="preserve">  Application at 5.</w:t>
      </w:r>
    </w:p>
  </w:footnote>
  <w:footnote w:id="60">
    <w:p w14:paraId="594645B5" w14:textId="57BE63F9" w:rsidR="003F25F8" w:rsidRPr="00C734B4" w:rsidRDefault="003F25F8" w:rsidP="007C1522">
      <w:pPr>
        <w:pStyle w:val="FootnoteText"/>
        <w:rPr>
          <w:szCs w:val="22"/>
        </w:rPr>
      </w:pPr>
      <w:r w:rsidRPr="00C734B4">
        <w:rPr>
          <w:rStyle w:val="FootnoteReference"/>
          <w:sz w:val="22"/>
          <w:szCs w:val="22"/>
        </w:rPr>
        <w:footnoteRef/>
      </w:r>
      <w:r w:rsidRPr="00C734B4">
        <w:rPr>
          <w:szCs w:val="22"/>
        </w:rPr>
        <w:t xml:space="preserve">  Exhibit SCE</w:t>
      </w:r>
      <w:r>
        <w:rPr>
          <w:szCs w:val="22"/>
        </w:rPr>
        <w:noBreakHyphen/>
      </w:r>
      <w:r w:rsidRPr="00C734B4">
        <w:rPr>
          <w:szCs w:val="22"/>
        </w:rPr>
        <w:t>01 at 19</w:t>
      </w:r>
      <w:r>
        <w:rPr>
          <w:szCs w:val="22"/>
        </w:rPr>
        <w:noBreakHyphen/>
      </w:r>
      <w:r w:rsidRPr="00C734B4">
        <w:rPr>
          <w:szCs w:val="22"/>
        </w:rPr>
        <w:t>20.</w:t>
      </w:r>
    </w:p>
  </w:footnote>
  <w:footnote w:id="61">
    <w:p w14:paraId="07A58118" w14:textId="5F94691E" w:rsidR="003F25F8" w:rsidRPr="004F14D0" w:rsidRDefault="003F25F8" w:rsidP="00564C38">
      <w:pPr>
        <w:pStyle w:val="FootnoteText"/>
        <w:rPr>
          <w:szCs w:val="22"/>
        </w:rPr>
      </w:pPr>
      <w:r>
        <w:rPr>
          <w:rStyle w:val="FootnoteReference"/>
        </w:rPr>
        <w:footnoteRef/>
      </w:r>
      <w:r>
        <w:t xml:space="preserve">  </w:t>
      </w:r>
      <w:r w:rsidRPr="004F14D0">
        <w:rPr>
          <w:szCs w:val="22"/>
        </w:rPr>
        <w:t>AB 32 § 38501(a).</w:t>
      </w:r>
    </w:p>
  </w:footnote>
  <w:footnote w:id="62">
    <w:p w14:paraId="73562BBD" w14:textId="77777777" w:rsidR="003F25F8" w:rsidRDefault="003F25F8" w:rsidP="00564C38">
      <w:pPr>
        <w:pStyle w:val="FootnoteText"/>
      </w:pPr>
      <w:r>
        <w:rPr>
          <w:rStyle w:val="FootnoteReference"/>
        </w:rPr>
        <w:footnoteRef/>
      </w:r>
      <w:r>
        <w:t xml:space="preserve">  Motion for Approval of Settlement Agreement Between and Among SCE and the Public Advocates Office, NRDC, UC and CSU (Motion for Settlement).</w:t>
      </w:r>
    </w:p>
  </w:footnote>
  <w:footnote w:id="63">
    <w:p w14:paraId="4BD8F070" w14:textId="6AAFD790" w:rsidR="003F25F8" w:rsidRPr="00D12276" w:rsidRDefault="003F25F8" w:rsidP="00564C38">
      <w:pPr>
        <w:pStyle w:val="FootnoteText"/>
        <w:rPr>
          <w:szCs w:val="22"/>
        </w:rPr>
      </w:pPr>
      <w:r w:rsidRPr="00D12276">
        <w:rPr>
          <w:rStyle w:val="FootnoteReference"/>
          <w:sz w:val="22"/>
          <w:szCs w:val="22"/>
        </w:rPr>
        <w:footnoteRef/>
      </w:r>
      <w:r w:rsidRPr="00D12276">
        <w:rPr>
          <w:szCs w:val="22"/>
        </w:rPr>
        <w:t xml:space="preserve">  Pub. Util. Code </w:t>
      </w:r>
      <w:r w:rsidRPr="00D12276">
        <w:rPr>
          <w:rFonts w:ascii="Book Antiqua" w:hAnsi="Book Antiqua"/>
          <w:szCs w:val="22"/>
        </w:rPr>
        <w:t>§</w:t>
      </w:r>
      <w:r w:rsidRPr="00D12276">
        <w:rPr>
          <w:szCs w:val="22"/>
        </w:rPr>
        <w:t xml:space="preserve"> 74</w:t>
      </w:r>
      <w:r>
        <w:rPr>
          <w:szCs w:val="22"/>
        </w:rPr>
        <w:t>8.</w:t>
      </w:r>
      <w:r w:rsidRPr="00D12276">
        <w:rPr>
          <w:szCs w:val="22"/>
        </w:rPr>
        <w:t>5(c).</w:t>
      </w:r>
    </w:p>
  </w:footnote>
  <w:footnote w:id="64">
    <w:p w14:paraId="5C8CDF6A" w14:textId="77777777" w:rsidR="003F25F8" w:rsidRPr="00D12276" w:rsidRDefault="003F25F8" w:rsidP="00564C38">
      <w:pPr>
        <w:pStyle w:val="FootnoteText"/>
        <w:rPr>
          <w:szCs w:val="22"/>
        </w:rPr>
      </w:pPr>
      <w:r w:rsidRPr="00D12276">
        <w:rPr>
          <w:rStyle w:val="FootnoteReference"/>
          <w:sz w:val="22"/>
          <w:szCs w:val="22"/>
        </w:rPr>
        <w:footnoteRef/>
      </w:r>
      <w:r w:rsidRPr="00D12276">
        <w:rPr>
          <w:szCs w:val="22"/>
        </w:rPr>
        <w:t xml:space="preserve">  </w:t>
      </w:r>
      <w:r w:rsidRPr="00D12276">
        <w:rPr>
          <w:i/>
          <w:szCs w:val="22"/>
        </w:rPr>
        <w:t>See</w:t>
      </w:r>
      <w:r w:rsidRPr="00D12276">
        <w:rPr>
          <w:szCs w:val="22"/>
        </w:rPr>
        <w:t xml:space="preserve"> Application of SCE for Approval of its Clean Energy Optimization Pilot (Application) at 8.</w:t>
      </w:r>
    </w:p>
  </w:footnote>
  <w:footnote w:id="65">
    <w:p w14:paraId="2363C079" w14:textId="7BACE012" w:rsidR="003F25F8" w:rsidRPr="002A3189" w:rsidRDefault="003F25F8" w:rsidP="00564C38">
      <w:pPr>
        <w:pStyle w:val="FootnoteText"/>
        <w:rPr>
          <w:szCs w:val="22"/>
        </w:rPr>
      </w:pPr>
      <w:r w:rsidRPr="002A3189">
        <w:rPr>
          <w:rStyle w:val="FootnoteReference"/>
          <w:sz w:val="22"/>
          <w:szCs w:val="22"/>
        </w:rPr>
        <w:footnoteRef/>
      </w:r>
      <w:r w:rsidRPr="002A3189">
        <w:rPr>
          <w:szCs w:val="22"/>
        </w:rPr>
        <w:t xml:space="preserve">  Motion for Settlement at A</w:t>
      </w:r>
      <w:r>
        <w:rPr>
          <w:szCs w:val="22"/>
        </w:rPr>
        <w:noBreakHyphen/>
      </w:r>
      <w:r w:rsidRPr="002A3189">
        <w:rPr>
          <w:szCs w:val="22"/>
        </w:rPr>
        <w:t>7.</w:t>
      </w:r>
    </w:p>
  </w:footnote>
  <w:footnote w:id="66">
    <w:p w14:paraId="44DBA910" w14:textId="5A98F855" w:rsidR="003F25F8" w:rsidRPr="002A3189" w:rsidRDefault="003F25F8" w:rsidP="00564C38">
      <w:pPr>
        <w:pStyle w:val="FootnoteText"/>
        <w:rPr>
          <w:szCs w:val="22"/>
        </w:rPr>
      </w:pPr>
      <w:r w:rsidRPr="002A3189">
        <w:rPr>
          <w:rStyle w:val="FootnoteReference"/>
          <w:sz w:val="22"/>
          <w:szCs w:val="22"/>
        </w:rPr>
        <w:footnoteRef/>
      </w:r>
      <w:r w:rsidRPr="002A3189">
        <w:rPr>
          <w:szCs w:val="22"/>
        </w:rPr>
        <w:t xml:space="preserve">  D.14</w:t>
      </w:r>
      <w:r>
        <w:rPr>
          <w:szCs w:val="22"/>
        </w:rPr>
        <w:noBreakHyphen/>
      </w:r>
      <w:r w:rsidRPr="002A3189">
        <w:rPr>
          <w:szCs w:val="22"/>
        </w:rPr>
        <w:t>10</w:t>
      </w:r>
      <w:r>
        <w:rPr>
          <w:szCs w:val="22"/>
        </w:rPr>
        <w:noBreakHyphen/>
      </w:r>
      <w:r w:rsidRPr="002A3189">
        <w:rPr>
          <w:szCs w:val="22"/>
        </w:rPr>
        <w:t>033</w:t>
      </w:r>
    </w:p>
  </w:footnote>
  <w:footnote w:id="67">
    <w:p w14:paraId="39F1B31D" w14:textId="1879B23B" w:rsidR="003F25F8" w:rsidRPr="002A3189" w:rsidRDefault="003F25F8" w:rsidP="00564C38">
      <w:pPr>
        <w:pStyle w:val="FootnoteText"/>
        <w:rPr>
          <w:szCs w:val="22"/>
        </w:rPr>
      </w:pPr>
      <w:r w:rsidRPr="002A3189">
        <w:rPr>
          <w:rStyle w:val="FootnoteReference"/>
          <w:sz w:val="22"/>
          <w:szCs w:val="22"/>
        </w:rPr>
        <w:footnoteRef/>
      </w:r>
      <w:r w:rsidRPr="002A3189">
        <w:rPr>
          <w:szCs w:val="22"/>
        </w:rPr>
        <w:t xml:space="preserve">  Exhibit SCE</w:t>
      </w:r>
      <w:r>
        <w:rPr>
          <w:szCs w:val="22"/>
        </w:rPr>
        <w:noBreakHyphen/>
      </w:r>
      <w:r w:rsidRPr="002A3189">
        <w:rPr>
          <w:szCs w:val="22"/>
        </w:rPr>
        <w:t>01 at 14</w:t>
      </w:r>
      <w:r>
        <w:rPr>
          <w:szCs w:val="22"/>
        </w:rPr>
        <w:noBreakHyphen/>
      </w:r>
      <w:r w:rsidRPr="002A3189">
        <w:rPr>
          <w:szCs w:val="22"/>
        </w:rPr>
        <w:t>15.</w:t>
      </w:r>
    </w:p>
  </w:footnote>
  <w:footnote w:id="68">
    <w:p w14:paraId="08713362" w14:textId="02788031" w:rsidR="003F25F8" w:rsidRPr="002A3189" w:rsidRDefault="003F25F8" w:rsidP="00564C38">
      <w:pPr>
        <w:pStyle w:val="FootnoteText"/>
        <w:rPr>
          <w:szCs w:val="22"/>
        </w:rPr>
      </w:pPr>
      <w:r w:rsidRPr="002A3189">
        <w:rPr>
          <w:rStyle w:val="FootnoteReference"/>
          <w:sz w:val="22"/>
          <w:szCs w:val="22"/>
        </w:rPr>
        <w:footnoteRef/>
      </w:r>
      <w:r w:rsidRPr="002A3189">
        <w:rPr>
          <w:szCs w:val="22"/>
        </w:rPr>
        <w:t xml:space="preserve">  </w:t>
      </w:r>
      <w:r w:rsidRPr="002A3189">
        <w:rPr>
          <w:i/>
          <w:szCs w:val="22"/>
        </w:rPr>
        <w:t>See</w:t>
      </w:r>
      <w:r w:rsidRPr="002A3189">
        <w:rPr>
          <w:szCs w:val="22"/>
        </w:rPr>
        <w:t xml:space="preserve"> Application at 8; Exhibit SCE</w:t>
      </w:r>
      <w:r>
        <w:rPr>
          <w:szCs w:val="22"/>
        </w:rPr>
        <w:noBreakHyphen/>
      </w:r>
      <w:r w:rsidRPr="002A3189">
        <w:rPr>
          <w:szCs w:val="22"/>
        </w:rPr>
        <w:t>01 at 15.</w:t>
      </w:r>
    </w:p>
  </w:footnote>
  <w:footnote w:id="69">
    <w:p w14:paraId="79CCF3E4" w14:textId="516E9C5B" w:rsidR="003F25F8" w:rsidRPr="002A3189" w:rsidRDefault="003F25F8" w:rsidP="00564C38">
      <w:pPr>
        <w:pStyle w:val="FootnoteText"/>
        <w:rPr>
          <w:szCs w:val="22"/>
        </w:rPr>
      </w:pPr>
      <w:r w:rsidRPr="002A3189">
        <w:rPr>
          <w:rStyle w:val="FootnoteReference"/>
          <w:sz w:val="22"/>
          <w:szCs w:val="22"/>
        </w:rPr>
        <w:footnoteRef/>
      </w:r>
      <w:r w:rsidRPr="002A3189">
        <w:rPr>
          <w:szCs w:val="22"/>
        </w:rPr>
        <w:t xml:space="preserve">  Motion for Settlement at A</w:t>
      </w:r>
      <w:r>
        <w:rPr>
          <w:szCs w:val="22"/>
        </w:rPr>
        <w:noBreakHyphen/>
      </w:r>
      <w:r w:rsidRPr="002A3189">
        <w:rPr>
          <w:szCs w:val="22"/>
        </w:rPr>
        <w:t>7.</w:t>
      </w:r>
    </w:p>
  </w:footnote>
  <w:footnote w:id="70">
    <w:p w14:paraId="46B561FF" w14:textId="325F46B1"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Exhibit SCE</w:t>
      </w:r>
      <w:r>
        <w:rPr>
          <w:szCs w:val="22"/>
        </w:rPr>
        <w:noBreakHyphen/>
      </w:r>
      <w:r w:rsidRPr="003B02C9">
        <w:rPr>
          <w:szCs w:val="22"/>
        </w:rPr>
        <w:t>01 at 28</w:t>
      </w:r>
      <w:r>
        <w:rPr>
          <w:szCs w:val="22"/>
        </w:rPr>
        <w:noBreakHyphen/>
      </w:r>
      <w:r w:rsidRPr="003B02C9">
        <w:rPr>
          <w:szCs w:val="22"/>
        </w:rPr>
        <w:t>30.</w:t>
      </w:r>
    </w:p>
  </w:footnote>
  <w:footnote w:id="71">
    <w:p w14:paraId="377D4A54" w14:textId="77777777"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Comments of the Office of Ratepayer Advocates on Email Ruling Setting Questions for Party Comment on CEOP Workshop (Public Advocates Office Comments on Email Ruling) at 2; Motion for Settlement at 6.</w:t>
      </w:r>
    </w:p>
  </w:footnote>
  <w:footnote w:id="72">
    <w:p w14:paraId="5C99586C" w14:textId="6E3E8B32"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Exhibit SCE</w:t>
      </w:r>
      <w:r>
        <w:rPr>
          <w:szCs w:val="22"/>
        </w:rPr>
        <w:noBreakHyphen/>
      </w:r>
      <w:r w:rsidRPr="003B02C9">
        <w:rPr>
          <w:szCs w:val="22"/>
        </w:rPr>
        <w:t>01 at 29, fn. 47.</w:t>
      </w:r>
    </w:p>
  </w:footnote>
  <w:footnote w:id="73">
    <w:p w14:paraId="01E21442" w14:textId="77777777"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Protest of Public Advocates Office at 5</w:t>
      </w:r>
    </w:p>
  </w:footnote>
  <w:footnote w:id="74">
    <w:p w14:paraId="592FE677" w14:textId="77777777"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Public Advocates Office Comments on Email Ruling at 2.</w:t>
      </w:r>
    </w:p>
  </w:footnote>
  <w:footnote w:id="75">
    <w:p w14:paraId="1DA94FCE" w14:textId="77777777"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Motion for Settlement at 7.</w:t>
      </w:r>
    </w:p>
  </w:footnote>
  <w:footnote w:id="76">
    <w:p w14:paraId="036763E3" w14:textId="77777777"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Motion for Settlement at 7.</w:t>
      </w:r>
    </w:p>
  </w:footnote>
  <w:footnote w:id="77">
    <w:p w14:paraId="306FAAF8" w14:textId="6B4024CF"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Exhibit SCE</w:t>
      </w:r>
      <w:r>
        <w:rPr>
          <w:szCs w:val="22"/>
        </w:rPr>
        <w:noBreakHyphen/>
      </w:r>
      <w:r w:rsidRPr="003B02C9">
        <w:rPr>
          <w:szCs w:val="22"/>
        </w:rPr>
        <w:t>01.</w:t>
      </w:r>
    </w:p>
  </w:footnote>
  <w:footnote w:id="78">
    <w:p w14:paraId="46FECC14" w14:textId="6D24A90B"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Protest of Public Advocates Office at 9</w:t>
      </w:r>
      <w:r>
        <w:rPr>
          <w:szCs w:val="22"/>
        </w:rPr>
        <w:noBreakHyphen/>
      </w:r>
      <w:r w:rsidRPr="003B02C9">
        <w:rPr>
          <w:szCs w:val="22"/>
        </w:rPr>
        <w:t>10.</w:t>
      </w:r>
    </w:p>
  </w:footnote>
  <w:footnote w:id="79">
    <w:p w14:paraId="37E7E8E4" w14:textId="32E8CC64" w:rsidR="003F25F8" w:rsidRPr="003B02C9" w:rsidRDefault="003F25F8" w:rsidP="00564C38">
      <w:pPr>
        <w:pStyle w:val="FootnoteText"/>
        <w:rPr>
          <w:szCs w:val="22"/>
        </w:rPr>
      </w:pPr>
      <w:r w:rsidRPr="003B02C9">
        <w:rPr>
          <w:rStyle w:val="FootnoteReference"/>
          <w:sz w:val="22"/>
          <w:szCs w:val="22"/>
        </w:rPr>
        <w:footnoteRef/>
      </w:r>
      <w:r w:rsidRPr="003B02C9">
        <w:rPr>
          <w:szCs w:val="22"/>
        </w:rPr>
        <w:t xml:space="preserve">  SCE Reply to Comments to E</w:t>
      </w:r>
      <w:r>
        <w:rPr>
          <w:szCs w:val="22"/>
        </w:rPr>
        <w:noBreakHyphen/>
      </w:r>
      <w:r w:rsidRPr="003B02C9">
        <w:rPr>
          <w:szCs w:val="22"/>
        </w:rPr>
        <w:t>Mail Ruling at 7</w:t>
      </w:r>
      <w:r>
        <w:rPr>
          <w:szCs w:val="22"/>
        </w:rPr>
        <w:noBreakHyphen/>
      </w:r>
      <w:r w:rsidRPr="003B02C9">
        <w:rPr>
          <w:szCs w:val="22"/>
        </w:rPr>
        <w:t>10.</w:t>
      </w:r>
    </w:p>
  </w:footnote>
  <w:footnote w:id="80">
    <w:p w14:paraId="56DE538F" w14:textId="77777777"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9.</w:t>
      </w:r>
    </w:p>
  </w:footnote>
  <w:footnote w:id="81">
    <w:p w14:paraId="2A3881E6" w14:textId="77777777"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9.</w:t>
      </w:r>
    </w:p>
  </w:footnote>
  <w:footnote w:id="82">
    <w:p w14:paraId="54DC0C13" w14:textId="1E922D3D"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SCE Reply to Comments on E</w:t>
      </w:r>
      <w:r>
        <w:rPr>
          <w:szCs w:val="22"/>
        </w:rPr>
        <w:noBreakHyphen/>
      </w:r>
      <w:r w:rsidRPr="00151982">
        <w:rPr>
          <w:szCs w:val="22"/>
        </w:rPr>
        <w:t>Mail Ruling at 6.</w:t>
      </w:r>
    </w:p>
  </w:footnote>
  <w:footnote w:id="83">
    <w:p w14:paraId="18C82599" w14:textId="31FC2C5C"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Protest of Public Advocates Office at 5</w:t>
      </w:r>
      <w:r>
        <w:rPr>
          <w:szCs w:val="22"/>
        </w:rPr>
        <w:noBreakHyphen/>
      </w:r>
      <w:r w:rsidRPr="00151982">
        <w:rPr>
          <w:szCs w:val="22"/>
        </w:rPr>
        <w:t>6.</w:t>
      </w:r>
    </w:p>
  </w:footnote>
  <w:footnote w:id="84">
    <w:p w14:paraId="51571940" w14:textId="23742CED"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Public Advocates Office Comments on Email Ruling at 7</w:t>
      </w:r>
      <w:r>
        <w:rPr>
          <w:szCs w:val="22"/>
        </w:rPr>
        <w:noBreakHyphen/>
      </w:r>
      <w:r w:rsidRPr="00151982">
        <w:rPr>
          <w:szCs w:val="22"/>
        </w:rPr>
        <w:t>10.</w:t>
      </w:r>
    </w:p>
  </w:footnote>
  <w:footnote w:id="85">
    <w:p w14:paraId="15708EB5" w14:textId="11FEFF13"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Reply Comments of CSU at 1</w:t>
      </w:r>
      <w:r>
        <w:rPr>
          <w:szCs w:val="22"/>
        </w:rPr>
        <w:noBreakHyphen/>
      </w:r>
      <w:r w:rsidRPr="00151982">
        <w:rPr>
          <w:szCs w:val="22"/>
        </w:rPr>
        <w:t>2; UC Reply to Comment to E</w:t>
      </w:r>
      <w:r>
        <w:rPr>
          <w:szCs w:val="22"/>
        </w:rPr>
        <w:noBreakHyphen/>
      </w:r>
      <w:r w:rsidRPr="00151982">
        <w:rPr>
          <w:szCs w:val="22"/>
        </w:rPr>
        <w:t xml:space="preserve"> Mail Ruling at 1</w:t>
      </w:r>
      <w:r>
        <w:rPr>
          <w:szCs w:val="22"/>
        </w:rPr>
        <w:noBreakHyphen/>
      </w:r>
      <w:r w:rsidRPr="00151982">
        <w:rPr>
          <w:szCs w:val="22"/>
        </w:rPr>
        <w:t>2.</w:t>
      </w:r>
    </w:p>
  </w:footnote>
  <w:footnote w:id="86">
    <w:p w14:paraId="1A1F8328" w14:textId="6E21604F"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A</w:t>
      </w:r>
      <w:r>
        <w:rPr>
          <w:szCs w:val="22"/>
        </w:rPr>
        <w:noBreakHyphen/>
      </w:r>
      <w:r w:rsidRPr="00151982">
        <w:rPr>
          <w:szCs w:val="22"/>
        </w:rPr>
        <w:t>4 to A</w:t>
      </w:r>
      <w:r>
        <w:rPr>
          <w:szCs w:val="22"/>
        </w:rPr>
        <w:noBreakHyphen/>
      </w:r>
      <w:r w:rsidRPr="00151982">
        <w:rPr>
          <w:szCs w:val="22"/>
        </w:rPr>
        <w:t>5, and Attachment A (Settlement Agreement) Attachment 1 (CEOP:  Electric Vehicles Component).</w:t>
      </w:r>
    </w:p>
  </w:footnote>
  <w:footnote w:id="87">
    <w:p w14:paraId="45F7615C" w14:textId="5C057095"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Exhibit SCE</w:t>
      </w:r>
      <w:r>
        <w:rPr>
          <w:szCs w:val="22"/>
        </w:rPr>
        <w:noBreakHyphen/>
      </w:r>
      <w:r w:rsidRPr="00151982">
        <w:rPr>
          <w:szCs w:val="22"/>
        </w:rPr>
        <w:t>01 at 29.</w:t>
      </w:r>
    </w:p>
  </w:footnote>
  <w:footnote w:id="88">
    <w:p w14:paraId="3E5ED95E" w14:textId="049C1942"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Comments of the NRDC on the ALJ’s Ruling Providing Questions of the CEOP Workshop at 2</w:t>
      </w:r>
      <w:r>
        <w:rPr>
          <w:szCs w:val="22"/>
        </w:rPr>
        <w:noBreakHyphen/>
      </w:r>
      <w:r w:rsidRPr="00151982">
        <w:rPr>
          <w:szCs w:val="22"/>
        </w:rPr>
        <w:t>3.</w:t>
      </w:r>
    </w:p>
  </w:footnote>
  <w:footnote w:id="89">
    <w:p w14:paraId="57C5C7E9" w14:textId="77777777"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6.</w:t>
      </w:r>
    </w:p>
  </w:footnote>
  <w:footnote w:id="90">
    <w:p w14:paraId="59930A89" w14:textId="77777777"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7.</w:t>
      </w:r>
    </w:p>
  </w:footnote>
  <w:footnote w:id="91">
    <w:p w14:paraId="79082240" w14:textId="4C57B624"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Exhibit SCE</w:t>
      </w:r>
      <w:r>
        <w:rPr>
          <w:szCs w:val="22"/>
        </w:rPr>
        <w:noBreakHyphen/>
      </w:r>
      <w:r w:rsidRPr="00151982">
        <w:rPr>
          <w:szCs w:val="22"/>
        </w:rPr>
        <w:t>01 at 26</w:t>
      </w:r>
      <w:r>
        <w:rPr>
          <w:szCs w:val="22"/>
        </w:rPr>
        <w:noBreakHyphen/>
      </w:r>
      <w:r w:rsidRPr="00151982">
        <w:rPr>
          <w:szCs w:val="22"/>
        </w:rPr>
        <w:t>36.</w:t>
      </w:r>
    </w:p>
  </w:footnote>
  <w:footnote w:id="92">
    <w:p w14:paraId="4816F473" w14:textId="24AD591C"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Protest of the Public Advocates Office at 5</w:t>
      </w:r>
      <w:r>
        <w:rPr>
          <w:szCs w:val="22"/>
        </w:rPr>
        <w:noBreakHyphen/>
      </w:r>
      <w:r w:rsidRPr="00151982">
        <w:rPr>
          <w:szCs w:val="22"/>
        </w:rPr>
        <w:t>6.</w:t>
      </w:r>
    </w:p>
  </w:footnote>
  <w:footnote w:id="93">
    <w:p w14:paraId="33ACBBB7" w14:textId="249A4FFD"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UC Reply to Comments to E</w:t>
      </w:r>
      <w:r>
        <w:rPr>
          <w:szCs w:val="22"/>
        </w:rPr>
        <w:noBreakHyphen/>
      </w:r>
      <w:r w:rsidRPr="00151982">
        <w:rPr>
          <w:szCs w:val="22"/>
        </w:rPr>
        <w:t>Mail Ruling Setting Questions for Party Comment on CEOP Workshop at 3; Reply Comments of CSU at 2.</w:t>
      </w:r>
    </w:p>
  </w:footnote>
  <w:footnote w:id="94">
    <w:p w14:paraId="04AA3074" w14:textId="77777777"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Reply Comments of CSU at 3.</w:t>
      </w:r>
    </w:p>
  </w:footnote>
  <w:footnote w:id="95">
    <w:p w14:paraId="101184DF" w14:textId="6C4D3912" w:rsidR="003F25F8" w:rsidRPr="00151982" w:rsidRDefault="003F25F8" w:rsidP="00564C38">
      <w:pPr>
        <w:pStyle w:val="FootnoteText"/>
        <w:rPr>
          <w:szCs w:val="22"/>
        </w:rPr>
      </w:pPr>
      <w:r w:rsidRPr="00151982">
        <w:rPr>
          <w:rStyle w:val="FootnoteReference"/>
          <w:sz w:val="22"/>
          <w:szCs w:val="22"/>
        </w:rPr>
        <w:footnoteRef/>
      </w:r>
      <w:r w:rsidRPr="00151982">
        <w:rPr>
          <w:szCs w:val="22"/>
        </w:rPr>
        <w:t xml:space="preserve">  Motion for Settlement at A</w:t>
      </w:r>
      <w:r>
        <w:rPr>
          <w:szCs w:val="22"/>
        </w:rPr>
        <w:noBreakHyphen/>
      </w:r>
      <w:r w:rsidRPr="00151982">
        <w:rPr>
          <w:szCs w:val="22"/>
        </w:rPr>
        <w:t>5 to A</w:t>
      </w:r>
      <w:r>
        <w:rPr>
          <w:szCs w:val="22"/>
        </w:rPr>
        <w:noBreakHyphen/>
      </w:r>
      <w:r w:rsidRPr="00151982">
        <w:rPr>
          <w:szCs w:val="22"/>
        </w:rPr>
        <w:t>7.</w:t>
      </w:r>
    </w:p>
  </w:footnote>
  <w:footnote w:id="96">
    <w:p w14:paraId="0B23115E" w14:textId="55EBC22F"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Protest of Public Advocates Office at 8</w:t>
      </w:r>
      <w:r>
        <w:rPr>
          <w:szCs w:val="22"/>
        </w:rPr>
        <w:noBreakHyphen/>
      </w:r>
      <w:r w:rsidRPr="002A25D2">
        <w:rPr>
          <w:szCs w:val="22"/>
        </w:rPr>
        <w:t>9.</w:t>
      </w:r>
    </w:p>
  </w:footnote>
  <w:footnote w:id="97">
    <w:p w14:paraId="5B5DF905" w14:textId="2A5D08BD"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SCE Reply to Comments to E</w:t>
      </w:r>
      <w:r>
        <w:rPr>
          <w:szCs w:val="22"/>
        </w:rPr>
        <w:noBreakHyphen/>
      </w:r>
      <w:r w:rsidRPr="002A25D2">
        <w:rPr>
          <w:szCs w:val="22"/>
        </w:rPr>
        <w:t>mail Ruing for Party Comment on CEOP Workshop (SCE Reply to Comments to Email Ruling) at 7; Motion for Settlement at 4.</w:t>
      </w:r>
    </w:p>
  </w:footnote>
  <w:footnote w:id="98">
    <w:p w14:paraId="3F2725A9" w14:textId="77777777"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UC Reply Comments to Email Ruling Setting Questions for Party Comment on CEOP Workshop at 6.</w:t>
      </w:r>
    </w:p>
  </w:footnote>
  <w:footnote w:id="99">
    <w:p w14:paraId="5BDC8D00" w14:textId="77777777"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Reply Comments of CSU at 2.</w:t>
      </w:r>
    </w:p>
  </w:footnote>
  <w:footnote w:id="100">
    <w:p w14:paraId="371A1337" w14:textId="7C6E4840"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Motion for Settlement at A</w:t>
      </w:r>
      <w:r>
        <w:rPr>
          <w:szCs w:val="22"/>
        </w:rPr>
        <w:noBreakHyphen/>
      </w:r>
      <w:r w:rsidRPr="002A25D2">
        <w:rPr>
          <w:szCs w:val="22"/>
        </w:rPr>
        <w:t>6.</w:t>
      </w:r>
    </w:p>
  </w:footnote>
  <w:footnote w:id="101">
    <w:p w14:paraId="7E5FF321" w14:textId="223F3988" w:rsidR="003F25F8" w:rsidRPr="002A25D2" w:rsidRDefault="003F25F8" w:rsidP="00564C38">
      <w:pPr>
        <w:pStyle w:val="FootnoteText"/>
        <w:rPr>
          <w:szCs w:val="22"/>
        </w:rPr>
      </w:pPr>
      <w:r w:rsidRPr="002A25D2">
        <w:rPr>
          <w:rStyle w:val="FootnoteReference"/>
          <w:sz w:val="22"/>
          <w:szCs w:val="22"/>
        </w:rPr>
        <w:footnoteRef/>
      </w:r>
      <w:r w:rsidRPr="002A25D2">
        <w:rPr>
          <w:szCs w:val="22"/>
        </w:rPr>
        <w:t xml:space="preserve">  Exhibit SCE</w:t>
      </w:r>
      <w:r>
        <w:rPr>
          <w:szCs w:val="22"/>
        </w:rPr>
        <w:noBreakHyphen/>
      </w:r>
      <w:r w:rsidRPr="002A25D2">
        <w:rPr>
          <w:szCs w:val="22"/>
        </w:rPr>
        <w:t>01 at 42, fn. 64.</w:t>
      </w:r>
    </w:p>
  </w:footnote>
  <w:footnote w:id="102">
    <w:p w14:paraId="41FF2423" w14:textId="77777777" w:rsidR="003F25F8" w:rsidRPr="00BB55D7" w:rsidRDefault="003F25F8" w:rsidP="00564C38">
      <w:pPr>
        <w:pStyle w:val="FootnoteText"/>
        <w:rPr>
          <w:szCs w:val="22"/>
        </w:rPr>
      </w:pPr>
      <w:r w:rsidRPr="00BB55D7">
        <w:rPr>
          <w:rStyle w:val="FootnoteReference"/>
          <w:sz w:val="22"/>
          <w:szCs w:val="22"/>
        </w:rPr>
        <w:footnoteRef/>
      </w:r>
      <w:r w:rsidRPr="00BB55D7">
        <w:rPr>
          <w:szCs w:val="22"/>
        </w:rPr>
        <w:t xml:space="preserve">  Protest of Public Advocates Office at 8.</w:t>
      </w:r>
    </w:p>
  </w:footnote>
  <w:footnote w:id="103">
    <w:p w14:paraId="741A22F6" w14:textId="784B049B" w:rsidR="003F25F8" w:rsidRPr="00BB55D7" w:rsidRDefault="003F25F8" w:rsidP="00564C38">
      <w:pPr>
        <w:pStyle w:val="FootnoteText"/>
        <w:rPr>
          <w:szCs w:val="22"/>
        </w:rPr>
      </w:pPr>
      <w:r w:rsidRPr="00BB55D7">
        <w:rPr>
          <w:rStyle w:val="FootnoteReference"/>
          <w:sz w:val="22"/>
          <w:szCs w:val="22"/>
        </w:rPr>
        <w:footnoteRef/>
      </w:r>
      <w:r w:rsidRPr="00BB55D7">
        <w:rPr>
          <w:szCs w:val="22"/>
        </w:rPr>
        <w:t xml:space="preserve">  Motion for Settlement at A</w:t>
      </w:r>
      <w:r>
        <w:rPr>
          <w:szCs w:val="22"/>
        </w:rPr>
        <w:noBreakHyphen/>
      </w:r>
      <w:r w:rsidRPr="00BB55D7">
        <w:rPr>
          <w:szCs w:val="22"/>
        </w:rPr>
        <w:t>6.</w:t>
      </w:r>
    </w:p>
  </w:footnote>
  <w:footnote w:id="104">
    <w:p w14:paraId="29BC25D0" w14:textId="78EF187F" w:rsidR="003F25F8" w:rsidRPr="00BB55D7" w:rsidRDefault="003F25F8" w:rsidP="00564C38">
      <w:pPr>
        <w:pStyle w:val="FootnoteText"/>
        <w:rPr>
          <w:szCs w:val="22"/>
        </w:rPr>
      </w:pPr>
      <w:r w:rsidRPr="00BB55D7">
        <w:rPr>
          <w:rStyle w:val="FootnoteReference"/>
          <w:sz w:val="22"/>
          <w:szCs w:val="22"/>
        </w:rPr>
        <w:footnoteRef/>
      </w:r>
      <w:r w:rsidRPr="00BB55D7">
        <w:rPr>
          <w:szCs w:val="22"/>
        </w:rPr>
        <w:t xml:space="preserve"> “Basic Gross Square Footage includes (1) Assignable Square Footage, which includes interior occupied spaces such as labs and classrooms, (2) Non</w:t>
      </w:r>
      <w:r>
        <w:rPr>
          <w:szCs w:val="22"/>
        </w:rPr>
        <w:noBreakHyphen/>
      </w:r>
      <w:r w:rsidRPr="00BB55D7">
        <w:rPr>
          <w:szCs w:val="22"/>
        </w:rPr>
        <w:t>Assignable Square Footage, which includes spaces such as corridors and restrooms, and (3) spaces occupied by interior walls.”  Motion for Settlement at A</w:t>
      </w:r>
      <w:r>
        <w:rPr>
          <w:szCs w:val="22"/>
        </w:rPr>
        <w:noBreakHyphen/>
      </w:r>
      <w:r w:rsidRPr="00BB55D7">
        <w:rPr>
          <w:szCs w:val="22"/>
        </w:rPr>
        <w:t>6.</w:t>
      </w:r>
    </w:p>
  </w:footnote>
  <w:footnote w:id="105">
    <w:p w14:paraId="32036C83" w14:textId="77777777" w:rsidR="003F25F8" w:rsidRPr="00BB55D7" w:rsidRDefault="003F25F8" w:rsidP="00564C38">
      <w:pPr>
        <w:pStyle w:val="FootnoteText"/>
        <w:rPr>
          <w:szCs w:val="22"/>
        </w:rPr>
      </w:pPr>
      <w:r w:rsidRPr="00BB55D7">
        <w:rPr>
          <w:rStyle w:val="FootnoteReference"/>
          <w:sz w:val="22"/>
          <w:szCs w:val="22"/>
        </w:rPr>
        <w:footnoteRef/>
      </w:r>
      <w:r w:rsidRPr="00BB55D7">
        <w:rPr>
          <w:szCs w:val="22"/>
        </w:rPr>
        <w:t xml:space="preserve">  Motion for Settlement at 8.</w:t>
      </w:r>
    </w:p>
  </w:footnote>
  <w:footnote w:id="106">
    <w:p w14:paraId="4866B029" w14:textId="17EE54E4" w:rsidR="003F25F8" w:rsidRPr="00BB55D7" w:rsidRDefault="003F25F8" w:rsidP="00564C38">
      <w:pPr>
        <w:pStyle w:val="FootnoteText"/>
        <w:rPr>
          <w:szCs w:val="22"/>
        </w:rPr>
      </w:pPr>
      <w:r w:rsidRPr="00BB55D7">
        <w:rPr>
          <w:rStyle w:val="FootnoteReference"/>
          <w:sz w:val="22"/>
          <w:szCs w:val="22"/>
        </w:rPr>
        <w:footnoteRef/>
      </w:r>
      <w:r w:rsidRPr="00BB55D7">
        <w:rPr>
          <w:szCs w:val="22"/>
        </w:rPr>
        <w:t xml:space="preserve">  Motion for Settlement at A</w:t>
      </w:r>
      <w:r>
        <w:rPr>
          <w:szCs w:val="22"/>
        </w:rPr>
        <w:noBreakHyphen/>
      </w:r>
      <w:r w:rsidRPr="00BB55D7">
        <w:rPr>
          <w:szCs w:val="22"/>
        </w:rPr>
        <w:t>7.</w:t>
      </w:r>
    </w:p>
  </w:footnote>
  <w:footnote w:id="107">
    <w:p w14:paraId="2680F52E" w14:textId="65F833F3" w:rsidR="003F25F8" w:rsidRPr="008009AF" w:rsidRDefault="003F25F8" w:rsidP="00564C38">
      <w:pPr>
        <w:pStyle w:val="FootnoteText"/>
        <w:rPr>
          <w:szCs w:val="22"/>
        </w:rPr>
      </w:pPr>
      <w:r w:rsidRPr="008009AF">
        <w:rPr>
          <w:rStyle w:val="FootnoteReference"/>
          <w:sz w:val="22"/>
          <w:szCs w:val="22"/>
        </w:rPr>
        <w:footnoteRef/>
      </w:r>
      <w:r w:rsidRPr="008009AF">
        <w:rPr>
          <w:szCs w:val="22"/>
        </w:rPr>
        <w:t xml:space="preserve">  Rule 12.5 (“Commission adoption of a settlement is binding on all parties to the proceeding in which the settlement is proposed.  Unless the Commission expressly provides otherwise, such adoption does not constitute approval of, or precedent regarding, any principle or issue in the proceeding or in any future proceeding</w:t>
      </w:r>
      <w:r>
        <w:rPr>
          <w:szCs w:val="22"/>
        </w:rPr>
        <w:t>.</w:t>
      </w:r>
      <w:r w:rsidRPr="008009AF">
        <w:rPr>
          <w:szCs w:val="22"/>
        </w:rPr>
        <w:t xml:space="preserve">”).  </w:t>
      </w:r>
    </w:p>
  </w:footnote>
  <w:footnote w:id="108">
    <w:p w14:paraId="3C4AA8D9" w14:textId="77B8D23C" w:rsidR="003F25F8" w:rsidRPr="008009AF" w:rsidRDefault="003F25F8">
      <w:pPr>
        <w:pStyle w:val="FootnoteText"/>
        <w:rPr>
          <w:szCs w:val="22"/>
        </w:rPr>
      </w:pPr>
      <w:r w:rsidRPr="008009AF">
        <w:rPr>
          <w:rStyle w:val="FootnoteReference"/>
          <w:sz w:val="22"/>
          <w:szCs w:val="22"/>
        </w:rPr>
        <w:footnoteRef/>
      </w:r>
      <w:r w:rsidRPr="008009AF">
        <w:rPr>
          <w:szCs w:val="22"/>
        </w:rPr>
        <w:t xml:space="preserve">  </w:t>
      </w:r>
      <w:r w:rsidRPr="008009AF">
        <w:rPr>
          <w:i/>
          <w:szCs w:val="22"/>
        </w:rPr>
        <w:t>See e.g.</w:t>
      </w:r>
      <w:r w:rsidRPr="008009AF">
        <w:rPr>
          <w:szCs w:val="22"/>
        </w:rPr>
        <w:t xml:space="preserve"> D.14</w:t>
      </w:r>
      <w:r>
        <w:rPr>
          <w:szCs w:val="22"/>
        </w:rPr>
        <w:noBreakHyphen/>
      </w:r>
      <w:r w:rsidRPr="008009AF">
        <w:rPr>
          <w:szCs w:val="22"/>
        </w:rPr>
        <w:t>01</w:t>
      </w:r>
      <w:r>
        <w:rPr>
          <w:szCs w:val="22"/>
        </w:rPr>
        <w:noBreakHyphen/>
      </w:r>
      <w:r w:rsidRPr="008009AF">
        <w:rPr>
          <w:szCs w:val="22"/>
        </w:rPr>
        <w:t>011 at 13.</w:t>
      </w:r>
    </w:p>
  </w:footnote>
  <w:footnote w:id="109">
    <w:p w14:paraId="173C5D15" w14:textId="77777777" w:rsidR="003F25F8" w:rsidRPr="00007002" w:rsidRDefault="003F25F8" w:rsidP="00564C38">
      <w:pPr>
        <w:pStyle w:val="FootnoteText"/>
        <w:rPr>
          <w:szCs w:val="22"/>
        </w:rPr>
      </w:pPr>
      <w:r w:rsidRPr="00007002">
        <w:rPr>
          <w:rStyle w:val="FootnoteReference"/>
          <w:sz w:val="22"/>
          <w:szCs w:val="22"/>
        </w:rPr>
        <w:footnoteRef/>
      </w:r>
      <w:r w:rsidRPr="00007002">
        <w:rPr>
          <w:szCs w:val="22"/>
        </w:rPr>
        <w:t xml:space="preserve">  Motion for Settlement at 10.</w:t>
      </w:r>
    </w:p>
  </w:footnote>
  <w:footnote w:id="110">
    <w:p w14:paraId="01CBB6B7" w14:textId="77777777" w:rsidR="003F25F8" w:rsidRPr="00007002" w:rsidRDefault="003F25F8" w:rsidP="00564C38">
      <w:pPr>
        <w:pStyle w:val="FootnoteText"/>
        <w:rPr>
          <w:szCs w:val="22"/>
        </w:rPr>
      </w:pPr>
      <w:r w:rsidRPr="00007002">
        <w:rPr>
          <w:rStyle w:val="FootnoteReference"/>
          <w:sz w:val="22"/>
          <w:szCs w:val="22"/>
        </w:rPr>
        <w:footnoteRef/>
      </w:r>
      <w:r w:rsidRPr="00007002">
        <w:rPr>
          <w:szCs w:val="22"/>
        </w:rPr>
        <w:t xml:space="preserve">  Application at 7.</w:t>
      </w:r>
    </w:p>
  </w:footnote>
  <w:footnote w:id="111">
    <w:p w14:paraId="7F2D33EA" w14:textId="576653DA" w:rsidR="003F25F8" w:rsidRPr="004B0912" w:rsidRDefault="003F25F8" w:rsidP="00725F6A">
      <w:pPr>
        <w:pStyle w:val="standard"/>
        <w:spacing w:after="120" w:line="240" w:lineRule="auto"/>
        <w:ind w:firstLine="0"/>
        <w:rPr>
          <w:sz w:val="22"/>
          <w:szCs w:val="22"/>
        </w:rPr>
      </w:pPr>
      <w:r w:rsidRPr="004B0912">
        <w:rPr>
          <w:rStyle w:val="FootnoteReference"/>
          <w:sz w:val="22"/>
          <w:szCs w:val="22"/>
        </w:rPr>
        <w:footnoteRef/>
      </w:r>
      <w:r w:rsidRPr="004B0912">
        <w:rPr>
          <w:sz w:val="22"/>
          <w:szCs w:val="22"/>
        </w:rPr>
        <w:t xml:space="preserve">  CNS hourly emissions intensities, applied as TOU periods, do not effectively represent the GHG emissions that result from energy reductions in the CEOP.  CEC produces emissions factor analyses that quantify the marginal emission intensities of all generation (and imports and exports), both emitting and GHG</w:t>
      </w:r>
      <w:r>
        <w:rPr>
          <w:sz w:val="22"/>
          <w:szCs w:val="22"/>
        </w:rPr>
        <w:noBreakHyphen/>
      </w:r>
      <w:r w:rsidRPr="004B0912">
        <w:rPr>
          <w:sz w:val="22"/>
          <w:szCs w:val="22"/>
        </w:rPr>
        <w:t xml:space="preserve">free, would better reflect emissions reductions from this Pilot. </w:t>
      </w:r>
    </w:p>
  </w:footnote>
  <w:footnote w:id="112">
    <w:p w14:paraId="042D8303" w14:textId="77777777" w:rsidR="003F25F8" w:rsidRPr="00EB24C3" w:rsidRDefault="003F25F8" w:rsidP="00725F6A">
      <w:pPr>
        <w:pStyle w:val="FootnoteText"/>
        <w:rPr>
          <w:szCs w:val="22"/>
        </w:rPr>
      </w:pPr>
      <w:r w:rsidRPr="00EB24C3">
        <w:rPr>
          <w:rStyle w:val="FootnoteReference"/>
          <w:sz w:val="22"/>
          <w:szCs w:val="22"/>
        </w:rPr>
        <w:footnoteRef/>
      </w:r>
      <w:r w:rsidRPr="00EB24C3">
        <w:rPr>
          <w:szCs w:val="22"/>
        </w:rPr>
        <w:t xml:space="preserve">  All future references to “Rule” or “Rules” hereinafter shall refer to the Commission’s Rules of Practice and Procedure.</w:t>
      </w:r>
    </w:p>
  </w:footnote>
  <w:footnote w:id="113">
    <w:p w14:paraId="6107BCF7" w14:textId="6AE65FCB" w:rsidR="003F25F8" w:rsidRPr="00EB24C3" w:rsidRDefault="003F25F8" w:rsidP="00564C38">
      <w:pPr>
        <w:pStyle w:val="FootnoteText"/>
        <w:spacing w:after="0"/>
        <w:rPr>
          <w:szCs w:val="22"/>
        </w:rPr>
      </w:pPr>
      <w:r w:rsidRPr="00EB24C3">
        <w:rPr>
          <w:rStyle w:val="FootnoteReference"/>
          <w:sz w:val="22"/>
          <w:szCs w:val="22"/>
        </w:rPr>
        <w:footnoteRef/>
      </w:r>
      <w:r w:rsidRPr="00EB24C3">
        <w:rPr>
          <w:szCs w:val="22"/>
        </w:rPr>
        <w:t xml:space="preserve">  Exhibit SCE</w:t>
      </w:r>
      <w:r>
        <w:rPr>
          <w:szCs w:val="22"/>
        </w:rPr>
        <w:noBreakHyphen/>
      </w:r>
      <w:r w:rsidRPr="00EB24C3">
        <w:rPr>
          <w:szCs w:val="22"/>
        </w:rPr>
        <w:t>01, Southern California Edison Company’s (U338</w:t>
      </w:r>
      <w:r>
        <w:rPr>
          <w:szCs w:val="22"/>
        </w:rPr>
        <w:noBreakHyphen/>
      </w:r>
      <w:r w:rsidRPr="00EB24C3">
        <w:rPr>
          <w:szCs w:val="22"/>
        </w:rPr>
        <w:t xml:space="preserve">E) </w:t>
      </w:r>
      <w:r w:rsidRPr="00EB24C3">
        <w:rPr>
          <w:i/>
          <w:szCs w:val="22"/>
        </w:rPr>
        <w:t>Testimony in Support of Its Application for Approval of Its Clean Energy Optimization Pilot: Volume 1</w:t>
      </w:r>
      <w:r w:rsidRPr="00EB24C3">
        <w:rPr>
          <w:szCs w:val="22"/>
        </w:rPr>
        <w:t>, dated May 15, 2018.</w:t>
      </w:r>
    </w:p>
    <w:p w14:paraId="00E93663" w14:textId="68726E11" w:rsidR="003F25F8" w:rsidRPr="00EB24C3" w:rsidRDefault="003F25F8" w:rsidP="00564C38">
      <w:pPr>
        <w:pStyle w:val="FootnoteText"/>
        <w:spacing w:after="0"/>
        <w:rPr>
          <w:szCs w:val="22"/>
        </w:rPr>
      </w:pPr>
      <w:r w:rsidRPr="00EB24C3">
        <w:rPr>
          <w:szCs w:val="22"/>
        </w:rPr>
        <w:t>Exhibit SCE</w:t>
      </w:r>
      <w:r>
        <w:rPr>
          <w:szCs w:val="22"/>
        </w:rPr>
        <w:noBreakHyphen/>
      </w:r>
      <w:r w:rsidRPr="00EB24C3">
        <w:rPr>
          <w:szCs w:val="22"/>
        </w:rPr>
        <w:t>02, Southern California Edison Company’s (U338</w:t>
      </w:r>
      <w:r>
        <w:rPr>
          <w:szCs w:val="22"/>
        </w:rPr>
        <w:noBreakHyphen/>
      </w:r>
      <w:r w:rsidRPr="00EB24C3">
        <w:rPr>
          <w:szCs w:val="22"/>
        </w:rPr>
        <w:t xml:space="preserve">E) </w:t>
      </w:r>
      <w:r w:rsidRPr="00EB24C3">
        <w:rPr>
          <w:i/>
          <w:szCs w:val="22"/>
        </w:rPr>
        <w:t>Testimony in Support of Its Application for Approval of Its Clean Energy Optimization Pilot: Volume 2</w:t>
      </w:r>
      <w:r w:rsidRPr="00EB24C3">
        <w:rPr>
          <w:szCs w:val="22"/>
        </w:rPr>
        <w:t>, dated May 15, 2018.</w:t>
      </w:r>
    </w:p>
    <w:p w14:paraId="0DD82199" w14:textId="0EF0A3B8" w:rsidR="003F25F8" w:rsidRPr="00EB24C3" w:rsidRDefault="003F25F8" w:rsidP="00564C38">
      <w:pPr>
        <w:pStyle w:val="FootnoteText"/>
        <w:spacing w:after="0"/>
        <w:rPr>
          <w:szCs w:val="22"/>
        </w:rPr>
      </w:pPr>
      <w:r w:rsidRPr="00EB24C3">
        <w:rPr>
          <w:szCs w:val="22"/>
        </w:rPr>
        <w:t>Exhibit SCE</w:t>
      </w:r>
      <w:r>
        <w:rPr>
          <w:szCs w:val="22"/>
        </w:rPr>
        <w:noBreakHyphen/>
      </w:r>
      <w:r w:rsidRPr="00EB24C3">
        <w:rPr>
          <w:szCs w:val="22"/>
        </w:rPr>
        <w:t>03, Southern California Edison Company’s (U338</w:t>
      </w:r>
      <w:r>
        <w:rPr>
          <w:szCs w:val="22"/>
        </w:rPr>
        <w:noBreakHyphen/>
      </w:r>
      <w:r w:rsidRPr="00EB24C3">
        <w:rPr>
          <w:szCs w:val="22"/>
        </w:rPr>
        <w:t xml:space="preserve">E) </w:t>
      </w:r>
      <w:r w:rsidRPr="00EB24C3">
        <w:rPr>
          <w:i/>
          <w:szCs w:val="22"/>
        </w:rPr>
        <w:t>Testimony in Support of Its Application for Approval of Its Clean Energy Optimization Pilot: Volume 3</w:t>
      </w:r>
      <w:r w:rsidRPr="00EB24C3">
        <w:rPr>
          <w:szCs w:val="22"/>
        </w:rPr>
        <w:t>, dated May 15, 2018.</w:t>
      </w:r>
    </w:p>
    <w:p w14:paraId="378DB5D0" w14:textId="7499169F" w:rsidR="003F25F8" w:rsidRPr="00EB24C3" w:rsidRDefault="003F25F8" w:rsidP="00564C38">
      <w:pPr>
        <w:pStyle w:val="FootnoteText"/>
        <w:spacing w:after="0"/>
        <w:rPr>
          <w:szCs w:val="22"/>
        </w:rPr>
      </w:pPr>
      <w:r w:rsidRPr="00EB24C3">
        <w:rPr>
          <w:szCs w:val="22"/>
        </w:rPr>
        <w:t>Exhibit SCE</w:t>
      </w:r>
      <w:r>
        <w:rPr>
          <w:szCs w:val="22"/>
        </w:rPr>
        <w:noBreakHyphen/>
      </w:r>
      <w:r w:rsidRPr="00EB24C3">
        <w:rPr>
          <w:szCs w:val="22"/>
        </w:rPr>
        <w:t xml:space="preserve">04, </w:t>
      </w:r>
      <w:r w:rsidRPr="00EB24C3">
        <w:rPr>
          <w:i/>
          <w:szCs w:val="22"/>
        </w:rPr>
        <w:t>University of California’s Testimony in Support of Southern California Edison’s Application for Approval of Its Clean Energy Optimization Pilot: Volume 4</w:t>
      </w:r>
      <w:r w:rsidRPr="00EB24C3">
        <w:rPr>
          <w:szCs w:val="22"/>
        </w:rPr>
        <w:t>, dated May 15, 2018.</w:t>
      </w:r>
    </w:p>
    <w:p w14:paraId="5284B9A0" w14:textId="676C43E5" w:rsidR="003F25F8" w:rsidRPr="00EB24C3" w:rsidRDefault="003F25F8" w:rsidP="00564C38">
      <w:pPr>
        <w:pStyle w:val="FootnoteText"/>
        <w:spacing w:after="0"/>
        <w:rPr>
          <w:szCs w:val="22"/>
        </w:rPr>
      </w:pPr>
      <w:r w:rsidRPr="00EB24C3">
        <w:rPr>
          <w:szCs w:val="22"/>
        </w:rPr>
        <w:t>Exhibit SCE</w:t>
      </w:r>
      <w:r>
        <w:rPr>
          <w:szCs w:val="22"/>
        </w:rPr>
        <w:noBreakHyphen/>
      </w:r>
      <w:r w:rsidRPr="00EB24C3">
        <w:rPr>
          <w:szCs w:val="22"/>
        </w:rPr>
        <w:t xml:space="preserve">05, </w:t>
      </w:r>
      <w:r w:rsidRPr="00EB24C3">
        <w:rPr>
          <w:i/>
          <w:szCs w:val="22"/>
        </w:rPr>
        <w:t>California State University’s Testimony in Support of Southern California Edison’s Application for Approval of Its Clean Energy Optimization Pilot: Volume 5</w:t>
      </w:r>
      <w:r w:rsidRPr="00EB24C3">
        <w:rPr>
          <w:szCs w:val="22"/>
        </w:rPr>
        <w:t>, dated May 15, 2018.</w:t>
      </w:r>
    </w:p>
    <w:p w14:paraId="48D2152D" w14:textId="1EB328E9" w:rsidR="003F25F8" w:rsidRPr="00EB24C3" w:rsidRDefault="003F25F8" w:rsidP="00564C38">
      <w:pPr>
        <w:pStyle w:val="FootnoteText"/>
        <w:spacing w:after="0"/>
        <w:rPr>
          <w:szCs w:val="22"/>
        </w:rPr>
      </w:pPr>
      <w:r w:rsidRPr="00EB24C3">
        <w:rPr>
          <w:szCs w:val="22"/>
        </w:rPr>
        <w:t>Exhibit SCE</w:t>
      </w:r>
      <w:r>
        <w:rPr>
          <w:szCs w:val="22"/>
        </w:rPr>
        <w:noBreakHyphen/>
      </w:r>
      <w:r w:rsidRPr="00EB24C3">
        <w:rPr>
          <w:szCs w:val="22"/>
        </w:rPr>
        <w:t xml:space="preserve">06, </w:t>
      </w:r>
      <w:r w:rsidRPr="00EB24C3">
        <w:rPr>
          <w:i/>
          <w:szCs w:val="22"/>
        </w:rPr>
        <w:t>Workpapers in Support of Southern California Edison’s Application for Approval of Its Clean Energy Optimization Pilot</w:t>
      </w:r>
      <w:r w:rsidRPr="00EB24C3">
        <w:rPr>
          <w:szCs w:val="22"/>
        </w:rPr>
        <w:t>, dated May 15, 2018.</w:t>
      </w:r>
    </w:p>
  </w:footnote>
  <w:footnote w:id="114">
    <w:p w14:paraId="3E834853" w14:textId="465D09E8" w:rsidR="003F25F8" w:rsidRPr="00AE3782" w:rsidRDefault="003F25F8" w:rsidP="003D4D44">
      <w:pPr>
        <w:pStyle w:val="standard"/>
        <w:spacing w:line="240" w:lineRule="auto"/>
        <w:ind w:firstLine="0"/>
        <w:rPr>
          <w:sz w:val="22"/>
          <w:szCs w:val="22"/>
        </w:rPr>
      </w:pPr>
      <w:r w:rsidRPr="00AE3782">
        <w:rPr>
          <w:rStyle w:val="FootnoteReference"/>
          <w:sz w:val="22"/>
          <w:szCs w:val="22"/>
        </w:rPr>
        <w:footnoteRef/>
      </w:r>
      <w:r w:rsidRPr="00AE3782">
        <w:rPr>
          <w:sz w:val="22"/>
          <w:szCs w:val="22"/>
        </w:rPr>
        <w:t xml:space="preserve">  CNS hourly emissions intensities do not effectively represent the GHG emissions that result from energy reductions in the CEOP.  CEC produces emissions factor analyses that quantify the marginal emission intensities of all generation (and imports and exports), both emitting and GHG</w:t>
      </w:r>
      <w:r>
        <w:rPr>
          <w:sz w:val="22"/>
          <w:szCs w:val="22"/>
        </w:rPr>
        <w:noBreakHyphen/>
      </w:r>
      <w:r w:rsidRPr="00AE3782">
        <w:rPr>
          <w:sz w:val="22"/>
          <w:szCs w:val="22"/>
        </w:rPr>
        <w:t>free, would better reflect emissions reductions from this Pilot.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0DCA" w14:textId="77777777" w:rsidR="002B2DD8" w:rsidRDefault="002B2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302C" w14:textId="46E869EA" w:rsidR="003F25F8" w:rsidRDefault="003F25F8" w:rsidP="001F552F">
    <w:pPr>
      <w:pStyle w:val="Header"/>
      <w:tabs>
        <w:tab w:val="clear" w:pos="4320"/>
        <w:tab w:val="clear" w:pos="8640"/>
        <w:tab w:val="right" w:pos="9360"/>
      </w:tabs>
    </w:pPr>
    <w:r>
      <w:t>A</w:t>
    </w:r>
    <w:r w:rsidR="002B2DD8">
      <w:t>.18</w:t>
    </w:r>
    <w:r w:rsidR="002B2DD8">
      <w:noBreakHyphen/>
      <w:t>05</w:t>
    </w:r>
    <w:r w:rsidR="002B2DD8">
      <w:noBreakHyphen/>
      <w:t>015  ALJ/ZK1/jt2</w:t>
    </w:r>
  </w:p>
  <w:p w14:paraId="6F9A0487" w14:textId="02AC9925" w:rsidR="003F25F8" w:rsidRDefault="003F25F8" w:rsidP="00761C0B">
    <w:pPr>
      <w:pStyle w:val="Header"/>
    </w:pPr>
  </w:p>
  <w:p w14:paraId="18322C18" w14:textId="77777777" w:rsidR="003F25F8" w:rsidRDefault="003F25F8" w:rsidP="00761C0B">
    <w:pPr>
      <w:pStyle w:val="Header"/>
      <w:rPr>
        <w:i/>
      </w:rPr>
    </w:pPr>
  </w:p>
  <w:p w14:paraId="327BDBB6" w14:textId="77777777" w:rsidR="003F25F8" w:rsidRPr="00CC3B96" w:rsidRDefault="003F25F8" w:rsidP="00761C0B">
    <w:pPr>
      <w:pStyle w:val="Header"/>
      <w:rPr>
        <w:i/>
      </w:rPr>
    </w:pPr>
  </w:p>
  <w:p w14:paraId="7DF52850" w14:textId="77777777" w:rsidR="003F25F8" w:rsidRPr="004D4F77" w:rsidRDefault="003F25F8"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4118723C" w14:textId="77777777" w:rsidR="003F25F8" w:rsidRPr="004D4F77" w:rsidRDefault="003F25F8" w:rsidP="004D4F77">
    <w:pPr>
      <w:rPr>
        <w:rFonts w:ascii="Helvetica" w:hAnsi="Helvetica"/>
        <w:b/>
        <w:bCs/>
      </w:rPr>
    </w:pPr>
  </w:p>
  <w:p w14:paraId="61E3344C" w14:textId="77777777" w:rsidR="003F25F8" w:rsidRPr="004D4F77" w:rsidRDefault="003F25F8"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645A32E8" w14:textId="77777777" w:rsidR="003F25F8" w:rsidRDefault="003F2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4A2C" w14:textId="5B202691" w:rsidR="003F25F8" w:rsidRDefault="003F25F8" w:rsidP="00DB5FD5">
    <w:pPr>
      <w:pStyle w:val="Header"/>
    </w:pPr>
  </w:p>
  <w:p w14:paraId="600E3A47" w14:textId="77777777" w:rsidR="003F25F8" w:rsidRDefault="003F25F8" w:rsidP="00DB5FD5">
    <w:pPr>
      <w:pStyle w:val="Header"/>
    </w:pPr>
  </w:p>
  <w:p w14:paraId="7B74656F" w14:textId="77777777" w:rsidR="003F25F8" w:rsidRDefault="003F25F8" w:rsidP="00DB5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8CE8" w14:textId="421894EC" w:rsidR="003F25F8" w:rsidRDefault="003F25F8" w:rsidP="001F552F">
    <w:pPr>
      <w:pStyle w:val="Header"/>
      <w:tabs>
        <w:tab w:val="clear" w:pos="4320"/>
        <w:tab w:val="clear" w:pos="8640"/>
        <w:tab w:val="right" w:pos="9360"/>
      </w:tabs>
    </w:pPr>
    <w:r>
      <w:t>A</w:t>
    </w:r>
    <w:r w:rsidR="002B2DD8">
      <w:t>.18</w:t>
    </w:r>
    <w:r w:rsidR="002B2DD8">
      <w:noBreakHyphen/>
      <w:t>05</w:t>
    </w:r>
    <w:r w:rsidR="002B2DD8">
      <w:noBreakHyphen/>
      <w:t>015  ALJ/ZK1/jt2</w:t>
    </w:r>
  </w:p>
  <w:p w14:paraId="593F107D" w14:textId="2EF1265A" w:rsidR="003F25F8" w:rsidRDefault="003F25F8" w:rsidP="00761C0B">
    <w:pPr>
      <w:pStyle w:val="Header"/>
    </w:pPr>
  </w:p>
  <w:p w14:paraId="745912C6" w14:textId="77777777" w:rsidR="003F25F8" w:rsidRDefault="003F25F8" w:rsidP="00761C0B">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2D05" w14:textId="2B792D74" w:rsidR="003F25F8" w:rsidRDefault="003F25F8" w:rsidP="001F552F">
    <w:pPr>
      <w:pStyle w:val="Header"/>
      <w:tabs>
        <w:tab w:val="clear" w:pos="4320"/>
        <w:tab w:val="clear" w:pos="8640"/>
        <w:tab w:val="right" w:pos="9360"/>
      </w:tabs>
    </w:pPr>
    <w:r>
      <w:t>A</w:t>
    </w:r>
    <w:r w:rsidR="00057936">
      <w:t>.18</w:t>
    </w:r>
    <w:r w:rsidR="00057936">
      <w:noBreakHyphen/>
      <w:t>05</w:t>
    </w:r>
    <w:r w:rsidR="00057936">
      <w:noBreakHyphen/>
      <w:t>015  ALJ/ZK1/jt2</w:t>
    </w:r>
  </w:p>
  <w:p w14:paraId="65154D49" w14:textId="57D2596D" w:rsidR="003F25F8" w:rsidRDefault="003F25F8" w:rsidP="003D71E0">
    <w:pPr>
      <w:pStyle w:val="Header"/>
    </w:pPr>
  </w:p>
  <w:p w14:paraId="3BBD9A17" w14:textId="77777777" w:rsidR="003F25F8" w:rsidRDefault="003F25F8" w:rsidP="003D71E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822"/>
    <w:multiLevelType w:val="hybridMultilevel"/>
    <w:tmpl w:val="D676E928"/>
    <w:lvl w:ilvl="0" w:tplc="E86AE1FA">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27A6"/>
    <w:multiLevelType w:val="hybridMultilevel"/>
    <w:tmpl w:val="2ED64668"/>
    <w:lvl w:ilvl="0" w:tplc="C666DD58">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D3CF2"/>
    <w:multiLevelType w:val="hybridMultilevel"/>
    <w:tmpl w:val="8040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26B50C0"/>
    <w:multiLevelType w:val="hybridMultilevel"/>
    <w:tmpl w:val="367200C8"/>
    <w:lvl w:ilvl="0" w:tplc="663201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D79D9"/>
    <w:multiLevelType w:val="singleLevel"/>
    <w:tmpl w:val="BA70FAF0"/>
    <w:lvl w:ilvl="0">
      <w:start w:val="1"/>
      <w:numFmt w:val="decimal"/>
      <w:lvlText w:val="%1."/>
      <w:legacy w:legacy="1" w:legacySpace="144" w:legacyIndent="0"/>
      <w:lvlJc w:val="left"/>
    </w:lvl>
  </w:abstractNum>
  <w:abstractNum w:abstractNumId="8">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D46003"/>
    <w:multiLevelType w:val="singleLevel"/>
    <w:tmpl w:val="408002C8"/>
    <w:lvl w:ilvl="0">
      <w:start w:val="1"/>
      <w:numFmt w:val="decimal"/>
      <w:lvlText w:val="%1."/>
      <w:legacy w:legacy="1" w:legacySpace="144" w:legacyIndent="0"/>
      <w:lvlJc w:val="left"/>
    </w:lvl>
  </w:abstractNum>
  <w:abstractNum w:abstractNumId="10">
    <w:nsid w:val="32A81D27"/>
    <w:multiLevelType w:val="hybridMultilevel"/>
    <w:tmpl w:val="307EA6C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FA2333"/>
    <w:multiLevelType w:val="hybridMultilevel"/>
    <w:tmpl w:val="18967878"/>
    <w:lvl w:ilvl="0" w:tplc="2F3A19C6">
      <w:numFmt w:val="bullet"/>
      <w:lvlText w:val="-"/>
      <w:lvlJc w:val="left"/>
      <w:pPr>
        <w:ind w:left="432" w:hanging="360"/>
      </w:pPr>
      <w:rPr>
        <w:rFonts w:ascii="Palatino" w:eastAsia="Times New Roman" w:hAnsi="Palatino"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372E132A"/>
    <w:multiLevelType w:val="singleLevel"/>
    <w:tmpl w:val="6C78A414"/>
    <w:lvl w:ilvl="0">
      <w:start w:val="1"/>
      <w:numFmt w:val="decimal"/>
      <w:lvlText w:val="%1."/>
      <w:legacy w:legacy="1" w:legacySpace="144" w:legacyIndent="0"/>
      <w:lvlJc w:val="left"/>
    </w:lvl>
  </w:abstractNum>
  <w:abstractNum w:abstractNumId="14">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1C274D"/>
    <w:multiLevelType w:val="hybridMultilevel"/>
    <w:tmpl w:val="C21EB3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8DA0E86"/>
    <w:multiLevelType w:val="hybridMultilevel"/>
    <w:tmpl w:val="9464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27792"/>
    <w:multiLevelType w:val="hybridMultilevel"/>
    <w:tmpl w:val="CC4045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D33644E"/>
    <w:multiLevelType w:val="singleLevel"/>
    <w:tmpl w:val="BA70FAF0"/>
    <w:lvl w:ilvl="0">
      <w:start w:val="1"/>
      <w:numFmt w:val="decimal"/>
      <w:lvlText w:val="%1."/>
      <w:legacy w:legacy="1" w:legacySpace="144" w:legacyIndent="0"/>
      <w:lvlJc w:val="left"/>
    </w:lvl>
  </w:abstractNum>
  <w:abstractNum w:abstractNumId="20">
    <w:nsid w:val="50AB7131"/>
    <w:multiLevelType w:val="hybridMultilevel"/>
    <w:tmpl w:val="E1EA835A"/>
    <w:lvl w:ilvl="0" w:tplc="ABC4FD8E">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57C15"/>
    <w:multiLevelType w:val="singleLevel"/>
    <w:tmpl w:val="BA70FAF0"/>
    <w:lvl w:ilvl="0">
      <w:start w:val="1"/>
      <w:numFmt w:val="decimal"/>
      <w:lvlText w:val="%1."/>
      <w:legacy w:legacy="1" w:legacySpace="144" w:legacyIndent="0"/>
      <w:lvlJc w:val="left"/>
    </w:lvl>
  </w:abstractNum>
  <w:abstractNum w:abstractNumId="22">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CB3101"/>
    <w:multiLevelType w:val="multilevel"/>
    <w:tmpl w:val="FBBC1C58"/>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5">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5E6B74C4"/>
    <w:multiLevelType w:val="hybridMultilevel"/>
    <w:tmpl w:val="2C24AFDC"/>
    <w:lvl w:ilvl="0" w:tplc="CFF68A10">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0F3C24"/>
    <w:multiLevelType w:val="hybridMultilevel"/>
    <w:tmpl w:val="E7FE8F8C"/>
    <w:lvl w:ilvl="0" w:tplc="4FE2FF02">
      <w:start w:val="1"/>
      <w:numFmt w:val="decimal"/>
      <w:lvlText w:val="%1."/>
      <w:lvlJc w:val="left"/>
      <w:pPr>
        <w:ind w:left="1180" w:hanging="360"/>
      </w:pPr>
      <w:rPr>
        <w:rFonts w:hint="default"/>
        <w:b w:val="0"/>
        <w:color w:val="auto"/>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8DC0801A">
      <w:start w:val="1"/>
      <w:numFmt w:val="decimal"/>
      <w:lvlText w:val="%4."/>
      <w:lvlJc w:val="left"/>
      <w:pPr>
        <w:ind w:left="3340" w:hanging="360"/>
      </w:pPr>
      <w:rPr>
        <w:rFonts w:hint="default"/>
        <w:b w:val="0"/>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nsid w:val="66A04BCF"/>
    <w:multiLevelType w:val="hybridMultilevel"/>
    <w:tmpl w:val="09BA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32">
    <w:nsid w:val="6C8C16CB"/>
    <w:multiLevelType w:val="hybridMultilevel"/>
    <w:tmpl w:val="95568AE4"/>
    <w:lvl w:ilvl="0" w:tplc="2522D8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6D1B7E79"/>
    <w:multiLevelType w:val="hybridMultilevel"/>
    <w:tmpl w:val="7136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3D726F"/>
    <w:multiLevelType w:val="singleLevel"/>
    <w:tmpl w:val="2FB6A734"/>
    <w:lvl w:ilvl="0">
      <w:start w:val="1"/>
      <w:numFmt w:val="decimal"/>
      <w:lvlText w:val="%1."/>
      <w:legacy w:legacy="1" w:legacySpace="144" w:legacyIndent="0"/>
      <w:lvlJc w:val="left"/>
    </w:lvl>
  </w:abstractNum>
  <w:abstractNum w:abstractNumId="35">
    <w:nsid w:val="6E741B26"/>
    <w:multiLevelType w:val="singleLevel"/>
    <w:tmpl w:val="BC047196"/>
    <w:lvl w:ilvl="0">
      <w:start w:val="1"/>
      <w:numFmt w:val="decimal"/>
      <w:lvlText w:val="%1."/>
      <w:legacy w:legacy="1" w:legacySpace="144" w:legacyIndent="0"/>
      <w:lvlJc w:val="left"/>
    </w:lvl>
  </w:abstractNum>
  <w:abstractNum w:abstractNumId="36">
    <w:nsid w:val="6F653227"/>
    <w:multiLevelType w:val="hybridMultilevel"/>
    <w:tmpl w:val="826C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0572F0"/>
    <w:multiLevelType w:val="singleLevel"/>
    <w:tmpl w:val="BC047196"/>
    <w:lvl w:ilvl="0">
      <w:start w:val="1"/>
      <w:numFmt w:val="decimal"/>
      <w:lvlText w:val="%1."/>
      <w:legacy w:legacy="1" w:legacySpace="144" w:legacyIndent="0"/>
      <w:lvlJc w:val="left"/>
    </w:lvl>
  </w:abstractNum>
  <w:abstractNum w:abstractNumId="38">
    <w:nsid w:val="76DC181B"/>
    <w:multiLevelType w:val="hybridMultilevel"/>
    <w:tmpl w:val="43FA3C6C"/>
    <w:lvl w:ilvl="0" w:tplc="D2B4D224">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C91482"/>
    <w:multiLevelType w:val="singleLevel"/>
    <w:tmpl w:val="BC047196"/>
    <w:lvl w:ilvl="0">
      <w:start w:val="1"/>
      <w:numFmt w:val="decimal"/>
      <w:lvlText w:val="%1."/>
      <w:legacy w:legacy="1" w:legacySpace="144" w:legacyIndent="0"/>
      <w:lvlJc w:val="left"/>
    </w:lvl>
  </w:abstractNum>
  <w:abstractNum w:abstractNumId="40">
    <w:nsid w:val="7B1C30FD"/>
    <w:multiLevelType w:val="singleLevel"/>
    <w:tmpl w:val="2FB6A734"/>
    <w:lvl w:ilvl="0">
      <w:start w:val="1"/>
      <w:numFmt w:val="decimal"/>
      <w:lvlText w:val="%1."/>
      <w:legacy w:legacy="1" w:legacySpace="144" w:legacyIndent="0"/>
      <w:lvlJc w:val="left"/>
    </w:lvl>
  </w:abstractNum>
  <w:abstractNum w:abstractNumId="41">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42">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9"/>
  </w:num>
  <w:num w:numId="3">
    <w:abstractNumId w:val="4"/>
  </w:num>
  <w:num w:numId="4">
    <w:abstractNumId w:val="40"/>
  </w:num>
  <w:num w:numId="5">
    <w:abstractNumId w:val="11"/>
  </w:num>
  <w:num w:numId="6">
    <w:abstractNumId w:val="13"/>
    <w:lvlOverride w:ilvl="0">
      <w:lvl w:ilvl="0">
        <w:start w:val="1"/>
        <w:numFmt w:val="decimal"/>
        <w:lvlText w:val="%1."/>
        <w:legacy w:legacy="1" w:legacySpace="0" w:legacyIndent="0"/>
        <w:lvlJc w:val="left"/>
      </w:lvl>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8"/>
  </w:num>
  <w:num w:numId="14">
    <w:abstractNumId w:val="24"/>
  </w:num>
  <w:num w:numId="15">
    <w:abstractNumId w:val="24"/>
  </w:num>
  <w:num w:numId="16">
    <w:abstractNumId w:val="19"/>
  </w:num>
  <w:num w:numId="17">
    <w:abstractNumId w:val="31"/>
  </w:num>
  <w:num w:numId="18">
    <w:abstractNumId w:val="21"/>
  </w:num>
  <w:num w:numId="19">
    <w:abstractNumId w:val="7"/>
  </w:num>
  <w:num w:numId="20">
    <w:abstractNumId w:val="15"/>
  </w:num>
  <w:num w:numId="21">
    <w:abstractNumId w:val="42"/>
  </w:num>
  <w:num w:numId="22">
    <w:abstractNumId w:val="23"/>
  </w:num>
  <w:num w:numId="23">
    <w:abstractNumId w:val="6"/>
  </w:num>
  <w:num w:numId="24">
    <w:abstractNumId w:val="22"/>
  </w:num>
  <w:num w:numId="25">
    <w:abstractNumId w:val="14"/>
  </w:num>
  <w:num w:numId="26">
    <w:abstractNumId w:val="35"/>
  </w:num>
  <w:num w:numId="27">
    <w:abstractNumId w:val="39"/>
  </w:num>
  <w:num w:numId="28">
    <w:abstractNumId w:val="37"/>
  </w:num>
  <w:num w:numId="29">
    <w:abstractNumId w:val="14"/>
  </w:num>
  <w:num w:numId="30">
    <w:abstractNumId w:val="14"/>
  </w:num>
  <w:num w:numId="31">
    <w:abstractNumId w:val="14"/>
  </w:num>
  <w:num w:numId="32">
    <w:abstractNumId w:val="3"/>
  </w:num>
  <w:num w:numId="33">
    <w:abstractNumId w:val="24"/>
  </w:num>
  <w:num w:numId="34">
    <w:abstractNumId w:val="24"/>
  </w:num>
  <w:num w:numId="35">
    <w:abstractNumId w:val="24"/>
  </w:num>
  <w:num w:numId="36">
    <w:abstractNumId w:val="24"/>
  </w:num>
  <w:num w:numId="37">
    <w:abstractNumId w:val="24"/>
  </w:num>
  <w:num w:numId="38">
    <w:abstractNumId w:val="29"/>
  </w:num>
  <w:num w:numId="39">
    <w:abstractNumId w:val="24"/>
  </w:num>
  <w:num w:numId="40">
    <w:abstractNumId w:val="36"/>
  </w:num>
  <w:num w:numId="41">
    <w:abstractNumId w:val="24"/>
  </w:num>
  <w:num w:numId="42">
    <w:abstractNumId w:val="24"/>
  </w:num>
  <w:num w:numId="43">
    <w:abstractNumId w:val="24"/>
  </w:num>
  <w:num w:numId="44">
    <w:abstractNumId w:val="17"/>
  </w:num>
  <w:num w:numId="45">
    <w:abstractNumId w:val="24"/>
  </w:num>
  <w:num w:numId="46">
    <w:abstractNumId w:val="34"/>
  </w:num>
  <w:num w:numId="47">
    <w:abstractNumId w:val="2"/>
  </w:num>
  <w:num w:numId="48">
    <w:abstractNumId w:val="30"/>
  </w:num>
  <w:num w:numId="49">
    <w:abstractNumId w:val="32"/>
  </w:num>
  <w:num w:numId="50">
    <w:abstractNumId w:val="20"/>
  </w:num>
  <w:num w:numId="51">
    <w:abstractNumId w:val="5"/>
  </w:num>
  <w:num w:numId="52">
    <w:abstractNumId w:val="0"/>
  </w:num>
  <w:num w:numId="53">
    <w:abstractNumId w:val="38"/>
  </w:num>
  <w:num w:numId="54">
    <w:abstractNumId w:val="33"/>
  </w:num>
  <w:num w:numId="55">
    <w:abstractNumId w:val="18"/>
  </w:num>
  <w:num w:numId="56">
    <w:abstractNumId w:val="12"/>
  </w:num>
  <w:num w:numId="57">
    <w:abstractNumId w:val="10"/>
  </w:num>
  <w:num w:numId="58">
    <w:abstractNumId w:val="16"/>
  </w:num>
  <w:num w:numId="59">
    <w:abstractNumId w:val="27"/>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A76"/>
    <w:rsid w:val="00001529"/>
    <w:rsid w:val="00002C8B"/>
    <w:rsid w:val="00002D1A"/>
    <w:rsid w:val="00002D83"/>
    <w:rsid w:val="00002EDC"/>
    <w:rsid w:val="00004811"/>
    <w:rsid w:val="00004CBC"/>
    <w:rsid w:val="000056FC"/>
    <w:rsid w:val="00005B57"/>
    <w:rsid w:val="00005B59"/>
    <w:rsid w:val="00005D5A"/>
    <w:rsid w:val="00007002"/>
    <w:rsid w:val="00007D32"/>
    <w:rsid w:val="00010D71"/>
    <w:rsid w:val="00011922"/>
    <w:rsid w:val="00012F57"/>
    <w:rsid w:val="000131B2"/>
    <w:rsid w:val="000145B7"/>
    <w:rsid w:val="00016AD3"/>
    <w:rsid w:val="00017354"/>
    <w:rsid w:val="0002051D"/>
    <w:rsid w:val="00020613"/>
    <w:rsid w:val="000210A1"/>
    <w:rsid w:val="00021CB7"/>
    <w:rsid w:val="00022869"/>
    <w:rsid w:val="00023A6F"/>
    <w:rsid w:val="000257AD"/>
    <w:rsid w:val="000263F5"/>
    <w:rsid w:val="0002642A"/>
    <w:rsid w:val="00026477"/>
    <w:rsid w:val="00032FE0"/>
    <w:rsid w:val="000341C0"/>
    <w:rsid w:val="0003480E"/>
    <w:rsid w:val="00034E23"/>
    <w:rsid w:val="0004241A"/>
    <w:rsid w:val="00042B58"/>
    <w:rsid w:val="000442B3"/>
    <w:rsid w:val="00044798"/>
    <w:rsid w:val="0004521B"/>
    <w:rsid w:val="000503D8"/>
    <w:rsid w:val="00051604"/>
    <w:rsid w:val="00051849"/>
    <w:rsid w:val="0005354A"/>
    <w:rsid w:val="000544F1"/>
    <w:rsid w:val="00055026"/>
    <w:rsid w:val="00057936"/>
    <w:rsid w:val="0006020C"/>
    <w:rsid w:val="00061824"/>
    <w:rsid w:val="000648C3"/>
    <w:rsid w:val="00064F02"/>
    <w:rsid w:val="000676FB"/>
    <w:rsid w:val="00070411"/>
    <w:rsid w:val="0007145D"/>
    <w:rsid w:val="00071D64"/>
    <w:rsid w:val="000730A3"/>
    <w:rsid w:val="00073340"/>
    <w:rsid w:val="00076609"/>
    <w:rsid w:val="00077107"/>
    <w:rsid w:val="00077EAC"/>
    <w:rsid w:val="0008054F"/>
    <w:rsid w:val="00080979"/>
    <w:rsid w:val="0008300E"/>
    <w:rsid w:val="000854CF"/>
    <w:rsid w:val="000860F5"/>
    <w:rsid w:val="0008630C"/>
    <w:rsid w:val="00086588"/>
    <w:rsid w:val="000867F7"/>
    <w:rsid w:val="000872D6"/>
    <w:rsid w:val="00087847"/>
    <w:rsid w:val="00092891"/>
    <w:rsid w:val="00092955"/>
    <w:rsid w:val="00093E01"/>
    <w:rsid w:val="000940C9"/>
    <w:rsid w:val="00094673"/>
    <w:rsid w:val="00097605"/>
    <w:rsid w:val="000A0143"/>
    <w:rsid w:val="000A2AF0"/>
    <w:rsid w:val="000A75D9"/>
    <w:rsid w:val="000B195F"/>
    <w:rsid w:val="000B1D66"/>
    <w:rsid w:val="000B1F86"/>
    <w:rsid w:val="000B3DE7"/>
    <w:rsid w:val="000B47F1"/>
    <w:rsid w:val="000B51BC"/>
    <w:rsid w:val="000B5A61"/>
    <w:rsid w:val="000B6755"/>
    <w:rsid w:val="000C15F0"/>
    <w:rsid w:val="000C29A7"/>
    <w:rsid w:val="000C7538"/>
    <w:rsid w:val="000C782D"/>
    <w:rsid w:val="000C7E1B"/>
    <w:rsid w:val="000D00CD"/>
    <w:rsid w:val="000D2630"/>
    <w:rsid w:val="000D278F"/>
    <w:rsid w:val="000D55C2"/>
    <w:rsid w:val="000D6B2D"/>
    <w:rsid w:val="000E121B"/>
    <w:rsid w:val="000E30F0"/>
    <w:rsid w:val="000E3D24"/>
    <w:rsid w:val="000E4A6C"/>
    <w:rsid w:val="000E4CBF"/>
    <w:rsid w:val="000E603C"/>
    <w:rsid w:val="000E7375"/>
    <w:rsid w:val="000F20CB"/>
    <w:rsid w:val="000F3FC8"/>
    <w:rsid w:val="000F49CC"/>
    <w:rsid w:val="000F51A6"/>
    <w:rsid w:val="000F7D5A"/>
    <w:rsid w:val="001014D7"/>
    <w:rsid w:val="001026CC"/>
    <w:rsid w:val="001027BC"/>
    <w:rsid w:val="00103314"/>
    <w:rsid w:val="00104607"/>
    <w:rsid w:val="0010506A"/>
    <w:rsid w:val="00105900"/>
    <w:rsid w:val="00106942"/>
    <w:rsid w:val="0010711A"/>
    <w:rsid w:val="00107BA2"/>
    <w:rsid w:val="00107D06"/>
    <w:rsid w:val="001103F7"/>
    <w:rsid w:val="001108AE"/>
    <w:rsid w:val="00112E21"/>
    <w:rsid w:val="00112F5D"/>
    <w:rsid w:val="00115051"/>
    <w:rsid w:val="00120B3B"/>
    <w:rsid w:val="00122E56"/>
    <w:rsid w:val="00123091"/>
    <w:rsid w:val="00123506"/>
    <w:rsid w:val="001240DF"/>
    <w:rsid w:val="00124A78"/>
    <w:rsid w:val="00125AAE"/>
    <w:rsid w:val="00131A1D"/>
    <w:rsid w:val="00132A17"/>
    <w:rsid w:val="00133E6B"/>
    <w:rsid w:val="00134126"/>
    <w:rsid w:val="0013566B"/>
    <w:rsid w:val="00137DDF"/>
    <w:rsid w:val="00141BF3"/>
    <w:rsid w:val="00142F67"/>
    <w:rsid w:val="00144211"/>
    <w:rsid w:val="0014516C"/>
    <w:rsid w:val="001474FE"/>
    <w:rsid w:val="00147A20"/>
    <w:rsid w:val="00151982"/>
    <w:rsid w:val="001525B2"/>
    <w:rsid w:val="001531B1"/>
    <w:rsid w:val="001542C2"/>
    <w:rsid w:val="00154A96"/>
    <w:rsid w:val="00154F76"/>
    <w:rsid w:val="001577A1"/>
    <w:rsid w:val="0015795B"/>
    <w:rsid w:val="0016028E"/>
    <w:rsid w:val="00162C0A"/>
    <w:rsid w:val="00163E0B"/>
    <w:rsid w:val="00164287"/>
    <w:rsid w:val="001658F2"/>
    <w:rsid w:val="00165CB4"/>
    <w:rsid w:val="001679C8"/>
    <w:rsid w:val="00167A58"/>
    <w:rsid w:val="00170D88"/>
    <w:rsid w:val="00172022"/>
    <w:rsid w:val="0017288A"/>
    <w:rsid w:val="00173541"/>
    <w:rsid w:val="00173BBC"/>
    <w:rsid w:val="00175350"/>
    <w:rsid w:val="0017652A"/>
    <w:rsid w:val="00176E99"/>
    <w:rsid w:val="00177435"/>
    <w:rsid w:val="0017758E"/>
    <w:rsid w:val="00177E97"/>
    <w:rsid w:val="00181312"/>
    <w:rsid w:val="00181BD1"/>
    <w:rsid w:val="00182377"/>
    <w:rsid w:val="001832F0"/>
    <w:rsid w:val="00183927"/>
    <w:rsid w:val="00183DB5"/>
    <w:rsid w:val="00184D4B"/>
    <w:rsid w:val="0018674E"/>
    <w:rsid w:val="00186969"/>
    <w:rsid w:val="00190CFF"/>
    <w:rsid w:val="00190DFC"/>
    <w:rsid w:val="001911D1"/>
    <w:rsid w:val="00192455"/>
    <w:rsid w:val="00193AE5"/>
    <w:rsid w:val="0019475D"/>
    <w:rsid w:val="00195CB3"/>
    <w:rsid w:val="001961DB"/>
    <w:rsid w:val="001A0B2F"/>
    <w:rsid w:val="001A0C20"/>
    <w:rsid w:val="001A18DC"/>
    <w:rsid w:val="001A1AD4"/>
    <w:rsid w:val="001A2237"/>
    <w:rsid w:val="001A5348"/>
    <w:rsid w:val="001A672B"/>
    <w:rsid w:val="001B09D8"/>
    <w:rsid w:val="001B1038"/>
    <w:rsid w:val="001B2E92"/>
    <w:rsid w:val="001B4AD9"/>
    <w:rsid w:val="001B4F1D"/>
    <w:rsid w:val="001B6E46"/>
    <w:rsid w:val="001B7310"/>
    <w:rsid w:val="001B73AC"/>
    <w:rsid w:val="001B754D"/>
    <w:rsid w:val="001C074F"/>
    <w:rsid w:val="001C2132"/>
    <w:rsid w:val="001C370D"/>
    <w:rsid w:val="001C3E43"/>
    <w:rsid w:val="001C5110"/>
    <w:rsid w:val="001C6156"/>
    <w:rsid w:val="001C64E9"/>
    <w:rsid w:val="001C66BB"/>
    <w:rsid w:val="001C67B8"/>
    <w:rsid w:val="001C7F78"/>
    <w:rsid w:val="001D0C14"/>
    <w:rsid w:val="001D1528"/>
    <w:rsid w:val="001D2B40"/>
    <w:rsid w:val="001D3AE7"/>
    <w:rsid w:val="001D74D2"/>
    <w:rsid w:val="001E026C"/>
    <w:rsid w:val="001E0721"/>
    <w:rsid w:val="001E6C7C"/>
    <w:rsid w:val="001E710B"/>
    <w:rsid w:val="001E7389"/>
    <w:rsid w:val="001F0913"/>
    <w:rsid w:val="001F1895"/>
    <w:rsid w:val="001F21BA"/>
    <w:rsid w:val="001F2C9E"/>
    <w:rsid w:val="001F3B3E"/>
    <w:rsid w:val="001F3DC6"/>
    <w:rsid w:val="001F441C"/>
    <w:rsid w:val="001F5141"/>
    <w:rsid w:val="001F552F"/>
    <w:rsid w:val="001F5DB9"/>
    <w:rsid w:val="00200467"/>
    <w:rsid w:val="00202099"/>
    <w:rsid w:val="00202DDB"/>
    <w:rsid w:val="00204503"/>
    <w:rsid w:val="002048A0"/>
    <w:rsid w:val="00206A2E"/>
    <w:rsid w:val="00207497"/>
    <w:rsid w:val="00207FAD"/>
    <w:rsid w:val="00210FDF"/>
    <w:rsid w:val="00211444"/>
    <w:rsid w:val="00213030"/>
    <w:rsid w:val="00213051"/>
    <w:rsid w:val="0021310A"/>
    <w:rsid w:val="00214C97"/>
    <w:rsid w:val="00215030"/>
    <w:rsid w:val="00216433"/>
    <w:rsid w:val="00221126"/>
    <w:rsid w:val="00221F8E"/>
    <w:rsid w:val="00222C0E"/>
    <w:rsid w:val="0023066E"/>
    <w:rsid w:val="00231575"/>
    <w:rsid w:val="00232B0B"/>
    <w:rsid w:val="00233016"/>
    <w:rsid w:val="00233A94"/>
    <w:rsid w:val="00233D9D"/>
    <w:rsid w:val="002343E9"/>
    <w:rsid w:val="00234BB0"/>
    <w:rsid w:val="00236980"/>
    <w:rsid w:val="00237B25"/>
    <w:rsid w:val="002439E0"/>
    <w:rsid w:val="00243FD3"/>
    <w:rsid w:val="0024597B"/>
    <w:rsid w:val="00246283"/>
    <w:rsid w:val="00246B13"/>
    <w:rsid w:val="00246F61"/>
    <w:rsid w:val="00246FFC"/>
    <w:rsid w:val="0025392D"/>
    <w:rsid w:val="00254F1E"/>
    <w:rsid w:val="002558B7"/>
    <w:rsid w:val="0025626C"/>
    <w:rsid w:val="002621C6"/>
    <w:rsid w:val="002627C4"/>
    <w:rsid w:val="00262C79"/>
    <w:rsid w:val="0026447A"/>
    <w:rsid w:val="0026469A"/>
    <w:rsid w:val="0026528E"/>
    <w:rsid w:val="00267684"/>
    <w:rsid w:val="00267D25"/>
    <w:rsid w:val="00267D5B"/>
    <w:rsid w:val="0027209C"/>
    <w:rsid w:val="00273CD5"/>
    <w:rsid w:val="00273F26"/>
    <w:rsid w:val="002744B5"/>
    <w:rsid w:val="00274538"/>
    <w:rsid w:val="00274888"/>
    <w:rsid w:val="002766C4"/>
    <w:rsid w:val="00276CC2"/>
    <w:rsid w:val="002770B0"/>
    <w:rsid w:val="002770C7"/>
    <w:rsid w:val="002776AA"/>
    <w:rsid w:val="00280AB4"/>
    <w:rsid w:val="002816FE"/>
    <w:rsid w:val="00281C73"/>
    <w:rsid w:val="00282359"/>
    <w:rsid w:val="00282B6C"/>
    <w:rsid w:val="00287B0E"/>
    <w:rsid w:val="00287F56"/>
    <w:rsid w:val="00290114"/>
    <w:rsid w:val="00291481"/>
    <w:rsid w:val="002918C4"/>
    <w:rsid w:val="0029262C"/>
    <w:rsid w:val="00293378"/>
    <w:rsid w:val="002937FD"/>
    <w:rsid w:val="00295756"/>
    <w:rsid w:val="002967C6"/>
    <w:rsid w:val="00297772"/>
    <w:rsid w:val="00297DA4"/>
    <w:rsid w:val="002A0D6B"/>
    <w:rsid w:val="002A0DE5"/>
    <w:rsid w:val="002A21D7"/>
    <w:rsid w:val="002A25D2"/>
    <w:rsid w:val="002A3189"/>
    <w:rsid w:val="002A330F"/>
    <w:rsid w:val="002A42B8"/>
    <w:rsid w:val="002A42E8"/>
    <w:rsid w:val="002A7F6A"/>
    <w:rsid w:val="002B0242"/>
    <w:rsid w:val="002B1258"/>
    <w:rsid w:val="002B2735"/>
    <w:rsid w:val="002B2D30"/>
    <w:rsid w:val="002B2DD8"/>
    <w:rsid w:val="002B36A2"/>
    <w:rsid w:val="002B4A62"/>
    <w:rsid w:val="002B5CD4"/>
    <w:rsid w:val="002B6D29"/>
    <w:rsid w:val="002C05DA"/>
    <w:rsid w:val="002C077C"/>
    <w:rsid w:val="002C2CF4"/>
    <w:rsid w:val="002C3411"/>
    <w:rsid w:val="002C4D6B"/>
    <w:rsid w:val="002C4FE9"/>
    <w:rsid w:val="002C73D4"/>
    <w:rsid w:val="002D0898"/>
    <w:rsid w:val="002D0B4F"/>
    <w:rsid w:val="002D12F8"/>
    <w:rsid w:val="002D14FE"/>
    <w:rsid w:val="002D23D0"/>
    <w:rsid w:val="002D4547"/>
    <w:rsid w:val="002D54D8"/>
    <w:rsid w:val="002D559A"/>
    <w:rsid w:val="002D6567"/>
    <w:rsid w:val="002D67C1"/>
    <w:rsid w:val="002D742C"/>
    <w:rsid w:val="002D7882"/>
    <w:rsid w:val="002D7958"/>
    <w:rsid w:val="002D7FCA"/>
    <w:rsid w:val="002E2E30"/>
    <w:rsid w:val="002E2E76"/>
    <w:rsid w:val="002E41FA"/>
    <w:rsid w:val="002E4CA3"/>
    <w:rsid w:val="002E5729"/>
    <w:rsid w:val="002E5DB6"/>
    <w:rsid w:val="002E5EE9"/>
    <w:rsid w:val="002E6615"/>
    <w:rsid w:val="002E78C1"/>
    <w:rsid w:val="002E7C13"/>
    <w:rsid w:val="002E7C22"/>
    <w:rsid w:val="002F2362"/>
    <w:rsid w:val="002F2ECF"/>
    <w:rsid w:val="002F3CB1"/>
    <w:rsid w:val="002F4D0A"/>
    <w:rsid w:val="002F5081"/>
    <w:rsid w:val="002F54D0"/>
    <w:rsid w:val="002F6FA9"/>
    <w:rsid w:val="002F72B1"/>
    <w:rsid w:val="002F7C63"/>
    <w:rsid w:val="00300040"/>
    <w:rsid w:val="00300312"/>
    <w:rsid w:val="00300F71"/>
    <w:rsid w:val="00301E5F"/>
    <w:rsid w:val="00301FC9"/>
    <w:rsid w:val="003032BE"/>
    <w:rsid w:val="003040DC"/>
    <w:rsid w:val="00305F37"/>
    <w:rsid w:val="00307216"/>
    <w:rsid w:val="00307645"/>
    <w:rsid w:val="003105C6"/>
    <w:rsid w:val="0031090F"/>
    <w:rsid w:val="00310DBE"/>
    <w:rsid w:val="003125BA"/>
    <w:rsid w:val="0031497A"/>
    <w:rsid w:val="00315229"/>
    <w:rsid w:val="00316915"/>
    <w:rsid w:val="003202EA"/>
    <w:rsid w:val="00320949"/>
    <w:rsid w:val="00321DB1"/>
    <w:rsid w:val="0032348D"/>
    <w:rsid w:val="003234EE"/>
    <w:rsid w:val="00324589"/>
    <w:rsid w:val="00325661"/>
    <w:rsid w:val="003258F7"/>
    <w:rsid w:val="00326F8A"/>
    <w:rsid w:val="00327F82"/>
    <w:rsid w:val="00330848"/>
    <w:rsid w:val="00330A78"/>
    <w:rsid w:val="003326E3"/>
    <w:rsid w:val="00333F05"/>
    <w:rsid w:val="003351CA"/>
    <w:rsid w:val="00335B9E"/>
    <w:rsid w:val="00335E12"/>
    <w:rsid w:val="00337807"/>
    <w:rsid w:val="00341D26"/>
    <w:rsid w:val="003429D9"/>
    <w:rsid w:val="003435BA"/>
    <w:rsid w:val="003437C9"/>
    <w:rsid w:val="00344C8A"/>
    <w:rsid w:val="00346306"/>
    <w:rsid w:val="003516DB"/>
    <w:rsid w:val="003517F8"/>
    <w:rsid w:val="00351C40"/>
    <w:rsid w:val="00356AE1"/>
    <w:rsid w:val="00356BD1"/>
    <w:rsid w:val="00356CB4"/>
    <w:rsid w:val="0035776A"/>
    <w:rsid w:val="00361BD8"/>
    <w:rsid w:val="00363A98"/>
    <w:rsid w:val="003642C5"/>
    <w:rsid w:val="00364F60"/>
    <w:rsid w:val="003654A7"/>
    <w:rsid w:val="00365D7D"/>
    <w:rsid w:val="003673BC"/>
    <w:rsid w:val="0036764F"/>
    <w:rsid w:val="00367EBA"/>
    <w:rsid w:val="0037227A"/>
    <w:rsid w:val="00372671"/>
    <w:rsid w:val="003728E7"/>
    <w:rsid w:val="00372BF0"/>
    <w:rsid w:val="0037447D"/>
    <w:rsid w:val="00374D2F"/>
    <w:rsid w:val="00375730"/>
    <w:rsid w:val="00375A22"/>
    <w:rsid w:val="00375FB3"/>
    <w:rsid w:val="003767AB"/>
    <w:rsid w:val="003771D0"/>
    <w:rsid w:val="003771F9"/>
    <w:rsid w:val="003818C1"/>
    <w:rsid w:val="00384E31"/>
    <w:rsid w:val="00386035"/>
    <w:rsid w:val="003864D2"/>
    <w:rsid w:val="00386A97"/>
    <w:rsid w:val="003903C3"/>
    <w:rsid w:val="00390E86"/>
    <w:rsid w:val="0039164A"/>
    <w:rsid w:val="003937F4"/>
    <w:rsid w:val="00394C11"/>
    <w:rsid w:val="0039618D"/>
    <w:rsid w:val="003963E9"/>
    <w:rsid w:val="00397611"/>
    <w:rsid w:val="00397B84"/>
    <w:rsid w:val="003A03D3"/>
    <w:rsid w:val="003A0B73"/>
    <w:rsid w:val="003A10DD"/>
    <w:rsid w:val="003A1A3B"/>
    <w:rsid w:val="003A1BD4"/>
    <w:rsid w:val="003A36B5"/>
    <w:rsid w:val="003A50AD"/>
    <w:rsid w:val="003A6A98"/>
    <w:rsid w:val="003A6F37"/>
    <w:rsid w:val="003A785C"/>
    <w:rsid w:val="003B02C9"/>
    <w:rsid w:val="003B02CC"/>
    <w:rsid w:val="003B1CE1"/>
    <w:rsid w:val="003B2F5A"/>
    <w:rsid w:val="003B4778"/>
    <w:rsid w:val="003B7231"/>
    <w:rsid w:val="003C0ED9"/>
    <w:rsid w:val="003C16AC"/>
    <w:rsid w:val="003C1D9C"/>
    <w:rsid w:val="003C2D45"/>
    <w:rsid w:val="003C3A73"/>
    <w:rsid w:val="003C4F53"/>
    <w:rsid w:val="003C53E0"/>
    <w:rsid w:val="003C7525"/>
    <w:rsid w:val="003D1AA8"/>
    <w:rsid w:val="003D1BC1"/>
    <w:rsid w:val="003D22D8"/>
    <w:rsid w:val="003D2955"/>
    <w:rsid w:val="003D46E0"/>
    <w:rsid w:val="003D4D44"/>
    <w:rsid w:val="003D638F"/>
    <w:rsid w:val="003D71E0"/>
    <w:rsid w:val="003E23E5"/>
    <w:rsid w:val="003E31BE"/>
    <w:rsid w:val="003E5F74"/>
    <w:rsid w:val="003E660C"/>
    <w:rsid w:val="003E6FC7"/>
    <w:rsid w:val="003F1727"/>
    <w:rsid w:val="003F239E"/>
    <w:rsid w:val="003F25F8"/>
    <w:rsid w:val="003F2E2D"/>
    <w:rsid w:val="003F4893"/>
    <w:rsid w:val="003F48AE"/>
    <w:rsid w:val="003F53BC"/>
    <w:rsid w:val="003F646A"/>
    <w:rsid w:val="0040003F"/>
    <w:rsid w:val="00400E49"/>
    <w:rsid w:val="0040126A"/>
    <w:rsid w:val="004043EE"/>
    <w:rsid w:val="00404CD7"/>
    <w:rsid w:val="004056E5"/>
    <w:rsid w:val="00405A56"/>
    <w:rsid w:val="00405CDC"/>
    <w:rsid w:val="004063C7"/>
    <w:rsid w:val="00414DF6"/>
    <w:rsid w:val="004221A4"/>
    <w:rsid w:val="004225F3"/>
    <w:rsid w:val="0042368A"/>
    <w:rsid w:val="0042730B"/>
    <w:rsid w:val="004303C8"/>
    <w:rsid w:val="00430D4C"/>
    <w:rsid w:val="004313C2"/>
    <w:rsid w:val="00431633"/>
    <w:rsid w:val="00432D05"/>
    <w:rsid w:val="004336E3"/>
    <w:rsid w:val="004343F2"/>
    <w:rsid w:val="00437AC0"/>
    <w:rsid w:val="00440F46"/>
    <w:rsid w:val="004425D3"/>
    <w:rsid w:val="00443D29"/>
    <w:rsid w:val="00444A06"/>
    <w:rsid w:val="00444BA9"/>
    <w:rsid w:val="00445049"/>
    <w:rsid w:val="00445567"/>
    <w:rsid w:val="00445A17"/>
    <w:rsid w:val="00447C26"/>
    <w:rsid w:val="00450536"/>
    <w:rsid w:val="00452A43"/>
    <w:rsid w:val="00454064"/>
    <w:rsid w:val="0045417E"/>
    <w:rsid w:val="004545CB"/>
    <w:rsid w:val="00454EEE"/>
    <w:rsid w:val="0045576F"/>
    <w:rsid w:val="00455E50"/>
    <w:rsid w:val="004566B3"/>
    <w:rsid w:val="00461D2D"/>
    <w:rsid w:val="00461F05"/>
    <w:rsid w:val="00462252"/>
    <w:rsid w:val="00463FAD"/>
    <w:rsid w:val="00464360"/>
    <w:rsid w:val="004648D0"/>
    <w:rsid w:val="00465AC7"/>
    <w:rsid w:val="00467494"/>
    <w:rsid w:val="004702AE"/>
    <w:rsid w:val="0047054F"/>
    <w:rsid w:val="004804E0"/>
    <w:rsid w:val="00480BB9"/>
    <w:rsid w:val="0048237E"/>
    <w:rsid w:val="004824C1"/>
    <w:rsid w:val="004826B0"/>
    <w:rsid w:val="00482E97"/>
    <w:rsid w:val="00482F0C"/>
    <w:rsid w:val="00482F25"/>
    <w:rsid w:val="00484039"/>
    <w:rsid w:val="00484A70"/>
    <w:rsid w:val="00485209"/>
    <w:rsid w:val="0048668C"/>
    <w:rsid w:val="0049028D"/>
    <w:rsid w:val="004917AB"/>
    <w:rsid w:val="0049327C"/>
    <w:rsid w:val="004964AD"/>
    <w:rsid w:val="0049664C"/>
    <w:rsid w:val="004966CB"/>
    <w:rsid w:val="0049761A"/>
    <w:rsid w:val="004978A9"/>
    <w:rsid w:val="004A0020"/>
    <w:rsid w:val="004A073E"/>
    <w:rsid w:val="004A1D3E"/>
    <w:rsid w:val="004A225A"/>
    <w:rsid w:val="004A280A"/>
    <w:rsid w:val="004A67D5"/>
    <w:rsid w:val="004B0912"/>
    <w:rsid w:val="004B7057"/>
    <w:rsid w:val="004C0C56"/>
    <w:rsid w:val="004C2B3A"/>
    <w:rsid w:val="004C75B7"/>
    <w:rsid w:val="004D0555"/>
    <w:rsid w:val="004D0E4E"/>
    <w:rsid w:val="004D0FB3"/>
    <w:rsid w:val="004D1406"/>
    <w:rsid w:val="004D3356"/>
    <w:rsid w:val="004D3C4A"/>
    <w:rsid w:val="004D4780"/>
    <w:rsid w:val="004D4C08"/>
    <w:rsid w:val="004D4F77"/>
    <w:rsid w:val="004D522D"/>
    <w:rsid w:val="004E06FC"/>
    <w:rsid w:val="004E1343"/>
    <w:rsid w:val="004E2F63"/>
    <w:rsid w:val="004E391D"/>
    <w:rsid w:val="004E5FC6"/>
    <w:rsid w:val="004E72A7"/>
    <w:rsid w:val="004F6FFE"/>
    <w:rsid w:val="004F74D8"/>
    <w:rsid w:val="00500A5F"/>
    <w:rsid w:val="00502E59"/>
    <w:rsid w:val="00503E70"/>
    <w:rsid w:val="005050CF"/>
    <w:rsid w:val="00506A88"/>
    <w:rsid w:val="00506B83"/>
    <w:rsid w:val="00506F00"/>
    <w:rsid w:val="005106F5"/>
    <w:rsid w:val="00510AFF"/>
    <w:rsid w:val="00511498"/>
    <w:rsid w:val="00513F7B"/>
    <w:rsid w:val="005168DA"/>
    <w:rsid w:val="005230C9"/>
    <w:rsid w:val="0052344F"/>
    <w:rsid w:val="005237A8"/>
    <w:rsid w:val="005240D8"/>
    <w:rsid w:val="00524B4E"/>
    <w:rsid w:val="0052514E"/>
    <w:rsid w:val="005252C8"/>
    <w:rsid w:val="0053104B"/>
    <w:rsid w:val="00531381"/>
    <w:rsid w:val="005313A7"/>
    <w:rsid w:val="00532020"/>
    <w:rsid w:val="0053221B"/>
    <w:rsid w:val="005351C6"/>
    <w:rsid w:val="00535C4E"/>
    <w:rsid w:val="00541585"/>
    <w:rsid w:val="005422CA"/>
    <w:rsid w:val="005425C1"/>
    <w:rsid w:val="005434C4"/>
    <w:rsid w:val="0054406C"/>
    <w:rsid w:val="005455DB"/>
    <w:rsid w:val="00552314"/>
    <w:rsid w:val="00552C66"/>
    <w:rsid w:val="00552DC9"/>
    <w:rsid w:val="0055461E"/>
    <w:rsid w:val="00556B53"/>
    <w:rsid w:val="0055722C"/>
    <w:rsid w:val="00560334"/>
    <w:rsid w:val="0056119A"/>
    <w:rsid w:val="00561D3C"/>
    <w:rsid w:val="005627AC"/>
    <w:rsid w:val="005628E9"/>
    <w:rsid w:val="00562ED1"/>
    <w:rsid w:val="005639E3"/>
    <w:rsid w:val="005646C1"/>
    <w:rsid w:val="00564C38"/>
    <w:rsid w:val="005704FC"/>
    <w:rsid w:val="005706B6"/>
    <w:rsid w:val="00572483"/>
    <w:rsid w:val="005728B3"/>
    <w:rsid w:val="00572E8A"/>
    <w:rsid w:val="00574804"/>
    <w:rsid w:val="00575116"/>
    <w:rsid w:val="00582533"/>
    <w:rsid w:val="0058259C"/>
    <w:rsid w:val="00583523"/>
    <w:rsid w:val="00584D49"/>
    <w:rsid w:val="005865CF"/>
    <w:rsid w:val="005865E8"/>
    <w:rsid w:val="00592CE6"/>
    <w:rsid w:val="00592DC8"/>
    <w:rsid w:val="00594312"/>
    <w:rsid w:val="00594F42"/>
    <w:rsid w:val="00595476"/>
    <w:rsid w:val="00595723"/>
    <w:rsid w:val="00596E05"/>
    <w:rsid w:val="00597239"/>
    <w:rsid w:val="005975F3"/>
    <w:rsid w:val="005978F0"/>
    <w:rsid w:val="00597B29"/>
    <w:rsid w:val="005A1BB6"/>
    <w:rsid w:val="005A5EA8"/>
    <w:rsid w:val="005A7A1B"/>
    <w:rsid w:val="005B0D56"/>
    <w:rsid w:val="005B10B9"/>
    <w:rsid w:val="005B3CAC"/>
    <w:rsid w:val="005B3D34"/>
    <w:rsid w:val="005B56BF"/>
    <w:rsid w:val="005B5976"/>
    <w:rsid w:val="005B6353"/>
    <w:rsid w:val="005B652A"/>
    <w:rsid w:val="005B7ED4"/>
    <w:rsid w:val="005C072A"/>
    <w:rsid w:val="005C178B"/>
    <w:rsid w:val="005C1FB5"/>
    <w:rsid w:val="005C201B"/>
    <w:rsid w:val="005C2C91"/>
    <w:rsid w:val="005C4B55"/>
    <w:rsid w:val="005C6B1F"/>
    <w:rsid w:val="005D0399"/>
    <w:rsid w:val="005D08DA"/>
    <w:rsid w:val="005D26B8"/>
    <w:rsid w:val="005D315C"/>
    <w:rsid w:val="005D3853"/>
    <w:rsid w:val="005D4327"/>
    <w:rsid w:val="005D5134"/>
    <w:rsid w:val="005D53C4"/>
    <w:rsid w:val="005D5D7B"/>
    <w:rsid w:val="005D6881"/>
    <w:rsid w:val="005D7DD6"/>
    <w:rsid w:val="005D7EF2"/>
    <w:rsid w:val="005E1EFB"/>
    <w:rsid w:val="005E223B"/>
    <w:rsid w:val="005E2C80"/>
    <w:rsid w:val="005E3277"/>
    <w:rsid w:val="005E5BDE"/>
    <w:rsid w:val="005E69F0"/>
    <w:rsid w:val="005E75F5"/>
    <w:rsid w:val="005F034B"/>
    <w:rsid w:val="005F2705"/>
    <w:rsid w:val="005F30E5"/>
    <w:rsid w:val="005F39E1"/>
    <w:rsid w:val="005F3ED5"/>
    <w:rsid w:val="005F7F29"/>
    <w:rsid w:val="00602984"/>
    <w:rsid w:val="00602C4D"/>
    <w:rsid w:val="006078B6"/>
    <w:rsid w:val="006105C6"/>
    <w:rsid w:val="00610B95"/>
    <w:rsid w:val="00611002"/>
    <w:rsid w:val="00612F68"/>
    <w:rsid w:val="0061669A"/>
    <w:rsid w:val="006170A9"/>
    <w:rsid w:val="00617664"/>
    <w:rsid w:val="00621D00"/>
    <w:rsid w:val="006246C1"/>
    <w:rsid w:val="0062495F"/>
    <w:rsid w:val="00624BEE"/>
    <w:rsid w:val="006255C1"/>
    <w:rsid w:val="006261C4"/>
    <w:rsid w:val="00626296"/>
    <w:rsid w:val="00626DD2"/>
    <w:rsid w:val="00631216"/>
    <w:rsid w:val="00631DD7"/>
    <w:rsid w:val="0063226A"/>
    <w:rsid w:val="00633295"/>
    <w:rsid w:val="006336E8"/>
    <w:rsid w:val="00633D3C"/>
    <w:rsid w:val="00637BFC"/>
    <w:rsid w:val="00640758"/>
    <w:rsid w:val="006433E7"/>
    <w:rsid w:val="00645538"/>
    <w:rsid w:val="006455F1"/>
    <w:rsid w:val="00645E23"/>
    <w:rsid w:val="006468CD"/>
    <w:rsid w:val="00646EC1"/>
    <w:rsid w:val="00651732"/>
    <w:rsid w:val="00654ECE"/>
    <w:rsid w:val="0065566A"/>
    <w:rsid w:val="00657555"/>
    <w:rsid w:val="0066149D"/>
    <w:rsid w:val="006619D5"/>
    <w:rsid w:val="006650CA"/>
    <w:rsid w:val="0066535B"/>
    <w:rsid w:val="0066714D"/>
    <w:rsid w:val="00673551"/>
    <w:rsid w:val="0067422F"/>
    <w:rsid w:val="00676707"/>
    <w:rsid w:val="00676A4A"/>
    <w:rsid w:val="00677562"/>
    <w:rsid w:val="00677747"/>
    <w:rsid w:val="00677A30"/>
    <w:rsid w:val="00680F36"/>
    <w:rsid w:val="00682425"/>
    <w:rsid w:val="006827E9"/>
    <w:rsid w:val="006833F1"/>
    <w:rsid w:val="00683D8C"/>
    <w:rsid w:val="006842C0"/>
    <w:rsid w:val="00685B95"/>
    <w:rsid w:val="006867A3"/>
    <w:rsid w:val="00686D78"/>
    <w:rsid w:val="0068746D"/>
    <w:rsid w:val="00687AA9"/>
    <w:rsid w:val="0069281E"/>
    <w:rsid w:val="006950F0"/>
    <w:rsid w:val="006959D4"/>
    <w:rsid w:val="006963E3"/>
    <w:rsid w:val="00697BB7"/>
    <w:rsid w:val="006A2BE1"/>
    <w:rsid w:val="006A322D"/>
    <w:rsid w:val="006A38EB"/>
    <w:rsid w:val="006A4805"/>
    <w:rsid w:val="006B0127"/>
    <w:rsid w:val="006B02F2"/>
    <w:rsid w:val="006B1DE3"/>
    <w:rsid w:val="006B2E3A"/>
    <w:rsid w:val="006B36D8"/>
    <w:rsid w:val="006B468F"/>
    <w:rsid w:val="006B4FCD"/>
    <w:rsid w:val="006B5F13"/>
    <w:rsid w:val="006B6D37"/>
    <w:rsid w:val="006B7EB4"/>
    <w:rsid w:val="006C080E"/>
    <w:rsid w:val="006C0899"/>
    <w:rsid w:val="006C2320"/>
    <w:rsid w:val="006C2899"/>
    <w:rsid w:val="006C2990"/>
    <w:rsid w:val="006C368C"/>
    <w:rsid w:val="006C4F7D"/>
    <w:rsid w:val="006C6474"/>
    <w:rsid w:val="006D0140"/>
    <w:rsid w:val="006D1C23"/>
    <w:rsid w:val="006D3263"/>
    <w:rsid w:val="006D4277"/>
    <w:rsid w:val="006D438E"/>
    <w:rsid w:val="006D6187"/>
    <w:rsid w:val="006E0144"/>
    <w:rsid w:val="006E068D"/>
    <w:rsid w:val="006E0BC5"/>
    <w:rsid w:val="006E12D7"/>
    <w:rsid w:val="006E1BDA"/>
    <w:rsid w:val="006E22A8"/>
    <w:rsid w:val="006E2492"/>
    <w:rsid w:val="006E3723"/>
    <w:rsid w:val="006E3CED"/>
    <w:rsid w:val="006E510A"/>
    <w:rsid w:val="006E681B"/>
    <w:rsid w:val="006E7B0E"/>
    <w:rsid w:val="006F2128"/>
    <w:rsid w:val="006F2A5A"/>
    <w:rsid w:val="006F2B48"/>
    <w:rsid w:val="006F54B3"/>
    <w:rsid w:val="00700D85"/>
    <w:rsid w:val="00701684"/>
    <w:rsid w:val="007028EC"/>
    <w:rsid w:val="00703023"/>
    <w:rsid w:val="00705B51"/>
    <w:rsid w:val="00705BEF"/>
    <w:rsid w:val="007062D0"/>
    <w:rsid w:val="0070674A"/>
    <w:rsid w:val="007075F5"/>
    <w:rsid w:val="007104DA"/>
    <w:rsid w:val="0071100C"/>
    <w:rsid w:val="00711596"/>
    <w:rsid w:val="00712130"/>
    <w:rsid w:val="00713106"/>
    <w:rsid w:val="0071554C"/>
    <w:rsid w:val="00717CC2"/>
    <w:rsid w:val="00721309"/>
    <w:rsid w:val="00721F64"/>
    <w:rsid w:val="007224A3"/>
    <w:rsid w:val="00725F6A"/>
    <w:rsid w:val="00730076"/>
    <w:rsid w:val="007311A2"/>
    <w:rsid w:val="00732C04"/>
    <w:rsid w:val="00732D85"/>
    <w:rsid w:val="007345E8"/>
    <w:rsid w:val="0074145D"/>
    <w:rsid w:val="0074228E"/>
    <w:rsid w:val="0074375F"/>
    <w:rsid w:val="00743D99"/>
    <w:rsid w:val="00743E4B"/>
    <w:rsid w:val="007458D6"/>
    <w:rsid w:val="00747E7C"/>
    <w:rsid w:val="00751040"/>
    <w:rsid w:val="00751C99"/>
    <w:rsid w:val="00752B28"/>
    <w:rsid w:val="00755247"/>
    <w:rsid w:val="0075701C"/>
    <w:rsid w:val="00757413"/>
    <w:rsid w:val="0076056E"/>
    <w:rsid w:val="0076189A"/>
    <w:rsid w:val="00761C0B"/>
    <w:rsid w:val="00763AC4"/>
    <w:rsid w:val="00763DDB"/>
    <w:rsid w:val="00764918"/>
    <w:rsid w:val="00764952"/>
    <w:rsid w:val="00766C47"/>
    <w:rsid w:val="007707B8"/>
    <w:rsid w:val="00770B39"/>
    <w:rsid w:val="00771220"/>
    <w:rsid w:val="00772F70"/>
    <w:rsid w:val="0077448D"/>
    <w:rsid w:val="00775EC1"/>
    <w:rsid w:val="007807CD"/>
    <w:rsid w:val="00780B11"/>
    <w:rsid w:val="00781D0F"/>
    <w:rsid w:val="00781E73"/>
    <w:rsid w:val="00782409"/>
    <w:rsid w:val="0078360B"/>
    <w:rsid w:val="0078534C"/>
    <w:rsid w:val="0078623F"/>
    <w:rsid w:val="0079073B"/>
    <w:rsid w:val="00792E03"/>
    <w:rsid w:val="00792F6C"/>
    <w:rsid w:val="007945C4"/>
    <w:rsid w:val="00794DF2"/>
    <w:rsid w:val="00795B98"/>
    <w:rsid w:val="0079754F"/>
    <w:rsid w:val="007A04BB"/>
    <w:rsid w:val="007A09DE"/>
    <w:rsid w:val="007A4279"/>
    <w:rsid w:val="007A4764"/>
    <w:rsid w:val="007A476E"/>
    <w:rsid w:val="007A62A6"/>
    <w:rsid w:val="007A6453"/>
    <w:rsid w:val="007A6636"/>
    <w:rsid w:val="007A74FC"/>
    <w:rsid w:val="007A75F0"/>
    <w:rsid w:val="007A7E7F"/>
    <w:rsid w:val="007B0196"/>
    <w:rsid w:val="007B10EA"/>
    <w:rsid w:val="007B2A50"/>
    <w:rsid w:val="007B42D7"/>
    <w:rsid w:val="007B44B1"/>
    <w:rsid w:val="007B75EF"/>
    <w:rsid w:val="007C0214"/>
    <w:rsid w:val="007C0DDE"/>
    <w:rsid w:val="007C1522"/>
    <w:rsid w:val="007C3F9D"/>
    <w:rsid w:val="007C4A65"/>
    <w:rsid w:val="007C54E7"/>
    <w:rsid w:val="007C56EB"/>
    <w:rsid w:val="007C5A72"/>
    <w:rsid w:val="007C6B5B"/>
    <w:rsid w:val="007D1B0F"/>
    <w:rsid w:val="007D259D"/>
    <w:rsid w:val="007D5CFB"/>
    <w:rsid w:val="007D5DF2"/>
    <w:rsid w:val="007D64CB"/>
    <w:rsid w:val="007E0EBD"/>
    <w:rsid w:val="007E16CD"/>
    <w:rsid w:val="007E212D"/>
    <w:rsid w:val="007E2E26"/>
    <w:rsid w:val="007E4111"/>
    <w:rsid w:val="007E61C0"/>
    <w:rsid w:val="007E7C03"/>
    <w:rsid w:val="007F0460"/>
    <w:rsid w:val="007F0FB6"/>
    <w:rsid w:val="007F1147"/>
    <w:rsid w:val="007F2628"/>
    <w:rsid w:val="007F3683"/>
    <w:rsid w:val="007F3FCC"/>
    <w:rsid w:val="007F5FF1"/>
    <w:rsid w:val="007F6D61"/>
    <w:rsid w:val="007F7904"/>
    <w:rsid w:val="007F7954"/>
    <w:rsid w:val="007F7D0C"/>
    <w:rsid w:val="008001EC"/>
    <w:rsid w:val="008009AF"/>
    <w:rsid w:val="00800BFC"/>
    <w:rsid w:val="0080137E"/>
    <w:rsid w:val="00801C1D"/>
    <w:rsid w:val="00802FB4"/>
    <w:rsid w:val="00803C5A"/>
    <w:rsid w:val="00804C68"/>
    <w:rsid w:val="00804EC5"/>
    <w:rsid w:val="008056BB"/>
    <w:rsid w:val="00805CAE"/>
    <w:rsid w:val="00807C34"/>
    <w:rsid w:val="00807D54"/>
    <w:rsid w:val="00807ED2"/>
    <w:rsid w:val="008131D6"/>
    <w:rsid w:val="0081438A"/>
    <w:rsid w:val="00814861"/>
    <w:rsid w:val="008161C5"/>
    <w:rsid w:val="00817165"/>
    <w:rsid w:val="00820444"/>
    <w:rsid w:val="008205C1"/>
    <w:rsid w:val="00822879"/>
    <w:rsid w:val="00822E6B"/>
    <w:rsid w:val="0082423B"/>
    <w:rsid w:val="00825EFA"/>
    <w:rsid w:val="0082692D"/>
    <w:rsid w:val="008303E6"/>
    <w:rsid w:val="008303E9"/>
    <w:rsid w:val="0083369A"/>
    <w:rsid w:val="0083768B"/>
    <w:rsid w:val="0084034B"/>
    <w:rsid w:val="008464DA"/>
    <w:rsid w:val="00850CEF"/>
    <w:rsid w:val="00852536"/>
    <w:rsid w:val="0085373B"/>
    <w:rsid w:val="0085532F"/>
    <w:rsid w:val="00855B66"/>
    <w:rsid w:val="00860BE9"/>
    <w:rsid w:val="00863651"/>
    <w:rsid w:val="00863D5F"/>
    <w:rsid w:val="008646BB"/>
    <w:rsid w:val="00867121"/>
    <w:rsid w:val="00870851"/>
    <w:rsid w:val="00870D98"/>
    <w:rsid w:val="00871040"/>
    <w:rsid w:val="00873BBD"/>
    <w:rsid w:val="0088560B"/>
    <w:rsid w:val="0088563F"/>
    <w:rsid w:val="008864FA"/>
    <w:rsid w:val="00886DA0"/>
    <w:rsid w:val="008874FB"/>
    <w:rsid w:val="00887B2B"/>
    <w:rsid w:val="00887F8F"/>
    <w:rsid w:val="00891093"/>
    <w:rsid w:val="00891B51"/>
    <w:rsid w:val="008922CB"/>
    <w:rsid w:val="008928BA"/>
    <w:rsid w:val="00893149"/>
    <w:rsid w:val="00894C8C"/>
    <w:rsid w:val="0089587E"/>
    <w:rsid w:val="0089603D"/>
    <w:rsid w:val="0089634A"/>
    <w:rsid w:val="00896E7A"/>
    <w:rsid w:val="00897C71"/>
    <w:rsid w:val="008A001D"/>
    <w:rsid w:val="008A01C8"/>
    <w:rsid w:val="008A3FC8"/>
    <w:rsid w:val="008A4A09"/>
    <w:rsid w:val="008A5130"/>
    <w:rsid w:val="008B02C8"/>
    <w:rsid w:val="008B0D64"/>
    <w:rsid w:val="008B1A55"/>
    <w:rsid w:val="008B27F6"/>
    <w:rsid w:val="008B45A1"/>
    <w:rsid w:val="008B4F2E"/>
    <w:rsid w:val="008B51B6"/>
    <w:rsid w:val="008B73A1"/>
    <w:rsid w:val="008B7BF5"/>
    <w:rsid w:val="008C016C"/>
    <w:rsid w:val="008C2B6B"/>
    <w:rsid w:val="008C4762"/>
    <w:rsid w:val="008C4772"/>
    <w:rsid w:val="008C55D9"/>
    <w:rsid w:val="008C6BE2"/>
    <w:rsid w:val="008D0D0F"/>
    <w:rsid w:val="008D1936"/>
    <w:rsid w:val="008D2A8D"/>
    <w:rsid w:val="008D34AA"/>
    <w:rsid w:val="008D35B6"/>
    <w:rsid w:val="008D3614"/>
    <w:rsid w:val="008D3C6B"/>
    <w:rsid w:val="008D6B72"/>
    <w:rsid w:val="008D786F"/>
    <w:rsid w:val="008E0555"/>
    <w:rsid w:val="008E0890"/>
    <w:rsid w:val="008E215B"/>
    <w:rsid w:val="008E44B9"/>
    <w:rsid w:val="008E6CE1"/>
    <w:rsid w:val="008F0692"/>
    <w:rsid w:val="008F43BF"/>
    <w:rsid w:val="008F7F9A"/>
    <w:rsid w:val="00900572"/>
    <w:rsid w:val="00901D9C"/>
    <w:rsid w:val="0090274B"/>
    <w:rsid w:val="00904AF7"/>
    <w:rsid w:val="00905806"/>
    <w:rsid w:val="0090600B"/>
    <w:rsid w:val="00906EA0"/>
    <w:rsid w:val="0091059E"/>
    <w:rsid w:val="0091072B"/>
    <w:rsid w:val="00911968"/>
    <w:rsid w:val="009119D9"/>
    <w:rsid w:val="0091414C"/>
    <w:rsid w:val="009146FB"/>
    <w:rsid w:val="0091481C"/>
    <w:rsid w:val="009165FC"/>
    <w:rsid w:val="00921556"/>
    <w:rsid w:val="0092591E"/>
    <w:rsid w:val="00925B95"/>
    <w:rsid w:val="009302A2"/>
    <w:rsid w:val="0093035F"/>
    <w:rsid w:val="0093059B"/>
    <w:rsid w:val="00930994"/>
    <w:rsid w:val="00942900"/>
    <w:rsid w:val="00943E6D"/>
    <w:rsid w:val="009440F4"/>
    <w:rsid w:val="00945038"/>
    <w:rsid w:val="00945937"/>
    <w:rsid w:val="00945D15"/>
    <w:rsid w:val="00945D38"/>
    <w:rsid w:val="00946BE9"/>
    <w:rsid w:val="009500E9"/>
    <w:rsid w:val="0095122D"/>
    <w:rsid w:val="009515E2"/>
    <w:rsid w:val="00951B8D"/>
    <w:rsid w:val="009526CC"/>
    <w:rsid w:val="00953F81"/>
    <w:rsid w:val="00954FA7"/>
    <w:rsid w:val="00956392"/>
    <w:rsid w:val="00956A18"/>
    <w:rsid w:val="00957F22"/>
    <w:rsid w:val="009601E1"/>
    <w:rsid w:val="00960242"/>
    <w:rsid w:val="00961A89"/>
    <w:rsid w:val="00962077"/>
    <w:rsid w:val="00963BC9"/>
    <w:rsid w:val="00966BA9"/>
    <w:rsid w:val="00973CB8"/>
    <w:rsid w:val="00975861"/>
    <w:rsid w:val="009826DD"/>
    <w:rsid w:val="009827D8"/>
    <w:rsid w:val="00983317"/>
    <w:rsid w:val="00983E18"/>
    <w:rsid w:val="009849BE"/>
    <w:rsid w:val="00985341"/>
    <w:rsid w:val="0098615F"/>
    <w:rsid w:val="009868B5"/>
    <w:rsid w:val="00986ED7"/>
    <w:rsid w:val="00987ED3"/>
    <w:rsid w:val="009909B3"/>
    <w:rsid w:val="00991501"/>
    <w:rsid w:val="00992B19"/>
    <w:rsid w:val="00992D1A"/>
    <w:rsid w:val="00994BD4"/>
    <w:rsid w:val="00995E5C"/>
    <w:rsid w:val="00997BE1"/>
    <w:rsid w:val="009A004B"/>
    <w:rsid w:val="009A09F6"/>
    <w:rsid w:val="009A17CF"/>
    <w:rsid w:val="009A2C0B"/>
    <w:rsid w:val="009A2EC7"/>
    <w:rsid w:val="009A59BB"/>
    <w:rsid w:val="009A749E"/>
    <w:rsid w:val="009A7D96"/>
    <w:rsid w:val="009A7DC0"/>
    <w:rsid w:val="009B1F04"/>
    <w:rsid w:val="009B424E"/>
    <w:rsid w:val="009B4493"/>
    <w:rsid w:val="009B7EBA"/>
    <w:rsid w:val="009C2BA5"/>
    <w:rsid w:val="009C2E74"/>
    <w:rsid w:val="009C4B9A"/>
    <w:rsid w:val="009C5BE9"/>
    <w:rsid w:val="009D0863"/>
    <w:rsid w:val="009D0DED"/>
    <w:rsid w:val="009D0FB3"/>
    <w:rsid w:val="009D1164"/>
    <w:rsid w:val="009D1510"/>
    <w:rsid w:val="009D2DC3"/>
    <w:rsid w:val="009D4E0A"/>
    <w:rsid w:val="009D5590"/>
    <w:rsid w:val="009D68B5"/>
    <w:rsid w:val="009D6A3A"/>
    <w:rsid w:val="009E090F"/>
    <w:rsid w:val="009E0F97"/>
    <w:rsid w:val="009E1AB2"/>
    <w:rsid w:val="009E24E6"/>
    <w:rsid w:val="009E2C25"/>
    <w:rsid w:val="009E4F6D"/>
    <w:rsid w:val="009E7D1A"/>
    <w:rsid w:val="009F0EA3"/>
    <w:rsid w:val="009F308C"/>
    <w:rsid w:val="009F3932"/>
    <w:rsid w:val="009F5BBA"/>
    <w:rsid w:val="009F7BC5"/>
    <w:rsid w:val="00A018CE"/>
    <w:rsid w:val="00A03FE7"/>
    <w:rsid w:val="00A05BBE"/>
    <w:rsid w:val="00A06799"/>
    <w:rsid w:val="00A0777A"/>
    <w:rsid w:val="00A07A1F"/>
    <w:rsid w:val="00A07D95"/>
    <w:rsid w:val="00A07E29"/>
    <w:rsid w:val="00A10364"/>
    <w:rsid w:val="00A14F8D"/>
    <w:rsid w:val="00A15243"/>
    <w:rsid w:val="00A16BF8"/>
    <w:rsid w:val="00A201BF"/>
    <w:rsid w:val="00A2178B"/>
    <w:rsid w:val="00A2216A"/>
    <w:rsid w:val="00A22A6D"/>
    <w:rsid w:val="00A23FC3"/>
    <w:rsid w:val="00A241BD"/>
    <w:rsid w:val="00A243AF"/>
    <w:rsid w:val="00A25752"/>
    <w:rsid w:val="00A25C74"/>
    <w:rsid w:val="00A327E8"/>
    <w:rsid w:val="00A3464B"/>
    <w:rsid w:val="00A364D5"/>
    <w:rsid w:val="00A37D8B"/>
    <w:rsid w:val="00A400A8"/>
    <w:rsid w:val="00A409BA"/>
    <w:rsid w:val="00A423A4"/>
    <w:rsid w:val="00A43430"/>
    <w:rsid w:val="00A47501"/>
    <w:rsid w:val="00A51AB8"/>
    <w:rsid w:val="00A51EF4"/>
    <w:rsid w:val="00A53255"/>
    <w:rsid w:val="00A54A02"/>
    <w:rsid w:val="00A56CED"/>
    <w:rsid w:val="00A6155C"/>
    <w:rsid w:val="00A64801"/>
    <w:rsid w:val="00A64AD7"/>
    <w:rsid w:val="00A66518"/>
    <w:rsid w:val="00A6700A"/>
    <w:rsid w:val="00A707DE"/>
    <w:rsid w:val="00A7651E"/>
    <w:rsid w:val="00A76608"/>
    <w:rsid w:val="00A76BDB"/>
    <w:rsid w:val="00A76E14"/>
    <w:rsid w:val="00A801C5"/>
    <w:rsid w:val="00A86435"/>
    <w:rsid w:val="00A86436"/>
    <w:rsid w:val="00A86CCE"/>
    <w:rsid w:val="00A87742"/>
    <w:rsid w:val="00A91694"/>
    <w:rsid w:val="00A92366"/>
    <w:rsid w:val="00A927A1"/>
    <w:rsid w:val="00A94FEC"/>
    <w:rsid w:val="00A95079"/>
    <w:rsid w:val="00A956E1"/>
    <w:rsid w:val="00A9625C"/>
    <w:rsid w:val="00AA0278"/>
    <w:rsid w:val="00AA050B"/>
    <w:rsid w:val="00AA1D48"/>
    <w:rsid w:val="00AA420E"/>
    <w:rsid w:val="00AA475B"/>
    <w:rsid w:val="00AA4862"/>
    <w:rsid w:val="00AA4AEE"/>
    <w:rsid w:val="00AB03E3"/>
    <w:rsid w:val="00AB198C"/>
    <w:rsid w:val="00AB3C0A"/>
    <w:rsid w:val="00AB5160"/>
    <w:rsid w:val="00AB62AC"/>
    <w:rsid w:val="00AB669B"/>
    <w:rsid w:val="00AB6A84"/>
    <w:rsid w:val="00AC0F9D"/>
    <w:rsid w:val="00AC29F1"/>
    <w:rsid w:val="00AC35F3"/>
    <w:rsid w:val="00AD008C"/>
    <w:rsid w:val="00AD07A5"/>
    <w:rsid w:val="00AD0B36"/>
    <w:rsid w:val="00AD17AB"/>
    <w:rsid w:val="00AD1929"/>
    <w:rsid w:val="00AD5E14"/>
    <w:rsid w:val="00AD6E26"/>
    <w:rsid w:val="00AD7A2A"/>
    <w:rsid w:val="00AD7BE5"/>
    <w:rsid w:val="00AE13B9"/>
    <w:rsid w:val="00AE1E94"/>
    <w:rsid w:val="00AE3782"/>
    <w:rsid w:val="00AE4FAC"/>
    <w:rsid w:val="00AE5446"/>
    <w:rsid w:val="00AE7ED4"/>
    <w:rsid w:val="00AF1569"/>
    <w:rsid w:val="00AF220B"/>
    <w:rsid w:val="00AF2FF8"/>
    <w:rsid w:val="00AF3676"/>
    <w:rsid w:val="00AF4452"/>
    <w:rsid w:val="00AF7315"/>
    <w:rsid w:val="00AF785B"/>
    <w:rsid w:val="00B00F58"/>
    <w:rsid w:val="00B017EF"/>
    <w:rsid w:val="00B01D61"/>
    <w:rsid w:val="00B025BC"/>
    <w:rsid w:val="00B05697"/>
    <w:rsid w:val="00B057EF"/>
    <w:rsid w:val="00B05820"/>
    <w:rsid w:val="00B05E8F"/>
    <w:rsid w:val="00B065E9"/>
    <w:rsid w:val="00B068CF"/>
    <w:rsid w:val="00B0744E"/>
    <w:rsid w:val="00B10364"/>
    <w:rsid w:val="00B127C6"/>
    <w:rsid w:val="00B15016"/>
    <w:rsid w:val="00B16CE2"/>
    <w:rsid w:val="00B16D3C"/>
    <w:rsid w:val="00B1727E"/>
    <w:rsid w:val="00B23410"/>
    <w:rsid w:val="00B23C7C"/>
    <w:rsid w:val="00B23FE3"/>
    <w:rsid w:val="00B26972"/>
    <w:rsid w:val="00B26F4F"/>
    <w:rsid w:val="00B27974"/>
    <w:rsid w:val="00B3050B"/>
    <w:rsid w:val="00B309C5"/>
    <w:rsid w:val="00B30E96"/>
    <w:rsid w:val="00B31ACF"/>
    <w:rsid w:val="00B322B7"/>
    <w:rsid w:val="00B33A59"/>
    <w:rsid w:val="00B406C8"/>
    <w:rsid w:val="00B4427D"/>
    <w:rsid w:val="00B464BE"/>
    <w:rsid w:val="00B47ADD"/>
    <w:rsid w:val="00B51783"/>
    <w:rsid w:val="00B5223E"/>
    <w:rsid w:val="00B523F1"/>
    <w:rsid w:val="00B5346A"/>
    <w:rsid w:val="00B5503C"/>
    <w:rsid w:val="00B55076"/>
    <w:rsid w:val="00B5701F"/>
    <w:rsid w:val="00B5798B"/>
    <w:rsid w:val="00B57DFC"/>
    <w:rsid w:val="00B605B1"/>
    <w:rsid w:val="00B609D6"/>
    <w:rsid w:val="00B622AA"/>
    <w:rsid w:val="00B62BDA"/>
    <w:rsid w:val="00B640EC"/>
    <w:rsid w:val="00B6423F"/>
    <w:rsid w:val="00B657DA"/>
    <w:rsid w:val="00B67883"/>
    <w:rsid w:val="00B70471"/>
    <w:rsid w:val="00B71471"/>
    <w:rsid w:val="00B71B48"/>
    <w:rsid w:val="00B71F13"/>
    <w:rsid w:val="00B73D59"/>
    <w:rsid w:val="00B743EF"/>
    <w:rsid w:val="00B75527"/>
    <w:rsid w:val="00B763BB"/>
    <w:rsid w:val="00B76542"/>
    <w:rsid w:val="00B76B49"/>
    <w:rsid w:val="00B770BA"/>
    <w:rsid w:val="00B80305"/>
    <w:rsid w:val="00B81CFB"/>
    <w:rsid w:val="00B832D0"/>
    <w:rsid w:val="00B83308"/>
    <w:rsid w:val="00B85245"/>
    <w:rsid w:val="00B87B9C"/>
    <w:rsid w:val="00B9316E"/>
    <w:rsid w:val="00B932E5"/>
    <w:rsid w:val="00B972A7"/>
    <w:rsid w:val="00B972DC"/>
    <w:rsid w:val="00BA2481"/>
    <w:rsid w:val="00BA2E91"/>
    <w:rsid w:val="00BA45E9"/>
    <w:rsid w:val="00BA6106"/>
    <w:rsid w:val="00BB234A"/>
    <w:rsid w:val="00BB4680"/>
    <w:rsid w:val="00BB55D7"/>
    <w:rsid w:val="00BC21C6"/>
    <w:rsid w:val="00BC3F15"/>
    <w:rsid w:val="00BC4238"/>
    <w:rsid w:val="00BC4904"/>
    <w:rsid w:val="00BC5525"/>
    <w:rsid w:val="00BC6164"/>
    <w:rsid w:val="00BC6D47"/>
    <w:rsid w:val="00BD1489"/>
    <w:rsid w:val="00BD245A"/>
    <w:rsid w:val="00BD7787"/>
    <w:rsid w:val="00BE0B17"/>
    <w:rsid w:val="00BE1373"/>
    <w:rsid w:val="00BE197B"/>
    <w:rsid w:val="00BE25DF"/>
    <w:rsid w:val="00BE357B"/>
    <w:rsid w:val="00BE3585"/>
    <w:rsid w:val="00BE55EC"/>
    <w:rsid w:val="00BF2106"/>
    <w:rsid w:val="00BF2601"/>
    <w:rsid w:val="00BF2B7C"/>
    <w:rsid w:val="00BF3359"/>
    <w:rsid w:val="00BF3B8C"/>
    <w:rsid w:val="00BF3BD6"/>
    <w:rsid w:val="00BF515B"/>
    <w:rsid w:val="00BF61DF"/>
    <w:rsid w:val="00BF76AD"/>
    <w:rsid w:val="00C0227B"/>
    <w:rsid w:val="00C02579"/>
    <w:rsid w:val="00C03A96"/>
    <w:rsid w:val="00C0557D"/>
    <w:rsid w:val="00C06C61"/>
    <w:rsid w:val="00C11A48"/>
    <w:rsid w:val="00C11AF4"/>
    <w:rsid w:val="00C148A9"/>
    <w:rsid w:val="00C14D2C"/>
    <w:rsid w:val="00C15A46"/>
    <w:rsid w:val="00C1627B"/>
    <w:rsid w:val="00C166ED"/>
    <w:rsid w:val="00C17402"/>
    <w:rsid w:val="00C17E90"/>
    <w:rsid w:val="00C20E70"/>
    <w:rsid w:val="00C21205"/>
    <w:rsid w:val="00C2192D"/>
    <w:rsid w:val="00C22E10"/>
    <w:rsid w:val="00C232C6"/>
    <w:rsid w:val="00C23E6F"/>
    <w:rsid w:val="00C243F1"/>
    <w:rsid w:val="00C250F7"/>
    <w:rsid w:val="00C26C21"/>
    <w:rsid w:val="00C32730"/>
    <w:rsid w:val="00C33FD2"/>
    <w:rsid w:val="00C3452C"/>
    <w:rsid w:val="00C35794"/>
    <w:rsid w:val="00C40549"/>
    <w:rsid w:val="00C4197F"/>
    <w:rsid w:val="00C44B4E"/>
    <w:rsid w:val="00C44DAD"/>
    <w:rsid w:val="00C45CE9"/>
    <w:rsid w:val="00C46E55"/>
    <w:rsid w:val="00C52033"/>
    <w:rsid w:val="00C546FF"/>
    <w:rsid w:val="00C5588D"/>
    <w:rsid w:val="00C56341"/>
    <w:rsid w:val="00C56E86"/>
    <w:rsid w:val="00C6046D"/>
    <w:rsid w:val="00C608B6"/>
    <w:rsid w:val="00C61946"/>
    <w:rsid w:val="00C61F71"/>
    <w:rsid w:val="00C635C4"/>
    <w:rsid w:val="00C640CC"/>
    <w:rsid w:val="00C648D2"/>
    <w:rsid w:val="00C65F62"/>
    <w:rsid w:val="00C70640"/>
    <w:rsid w:val="00C708B2"/>
    <w:rsid w:val="00C723C3"/>
    <w:rsid w:val="00C734B4"/>
    <w:rsid w:val="00C747F6"/>
    <w:rsid w:val="00C74A00"/>
    <w:rsid w:val="00C753D4"/>
    <w:rsid w:val="00C76E34"/>
    <w:rsid w:val="00C7726E"/>
    <w:rsid w:val="00C80B28"/>
    <w:rsid w:val="00C81506"/>
    <w:rsid w:val="00C81F30"/>
    <w:rsid w:val="00C82C25"/>
    <w:rsid w:val="00C83002"/>
    <w:rsid w:val="00C830D8"/>
    <w:rsid w:val="00C848A5"/>
    <w:rsid w:val="00C84A21"/>
    <w:rsid w:val="00C85674"/>
    <w:rsid w:val="00C87AAF"/>
    <w:rsid w:val="00C904B7"/>
    <w:rsid w:val="00C91E70"/>
    <w:rsid w:val="00C93838"/>
    <w:rsid w:val="00C93B96"/>
    <w:rsid w:val="00C93F7C"/>
    <w:rsid w:val="00C96AE9"/>
    <w:rsid w:val="00CA05EC"/>
    <w:rsid w:val="00CA0661"/>
    <w:rsid w:val="00CA08A8"/>
    <w:rsid w:val="00CA08C9"/>
    <w:rsid w:val="00CA1EDA"/>
    <w:rsid w:val="00CA24F7"/>
    <w:rsid w:val="00CA250F"/>
    <w:rsid w:val="00CA2BA7"/>
    <w:rsid w:val="00CA3E47"/>
    <w:rsid w:val="00CA4198"/>
    <w:rsid w:val="00CA4DF4"/>
    <w:rsid w:val="00CA54B7"/>
    <w:rsid w:val="00CA5CB1"/>
    <w:rsid w:val="00CA5D6C"/>
    <w:rsid w:val="00CA62BE"/>
    <w:rsid w:val="00CA6843"/>
    <w:rsid w:val="00CA77C6"/>
    <w:rsid w:val="00CA79BE"/>
    <w:rsid w:val="00CB1454"/>
    <w:rsid w:val="00CB2163"/>
    <w:rsid w:val="00CB25C5"/>
    <w:rsid w:val="00CB2EE6"/>
    <w:rsid w:val="00CB43E3"/>
    <w:rsid w:val="00CB61D5"/>
    <w:rsid w:val="00CB6BDC"/>
    <w:rsid w:val="00CB71C5"/>
    <w:rsid w:val="00CB780D"/>
    <w:rsid w:val="00CB7B08"/>
    <w:rsid w:val="00CC0581"/>
    <w:rsid w:val="00CC05FD"/>
    <w:rsid w:val="00CC3B96"/>
    <w:rsid w:val="00CC6403"/>
    <w:rsid w:val="00CC73B4"/>
    <w:rsid w:val="00CC77BB"/>
    <w:rsid w:val="00CD240A"/>
    <w:rsid w:val="00CD4202"/>
    <w:rsid w:val="00CD4E30"/>
    <w:rsid w:val="00CD6002"/>
    <w:rsid w:val="00CD6759"/>
    <w:rsid w:val="00CD694F"/>
    <w:rsid w:val="00CE04EA"/>
    <w:rsid w:val="00CE06B8"/>
    <w:rsid w:val="00CE17DA"/>
    <w:rsid w:val="00CE1B4D"/>
    <w:rsid w:val="00CE3087"/>
    <w:rsid w:val="00CE4152"/>
    <w:rsid w:val="00CE48CF"/>
    <w:rsid w:val="00CE48E4"/>
    <w:rsid w:val="00CE5084"/>
    <w:rsid w:val="00CF064F"/>
    <w:rsid w:val="00CF09B7"/>
    <w:rsid w:val="00CF282C"/>
    <w:rsid w:val="00CF3C0A"/>
    <w:rsid w:val="00CF4C25"/>
    <w:rsid w:val="00CF5603"/>
    <w:rsid w:val="00CF6B69"/>
    <w:rsid w:val="00CF729C"/>
    <w:rsid w:val="00D00A9B"/>
    <w:rsid w:val="00D03153"/>
    <w:rsid w:val="00D0319F"/>
    <w:rsid w:val="00D05B77"/>
    <w:rsid w:val="00D07F2D"/>
    <w:rsid w:val="00D10055"/>
    <w:rsid w:val="00D11051"/>
    <w:rsid w:val="00D12276"/>
    <w:rsid w:val="00D139BA"/>
    <w:rsid w:val="00D179D6"/>
    <w:rsid w:val="00D20787"/>
    <w:rsid w:val="00D22183"/>
    <w:rsid w:val="00D23672"/>
    <w:rsid w:val="00D23879"/>
    <w:rsid w:val="00D23930"/>
    <w:rsid w:val="00D23E74"/>
    <w:rsid w:val="00D245B8"/>
    <w:rsid w:val="00D26710"/>
    <w:rsid w:val="00D270B4"/>
    <w:rsid w:val="00D326A2"/>
    <w:rsid w:val="00D32D03"/>
    <w:rsid w:val="00D404DF"/>
    <w:rsid w:val="00D418F9"/>
    <w:rsid w:val="00D438AD"/>
    <w:rsid w:val="00D43D0D"/>
    <w:rsid w:val="00D4682B"/>
    <w:rsid w:val="00D46A45"/>
    <w:rsid w:val="00D4764F"/>
    <w:rsid w:val="00D512C8"/>
    <w:rsid w:val="00D51D1A"/>
    <w:rsid w:val="00D530CB"/>
    <w:rsid w:val="00D53E7F"/>
    <w:rsid w:val="00D5644F"/>
    <w:rsid w:val="00D56ADD"/>
    <w:rsid w:val="00D56CBB"/>
    <w:rsid w:val="00D56E80"/>
    <w:rsid w:val="00D57D00"/>
    <w:rsid w:val="00D60560"/>
    <w:rsid w:val="00D60D39"/>
    <w:rsid w:val="00D61A29"/>
    <w:rsid w:val="00D61B9C"/>
    <w:rsid w:val="00D67507"/>
    <w:rsid w:val="00D730C5"/>
    <w:rsid w:val="00D7365B"/>
    <w:rsid w:val="00D73761"/>
    <w:rsid w:val="00D74452"/>
    <w:rsid w:val="00D760E6"/>
    <w:rsid w:val="00D76506"/>
    <w:rsid w:val="00D76F48"/>
    <w:rsid w:val="00D776D7"/>
    <w:rsid w:val="00D80AA2"/>
    <w:rsid w:val="00D814EF"/>
    <w:rsid w:val="00D84BF4"/>
    <w:rsid w:val="00D84CC5"/>
    <w:rsid w:val="00D873DC"/>
    <w:rsid w:val="00D878AE"/>
    <w:rsid w:val="00D90E67"/>
    <w:rsid w:val="00D9139A"/>
    <w:rsid w:val="00D917D6"/>
    <w:rsid w:val="00D92413"/>
    <w:rsid w:val="00D9315D"/>
    <w:rsid w:val="00D93A56"/>
    <w:rsid w:val="00D941CA"/>
    <w:rsid w:val="00D945BD"/>
    <w:rsid w:val="00D94738"/>
    <w:rsid w:val="00D94D70"/>
    <w:rsid w:val="00D95B91"/>
    <w:rsid w:val="00D96053"/>
    <w:rsid w:val="00D96C6D"/>
    <w:rsid w:val="00D96ED9"/>
    <w:rsid w:val="00D9710D"/>
    <w:rsid w:val="00D9726E"/>
    <w:rsid w:val="00DA0B4F"/>
    <w:rsid w:val="00DA1EE0"/>
    <w:rsid w:val="00DA2093"/>
    <w:rsid w:val="00DA34FF"/>
    <w:rsid w:val="00DA7278"/>
    <w:rsid w:val="00DA7C58"/>
    <w:rsid w:val="00DB1799"/>
    <w:rsid w:val="00DB2CD9"/>
    <w:rsid w:val="00DB4D02"/>
    <w:rsid w:val="00DB5FD5"/>
    <w:rsid w:val="00DB6CAE"/>
    <w:rsid w:val="00DB6E4D"/>
    <w:rsid w:val="00DB78D4"/>
    <w:rsid w:val="00DC2873"/>
    <w:rsid w:val="00DC372B"/>
    <w:rsid w:val="00DC5EB2"/>
    <w:rsid w:val="00DD0B15"/>
    <w:rsid w:val="00DD2036"/>
    <w:rsid w:val="00DD43D2"/>
    <w:rsid w:val="00DD5325"/>
    <w:rsid w:val="00DD7099"/>
    <w:rsid w:val="00DD7739"/>
    <w:rsid w:val="00DE2745"/>
    <w:rsid w:val="00DE2B81"/>
    <w:rsid w:val="00DE51DC"/>
    <w:rsid w:val="00DF08FB"/>
    <w:rsid w:val="00DF460C"/>
    <w:rsid w:val="00DF492D"/>
    <w:rsid w:val="00DF56A5"/>
    <w:rsid w:val="00DF5E65"/>
    <w:rsid w:val="00E00868"/>
    <w:rsid w:val="00E00E25"/>
    <w:rsid w:val="00E01009"/>
    <w:rsid w:val="00E02D85"/>
    <w:rsid w:val="00E02E33"/>
    <w:rsid w:val="00E043A4"/>
    <w:rsid w:val="00E04A71"/>
    <w:rsid w:val="00E04B89"/>
    <w:rsid w:val="00E13316"/>
    <w:rsid w:val="00E14A63"/>
    <w:rsid w:val="00E14A6F"/>
    <w:rsid w:val="00E157CA"/>
    <w:rsid w:val="00E15C81"/>
    <w:rsid w:val="00E17D99"/>
    <w:rsid w:val="00E17EA7"/>
    <w:rsid w:val="00E17EAB"/>
    <w:rsid w:val="00E21A92"/>
    <w:rsid w:val="00E23145"/>
    <w:rsid w:val="00E246FD"/>
    <w:rsid w:val="00E24732"/>
    <w:rsid w:val="00E248C7"/>
    <w:rsid w:val="00E24FB7"/>
    <w:rsid w:val="00E25016"/>
    <w:rsid w:val="00E2611A"/>
    <w:rsid w:val="00E30A8B"/>
    <w:rsid w:val="00E331A7"/>
    <w:rsid w:val="00E33D6B"/>
    <w:rsid w:val="00E350A3"/>
    <w:rsid w:val="00E3510F"/>
    <w:rsid w:val="00E36ABC"/>
    <w:rsid w:val="00E40A48"/>
    <w:rsid w:val="00E4100C"/>
    <w:rsid w:val="00E412F3"/>
    <w:rsid w:val="00E4148B"/>
    <w:rsid w:val="00E42EEB"/>
    <w:rsid w:val="00E440BC"/>
    <w:rsid w:val="00E446E7"/>
    <w:rsid w:val="00E46A5A"/>
    <w:rsid w:val="00E50A76"/>
    <w:rsid w:val="00E50A95"/>
    <w:rsid w:val="00E60232"/>
    <w:rsid w:val="00E62571"/>
    <w:rsid w:val="00E627A8"/>
    <w:rsid w:val="00E64CAE"/>
    <w:rsid w:val="00E65483"/>
    <w:rsid w:val="00E65743"/>
    <w:rsid w:val="00E657D7"/>
    <w:rsid w:val="00E66C3F"/>
    <w:rsid w:val="00E6721B"/>
    <w:rsid w:val="00E6732F"/>
    <w:rsid w:val="00E67BAE"/>
    <w:rsid w:val="00E70806"/>
    <w:rsid w:val="00E70BFA"/>
    <w:rsid w:val="00E75158"/>
    <w:rsid w:val="00E754D3"/>
    <w:rsid w:val="00E75713"/>
    <w:rsid w:val="00E758EE"/>
    <w:rsid w:val="00E766ED"/>
    <w:rsid w:val="00E77A63"/>
    <w:rsid w:val="00E802BA"/>
    <w:rsid w:val="00E82685"/>
    <w:rsid w:val="00E8332C"/>
    <w:rsid w:val="00E83820"/>
    <w:rsid w:val="00E84E6C"/>
    <w:rsid w:val="00E85DC7"/>
    <w:rsid w:val="00E86501"/>
    <w:rsid w:val="00E90D92"/>
    <w:rsid w:val="00E91306"/>
    <w:rsid w:val="00E92A0C"/>
    <w:rsid w:val="00E92D17"/>
    <w:rsid w:val="00E93054"/>
    <w:rsid w:val="00E956F2"/>
    <w:rsid w:val="00E95F1B"/>
    <w:rsid w:val="00EA0A9D"/>
    <w:rsid w:val="00EA24B0"/>
    <w:rsid w:val="00EA41EE"/>
    <w:rsid w:val="00EA66C2"/>
    <w:rsid w:val="00EA6AFC"/>
    <w:rsid w:val="00EA78A8"/>
    <w:rsid w:val="00EB1234"/>
    <w:rsid w:val="00EB24C3"/>
    <w:rsid w:val="00EB28F0"/>
    <w:rsid w:val="00EB2B19"/>
    <w:rsid w:val="00EB31E0"/>
    <w:rsid w:val="00EB5D3A"/>
    <w:rsid w:val="00EB6D77"/>
    <w:rsid w:val="00EB7BB1"/>
    <w:rsid w:val="00EC1980"/>
    <w:rsid w:val="00EC296C"/>
    <w:rsid w:val="00EC4831"/>
    <w:rsid w:val="00EC48BB"/>
    <w:rsid w:val="00EC54D9"/>
    <w:rsid w:val="00EC5BD3"/>
    <w:rsid w:val="00EC5C95"/>
    <w:rsid w:val="00EC69D5"/>
    <w:rsid w:val="00EC710B"/>
    <w:rsid w:val="00EC7C5D"/>
    <w:rsid w:val="00ED0851"/>
    <w:rsid w:val="00ED0DD0"/>
    <w:rsid w:val="00ED0FDB"/>
    <w:rsid w:val="00ED23C0"/>
    <w:rsid w:val="00ED3361"/>
    <w:rsid w:val="00ED3E55"/>
    <w:rsid w:val="00ED3E8A"/>
    <w:rsid w:val="00ED4933"/>
    <w:rsid w:val="00ED765E"/>
    <w:rsid w:val="00ED78D4"/>
    <w:rsid w:val="00ED79C6"/>
    <w:rsid w:val="00EE1183"/>
    <w:rsid w:val="00EE187D"/>
    <w:rsid w:val="00EE2877"/>
    <w:rsid w:val="00EE3275"/>
    <w:rsid w:val="00EE385D"/>
    <w:rsid w:val="00EE4FFE"/>
    <w:rsid w:val="00EE5281"/>
    <w:rsid w:val="00EE5DB8"/>
    <w:rsid w:val="00EE68E6"/>
    <w:rsid w:val="00EE694C"/>
    <w:rsid w:val="00EF03F5"/>
    <w:rsid w:val="00EF3932"/>
    <w:rsid w:val="00EF3A23"/>
    <w:rsid w:val="00EF407B"/>
    <w:rsid w:val="00EF5699"/>
    <w:rsid w:val="00EF5E7B"/>
    <w:rsid w:val="00F03035"/>
    <w:rsid w:val="00F0616A"/>
    <w:rsid w:val="00F06501"/>
    <w:rsid w:val="00F0659A"/>
    <w:rsid w:val="00F0713B"/>
    <w:rsid w:val="00F0723B"/>
    <w:rsid w:val="00F07875"/>
    <w:rsid w:val="00F121CC"/>
    <w:rsid w:val="00F12611"/>
    <w:rsid w:val="00F12723"/>
    <w:rsid w:val="00F12C07"/>
    <w:rsid w:val="00F1369D"/>
    <w:rsid w:val="00F13B17"/>
    <w:rsid w:val="00F13BC6"/>
    <w:rsid w:val="00F14EF7"/>
    <w:rsid w:val="00F15A5F"/>
    <w:rsid w:val="00F15B85"/>
    <w:rsid w:val="00F15DD1"/>
    <w:rsid w:val="00F161D2"/>
    <w:rsid w:val="00F16E31"/>
    <w:rsid w:val="00F173AA"/>
    <w:rsid w:val="00F20067"/>
    <w:rsid w:val="00F20A0C"/>
    <w:rsid w:val="00F25790"/>
    <w:rsid w:val="00F25FCB"/>
    <w:rsid w:val="00F30438"/>
    <w:rsid w:val="00F3048E"/>
    <w:rsid w:val="00F3228F"/>
    <w:rsid w:val="00F337D7"/>
    <w:rsid w:val="00F33B1B"/>
    <w:rsid w:val="00F33E31"/>
    <w:rsid w:val="00F340CD"/>
    <w:rsid w:val="00F35E89"/>
    <w:rsid w:val="00F422A5"/>
    <w:rsid w:val="00F42729"/>
    <w:rsid w:val="00F461EC"/>
    <w:rsid w:val="00F463B8"/>
    <w:rsid w:val="00F46B69"/>
    <w:rsid w:val="00F511D2"/>
    <w:rsid w:val="00F513AC"/>
    <w:rsid w:val="00F54F04"/>
    <w:rsid w:val="00F557C0"/>
    <w:rsid w:val="00F571D7"/>
    <w:rsid w:val="00F61993"/>
    <w:rsid w:val="00F61C25"/>
    <w:rsid w:val="00F66307"/>
    <w:rsid w:val="00F66C6A"/>
    <w:rsid w:val="00F67360"/>
    <w:rsid w:val="00F70946"/>
    <w:rsid w:val="00F70A44"/>
    <w:rsid w:val="00F74112"/>
    <w:rsid w:val="00F7411F"/>
    <w:rsid w:val="00F773F5"/>
    <w:rsid w:val="00F77D68"/>
    <w:rsid w:val="00F80328"/>
    <w:rsid w:val="00F8041D"/>
    <w:rsid w:val="00F80952"/>
    <w:rsid w:val="00F82DCF"/>
    <w:rsid w:val="00F84D22"/>
    <w:rsid w:val="00F90617"/>
    <w:rsid w:val="00F90BF5"/>
    <w:rsid w:val="00F934FE"/>
    <w:rsid w:val="00F94C2A"/>
    <w:rsid w:val="00F94C9E"/>
    <w:rsid w:val="00F963D2"/>
    <w:rsid w:val="00F96FB4"/>
    <w:rsid w:val="00F978D6"/>
    <w:rsid w:val="00FA157E"/>
    <w:rsid w:val="00FA160A"/>
    <w:rsid w:val="00FA2208"/>
    <w:rsid w:val="00FA32C8"/>
    <w:rsid w:val="00FA3EA8"/>
    <w:rsid w:val="00FA41B6"/>
    <w:rsid w:val="00FA5ED9"/>
    <w:rsid w:val="00FA6590"/>
    <w:rsid w:val="00FA6CD5"/>
    <w:rsid w:val="00FB0CF4"/>
    <w:rsid w:val="00FB13AA"/>
    <w:rsid w:val="00FB15EF"/>
    <w:rsid w:val="00FB184C"/>
    <w:rsid w:val="00FB1E76"/>
    <w:rsid w:val="00FB5C32"/>
    <w:rsid w:val="00FB7B80"/>
    <w:rsid w:val="00FC13EE"/>
    <w:rsid w:val="00FC13FE"/>
    <w:rsid w:val="00FC1E80"/>
    <w:rsid w:val="00FC2814"/>
    <w:rsid w:val="00FC51A6"/>
    <w:rsid w:val="00FC5F8F"/>
    <w:rsid w:val="00FC760F"/>
    <w:rsid w:val="00FD0668"/>
    <w:rsid w:val="00FD0A64"/>
    <w:rsid w:val="00FD0C03"/>
    <w:rsid w:val="00FD3223"/>
    <w:rsid w:val="00FD5266"/>
    <w:rsid w:val="00FD6260"/>
    <w:rsid w:val="00FE0F1B"/>
    <w:rsid w:val="00FE18DF"/>
    <w:rsid w:val="00FE22C7"/>
    <w:rsid w:val="00FE3398"/>
    <w:rsid w:val="00FE3E47"/>
    <w:rsid w:val="00FE4983"/>
    <w:rsid w:val="00FE5549"/>
    <w:rsid w:val="00FE5E0C"/>
    <w:rsid w:val="00FE5E9A"/>
    <w:rsid w:val="00FF0C29"/>
    <w:rsid w:val="00FF131D"/>
    <w:rsid w:val="00FF15E6"/>
    <w:rsid w:val="00FF2B07"/>
    <w:rsid w:val="00FF32BB"/>
    <w:rsid w:val="00FF40A0"/>
    <w:rsid w:val="00FF43AA"/>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32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564C38"/>
    <w:pPr>
      <w:keepNext/>
      <w:keepLines/>
      <w:widowControl w:val="0"/>
      <w:numPr>
        <w:numId w:val="7"/>
      </w:numPr>
      <w:spacing w:before="120" w:after="120"/>
      <w:ind w:right="2160"/>
      <w:outlineLvl w:val="0"/>
    </w:pPr>
    <w:rPr>
      <w:rFonts w:ascii="Helvetica" w:hAnsi="Helvetica"/>
      <w:b/>
      <w:kern w:val="28"/>
    </w:rPr>
  </w:style>
  <w:style w:type="paragraph" w:styleId="Heading2">
    <w:name w:val="heading 2"/>
    <w:basedOn w:val="Normal"/>
    <w:next w:val="sub1"/>
    <w:qFormat/>
    <w:rsid w:val="007C1522"/>
    <w:pPr>
      <w:keepNext/>
      <w:keepLines/>
      <w:widowControl w:val="0"/>
      <w:numPr>
        <w:ilvl w:val="1"/>
        <w:numId w:val="7"/>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2D742C"/>
    <w:pPr>
      <w:spacing w:after="120"/>
    </w:pPr>
    <w:rPr>
      <w:sz w:val="22"/>
    </w:rPr>
  </w:style>
  <w:style w:type="character" w:styleId="FootnoteReference">
    <w:name w:val="footnote reference"/>
    <w:aliases w:val="o,fr,o1,o2,o3,o4,o5,o6,o11,o21,o7,Style 3,o + Times New Roman,Style 58"/>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801C5"/>
    <w:pPr>
      <w:tabs>
        <w:tab w:val="right" w:leader="dot" w:pos="9350"/>
      </w:tabs>
      <w:ind w:left="450" w:hanging="45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A801C5"/>
    <w:pPr>
      <w:tabs>
        <w:tab w:val="left" w:pos="1260"/>
        <w:tab w:val="right" w:leader="dot" w:pos="9350"/>
      </w:tabs>
      <w:ind w:left="1260" w:hanging="72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564C38"/>
    <w:rPr>
      <w:rFonts w:ascii="Palatino" w:hAnsi="Palatino"/>
      <w:sz w:val="22"/>
    </w:rPr>
  </w:style>
  <w:style w:type="table" w:styleId="TableGrid">
    <w:name w:val="Table Grid"/>
    <w:basedOn w:val="TableNormal"/>
    <w:rsid w:val="0056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5F6A"/>
    <w:rPr>
      <w:rFonts w:ascii="Tahoma" w:hAnsi="Tahoma" w:cs="Tahoma"/>
      <w:sz w:val="16"/>
      <w:szCs w:val="16"/>
    </w:rPr>
  </w:style>
  <w:style w:type="character" w:customStyle="1" w:styleId="BalloonTextChar">
    <w:name w:val="Balloon Text Char"/>
    <w:basedOn w:val="DefaultParagraphFont"/>
    <w:link w:val="BalloonText"/>
    <w:rsid w:val="00725F6A"/>
    <w:rPr>
      <w:rFonts w:ascii="Tahoma" w:hAnsi="Tahoma" w:cs="Tahoma"/>
      <w:sz w:val="16"/>
      <w:szCs w:val="16"/>
    </w:rPr>
  </w:style>
  <w:style w:type="character" w:styleId="CommentReference">
    <w:name w:val="annotation reference"/>
    <w:basedOn w:val="DefaultParagraphFont"/>
    <w:uiPriority w:val="99"/>
    <w:semiHidden/>
    <w:unhideWhenUsed/>
    <w:rsid w:val="005704FC"/>
    <w:rPr>
      <w:sz w:val="18"/>
      <w:szCs w:val="18"/>
    </w:rPr>
  </w:style>
  <w:style w:type="paragraph" w:styleId="CommentText">
    <w:name w:val="annotation text"/>
    <w:basedOn w:val="Normal"/>
    <w:link w:val="CommentTextChar"/>
    <w:uiPriority w:val="99"/>
    <w:semiHidden/>
    <w:unhideWhenUsed/>
    <w:rsid w:val="005704FC"/>
    <w:rPr>
      <w:sz w:val="24"/>
      <w:szCs w:val="24"/>
    </w:rPr>
  </w:style>
  <w:style w:type="character" w:customStyle="1" w:styleId="CommentTextChar">
    <w:name w:val="Comment Text Char"/>
    <w:basedOn w:val="DefaultParagraphFont"/>
    <w:link w:val="CommentText"/>
    <w:uiPriority w:val="99"/>
    <w:semiHidden/>
    <w:rsid w:val="005704FC"/>
    <w:rPr>
      <w:rFonts w:ascii="Palatino" w:hAnsi="Palatino"/>
      <w:sz w:val="24"/>
      <w:szCs w:val="24"/>
    </w:rPr>
  </w:style>
  <w:style w:type="paragraph" w:styleId="CommentSubject">
    <w:name w:val="annotation subject"/>
    <w:basedOn w:val="CommentText"/>
    <w:next w:val="CommentText"/>
    <w:link w:val="CommentSubjectChar"/>
    <w:semiHidden/>
    <w:unhideWhenUsed/>
    <w:rsid w:val="005704FC"/>
    <w:rPr>
      <w:b/>
      <w:bCs/>
      <w:sz w:val="20"/>
      <w:szCs w:val="20"/>
    </w:rPr>
  </w:style>
  <w:style w:type="character" w:customStyle="1" w:styleId="CommentSubjectChar">
    <w:name w:val="Comment Subject Char"/>
    <w:basedOn w:val="CommentTextChar"/>
    <w:link w:val="CommentSubject"/>
    <w:semiHidden/>
    <w:rsid w:val="005704FC"/>
    <w:rPr>
      <w:rFonts w:ascii="Palatino" w:hAnsi="Palatino"/>
      <w:b/>
      <w:bCs/>
      <w:sz w:val="24"/>
      <w:szCs w:val="24"/>
    </w:rPr>
  </w:style>
  <w:style w:type="paragraph" w:styleId="NormalWeb">
    <w:name w:val="Normal (Web)"/>
    <w:basedOn w:val="Normal"/>
    <w:uiPriority w:val="99"/>
    <w:unhideWhenUsed/>
    <w:rsid w:val="009F3932"/>
    <w:pPr>
      <w:spacing w:before="100" w:beforeAutospacing="1" w:after="100" w:afterAutospacing="1"/>
    </w:pPr>
    <w:rPr>
      <w:rFonts w:ascii="Times New Roman" w:eastAsiaTheme="minorEastAsia" w:hAnsi="Times New Roman"/>
      <w:sz w:val="20"/>
    </w:rPr>
  </w:style>
  <w:style w:type="paragraph" w:styleId="Revision">
    <w:name w:val="Revision"/>
    <w:hidden/>
    <w:uiPriority w:val="99"/>
    <w:semiHidden/>
    <w:rsid w:val="00D95B91"/>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564C38"/>
    <w:pPr>
      <w:keepNext/>
      <w:keepLines/>
      <w:widowControl w:val="0"/>
      <w:numPr>
        <w:numId w:val="7"/>
      </w:numPr>
      <w:spacing w:before="120" w:after="120"/>
      <w:ind w:right="2160"/>
      <w:outlineLvl w:val="0"/>
    </w:pPr>
    <w:rPr>
      <w:rFonts w:ascii="Helvetica" w:hAnsi="Helvetica"/>
      <w:b/>
      <w:kern w:val="28"/>
    </w:rPr>
  </w:style>
  <w:style w:type="paragraph" w:styleId="Heading2">
    <w:name w:val="heading 2"/>
    <w:basedOn w:val="Normal"/>
    <w:next w:val="sub1"/>
    <w:qFormat/>
    <w:rsid w:val="007C1522"/>
    <w:pPr>
      <w:keepNext/>
      <w:keepLines/>
      <w:widowControl w:val="0"/>
      <w:numPr>
        <w:ilvl w:val="1"/>
        <w:numId w:val="7"/>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2D742C"/>
    <w:pPr>
      <w:spacing w:after="120"/>
    </w:pPr>
    <w:rPr>
      <w:sz w:val="22"/>
    </w:rPr>
  </w:style>
  <w:style w:type="character" w:styleId="FootnoteReference">
    <w:name w:val="footnote reference"/>
    <w:aliases w:val="o,fr,o1,o2,o3,o4,o5,o6,o11,o21,o7,Style 3,o + Times New Roman,Style 58"/>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801C5"/>
    <w:pPr>
      <w:tabs>
        <w:tab w:val="right" w:leader="dot" w:pos="9350"/>
      </w:tabs>
      <w:ind w:left="450" w:hanging="45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A801C5"/>
    <w:pPr>
      <w:tabs>
        <w:tab w:val="left" w:pos="1260"/>
        <w:tab w:val="right" w:leader="dot" w:pos="9350"/>
      </w:tabs>
      <w:ind w:left="1260" w:hanging="72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564C38"/>
    <w:rPr>
      <w:rFonts w:ascii="Palatino" w:hAnsi="Palatino"/>
      <w:sz w:val="22"/>
    </w:rPr>
  </w:style>
  <w:style w:type="table" w:styleId="TableGrid">
    <w:name w:val="Table Grid"/>
    <w:basedOn w:val="TableNormal"/>
    <w:rsid w:val="0056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5F6A"/>
    <w:rPr>
      <w:rFonts w:ascii="Tahoma" w:hAnsi="Tahoma" w:cs="Tahoma"/>
      <w:sz w:val="16"/>
      <w:szCs w:val="16"/>
    </w:rPr>
  </w:style>
  <w:style w:type="character" w:customStyle="1" w:styleId="BalloonTextChar">
    <w:name w:val="Balloon Text Char"/>
    <w:basedOn w:val="DefaultParagraphFont"/>
    <w:link w:val="BalloonText"/>
    <w:rsid w:val="00725F6A"/>
    <w:rPr>
      <w:rFonts w:ascii="Tahoma" w:hAnsi="Tahoma" w:cs="Tahoma"/>
      <w:sz w:val="16"/>
      <w:szCs w:val="16"/>
    </w:rPr>
  </w:style>
  <w:style w:type="character" w:styleId="CommentReference">
    <w:name w:val="annotation reference"/>
    <w:basedOn w:val="DefaultParagraphFont"/>
    <w:uiPriority w:val="99"/>
    <w:semiHidden/>
    <w:unhideWhenUsed/>
    <w:rsid w:val="005704FC"/>
    <w:rPr>
      <w:sz w:val="18"/>
      <w:szCs w:val="18"/>
    </w:rPr>
  </w:style>
  <w:style w:type="paragraph" w:styleId="CommentText">
    <w:name w:val="annotation text"/>
    <w:basedOn w:val="Normal"/>
    <w:link w:val="CommentTextChar"/>
    <w:uiPriority w:val="99"/>
    <w:semiHidden/>
    <w:unhideWhenUsed/>
    <w:rsid w:val="005704FC"/>
    <w:rPr>
      <w:sz w:val="24"/>
      <w:szCs w:val="24"/>
    </w:rPr>
  </w:style>
  <w:style w:type="character" w:customStyle="1" w:styleId="CommentTextChar">
    <w:name w:val="Comment Text Char"/>
    <w:basedOn w:val="DefaultParagraphFont"/>
    <w:link w:val="CommentText"/>
    <w:uiPriority w:val="99"/>
    <w:semiHidden/>
    <w:rsid w:val="005704FC"/>
    <w:rPr>
      <w:rFonts w:ascii="Palatino" w:hAnsi="Palatino"/>
      <w:sz w:val="24"/>
      <w:szCs w:val="24"/>
    </w:rPr>
  </w:style>
  <w:style w:type="paragraph" w:styleId="CommentSubject">
    <w:name w:val="annotation subject"/>
    <w:basedOn w:val="CommentText"/>
    <w:next w:val="CommentText"/>
    <w:link w:val="CommentSubjectChar"/>
    <w:semiHidden/>
    <w:unhideWhenUsed/>
    <w:rsid w:val="005704FC"/>
    <w:rPr>
      <w:b/>
      <w:bCs/>
      <w:sz w:val="20"/>
      <w:szCs w:val="20"/>
    </w:rPr>
  </w:style>
  <w:style w:type="character" w:customStyle="1" w:styleId="CommentSubjectChar">
    <w:name w:val="Comment Subject Char"/>
    <w:basedOn w:val="CommentTextChar"/>
    <w:link w:val="CommentSubject"/>
    <w:semiHidden/>
    <w:rsid w:val="005704FC"/>
    <w:rPr>
      <w:rFonts w:ascii="Palatino" w:hAnsi="Palatino"/>
      <w:b/>
      <w:bCs/>
      <w:sz w:val="24"/>
      <w:szCs w:val="24"/>
    </w:rPr>
  </w:style>
  <w:style w:type="paragraph" w:styleId="NormalWeb">
    <w:name w:val="Normal (Web)"/>
    <w:basedOn w:val="Normal"/>
    <w:uiPriority w:val="99"/>
    <w:unhideWhenUsed/>
    <w:rsid w:val="009F3932"/>
    <w:pPr>
      <w:spacing w:before="100" w:beforeAutospacing="1" w:after="100" w:afterAutospacing="1"/>
    </w:pPr>
    <w:rPr>
      <w:rFonts w:ascii="Times New Roman" w:eastAsiaTheme="minorEastAsia" w:hAnsi="Times New Roman"/>
      <w:sz w:val="20"/>
    </w:rPr>
  </w:style>
  <w:style w:type="paragraph" w:styleId="Revision">
    <w:name w:val="Revision"/>
    <w:hidden/>
    <w:uiPriority w:val="99"/>
    <w:semiHidden/>
    <w:rsid w:val="00D95B91"/>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cs.cpuc.ca.gov/PublishedDocs/Published/G000/M284/K824/284824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3039-6765-4A12-B52F-3239842A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57036</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2019-04-23T23:35:00Z</cp:lastPrinted>
  <dcterms:created xsi:type="dcterms:W3CDTF">2019-05-02T13:38:00Z</dcterms:created>
  <dcterms:modified xsi:type="dcterms:W3CDTF">2019-05-02T20:50:00Z</dcterms:modified>
</cp:coreProperties>
</file>